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320040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-127635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8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-127635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2020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4"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50" w:lineRule="exact"/>
        <w:rPr>
          <w:sz w:val="24"/>
          <w:szCs w:val="24"/>
          <w:color w:val="auto"/>
        </w:rPr>
      </w:pPr>
    </w:p>
    <w:p>
      <w:pPr>
        <w:ind w:left="342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7" w:lineRule="exact"/>
        <w:rPr>
          <w:sz w:val="24"/>
          <w:szCs w:val="24"/>
          <w:color w:val="auto"/>
        </w:rPr>
      </w:pPr>
    </w:p>
    <w:p>
      <w:pPr>
        <w:ind w:left="4320"/>
        <w:spacing w:after="0"/>
        <w:rPr>
          <w:sz w:val="20"/>
          <w:szCs w:val="20"/>
          <w:color w:val="auto"/>
        </w:rPr>
      </w:pPr>
      <w:r>
        <w:rPr>
          <w:rFonts w:ascii="Arial" w:cs="Arial" w:eastAsia="Arial" w:hAnsi="Arial"/>
          <w:sz w:val="18"/>
          <w:szCs w:val="18"/>
          <w:b w:val="1"/>
          <w:bCs w:val="1"/>
          <w:color w:val="auto"/>
        </w:rPr>
        <w:t>Commission File Number 1-12744</w:t>
      </w:r>
    </w:p>
    <w:p>
      <w:pPr>
        <w:spacing w:after="0" w:line="99" w:lineRule="exact"/>
        <w:rPr>
          <w:sz w:val="24"/>
          <w:szCs w:val="24"/>
          <w:color w:val="auto"/>
        </w:rPr>
      </w:pPr>
    </w:p>
    <w:p>
      <w:pPr>
        <w:ind w:left="3940"/>
        <w:spacing w:after="0"/>
        <w:rPr>
          <w:sz w:val="20"/>
          <w:szCs w:val="20"/>
          <w:color w:val="auto"/>
        </w:rPr>
      </w:pPr>
      <w:r>
        <w:rPr>
          <w:rFonts w:ascii="Arial" w:cs="Arial" w:eastAsia="Arial" w:hAnsi="Arial"/>
          <w:sz w:val="18"/>
          <w:szCs w:val="18"/>
          <w:b w:val="1"/>
          <w:bCs w:val="1"/>
          <w:color w:val="auto"/>
        </w:rPr>
        <w:t>MARTIN MARIETTA MATERIALS,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-127635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66040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73" w:lineRule="exact"/>
        <w:rPr>
          <w:sz w:val="24"/>
          <w:szCs w:val="24"/>
          <w:color w:val="auto"/>
        </w:rPr>
      </w:pPr>
    </w:p>
    <w:tbl>
      <w:tblPr>
        <w:tblLayout w:type="fixed"/>
        <w:tblInd w:w="440" w:type="dxa"/>
        <w:tblCellMar>
          <w:top w:w="0" w:type="dxa"/>
          <w:left w:w="0" w:type="dxa"/>
          <w:bottom w:w="0" w:type="dxa"/>
          <w:right w:w="0" w:type="dxa"/>
        </w:tblCellMar>
      </w:tblPr>
      <w:tr>
        <w:trPr>
          <w:trHeight w:val="216"/>
        </w:trPr>
        <w:tc>
          <w:tcPr>
            <w:tcW w:w="4160" w:type="dxa"/>
            <w:vAlign w:val="bottom"/>
            <w:gridSpan w:val="3"/>
          </w:tcPr>
          <w:p>
            <w:pPr>
              <w:jc w:val="center"/>
              <w:ind w:left="410"/>
              <w:spacing w:after="0"/>
              <w:rPr>
                <w:sz w:val="20"/>
                <w:szCs w:val="20"/>
                <w:color w:val="auto"/>
              </w:rPr>
            </w:pPr>
            <w:r>
              <w:rPr>
                <w:rFonts w:ascii="Arial" w:cs="Arial" w:eastAsia="Arial" w:hAnsi="Arial"/>
                <w:sz w:val="18"/>
                <w:szCs w:val="18"/>
                <w:b w:val="1"/>
                <w:bCs w:val="1"/>
                <w:color w:val="auto"/>
                <w:w w:val="94"/>
              </w:rPr>
              <w:t>North Carolina</w:t>
            </w:r>
          </w:p>
        </w:tc>
        <w:tc>
          <w:tcPr>
            <w:tcW w:w="3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40" w:type="dxa"/>
            <w:vAlign w:val="bottom"/>
            <w:gridSpan w:val="4"/>
          </w:tcPr>
          <w:p>
            <w:pPr>
              <w:jc w:val="center"/>
              <w:ind w:left="1130"/>
              <w:spacing w:after="0"/>
              <w:rPr>
                <w:sz w:val="20"/>
                <w:szCs w:val="20"/>
                <w:color w:val="auto"/>
              </w:rPr>
            </w:pPr>
            <w:r>
              <w:rPr>
                <w:rFonts w:ascii="Arial" w:cs="Arial" w:eastAsia="Arial" w:hAnsi="Arial"/>
                <w:sz w:val="18"/>
                <w:szCs w:val="18"/>
                <w:b w:val="1"/>
                <w:bCs w:val="1"/>
                <w:color w:val="auto"/>
                <w:w w:val="89"/>
              </w:rPr>
              <w:t>56-1848578</w:t>
            </w:r>
          </w:p>
        </w:tc>
        <w:tc>
          <w:tcPr>
            <w:tcW w:w="960" w:type="dxa"/>
            <w:vAlign w:val="bottom"/>
          </w:tcPr>
          <w:p>
            <w:pPr>
              <w:spacing w:after="0"/>
              <w:rPr>
                <w:sz w:val="18"/>
                <w:szCs w:val="18"/>
                <w:color w:val="auto"/>
              </w:rPr>
            </w:pPr>
          </w:p>
        </w:tc>
      </w:tr>
      <w:tr>
        <w:trPr>
          <w:trHeight w:val="234"/>
        </w:trPr>
        <w:tc>
          <w:tcPr>
            <w:tcW w:w="6200" w:type="dxa"/>
            <w:vAlign w:val="bottom"/>
            <w:gridSpan w:val="6"/>
          </w:tcPr>
          <w:p>
            <w:pPr>
              <w:jc w:val="center"/>
              <w:ind w:right="1560"/>
              <w:spacing w:after="0"/>
              <w:rPr>
                <w:sz w:val="20"/>
                <w:szCs w:val="20"/>
                <w:color w:val="auto"/>
              </w:rPr>
            </w:pPr>
            <w:r>
              <w:rPr>
                <w:rFonts w:ascii="Arial" w:cs="Arial" w:eastAsia="Arial" w:hAnsi="Arial"/>
                <w:sz w:val="18"/>
                <w:szCs w:val="18"/>
                <w:b w:val="1"/>
                <w:bCs w:val="1"/>
                <w:color w:val="auto"/>
                <w:w w:val="91"/>
              </w:rPr>
              <w:t>(State or other jurisdiction of incorporation or organization)</w:t>
            </w:r>
          </w:p>
        </w:tc>
        <w:tc>
          <w:tcPr>
            <w:tcW w:w="3400" w:type="dxa"/>
            <w:vAlign w:val="bottom"/>
            <w:gridSpan w:val="5"/>
          </w:tcPr>
          <w:p>
            <w:pPr>
              <w:jc w:val="center"/>
              <w:ind w:left="170"/>
              <w:spacing w:after="0"/>
              <w:rPr>
                <w:sz w:val="20"/>
                <w:szCs w:val="20"/>
                <w:color w:val="auto"/>
              </w:rPr>
            </w:pPr>
            <w:r>
              <w:rPr>
                <w:rFonts w:ascii="Arial" w:cs="Arial" w:eastAsia="Arial" w:hAnsi="Arial"/>
                <w:sz w:val="18"/>
                <w:szCs w:val="18"/>
                <w:b w:val="1"/>
                <w:bCs w:val="1"/>
                <w:color w:val="auto"/>
                <w:w w:val="93"/>
              </w:rPr>
              <w:t>(I.R.S. Employer Identification Number)</w:t>
            </w:r>
          </w:p>
        </w:tc>
      </w:tr>
      <w:tr>
        <w:trPr>
          <w:trHeight w:val="346"/>
        </w:trPr>
        <w:tc>
          <w:tcPr>
            <w:tcW w:w="4160" w:type="dxa"/>
            <w:vAlign w:val="bottom"/>
            <w:gridSpan w:val="3"/>
          </w:tcPr>
          <w:p>
            <w:pPr>
              <w:jc w:val="center"/>
              <w:ind w:left="370"/>
              <w:spacing w:after="0"/>
              <w:rPr>
                <w:sz w:val="20"/>
                <w:szCs w:val="20"/>
                <w:color w:val="auto"/>
              </w:rPr>
            </w:pPr>
            <w:r>
              <w:rPr>
                <w:rFonts w:ascii="Arial" w:cs="Arial" w:eastAsia="Arial" w:hAnsi="Arial"/>
                <w:sz w:val="18"/>
                <w:szCs w:val="18"/>
                <w:b w:val="1"/>
                <w:bCs w:val="1"/>
                <w:color w:val="auto"/>
                <w:w w:val="92"/>
              </w:rPr>
              <w:t>2710 Wycliff Road, Raleigh, NC</w:t>
            </w:r>
          </w:p>
        </w:tc>
        <w:tc>
          <w:tcPr>
            <w:tcW w:w="3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40" w:type="dxa"/>
            <w:vAlign w:val="bottom"/>
            <w:gridSpan w:val="4"/>
          </w:tcPr>
          <w:p>
            <w:pPr>
              <w:jc w:val="center"/>
              <w:ind w:left="1130"/>
              <w:spacing w:after="0"/>
              <w:rPr>
                <w:sz w:val="20"/>
                <w:szCs w:val="20"/>
                <w:color w:val="auto"/>
              </w:rPr>
            </w:pPr>
            <w:r>
              <w:rPr>
                <w:rFonts w:ascii="Arial" w:cs="Arial" w:eastAsia="Arial" w:hAnsi="Arial"/>
                <w:sz w:val="18"/>
                <w:szCs w:val="18"/>
                <w:b w:val="1"/>
                <w:bCs w:val="1"/>
                <w:color w:val="auto"/>
                <w:w w:val="89"/>
              </w:rPr>
              <w:t>27607-3033</w:t>
            </w:r>
          </w:p>
        </w:tc>
        <w:tc>
          <w:tcPr>
            <w:tcW w:w="960" w:type="dxa"/>
            <w:vAlign w:val="bottom"/>
          </w:tcPr>
          <w:p>
            <w:pPr>
              <w:spacing w:after="0"/>
              <w:rPr>
                <w:sz w:val="24"/>
                <w:szCs w:val="24"/>
                <w:color w:val="auto"/>
              </w:rPr>
            </w:pPr>
          </w:p>
        </w:tc>
      </w:tr>
      <w:tr>
        <w:trPr>
          <w:trHeight w:val="216"/>
        </w:trPr>
        <w:tc>
          <w:tcPr>
            <w:tcW w:w="4160" w:type="dxa"/>
            <w:vAlign w:val="bottom"/>
            <w:gridSpan w:val="3"/>
          </w:tcPr>
          <w:p>
            <w:pPr>
              <w:jc w:val="center"/>
              <w:ind w:left="37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3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40" w:type="dxa"/>
            <w:vAlign w:val="bottom"/>
            <w:gridSpan w:val="3"/>
          </w:tcPr>
          <w:p>
            <w:pPr>
              <w:jc w:val="center"/>
              <w:ind w:right="520"/>
              <w:spacing w:after="0"/>
              <w:rPr>
                <w:sz w:val="20"/>
                <w:szCs w:val="20"/>
                <w:color w:val="auto"/>
              </w:rPr>
            </w:pPr>
            <w:r>
              <w:rPr>
                <w:rFonts w:ascii="Arial" w:cs="Arial" w:eastAsia="Arial" w:hAnsi="Arial"/>
                <w:sz w:val="18"/>
                <w:szCs w:val="18"/>
                <w:b w:val="1"/>
                <w:bCs w:val="1"/>
                <w:color w:val="auto"/>
                <w:w w:val="94"/>
              </w:rPr>
              <w:t>(Zip Code)</w:t>
            </w:r>
          </w:p>
        </w:tc>
      </w:tr>
      <w:tr>
        <w:trPr>
          <w:trHeight w:val="234"/>
        </w:trPr>
        <w:tc>
          <w:tcPr>
            <w:tcW w:w="2080" w:type="dxa"/>
            <w:vAlign w:val="bottom"/>
          </w:tcPr>
          <w:p>
            <w:pPr>
              <w:spacing w:after="0"/>
              <w:rPr>
                <w:sz w:val="20"/>
                <w:szCs w:val="20"/>
                <w:color w:val="auto"/>
              </w:rPr>
            </w:pPr>
          </w:p>
        </w:tc>
        <w:tc>
          <w:tcPr>
            <w:tcW w:w="7520" w:type="dxa"/>
            <w:vAlign w:val="bottom"/>
            <w:gridSpan w:val="10"/>
          </w:tcPr>
          <w:p>
            <w:pPr>
              <w:jc w:val="center"/>
              <w:ind w:right="1300"/>
              <w:spacing w:after="0"/>
              <w:rPr>
                <w:sz w:val="20"/>
                <w:szCs w:val="20"/>
                <w:color w:val="auto"/>
              </w:rPr>
            </w:pPr>
            <w:r>
              <w:rPr>
                <w:rFonts w:ascii="Arial" w:cs="Arial" w:eastAsia="Arial" w:hAnsi="Arial"/>
                <w:sz w:val="18"/>
                <w:szCs w:val="18"/>
                <w:b w:val="1"/>
                <w:bCs w:val="1"/>
                <w:color w:val="auto"/>
                <w:w w:val="89"/>
              </w:rPr>
              <w:t>Registrant’s telephone number, including area code: 919-781-4550</w:t>
            </w:r>
          </w:p>
        </w:tc>
      </w:tr>
      <w:tr>
        <w:trPr>
          <w:trHeight w:val="270"/>
        </w:trPr>
        <w:tc>
          <w:tcPr>
            <w:tcW w:w="9600" w:type="dxa"/>
            <w:vAlign w:val="bottom"/>
            <w:gridSpan w:val="11"/>
          </w:tcPr>
          <w:p>
            <w:pPr>
              <w:jc w:val="center"/>
              <w:ind w:left="670"/>
              <w:spacing w:after="0"/>
              <w:rPr>
                <w:sz w:val="20"/>
                <w:szCs w:val="20"/>
                <w:color w:val="auto"/>
              </w:rPr>
            </w:pPr>
            <w:r>
              <w:rPr>
                <w:rFonts w:ascii="Arial" w:cs="Arial" w:eastAsia="Arial" w:hAnsi="Arial"/>
                <w:sz w:val="18"/>
                <w:szCs w:val="18"/>
                <w:b w:val="1"/>
                <w:bCs w:val="1"/>
                <w:color w:val="auto"/>
                <w:w w:val="89"/>
              </w:rPr>
              <w:t>Former name, former address and former fiscal year, if changes since last report: None</w:t>
            </w:r>
          </w:p>
        </w:tc>
      </w:tr>
      <w:tr>
        <w:trPr>
          <w:trHeight w:val="306"/>
        </w:trPr>
        <w:tc>
          <w:tcPr>
            <w:tcW w:w="2080" w:type="dxa"/>
            <w:vAlign w:val="bottom"/>
          </w:tcPr>
          <w:p>
            <w:pPr>
              <w:spacing w:after="0"/>
              <w:rPr>
                <w:sz w:val="24"/>
                <w:szCs w:val="24"/>
                <w:color w:val="auto"/>
              </w:rPr>
            </w:pPr>
          </w:p>
        </w:tc>
        <w:tc>
          <w:tcPr>
            <w:tcW w:w="7520" w:type="dxa"/>
            <w:vAlign w:val="bottom"/>
            <w:gridSpan w:val="10"/>
          </w:tcPr>
          <w:p>
            <w:pPr>
              <w:jc w:val="center"/>
              <w:ind w:right="1320"/>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r>
      <w:tr>
        <w:trPr>
          <w:trHeight w:val="194"/>
        </w:trPr>
        <w:tc>
          <w:tcPr>
            <w:tcW w:w="20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80" w:type="dxa"/>
            <w:vAlign w:val="bottom"/>
            <w:tcBorders>
              <w:bottom w:val="single" w:sz="8" w:color="auto"/>
            </w:tcBorders>
            <w:gridSpan w:val="3"/>
          </w:tcPr>
          <w:p>
            <w:pPr>
              <w:jc w:val="center"/>
              <w:ind w:right="40"/>
              <w:spacing w:after="0" w:line="194" w:lineRule="exact"/>
              <w:rPr>
                <w:sz w:val="20"/>
                <w:szCs w:val="20"/>
                <w:color w:val="auto"/>
              </w:rPr>
            </w:pPr>
            <w:r>
              <w:rPr>
                <w:rFonts w:ascii="Arial" w:cs="Arial" w:eastAsia="Arial" w:hAnsi="Arial"/>
                <w:sz w:val="18"/>
                <w:szCs w:val="18"/>
                <w:b w:val="1"/>
                <w:bCs w:val="1"/>
                <w:color w:val="auto"/>
                <w:w w:val="87"/>
              </w:rPr>
              <w:t>Name of each exchange on</w:t>
            </w:r>
          </w:p>
        </w:tc>
        <w:tc>
          <w:tcPr>
            <w:tcW w:w="960" w:type="dxa"/>
            <w:vAlign w:val="bottom"/>
          </w:tcPr>
          <w:p>
            <w:pPr>
              <w:spacing w:after="0"/>
              <w:rPr>
                <w:sz w:val="16"/>
                <w:szCs w:val="16"/>
                <w:color w:val="auto"/>
              </w:rPr>
            </w:pPr>
          </w:p>
        </w:tc>
      </w:tr>
      <w:tr>
        <w:trPr>
          <w:trHeight w:val="196"/>
        </w:trPr>
        <w:tc>
          <w:tcPr>
            <w:tcW w:w="2080" w:type="dxa"/>
            <w:vAlign w:val="bottom"/>
          </w:tcPr>
          <w:p>
            <w:pPr>
              <w:spacing w:after="0"/>
              <w:rPr>
                <w:sz w:val="17"/>
                <w:szCs w:val="17"/>
                <w:color w:val="auto"/>
              </w:rPr>
            </w:pPr>
          </w:p>
        </w:tc>
        <w:tc>
          <w:tcPr>
            <w:tcW w:w="2080" w:type="dxa"/>
            <w:vAlign w:val="bottom"/>
            <w:gridSpan w:val="2"/>
          </w:tcPr>
          <w:p>
            <w:pPr>
              <w:jc w:val="center"/>
              <w:ind w:right="640"/>
              <w:spacing w:after="0" w:line="196" w:lineRule="exact"/>
              <w:rPr>
                <w:sz w:val="20"/>
                <w:szCs w:val="20"/>
                <w:color w:val="auto"/>
              </w:rPr>
            </w:pPr>
            <w:r>
              <w:rPr>
                <w:rFonts w:ascii="Arial" w:cs="Arial" w:eastAsia="Arial" w:hAnsi="Arial"/>
                <w:sz w:val="18"/>
                <w:szCs w:val="18"/>
                <w:b w:val="1"/>
                <w:bCs w:val="1"/>
                <w:color w:val="auto"/>
                <w:w w:val="89"/>
              </w:rPr>
              <w:t>Title of Each Class</w:t>
            </w:r>
          </w:p>
        </w:tc>
        <w:tc>
          <w:tcPr>
            <w:tcW w:w="2040" w:type="dxa"/>
            <w:vAlign w:val="bottom"/>
            <w:gridSpan w:val="3"/>
          </w:tcPr>
          <w:p>
            <w:pPr>
              <w:jc w:val="center"/>
              <w:ind w:left="30"/>
              <w:spacing w:after="0" w:line="196" w:lineRule="exact"/>
              <w:rPr>
                <w:sz w:val="20"/>
                <w:szCs w:val="20"/>
                <w:color w:val="auto"/>
              </w:rPr>
            </w:pPr>
            <w:r>
              <w:rPr>
                <w:rFonts w:ascii="Arial" w:cs="Arial" w:eastAsia="Arial" w:hAnsi="Arial"/>
                <w:sz w:val="18"/>
                <w:szCs w:val="18"/>
                <w:b w:val="1"/>
                <w:bCs w:val="1"/>
                <w:color w:val="auto"/>
                <w:w w:val="91"/>
              </w:rPr>
              <w:t>Trading Symbol(s)</w:t>
            </w:r>
          </w:p>
        </w:tc>
        <w:tc>
          <w:tcPr>
            <w:tcW w:w="360" w:type="dxa"/>
            <w:vAlign w:val="bottom"/>
          </w:tcPr>
          <w:p>
            <w:pPr>
              <w:spacing w:after="0"/>
              <w:rPr>
                <w:sz w:val="17"/>
                <w:szCs w:val="17"/>
                <w:color w:val="auto"/>
              </w:rPr>
            </w:pPr>
          </w:p>
        </w:tc>
        <w:tc>
          <w:tcPr>
            <w:tcW w:w="3040" w:type="dxa"/>
            <w:vAlign w:val="bottom"/>
            <w:gridSpan w:val="4"/>
          </w:tcPr>
          <w:p>
            <w:pPr>
              <w:jc w:val="center"/>
              <w:ind w:right="960"/>
              <w:spacing w:after="0" w:line="196" w:lineRule="exact"/>
              <w:rPr>
                <w:sz w:val="20"/>
                <w:szCs w:val="20"/>
                <w:color w:val="auto"/>
              </w:rPr>
            </w:pPr>
            <w:r>
              <w:rPr>
                <w:rFonts w:ascii="Arial" w:cs="Arial" w:eastAsia="Arial" w:hAnsi="Arial"/>
                <w:sz w:val="18"/>
                <w:szCs w:val="18"/>
                <w:b w:val="1"/>
                <w:bCs w:val="1"/>
                <w:color w:val="auto"/>
                <w:w w:val="89"/>
              </w:rPr>
              <w:t>which registered</w:t>
            </w:r>
          </w:p>
        </w:tc>
      </w:tr>
      <w:tr>
        <w:trPr>
          <w:trHeight w:val="20"/>
        </w:trPr>
        <w:tc>
          <w:tcPr>
            <w:tcW w:w="208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22"/>
        </w:trPr>
        <w:tc>
          <w:tcPr>
            <w:tcW w:w="4160" w:type="dxa"/>
            <w:vAlign w:val="bottom"/>
            <w:gridSpan w:val="3"/>
          </w:tcPr>
          <w:p>
            <w:pPr>
              <w:jc w:val="center"/>
              <w:ind w:left="1370"/>
              <w:spacing w:after="0"/>
              <w:rPr>
                <w:sz w:val="20"/>
                <w:szCs w:val="20"/>
                <w:color w:val="auto"/>
              </w:rPr>
            </w:pPr>
            <w:r>
              <w:rPr>
                <w:rFonts w:ascii="Arial" w:cs="Arial" w:eastAsia="Arial" w:hAnsi="Arial"/>
                <w:sz w:val="18"/>
                <w:szCs w:val="18"/>
                <w:color w:val="auto"/>
                <w:w w:val="91"/>
              </w:rPr>
              <w:t>Common Stock (Par Value</w:t>
            </w:r>
          </w:p>
        </w:tc>
        <w:tc>
          <w:tcPr>
            <w:tcW w:w="360" w:type="dxa"/>
            <w:vAlign w:val="bottom"/>
          </w:tcPr>
          <w:p>
            <w:pPr>
              <w:spacing w:after="0"/>
              <w:rPr>
                <w:sz w:val="19"/>
                <w:szCs w:val="19"/>
                <w:color w:val="auto"/>
              </w:rPr>
            </w:pPr>
          </w:p>
        </w:tc>
        <w:tc>
          <w:tcPr>
            <w:tcW w:w="1680" w:type="dxa"/>
            <w:vAlign w:val="bottom"/>
            <w:gridSpan w:val="2"/>
          </w:tcPr>
          <w:p>
            <w:pPr>
              <w:jc w:val="center"/>
              <w:ind w:right="240"/>
              <w:spacing w:after="0"/>
              <w:rPr>
                <w:sz w:val="20"/>
                <w:szCs w:val="20"/>
                <w:color w:val="auto"/>
              </w:rPr>
            </w:pPr>
            <w:r>
              <w:rPr>
                <w:rFonts w:ascii="Arial" w:cs="Arial" w:eastAsia="Arial" w:hAnsi="Arial"/>
                <w:sz w:val="18"/>
                <w:szCs w:val="18"/>
                <w:color w:val="auto"/>
              </w:rPr>
              <w:t>MLM</w:t>
            </w: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40" w:type="dxa"/>
            <w:vAlign w:val="bottom"/>
            <w:gridSpan w:val="3"/>
          </w:tcPr>
          <w:p>
            <w:pPr>
              <w:jc w:val="center"/>
              <w:ind w:right="1360"/>
              <w:spacing w:after="0"/>
              <w:rPr>
                <w:sz w:val="20"/>
                <w:szCs w:val="20"/>
                <w:color w:val="auto"/>
              </w:rPr>
            </w:pPr>
            <w:r>
              <w:rPr>
                <w:rFonts w:ascii="Arial" w:cs="Arial" w:eastAsia="Arial" w:hAnsi="Arial"/>
                <w:sz w:val="18"/>
                <w:szCs w:val="18"/>
                <w:color w:val="auto"/>
                <w:w w:val="97"/>
              </w:rPr>
              <w:t>NYSE</w:t>
            </w:r>
          </w:p>
        </w:tc>
      </w:tr>
      <w:tr>
        <w:trPr>
          <w:trHeight w:val="230"/>
        </w:trPr>
        <w:tc>
          <w:tcPr>
            <w:tcW w:w="3520" w:type="dxa"/>
            <w:vAlign w:val="bottom"/>
            <w:gridSpan w:val="2"/>
          </w:tcPr>
          <w:p>
            <w:pPr>
              <w:jc w:val="center"/>
              <w:ind w:left="2010"/>
              <w:spacing w:after="0"/>
              <w:rPr>
                <w:sz w:val="20"/>
                <w:szCs w:val="20"/>
                <w:color w:val="auto"/>
              </w:rPr>
            </w:pPr>
            <w:r>
              <w:rPr>
                <w:rFonts w:ascii="Arial" w:cs="Arial" w:eastAsia="Arial" w:hAnsi="Arial"/>
                <w:sz w:val="18"/>
                <w:szCs w:val="18"/>
                <w:color w:val="auto"/>
                <w:w w:val="90"/>
              </w:rPr>
              <w:t>$0.01)</w:t>
            </w: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r>
    </w:tbl>
    <w:p>
      <w:pPr>
        <w:spacing w:after="0" w:line="94" w:lineRule="exact"/>
        <w:rPr>
          <w:sz w:val="24"/>
          <w:szCs w:val="24"/>
          <w:color w:val="auto"/>
        </w:rPr>
      </w:pPr>
    </w:p>
    <w:p>
      <w:pPr>
        <w:jc w:val="both"/>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jc w:val="center"/>
        <w:spacing w:after="0" w:line="207" w:lineRule="exact"/>
        <w:tabs>
          <w:tab w:leader="none" w:pos="16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16" w:lineRule="exact"/>
        <w:rPr>
          <w:sz w:val="24"/>
          <w:szCs w:val="24"/>
          <w:color w:val="auto"/>
        </w:rPr>
      </w:pPr>
    </w:p>
    <w:p>
      <w:pPr>
        <w:jc w:val="both"/>
        <w:spacing w:after="0" w:line="277"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spacing w:after="0" w:line="1" w:lineRule="exact"/>
        <w:rPr>
          <w:sz w:val="24"/>
          <w:szCs w:val="24"/>
          <w:color w:val="auto"/>
        </w:rPr>
      </w:pPr>
    </w:p>
    <w:p>
      <w:pPr>
        <w:jc w:val="center"/>
        <w:spacing w:after="0" w:line="207" w:lineRule="exact"/>
        <w:tabs>
          <w:tab w:leader="none" w:pos="16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16" w:lineRule="exact"/>
        <w:rPr>
          <w:sz w:val="24"/>
          <w:szCs w:val="24"/>
          <w:color w:val="auto"/>
        </w:rPr>
      </w:pPr>
    </w:p>
    <w:p>
      <w:pPr>
        <w:jc w:val="both"/>
        <w:spacing w:after="0" w:line="25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7"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860" w:type="dxa"/>
            <w:vAlign w:val="bottom"/>
          </w:tcPr>
          <w:p>
            <w:pPr>
              <w:ind w:left="740"/>
              <w:spacing w:after="0" w:line="181" w:lineRule="exact"/>
              <w:rPr>
                <w:sz w:val="20"/>
                <w:szCs w:val="20"/>
                <w:color w:val="auto"/>
              </w:rPr>
            </w:pPr>
            <w:r>
              <w:rPr>
                <w:rFonts w:ascii="MS PGothic" w:cs="MS PGothic" w:eastAsia="MS PGothic" w:hAnsi="MS PGothic"/>
                <w:sz w:val="18"/>
                <w:szCs w:val="18"/>
                <w:color w:val="auto"/>
              </w:rPr>
              <w:t>☑</w:t>
            </w:r>
          </w:p>
        </w:tc>
        <w:tc>
          <w:tcPr>
            <w:tcW w:w="4660" w:type="dxa"/>
            <w:vAlign w:val="bottom"/>
          </w:tcPr>
          <w:p>
            <w:pPr>
              <w:ind w:left="1960"/>
              <w:spacing w:after="0"/>
              <w:rPr>
                <w:sz w:val="20"/>
                <w:szCs w:val="20"/>
                <w:color w:val="auto"/>
              </w:rPr>
            </w:pPr>
            <w:r>
              <w:rPr>
                <w:rFonts w:ascii="Arial" w:cs="Arial" w:eastAsia="Arial" w:hAnsi="Arial"/>
                <w:sz w:val="18"/>
                <w:szCs w:val="18"/>
                <w:color w:val="auto"/>
              </w:rPr>
              <w:t>Accelerated filer</w:t>
            </w:r>
          </w:p>
        </w:tc>
        <w:tc>
          <w:tcPr>
            <w:tcW w:w="900" w:type="dxa"/>
            <w:vAlign w:val="bottom"/>
          </w:tcPr>
          <w:p>
            <w:pPr>
              <w:ind w:left="7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43"/>
        </w:trPr>
        <w:tc>
          <w:tcPr>
            <w:tcW w:w="2720" w:type="dxa"/>
            <w:vAlign w:val="bottom"/>
          </w:tcPr>
          <w:p>
            <w:pPr>
              <w:spacing w:after="0"/>
              <w:rPr>
                <w:sz w:val="20"/>
                <w:szCs w:val="20"/>
                <w:color w:val="auto"/>
              </w:rPr>
            </w:pPr>
            <w:r>
              <w:rPr>
                <w:rFonts w:ascii="Arial" w:cs="Arial" w:eastAsia="Arial" w:hAnsi="Arial"/>
                <w:sz w:val="18"/>
                <w:szCs w:val="18"/>
                <w:color w:val="auto"/>
              </w:rPr>
              <w:t>Non-accelerated filer</w:t>
            </w:r>
          </w:p>
        </w:tc>
        <w:tc>
          <w:tcPr>
            <w:tcW w:w="2860" w:type="dxa"/>
            <w:vAlign w:val="bottom"/>
          </w:tcPr>
          <w:p>
            <w:pPr>
              <w:ind w:left="740"/>
              <w:spacing w:after="0" w:line="181" w:lineRule="exact"/>
              <w:rPr>
                <w:sz w:val="20"/>
                <w:szCs w:val="20"/>
                <w:color w:val="auto"/>
              </w:rPr>
            </w:pPr>
            <w:r>
              <w:rPr>
                <w:rFonts w:ascii="MS PGothic" w:cs="MS PGothic" w:eastAsia="MS PGothic" w:hAnsi="MS PGothic"/>
                <w:sz w:val="18"/>
                <w:szCs w:val="18"/>
                <w:color w:val="auto"/>
              </w:rPr>
              <w:t>☐</w:t>
            </w:r>
          </w:p>
        </w:tc>
        <w:tc>
          <w:tcPr>
            <w:tcW w:w="4660" w:type="dxa"/>
            <w:vAlign w:val="bottom"/>
          </w:tcPr>
          <w:p>
            <w:pPr>
              <w:ind w:left="1960"/>
              <w:spacing w:after="0"/>
              <w:rPr>
                <w:sz w:val="20"/>
                <w:szCs w:val="20"/>
                <w:color w:val="auto"/>
              </w:rPr>
            </w:pPr>
            <w:r>
              <w:rPr>
                <w:rFonts w:ascii="Arial" w:cs="Arial" w:eastAsia="Arial" w:hAnsi="Arial"/>
                <w:sz w:val="18"/>
                <w:szCs w:val="18"/>
                <w:color w:val="auto"/>
              </w:rPr>
              <w:t>Smaller reporting company</w:t>
            </w:r>
          </w:p>
        </w:tc>
        <w:tc>
          <w:tcPr>
            <w:tcW w:w="900" w:type="dxa"/>
            <w:vAlign w:val="bottom"/>
          </w:tcPr>
          <w:p>
            <w:pPr>
              <w:ind w:left="7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72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2860" w:type="dxa"/>
            <w:vAlign w:val="bottom"/>
          </w:tcPr>
          <w:p>
            <w:pPr>
              <w:ind w:left="740"/>
              <w:spacing w:after="0" w:line="181" w:lineRule="exact"/>
              <w:rPr>
                <w:sz w:val="20"/>
                <w:szCs w:val="20"/>
                <w:color w:val="auto"/>
              </w:rPr>
            </w:pPr>
            <w:r>
              <w:rPr>
                <w:rFonts w:ascii="MS PGothic" w:cs="MS PGothic" w:eastAsia="MS PGothic" w:hAnsi="MS PGothic"/>
                <w:sz w:val="18"/>
                <w:szCs w:val="18"/>
                <w:color w:val="auto"/>
              </w:rPr>
              <w:t>☐</w:t>
            </w:r>
          </w:p>
        </w:tc>
        <w:tc>
          <w:tcPr>
            <w:tcW w:w="466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pacing w:after="0" w:line="74" w:lineRule="exact"/>
        <w:rPr>
          <w:sz w:val="24"/>
          <w:szCs w:val="24"/>
          <w:color w:val="auto"/>
        </w:rPr>
      </w:pPr>
    </w:p>
    <w:p>
      <w:pPr>
        <w:spacing w:after="0" w:line="224"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Securities Act. </w:t>
      </w:r>
      <w:r>
        <w:rPr>
          <w:rFonts w:ascii="MS PGothic" w:cs="MS PGothic" w:eastAsia="MS PGothic" w:hAnsi="MS PGothic"/>
          <w:sz w:val="18"/>
          <w:szCs w:val="18"/>
          <w:color w:val="auto"/>
        </w:rPr>
        <w:t>☐</w:t>
      </w:r>
    </w:p>
    <w:p>
      <w:pPr>
        <w:spacing w:after="0" w:line="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5620" w:type="dxa"/>
            <w:vAlign w:val="bottom"/>
            <w:gridSpan w:val="2"/>
          </w:tcPr>
          <w:p>
            <w:pPr>
              <w:ind w:left="502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5620" w:type="dxa"/>
            <w:vAlign w:val="bottom"/>
            <w:gridSpan w:val="2"/>
          </w:tcPr>
          <w:p>
            <w:pPr>
              <w:jc w:val="right"/>
              <w:ind w:right="493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r>
        <w:trPr>
          <w:trHeight w:val="230"/>
        </w:trPr>
        <w:tc>
          <w:tcPr>
            <w:tcW w:w="11240" w:type="dxa"/>
            <w:vAlign w:val="bottom"/>
            <w:gridSpan w:val="4"/>
          </w:tcPr>
          <w:p>
            <w:pPr>
              <w:jc w:val="right"/>
              <w:ind w:right="2250"/>
              <w:spacing w:after="0"/>
              <w:rPr>
                <w:sz w:val="20"/>
                <w:szCs w:val="20"/>
                <w:color w:val="auto"/>
              </w:rPr>
            </w:pPr>
            <w:r>
              <w:rPr>
                <w:rFonts w:ascii="Arial" w:cs="Arial" w:eastAsia="Arial" w:hAnsi="Arial"/>
                <w:sz w:val="18"/>
                <w:szCs w:val="18"/>
                <w:color w:val="auto"/>
                <w:w w:val="89"/>
              </w:rPr>
              <w:t>Indicate the number of shares outstanding of each of the issuer’s classes of Common Stock, as of the latest practicable date.</w:t>
            </w:r>
          </w:p>
        </w:tc>
      </w:tr>
      <w:tr>
        <w:trPr>
          <w:trHeight w:val="351"/>
        </w:trPr>
        <w:tc>
          <w:tcPr>
            <w:tcW w:w="5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3"/>
              </w:rPr>
              <w:t>Class</w:t>
            </w:r>
          </w:p>
        </w:tc>
        <w:tc>
          <w:tcPr>
            <w:tcW w:w="120" w:type="dxa"/>
            <w:vAlign w:val="bottom"/>
          </w:tcPr>
          <w:p>
            <w:pPr>
              <w:spacing w:after="0"/>
              <w:rPr>
                <w:sz w:val="24"/>
                <w:szCs w:val="24"/>
                <w:color w:val="auto"/>
              </w:rPr>
            </w:pPr>
          </w:p>
        </w:tc>
        <w:tc>
          <w:tcPr>
            <w:tcW w:w="5500" w:type="dxa"/>
            <w:vAlign w:val="bottom"/>
          </w:tcPr>
          <w:p>
            <w:pPr>
              <w:jc w:val="right"/>
              <w:ind w:right="1450"/>
              <w:spacing w:after="0"/>
              <w:rPr>
                <w:sz w:val="20"/>
                <w:szCs w:val="20"/>
                <w:color w:val="auto"/>
              </w:rPr>
            </w:pPr>
            <w:r>
              <w:rPr>
                <w:rFonts w:ascii="Arial" w:cs="Arial" w:eastAsia="Arial" w:hAnsi="Arial"/>
                <w:sz w:val="18"/>
                <w:szCs w:val="18"/>
                <w:b w:val="1"/>
                <w:bCs w:val="1"/>
                <w:color w:val="auto"/>
              </w:rPr>
              <w:t>Outstanding as of July 21, 2020</w:t>
            </w:r>
          </w:p>
        </w:tc>
      </w:tr>
      <w:tr>
        <w:trPr>
          <w:trHeight w:val="224"/>
        </w:trPr>
        <w:tc>
          <w:tcPr>
            <w:tcW w:w="5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$0.01 par value</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500" w:type="dxa"/>
            <w:vAlign w:val="bottom"/>
            <w:tcBorders>
              <w:top w:val="single" w:sz="8" w:color="auto"/>
            </w:tcBorders>
          </w:tcPr>
          <w:p>
            <w:pPr>
              <w:jc w:val="right"/>
              <w:ind w:right="2250"/>
              <w:spacing w:after="0"/>
              <w:rPr>
                <w:sz w:val="20"/>
                <w:szCs w:val="20"/>
                <w:color w:val="auto"/>
              </w:rPr>
            </w:pPr>
            <w:r>
              <w:rPr>
                <w:rFonts w:ascii="Arial" w:cs="Arial" w:eastAsia="Arial" w:hAnsi="Arial"/>
                <w:sz w:val="18"/>
                <w:szCs w:val="18"/>
                <w:color w:val="auto"/>
              </w:rPr>
              <w:t>62,268,855</w:t>
            </w:r>
          </w:p>
        </w:tc>
      </w:tr>
      <w:tr>
        <w:trPr>
          <w:trHeight w:val="161"/>
        </w:trPr>
        <w:tc>
          <w:tcPr>
            <w:tcW w:w="55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500" w:type="dxa"/>
            <w:vAlign w:val="bottom"/>
            <w:tcBorders>
              <w:bottom w:val="single" w:sz="8" w:color="auto"/>
            </w:tcBorders>
          </w:tcPr>
          <w:p>
            <w:pPr>
              <w:spacing w:after="0"/>
              <w:rPr>
                <w:sz w:val="14"/>
                <w:szCs w:val="14"/>
                <w:color w:val="auto"/>
              </w:rPr>
            </w:pPr>
          </w:p>
        </w:tc>
      </w:tr>
      <w:tr>
        <w:trPr>
          <w:trHeight w:val="21"/>
        </w:trPr>
        <w:tc>
          <w:tcPr>
            <w:tcW w:w="5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500" w:type="dxa"/>
            <w:vAlign w:val="bottom"/>
            <w:tcBorders>
              <w:bottom w:val="single" w:sz="8" w:color="auto"/>
            </w:tcBorders>
          </w:tcPr>
          <w:p>
            <w:pPr>
              <w:spacing w:after="0" w:line="20" w:lineRule="exact"/>
              <w:rPr>
                <w:sz w:val="1"/>
                <w:szCs w:val="1"/>
                <w:color w:val="auto"/>
              </w:rPr>
            </w:pPr>
          </w:p>
        </w:tc>
      </w:tr>
      <w:tr>
        <w:trPr>
          <w:trHeight w:val="797"/>
        </w:trPr>
        <w:tc>
          <w:tcPr>
            <w:tcW w:w="55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5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June 30, 2020</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10680" w:type="dxa"/>
            <w:vAlign w:val="bottom"/>
            <w:gridSpan w:val="2"/>
            <w:vMerge w:val="restart"/>
          </w:tcPr>
          <w:p>
            <w:pPr>
              <w:spacing w:after="0"/>
              <w:rPr>
                <w:sz w:val="20"/>
                <w:szCs w:val="20"/>
                <w:color w:val="auto"/>
              </w:rPr>
            </w:pPr>
            <w:r>
              <w:rPr>
                <w:rFonts w:ascii="Arial" w:cs="Arial" w:eastAsia="Arial" w:hAnsi="Arial"/>
                <w:sz w:val="20"/>
                <w:szCs w:val="20"/>
                <w:color w:val="auto"/>
              </w:rPr>
              <w:t>Part I. Financial Information:</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8"/>
              </w:rPr>
              <w:t>Page</w:t>
            </w:r>
          </w:p>
        </w:tc>
        <w:tc>
          <w:tcPr>
            <w:tcW w:w="0" w:type="dxa"/>
            <w:vAlign w:val="bottom"/>
          </w:tcPr>
          <w:p>
            <w:pPr>
              <w:spacing w:after="0"/>
              <w:rPr>
                <w:sz w:val="1"/>
                <w:szCs w:val="1"/>
                <w:color w:val="auto"/>
              </w:rPr>
            </w:pPr>
          </w:p>
        </w:tc>
      </w:tr>
      <w:tr>
        <w:trPr>
          <w:trHeight w:val="227"/>
        </w:trPr>
        <w:tc>
          <w:tcPr>
            <w:tcW w:w="10680" w:type="dxa"/>
            <w:vAlign w:val="bottom"/>
            <w:gridSpan w:val="2"/>
            <w:vMerge w:val="continue"/>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1"/>
        </w:trPr>
        <w:tc>
          <w:tcPr>
            <w:tcW w:w="10680" w:type="dxa"/>
            <w:vAlign w:val="bottom"/>
            <w:gridSpan w:val="2"/>
          </w:tcPr>
          <w:p>
            <w:pPr>
              <w:ind w:left="220"/>
              <w:spacing w:after="0"/>
              <w:rPr>
                <w:rFonts w:ascii="Arial" w:cs="Arial" w:eastAsia="Arial" w:hAnsi="Arial"/>
                <w:sz w:val="20"/>
                <w:szCs w:val="20"/>
                <w:u w:val="single" w:color="auto"/>
                <w:color w:val="0000EE"/>
              </w:rPr>
            </w:pPr>
            <w:hyperlink w:anchor="page3">
              <w:r>
                <w:rPr>
                  <w:rFonts w:ascii="Arial" w:cs="Arial" w:eastAsia="Arial" w:hAnsi="Arial"/>
                  <w:sz w:val="20"/>
                  <w:szCs w:val="20"/>
                  <w:u w:val="single" w:color="auto"/>
                  <w:color w:val="0000EE"/>
                </w:rPr>
                <w:t>Item 1. Financial Statements</w:t>
              </w:r>
            </w:hyperlink>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0680" w:type="dxa"/>
            <w:vAlign w:val="bottom"/>
            <w:gridSpan w:val="2"/>
          </w:tcPr>
          <w:p>
            <w:pPr>
              <w:ind w:left="440"/>
              <w:spacing w:after="0"/>
              <w:rPr>
                <w:rFonts w:ascii="Arial" w:cs="Arial" w:eastAsia="Arial" w:hAnsi="Arial"/>
                <w:sz w:val="20"/>
                <w:szCs w:val="20"/>
                <w:u w:val="single" w:color="auto"/>
                <w:color w:val="0000EE"/>
              </w:rPr>
            </w:pPr>
            <w:hyperlink w:anchor="page3">
              <w:r>
                <w:rPr>
                  <w:rFonts w:ascii="Arial" w:cs="Arial" w:eastAsia="Arial" w:hAnsi="Arial"/>
                  <w:sz w:val="20"/>
                  <w:szCs w:val="20"/>
                  <w:u w:val="single" w:color="auto"/>
                  <w:color w:val="0000EE"/>
                </w:rPr>
                <w:t>Consolidated Balance Sheets – June 30, 2020 and December 31, 2019</w:t>
              </w:r>
            </w:hyperlink>
          </w:p>
        </w:tc>
        <w:tc>
          <w:tcPr>
            <w:tcW w:w="560" w:type="dxa"/>
            <w:vAlign w:val="bottom"/>
          </w:tcPr>
          <w:p>
            <w:pPr>
              <w:jc w:val="right"/>
              <w:spacing w:after="0"/>
              <w:rPr>
                <w:sz w:val="20"/>
                <w:szCs w:val="20"/>
                <w:color w:val="auto"/>
              </w:rPr>
            </w:pPr>
            <w:r>
              <w:rPr>
                <w:rFonts w:ascii="Arial" w:cs="Arial" w:eastAsia="Arial" w:hAnsi="Arial"/>
                <w:sz w:val="20"/>
                <w:szCs w:val="20"/>
                <w:color w:val="auto"/>
              </w:rPr>
              <w:t>3</w:t>
            </w:r>
          </w:p>
        </w:tc>
        <w:tc>
          <w:tcPr>
            <w:tcW w:w="0" w:type="dxa"/>
            <w:vAlign w:val="bottom"/>
          </w:tcPr>
          <w:p>
            <w:pPr>
              <w:spacing w:after="0"/>
              <w:rPr>
                <w:sz w:val="1"/>
                <w:szCs w:val="1"/>
                <w:color w:val="auto"/>
              </w:rPr>
            </w:pPr>
          </w:p>
        </w:tc>
      </w:tr>
      <w:tr>
        <w:trPr>
          <w:trHeight w:val="364"/>
        </w:trPr>
        <w:tc>
          <w:tcPr>
            <w:tcW w:w="10680" w:type="dxa"/>
            <w:vAlign w:val="bottom"/>
            <w:gridSpan w:val="2"/>
          </w:tcPr>
          <w:p>
            <w:pPr>
              <w:ind w:left="440"/>
              <w:spacing w:after="0"/>
              <w:rPr>
                <w:rFonts w:ascii="Arial" w:cs="Arial" w:eastAsia="Arial" w:hAnsi="Arial"/>
                <w:sz w:val="20"/>
                <w:szCs w:val="20"/>
                <w:u w:val="single" w:color="auto"/>
                <w:color w:val="0000EE"/>
                <w:w w:val="92"/>
              </w:rPr>
            </w:pPr>
            <w:hyperlink w:anchor="page4">
              <w:r>
                <w:rPr>
                  <w:rFonts w:ascii="Arial" w:cs="Arial" w:eastAsia="Arial" w:hAnsi="Arial"/>
                  <w:sz w:val="20"/>
                  <w:szCs w:val="20"/>
                  <w:u w:val="single" w:color="auto"/>
                  <w:color w:val="0000EE"/>
                  <w:w w:val="92"/>
                </w:rPr>
                <w:t>Consolidated Statements of Earnings and Comprehensive Earnings – Three and Six Months Ended June 30, 2020 and 2019</w:t>
              </w:r>
            </w:hyperlink>
          </w:p>
        </w:tc>
        <w:tc>
          <w:tcPr>
            <w:tcW w:w="560" w:type="dxa"/>
            <w:vAlign w:val="bottom"/>
          </w:tcPr>
          <w:p>
            <w:pPr>
              <w:jc w:val="right"/>
              <w:spacing w:after="0"/>
              <w:rPr>
                <w:sz w:val="20"/>
                <w:szCs w:val="20"/>
                <w:color w:val="auto"/>
              </w:rPr>
            </w:pPr>
            <w:r>
              <w:rPr>
                <w:rFonts w:ascii="Arial" w:cs="Arial" w:eastAsia="Arial" w:hAnsi="Arial"/>
                <w:sz w:val="20"/>
                <w:szCs w:val="20"/>
                <w:color w:val="auto"/>
              </w:rPr>
              <w:t>4</w:t>
            </w:r>
          </w:p>
        </w:tc>
        <w:tc>
          <w:tcPr>
            <w:tcW w:w="0" w:type="dxa"/>
            <w:vAlign w:val="bottom"/>
          </w:tcPr>
          <w:p>
            <w:pPr>
              <w:spacing w:after="0"/>
              <w:rPr>
                <w:sz w:val="1"/>
                <w:szCs w:val="1"/>
                <w:color w:val="auto"/>
              </w:rPr>
            </w:pPr>
          </w:p>
        </w:tc>
      </w:tr>
      <w:tr>
        <w:trPr>
          <w:trHeight w:val="351"/>
        </w:trPr>
        <w:tc>
          <w:tcPr>
            <w:tcW w:w="10680" w:type="dxa"/>
            <w:vAlign w:val="bottom"/>
            <w:gridSpan w:val="2"/>
          </w:tcPr>
          <w:p>
            <w:pPr>
              <w:ind w:left="440"/>
              <w:spacing w:after="0"/>
              <w:rPr>
                <w:rFonts w:ascii="Arial" w:cs="Arial" w:eastAsia="Arial" w:hAnsi="Arial"/>
                <w:sz w:val="20"/>
                <w:szCs w:val="20"/>
                <w:u w:val="single" w:color="auto"/>
                <w:color w:val="0000EE"/>
              </w:rPr>
            </w:pPr>
            <w:hyperlink w:anchor="page5">
              <w:r>
                <w:rPr>
                  <w:rFonts w:ascii="Arial" w:cs="Arial" w:eastAsia="Arial" w:hAnsi="Arial"/>
                  <w:sz w:val="20"/>
                  <w:szCs w:val="20"/>
                  <w:u w:val="single" w:color="auto"/>
                  <w:color w:val="0000EE"/>
                </w:rPr>
                <w:t>Consolidated Statements of Cash Flows – Six Months Ended June 30, 2020 and 2019</w:t>
              </w:r>
            </w:hyperlink>
          </w:p>
        </w:tc>
        <w:tc>
          <w:tcPr>
            <w:tcW w:w="560" w:type="dxa"/>
            <w:vAlign w:val="bottom"/>
          </w:tcPr>
          <w:p>
            <w:pPr>
              <w:jc w:val="right"/>
              <w:spacing w:after="0"/>
              <w:rPr>
                <w:sz w:val="20"/>
                <w:szCs w:val="20"/>
                <w:color w:val="auto"/>
              </w:rPr>
            </w:pPr>
            <w:r>
              <w:rPr>
                <w:rFonts w:ascii="Arial" w:cs="Arial" w:eastAsia="Arial" w:hAnsi="Arial"/>
                <w:sz w:val="20"/>
                <w:szCs w:val="20"/>
                <w:color w:val="auto"/>
              </w:rPr>
              <w:t>5</w:t>
            </w:r>
          </w:p>
        </w:tc>
        <w:tc>
          <w:tcPr>
            <w:tcW w:w="0" w:type="dxa"/>
            <w:vAlign w:val="bottom"/>
          </w:tcPr>
          <w:p>
            <w:pPr>
              <w:spacing w:after="0"/>
              <w:rPr>
                <w:sz w:val="1"/>
                <w:szCs w:val="1"/>
                <w:color w:val="auto"/>
              </w:rPr>
            </w:pPr>
          </w:p>
        </w:tc>
      </w:tr>
      <w:tr>
        <w:trPr>
          <w:trHeight w:val="351"/>
        </w:trPr>
        <w:tc>
          <w:tcPr>
            <w:tcW w:w="10680" w:type="dxa"/>
            <w:vAlign w:val="bottom"/>
            <w:gridSpan w:val="2"/>
          </w:tcPr>
          <w:p>
            <w:pPr>
              <w:ind w:left="440"/>
              <w:spacing w:after="0"/>
              <w:rPr>
                <w:rFonts w:ascii="Arial" w:cs="Arial" w:eastAsia="Arial" w:hAnsi="Arial"/>
                <w:sz w:val="20"/>
                <w:szCs w:val="20"/>
                <w:u w:val="single" w:color="auto"/>
                <w:color w:val="0000EE"/>
              </w:rPr>
            </w:pPr>
            <w:hyperlink w:anchor="page6">
              <w:r>
                <w:rPr>
                  <w:rFonts w:ascii="Arial" w:cs="Arial" w:eastAsia="Arial" w:hAnsi="Arial"/>
                  <w:sz w:val="20"/>
                  <w:szCs w:val="20"/>
                  <w:u w:val="single" w:color="auto"/>
                  <w:color w:val="0000EE"/>
                </w:rPr>
                <w:t>Consolidated Statement of Total Equity – Three and Six Months Ended June 30, 2020 and 2019</w:t>
              </w:r>
            </w:hyperlink>
          </w:p>
        </w:tc>
        <w:tc>
          <w:tcPr>
            <w:tcW w:w="560" w:type="dxa"/>
            <w:vAlign w:val="bottom"/>
          </w:tcPr>
          <w:p>
            <w:pPr>
              <w:jc w:val="right"/>
              <w:spacing w:after="0"/>
              <w:rPr>
                <w:sz w:val="20"/>
                <w:szCs w:val="20"/>
                <w:color w:val="auto"/>
              </w:rPr>
            </w:pPr>
            <w:r>
              <w:rPr>
                <w:rFonts w:ascii="Arial" w:cs="Arial" w:eastAsia="Arial" w:hAnsi="Arial"/>
                <w:sz w:val="20"/>
                <w:szCs w:val="20"/>
                <w:color w:val="auto"/>
              </w:rPr>
              <w:t>6</w:t>
            </w:r>
          </w:p>
        </w:tc>
        <w:tc>
          <w:tcPr>
            <w:tcW w:w="0" w:type="dxa"/>
            <w:vAlign w:val="bottom"/>
          </w:tcPr>
          <w:p>
            <w:pPr>
              <w:spacing w:after="0"/>
              <w:rPr>
                <w:sz w:val="1"/>
                <w:szCs w:val="1"/>
                <w:color w:val="auto"/>
              </w:rPr>
            </w:pPr>
          </w:p>
        </w:tc>
      </w:tr>
      <w:tr>
        <w:trPr>
          <w:trHeight w:val="351"/>
        </w:trPr>
        <w:tc>
          <w:tcPr>
            <w:tcW w:w="10680" w:type="dxa"/>
            <w:vAlign w:val="bottom"/>
            <w:gridSpan w:val="2"/>
          </w:tcPr>
          <w:p>
            <w:pPr>
              <w:ind w:left="440"/>
              <w:spacing w:after="0"/>
              <w:rPr>
                <w:rFonts w:ascii="Arial" w:cs="Arial" w:eastAsia="Arial" w:hAnsi="Arial"/>
                <w:sz w:val="20"/>
                <w:szCs w:val="20"/>
                <w:u w:val="single" w:color="auto"/>
                <w:color w:val="0000EE"/>
              </w:rPr>
            </w:pPr>
            <w:hyperlink w:anchor="page8">
              <w:r>
                <w:rPr>
                  <w:rFonts w:ascii="Arial" w:cs="Arial" w:eastAsia="Arial" w:hAnsi="Arial"/>
                  <w:sz w:val="20"/>
                  <w:szCs w:val="20"/>
                  <w:u w:val="single" w:color="auto"/>
                  <w:color w:val="0000EE"/>
                </w:rPr>
                <w:t>Notes to Consolidated Financial Statements</w:t>
              </w:r>
            </w:hyperlink>
          </w:p>
        </w:tc>
        <w:tc>
          <w:tcPr>
            <w:tcW w:w="560" w:type="dxa"/>
            <w:vAlign w:val="bottom"/>
          </w:tcPr>
          <w:p>
            <w:pPr>
              <w:jc w:val="right"/>
              <w:spacing w:after="0"/>
              <w:rPr>
                <w:sz w:val="20"/>
                <w:szCs w:val="20"/>
                <w:color w:val="auto"/>
              </w:rPr>
            </w:pPr>
            <w:r>
              <w:rPr>
                <w:rFonts w:ascii="Arial" w:cs="Arial" w:eastAsia="Arial" w:hAnsi="Arial"/>
                <w:sz w:val="20"/>
                <w:szCs w:val="20"/>
                <w:color w:val="auto"/>
              </w:rPr>
              <w:t>8</w:t>
            </w:r>
          </w:p>
        </w:tc>
        <w:tc>
          <w:tcPr>
            <w:tcW w:w="0" w:type="dxa"/>
            <w:vAlign w:val="bottom"/>
          </w:tcPr>
          <w:p>
            <w:pPr>
              <w:spacing w:after="0"/>
              <w:rPr>
                <w:sz w:val="1"/>
                <w:szCs w:val="1"/>
                <w:color w:val="auto"/>
              </w:rPr>
            </w:pPr>
          </w:p>
        </w:tc>
      </w:tr>
      <w:tr>
        <w:trPr>
          <w:trHeight w:val="351"/>
        </w:trPr>
        <w:tc>
          <w:tcPr>
            <w:tcW w:w="10680" w:type="dxa"/>
            <w:vAlign w:val="bottom"/>
            <w:gridSpan w:val="2"/>
          </w:tcPr>
          <w:p>
            <w:pPr>
              <w:ind w:left="220"/>
              <w:spacing w:after="0"/>
              <w:rPr>
                <w:rFonts w:ascii="Arial" w:cs="Arial" w:eastAsia="Arial" w:hAnsi="Arial"/>
                <w:sz w:val="20"/>
                <w:szCs w:val="20"/>
                <w:u w:val="single" w:color="auto"/>
                <w:color w:val="0000EE"/>
              </w:rPr>
            </w:pPr>
            <w:hyperlink w:anchor="page24">
              <w:r>
                <w:rPr>
                  <w:rFonts w:ascii="Arial" w:cs="Arial" w:eastAsia="Arial" w:hAnsi="Arial"/>
                  <w:sz w:val="20"/>
                  <w:szCs w:val="20"/>
                  <w:u w:val="single" w:color="auto"/>
                  <w:color w:val="0000EE"/>
                </w:rPr>
                <w:t>Item 2. Management’s Discussion and Analysis of Financial Condition and Results of Operations</w:t>
              </w:r>
            </w:hyperlink>
          </w:p>
        </w:tc>
        <w:tc>
          <w:tcPr>
            <w:tcW w:w="560" w:type="dxa"/>
            <w:vAlign w:val="bottom"/>
          </w:tcPr>
          <w:p>
            <w:pPr>
              <w:jc w:val="right"/>
              <w:spacing w:after="0"/>
              <w:rPr>
                <w:sz w:val="20"/>
                <w:szCs w:val="20"/>
                <w:color w:val="auto"/>
              </w:rPr>
            </w:pPr>
            <w:r>
              <w:rPr>
                <w:rFonts w:ascii="Arial" w:cs="Arial" w:eastAsia="Arial" w:hAnsi="Arial"/>
                <w:sz w:val="20"/>
                <w:szCs w:val="20"/>
                <w:color w:val="auto"/>
              </w:rPr>
              <w:t>24</w:t>
            </w:r>
          </w:p>
        </w:tc>
        <w:tc>
          <w:tcPr>
            <w:tcW w:w="0" w:type="dxa"/>
            <w:vAlign w:val="bottom"/>
          </w:tcPr>
          <w:p>
            <w:pPr>
              <w:spacing w:after="0"/>
              <w:rPr>
                <w:sz w:val="1"/>
                <w:szCs w:val="1"/>
                <w:color w:val="auto"/>
              </w:rPr>
            </w:pPr>
          </w:p>
        </w:tc>
      </w:tr>
      <w:tr>
        <w:trPr>
          <w:trHeight w:val="351"/>
        </w:trPr>
        <w:tc>
          <w:tcPr>
            <w:tcW w:w="10680" w:type="dxa"/>
            <w:vAlign w:val="bottom"/>
            <w:gridSpan w:val="2"/>
          </w:tcPr>
          <w:p>
            <w:pPr>
              <w:ind w:left="220"/>
              <w:spacing w:after="0"/>
              <w:rPr>
                <w:rFonts w:ascii="Arial" w:cs="Arial" w:eastAsia="Arial" w:hAnsi="Arial"/>
                <w:sz w:val="20"/>
                <w:szCs w:val="20"/>
                <w:u w:val="single" w:color="auto"/>
                <w:color w:val="0000EE"/>
              </w:rPr>
            </w:pPr>
            <w:hyperlink w:anchor="page47">
              <w:r>
                <w:rPr>
                  <w:rFonts w:ascii="Arial" w:cs="Arial" w:eastAsia="Arial" w:hAnsi="Arial"/>
                  <w:sz w:val="20"/>
                  <w:szCs w:val="20"/>
                  <w:u w:val="single" w:color="auto"/>
                  <w:color w:val="0000EE"/>
                </w:rPr>
                <w:t>Item 3. Quantitative and Qualitative Disclosures About Market Risk</w:t>
              </w:r>
            </w:hyperlink>
          </w:p>
        </w:tc>
        <w:tc>
          <w:tcPr>
            <w:tcW w:w="560" w:type="dxa"/>
            <w:vAlign w:val="bottom"/>
          </w:tcPr>
          <w:p>
            <w:pPr>
              <w:jc w:val="right"/>
              <w:spacing w:after="0"/>
              <w:rPr>
                <w:sz w:val="20"/>
                <w:szCs w:val="20"/>
                <w:color w:val="auto"/>
              </w:rPr>
            </w:pPr>
            <w:r>
              <w:rPr>
                <w:rFonts w:ascii="Arial" w:cs="Arial" w:eastAsia="Arial" w:hAnsi="Arial"/>
                <w:sz w:val="20"/>
                <w:szCs w:val="20"/>
                <w:color w:val="auto"/>
              </w:rPr>
              <w:t>47</w:t>
            </w:r>
          </w:p>
        </w:tc>
        <w:tc>
          <w:tcPr>
            <w:tcW w:w="0" w:type="dxa"/>
            <w:vAlign w:val="bottom"/>
          </w:tcPr>
          <w:p>
            <w:pPr>
              <w:spacing w:after="0"/>
              <w:rPr>
                <w:sz w:val="1"/>
                <w:szCs w:val="1"/>
                <w:color w:val="auto"/>
              </w:rPr>
            </w:pPr>
          </w:p>
        </w:tc>
      </w:tr>
      <w:tr>
        <w:trPr>
          <w:trHeight w:val="351"/>
        </w:trPr>
        <w:tc>
          <w:tcPr>
            <w:tcW w:w="10680" w:type="dxa"/>
            <w:vAlign w:val="bottom"/>
            <w:gridSpan w:val="2"/>
          </w:tcPr>
          <w:p>
            <w:pPr>
              <w:ind w:left="220"/>
              <w:spacing w:after="0"/>
              <w:rPr>
                <w:rFonts w:ascii="Arial" w:cs="Arial" w:eastAsia="Arial" w:hAnsi="Arial"/>
                <w:sz w:val="20"/>
                <w:szCs w:val="20"/>
                <w:u w:val="single" w:color="auto"/>
                <w:color w:val="0000EE"/>
              </w:rPr>
            </w:pPr>
            <w:hyperlink w:anchor="page48">
              <w:r>
                <w:rPr>
                  <w:rFonts w:ascii="Arial" w:cs="Arial" w:eastAsia="Arial" w:hAnsi="Arial"/>
                  <w:sz w:val="20"/>
                  <w:szCs w:val="20"/>
                  <w:u w:val="single" w:color="auto"/>
                  <w:color w:val="0000EE"/>
                </w:rPr>
                <w:t>Item 4. Controls and Procedures</w:t>
              </w:r>
            </w:hyperlink>
          </w:p>
        </w:tc>
        <w:tc>
          <w:tcPr>
            <w:tcW w:w="560" w:type="dxa"/>
            <w:vAlign w:val="bottom"/>
          </w:tcPr>
          <w:p>
            <w:pPr>
              <w:jc w:val="right"/>
              <w:spacing w:after="0"/>
              <w:rPr>
                <w:sz w:val="20"/>
                <w:szCs w:val="20"/>
                <w:color w:val="auto"/>
              </w:rPr>
            </w:pPr>
            <w:r>
              <w:rPr>
                <w:rFonts w:ascii="Arial" w:cs="Arial" w:eastAsia="Arial" w:hAnsi="Arial"/>
                <w:sz w:val="20"/>
                <w:szCs w:val="20"/>
                <w:color w:val="auto"/>
              </w:rPr>
              <w:t>48</w:t>
            </w:r>
          </w:p>
        </w:tc>
        <w:tc>
          <w:tcPr>
            <w:tcW w:w="0" w:type="dxa"/>
            <w:vAlign w:val="bottom"/>
          </w:tcPr>
          <w:p>
            <w:pPr>
              <w:spacing w:after="0"/>
              <w:rPr>
                <w:sz w:val="1"/>
                <w:szCs w:val="1"/>
                <w:color w:val="auto"/>
              </w:rPr>
            </w:pPr>
          </w:p>
        </w:tc>
      </w:tr>
      <w:tr>
        <w:trPr>
          <w:trHeight w:val="351"/>
        </w:trPr>
        <w:tc>
          <w:tcPr>
            <w:tcW w:w="10680" w:type="dxa"/>
            <w:vAlign w:val="bottom"/>
            <w:gridSpan w:val="2"/>
          </w:tcPr>
          <w:p>
            <w:pPr>
              <w:spacing w:after="0"/>
              <w:rPr>
                <w:sz w:val="20"/>
                <w:szCs w:val="20"/>
                <w:color w:val="auto"/>
              </w:rPr>
            </w:pPr>
            <w:r>
              <w:rPr>
                <w:rFonts w:ascii="Arial" w:cs="Arial" w:eastAsia="Arial" w:hAnsi="Arial"/>
                <w:sz w:val="20"/>
                <w:szCs w:val="20"/>
                <w:color w:val="auto"/>
              </w:rPr>
              <w:t>Part II. Other Information:</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800" w:type="dxa"/>
            <w:vAlign w:val="bottom"/>
          </w:tcPr>
          <w:p>
            <w:pPr>
              <w:ind w:left="220"/>
              <w:spacing w:after="0"/>
              <w:rPr>
                <w:rFonts w:ascii="Arial" w:cs="Arial" w:eastAsia="Arial" w:hAnsi="Arial"/>
                <w:sz w:val="20"/>
                <w:szCs w:val="20"/>
                <w:u w:val="single" w:color="auto"/>
                <w:color w:val="0000EE"/>
                <w:w w:val="91"/>
              </w:rPr>
            </w:pPr>
            <w:hyperlink w:anchor="page49">
              <w:r>
                <w:rPr>
                  <w:rFonts w:ascii="Arial" w:cs="Arial" w:eastAsia="Arial" w:hAnsi="Arial"/>
                  <w:sz w:val="20"/>
                  <w:szCs w:val="20"/>
                  <w:u w:val="single" w:color="auto"/>
                  <w:color w:val="0000EE"/>
                  <w:w w:val="91"/>
                </w:rPr>
                <w:t>Item 1.</w:t>
              </w:r>
            </w:hyperlink>
          </w:p>
        </w:tc>
        <w:tc>
          <w:tcPr>
            <w:tcW w:w="9880" w:type="dxa"/>
            <w:vAlign w:val="bottom"/>
          </w:tcPr>
          <w:p>
            <w:pPr>
              <w:ind w:left="40"/>
              <w:spacing w:after="0"/>
              <w:rPr>
                <w:rFonts w:ascii="Arial" w:cs="Arial" w:eastAsia="Arial" w:hAnsi="Arial"/>
                <w:sz w:val="20"/>
                <w:szCs w:val="20"/>
                <w:u w:val="single" w:color="auto"/>
                <w:color w:val="0000EE"/>
              </w:rPr>
            </w:pPr>
            <w:hyperlink w:anchor="page49">
              <w:r>
                <w:rPr>
                  <w:rFonts w:ascii="Arial" w:cs="Arial" w:eastAsia="Arial" w:hAnsi="Arial"/>
                  <w:sz w:val="20"/>
                  <w:szCs w:val="20"/>
                  <w:u w:val="single" w:color="auto"/>
                  <w:color w:val="0000EE"/>
                </w:rPr>
                <w:t>Legal Proceedings</w:t>
              </w:r>
            </w:hyperlink>
          </w:p>
        </w:tc>
        <w:tc>
          <w:tcPr>
            <w:tcW w:w="560" w:type="dxa"/>
            <w:vAlign w:val="bottom"/>
          </w:tcPr>
          <w:p>
            <w:pPr>
              <w:jc w:val="right"/>
              <w:spacing w:after="0"/>
              <w:rPr>
                <w:sz w:val="20"/>
                <w:szCs w:val="20"/>
                <w:color w:val="auto"/>
              </w:rPr>
            </w:pPr>
            <w:r>
              <w:rPr>
                <w:rFonts w:ascii="Arial" w:cs="Arial" w:eastAsia="Arial" w:hAnsi="Arial"/>
                <w:sz w:val="20"/>
                <w:szCs w:val="20"/>
                <w:color w:val="auto"/>
              </w:rPr>
              <w:t>49</w:t>
            </w:r>
          </w:p>
        </w:tc>
        <w:tc>
          <w:tcPr>
            <w:tcW w:w="0" w:type="dxa"/>
            <w:vAlign w:val="bottom"/>
          </w:tcPr>
          <w:p>
            <w:pPr>
              <w:spacing w:after="0"/>
              <w:rPr>
                <w:sz w:val="1"/>
                <w:szCs w:val="1"/>
                <w:color w:val="auto"/>
              </w:rPr>
            </w:pPr>
          </w:p>
        </w:tc>
      </w:tr>
      <w:tr>
        <w:trPr>
          <w:trHeight w:val="351"/>
        </w:trPr>
        <w:tc>
          <w:tcPr>
            <w:tcW w:w="10680" w:type="dxa"/>
            <w:vAlign w:val="bottom"/>
            <w:gridSpan w:val="2"/>
          </w:tcPr>
          <w:p>
            <w:pPr>
              <w:ind w:left="220"/>
              <w:spacing w:after="0"/>
              <w:rPr>
                <w:rFonts w:ascii="Arial" w:cs="Arial" w:eastAsia="Arial" w:hAnsi="Arial"/>
                <w:sz w:val="20"/>
                <w:szCs w:val="20"/>
                <w:u w:val="single" w:color="auto"/>
                <w:color w:val="0000EE"/>
              </w:rPr>
            </w:pPr>
            <w:hyperlink w:anchor="page49">
              <w:r>
                <w:rPr>
                  <w:rFonts w:ascii="Arial" w:cs="Arial" w:eastAsia="Arial" w:hAnsi="Arial"/>
                  <w:sz w:val="20"/>
                  <w:szCs w:val="20"/>
                  <w:u w:val="single" w:color="auto"/>
                  <w:color w:val="0000EE"/>
                </w:rPr>
                <w:t>Item 1A. Risk Factors</w:t>
              </w:r>
            </w:hyperlink>
          </w:p>
        </w:tc>
        <w:tc>
          <w:tcPr>
            <w:tcW w:w="560" w:type="dxa"/>
            <w:vAlign w:val="bottom"/>
          </w:tcPr>
          <w:p>
            <w:pPr>
              <w:jc w:val="right"/>
              <w:spacing w:after="0"/>
              <w:rPr>
                <w:sz w:val="20"/>
                <w:szCs w:val="20"/>
                <w:color w:val="auto"/>
              </w:rPr>
            </w:pPr>
            <w:r>
              <w:rPr>
                <w:rFonts w:ascii="Arial" w:cs="Arial" w:eastAsia="Arial" w:hAnsi="Arial"/>
                <w:sz w:val="20"/>
                <w:szCs w:val="20"/>
                <w:color w:val="auto"/>
              </w:rPr>
              <w:t>49</w:t>
            </w:r>
          </w:p>
        </w:tc>
        <w:tc>
          <w:tcPr>
            <w:tcW w:w="0" w:type="dxa"/>
            <w:vAlign w:val="bottom"/>
          </w:tcPr>
          <w:p>
            <w:pPr>
              <w:spacing w:after="0"/>
              <w:rPr>
                <w:sz w:val="1"/>
                <w:szCs w:val="1"/>
                <w:color w:val="auto"/>
              </w:rPr>
            </w:pPr>
          </w:p>
        </w:tc>
      </w:tr>
      <w:tr>
        <w:trPr>
          <w:trHeight w:val="351"/>
        </w:trPr>
        <w:tc>
          <w:tcPr>
            <w:tcW w:w="800" w:type="dxa"/>
            <w:vAlign w:val="bottom"/>
          </w:tcPr>
          <w:p>
            <w:pPr>
              <w:ind w:left="220"/>
              <w:spacing w:after="0"/>
              <w:rPr>
                <w:rFonts w:ascii="Arial" w:cs="Arial" w:eastAsia="Arial" w:hAnsi="Arial"/>
                <w:sz w:val="20"/>
                <w:szCs w:val="20"/>
                <w:u w:val="single" w:color="auto"/>
                <w:color w:val="0000EE"/>
                <w:w w:val="91"/>
              </w:rPr>
            </w:pPr>
            <w:hyperlink w:anchor="page50">
              <w:r>
                <w:rPr>
                  <w:rFonts w:ascii="Arial" w:cs="Arial" w:eastAsia="Arial" w:hAnsi="Arial"/>
                  <w:sz w:val="20"/>
                  <w:szCs w:val="20"/>
                  <w:u w:val="single" w:color="auto"/>
                  <w:color w:val="0000EE"/>
                  <w:w w:val="91"/>
                </w:rPr>
                <w:t>Item 2.</w:t>
              </w:r>
            </w:hyperlink>
          </w:p>
        </w:tc>
        <w:tc>
          <w:tcPr>
            <w:tcW w:w="9880" w:type="dxa"/>
            <w:vAlign w:val="bottom"/>
          </w:tcPr>
          <w:p>
            <w:pPr>
              <w:ind w:left="40"/>
              <w:spacing w:after="0"/>
              <w:rPr>
                <w:rFonts w:ascii="Arial" w:cs="Arial" w:eastAsia="Arial" w:hAnsi="Arial"/>
                <w:sz w:val="20"/>
                <w:szCs w:val="20"/>
                <w:u w:val="single" w:color="auto"/>
                <w:color w:val="0000EE"/>
              </w:rPr>
            </w:pPr>
            <w:hyperlink w:anchor="page50">
              <w:r>
                <w:rPr>
                  <w:rFonts w:ascii="Arial" w:cs="Arial" w:eastAsia="Arial" w:hAnsi="Arial"/>
                  <w:sz w:val="20"/>
                  <w:szCs w:val="20"/>
                  <w:u w:val="single" w:color="auto"/>
                  <w:color w:val="0000EE"/>
                </w:rPr>
                <w:t>Unregistered Sales of Equity Securities and Use of Proceeds</w:t>
              </w:r>
            </w:hyperlink>
          </w:p>
        </w:tc>
        <w:tc>
          <w:tcPr>
            <w:tcW w:w="560" w:type="dxa"/>
            <w:vAlign w:val="bottom"/>
          </w:tcPr>
          <w:p>
            <w:pPr>
              <w:jc w:val="right"/>
              <w:spacing w:after="0"/>
              <w:rPr>
                <w:sz w:val="20"/>
                <w:szCs w:val="20"/>
                <w:color w:val="auto"/>
              </w:rPr>
            </w:pPr>
            <w:r>
              <w:rPr>
                <w:rFonts w:ascii="Arial" w:cs="Arial" w:eastAsia="Arial" w:hAnsi="Arial"/>
                <w:sz w:val="20"/>
                <w:szCs w:val="20"/>
                <w:color w:val="auto"/>
              </w:rPr>
              <w:t>50</w:t>
            </w:r>
          </w:p>
        </w:tc>
        <w:tc>
          <w:tcPr>
            <w:tcW w:w="0" w:type="dxa"/>
            <w:vAlign w:val="bottom"/>
          </w:tcPr>
          <w:p>
            <w:pPr>
              <w:spacing w:after="0"/>
              <w:rPr>
                <w:sz w:val="1"/>
                <w:szCs w:val="1"/>
                <w:color w:val="auto"/>
              </w:rPr>
            </w:pPr>
          </w:p>
        </w:tc>
      </w:tr>
      <w:tr>
        <w:trPr>
          <w:trHeight w:val="351"/>
        </w:trPr>
        <w:tc>
          <w:tcPr>
            <w:tcW w:w="800" w:type="dxa"/>
            <w:vAlign w:val="bottom"/>
          </w:tcPr>
          <w:p>
            <w:pPr>
              <w:ind w:left="220"/>
              <w:spacing w:after="0"/>
              <w:rPr>
                <w:rFonts w:ascii="Arial" w:cs="Arial" w:eastAsia="Arial" w:hAnsi="Arial"/>
                <w:sz w:val="20"/>
                <w:szCs w:val="20"/>
                <w:u w:val="single" w:color="auto"/>
                <w:color w:val="0000EE"/>
                <w:w w:val="91"/>
              </w:rPr>
            </w:pPr>
            <w:hyperlink w:anchor="page50">
              <w:r>
                <w:rPr>
                  <w:rFonts w:ascii="Arial" w:cs="Arial" w:eastAsia="Arial" w:hAnsi="Arial"/>
                  <w:sz w:val="20"/>
                  <w:szCs w:val="20"/>
                  <w:u w:val="single" w:color="auto"/>
                  <w:color w:val="0000EE"/>
                  <w:w w:val="91"/>
                </w:rPr>
                <w:t>Item 4.</w:t>
              </w:r>
            </w:hyperlink>
          </w:p>
        </w:tc>
        <w:tc>
          <w:tcPr>
            <w:tcW w:w="9880" w:type="dxa"/>
            <w:vAlign w:val="bottom"/>
          </w:tcPr>
          <w:p>
            <w:pPr>
              <w:ind w:left="40"/>
              <w:spacing w:after="0"/>
              <w:rPr>
                <w:rFonts w:ascii="Arial" w:cs="Arial" w:eastAsia="Arial" w:hAnsi="Arial"/>
                <w:sz w:val="20"/>
                <w:szCs w:val="20"/>
                <w:u w:val="single" w:color="auto"/>
                <w:color w:val="0000EE"/>
              </w:rPr>
            </w:pPr>
            <w:hyperlink w:anchor="page50">
              <w:r>
                <w:rPr>
                  <w:rFonts w:ascii="Arial" w:cs="Arial" w:eastAsia="Arial" w:hAnsi="Arial"/>
                  <w:sz w:val="20"/>
                  <w:szCs w:val="20"/>
                  <w:u w:val="single" w:color="auto"/>
                  <w:color w:val="0000EE"/>
                </w:rPr>
                <w:t>Mine Safety Disclosures</w:t>
              </w:r>
            </w:hyperlink>
          </w:p>
        </w:tc>
        <w:tc>
          <w:tcPr>
            <w:tcW w:w="560" w:type="dxa"/>
            <w:vAlign w:val="bottom"/>
          </w:tcPr>
          <w:p>
            <w:pPr>
              <w:jc w:val="right"/>
              <w:spacing w:after="0"/>
              <w:rPr>
                <w:sz w:val="20"/>
                <w:szCs w:val="20"/>
                <w:color w:val="auto"/>
              </w:rPr>
            </w:pPr>
            <w:r>
              <w:rPr>
                <w:rFonts w:ascii="Arial" w:cs="Arial" w:eastAsia="Arial" w:hAnsi="Arial"/>
                <w:sz w:val="20"/>
                <w:szCs w:val="20"/>
                <w:color w:val="auto"/>
              </w:rPr>
              <w:t>50</w:t>
            </w:r>
          </w:p>
        </w:tc>
        <w:tc>
          <w:tcPr>
            <w:tcW w:w="0" w:type="dxa"/>
            <w:vAlign w:val="bottom"/>
          </w:tcPr>
          <w:p>
            <w:pPr>
              <w:spacing w:after="0"/>
              <w:rPr>
                <w:sz w:val="1"/>
                <w:szCs w:val="1"/>
                <w:color w:val="auto"/>
              </w:rPr>
            </w:pPr>
          </w:p>
        </w:tc>
      </w:tr>
      <w:tr>
        <w:trPr>
          <w:trHeight w:val="351"/>
        </w:trPr>
        <w:tc>
          <w:tcPr>
            <w:tcW w:w="800" w:type="dxa"/>
            <w:vAlign w:val="bottom"/>
          </w:tcPr>
          <w:p>
            <w:pPr>
              <w:ind w:left="220"/>
              <w:spacing w:after="0"/>
              <w:rPr>
                <w:rFonts w:ascii="Arial" w:cs="Arial" w:eastAsia="Arial" w:hAnsi="Arial"/>
                <w:sz w:val="20"/>
                <w:szCs w:val="20"/>
                <w:u w:val="single" w:color="auto"/>
                <w:color w:val="0000EE"/>
                <w:w w:val="91"/>
              </w:rPr>
            </w:pPr>
            <w:hyperlink w:anchor="page51">
              <w:r>
                <w:rPr>
                  <w:rFonts w:ascii="Arial" w:cs="Arial" w:eastAsia="Arial" w:hAnsi="Arial"/>
                  <w:sz w:val="20"/>
                  <w:szCs w:val="20"/>
                  <w:u w:val="single" w:color="auto"/>
                  <w:color w:val="0000EE"/>
                  <w:w w:val="91"/>
                </w:rPr>
                <w:t>Item 6.</w:t>
              </w:r>
            </w:hyperlink>
          </w:p>
        </w:tc>
        <w:tc>
          <w:tcPr>
            <w:tcW w:w="9880" w:type="dxa"/>
            <w:vAlign w:val="bottom"/>
          </w:tcPr>
          <w:p>
            <w:pPr>
              <w:ind w:left="40"/>
              <w:spacing w:after="0"/>
              <w:rPr>
                <w:rFonts w:ascii="Arial" w:cs="Arial" w:eastAsia="Arial" w:hAnsi="Arial"/>
                <w:sz w:val="20"/>
                <w:szCs w:val="20"/>
                <w:u w:val="single" w:color="auto"/>
                <w:color w:val="0000EE"/>
              </w:rPr>
            </w:pPr>
            <w:hyperlink w:anchor="page51">
              <w:r>
                <w:rPr>
                  <w:rFonts w:ascii="Arial" w:cs="Arial" w:eastAsia="Arial" w:hAnsi="Arial"/>
                  <w:sz w:val="20"/>
                  <w:szCs w:val="20"/>
                  <w:u w:val="single" w:color="auto"/>
                  <w:color w:val="0000EE"/>
                </w:rPr>
                <w:t>Exhibits</w:t>
              </w:r>
            </w:hyperlink>
          </w:p>
        </w:tc>
        <w:tc>
          <w:tcPr>
            <w:tcW w:w="560" w:type="dxa"/>
            <w:vAlign w:val="bottom"/>
          </w:tcPr>
          <w:p>
            <w:pPr>
              <w:jc w:val="right"/>
              <w:spacing w:after="0"/>
              <w:rPr>
                <w:sz w:val="20"/>
                <w:szCs w:val="20"/>
                <w:color w:val="auto"/>
              </w:rPr>
            </w:pPr>
            <w:r>
              <w:rPr>
                <w:rFonts w:ascii="Arial" w:cs="Arial" w:eastAsia="Arial" w:hAnsi="Arial"/>
                <w:sz w:val="20"/>
                <w:szCs w:val="20"/>
                <w:color w:val="auto"/>
              </w:rPr>
              <w:t>51</w:t>
            </w:r>
          </w:p>
        </w:tc>
        <w:tc>
          <w:tcPr>
            <w:tcW w:w="0" w:type="dxa"/>
            <w:vAlign w:val="bottom"/>
          </w:tcPr>
          <w:p>
            <w:pPr>
              <w:spacing w:after="0"/>
              <w:rPr>
                <w:sz w:val="1"/>
                <w:szCs w:val="1"/>
                <w:color w:val="auto"/>
              </w:rPr>
            </w:pPr>
          </w:p>
        </w:tc>
      </w:tr>
      <w:tr>
        <w:trPr>
          <w:trHeight w:val="351"/>
        </w:trPr>
        <w:tc>
          <w:tcPr>
            <w:tcW w:w="10680" w:type="dxa"/>
            <w:vAlign w:val="bottom"/>
            <w:gridSpan w:val="2"/>
          </w:tcPr>
          <w:p>
            <w:pPr>
              <w:spacing w:after="0"/>
              <w:rPr>
                <w:rFonts w:ascii="Arial" w:cs="Arial" w:eastAsia="Arial" w:hAnsi="Arial"/>
                <w:sz w:val="20"/>
                <w:szCs w:val="20"/>
                <w:u w:val="single" w:color="auto"/>
                <w:color w:val="0000EE"/>
              </w:rPr>
            </w:pPr>
            <w:hyperlink w:anchor="page52">
              <w:r>
                <w:rPr>
                  <w:rFonts w:ascii="Arial" w:cs="Arial" w:eastAsia="Arial" w:hAnsi="Arial"/>
                  <w:sz w:val="20"/>
                  <w:szCs w:val="20"/>
                  <w:u w:val="single" w:color="auto"/>
                  <w:color w:val="0000EE"/>
                </w:rPr>
                <w:t>Signatures</w:t>
              </w:r>
            </w:hyperlink>
          </w:p>
        </w:tc>
        <w:tc>
          <w:tcPr>
            <w:tcW w:w="560" w:type="dxa"/>
            <w:vAlign w:val="bottom"/>
          </w:tcPr>
          <w:p>
            <w:pPr>
              <w:jc w:val="right"/>
              <w:spacing w:after="0"/>
              <w:rPr>
                <w:sz w:val="20"/>
                <w:szCs w:val="20"/>
                <w:color w:val="auto"/>
              </w:rPr>
            </w:pPr>
            <w:r>
              <w:rPr>
                <w:rFonts w:ascii="Arial" w:cs="Arial" w:eastAsia="Arial" w:hAnsi="Arial"/>
                <w:sz w:val="20"/>
                <w:szCs w:val="20"/>
                <w:color w:val="auto"/>
              </w:rPr>
              <w:t>52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PART I.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Item 1.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MARTIN MARIETTA MATERIALS, INC. AND CONSOLIDATED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CONSOLIDATED BALANCE SHEETS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500" w:type="dxa"/>
            <w:vAlign w:val="bottom"/>
          </w:tcPr>
          <w:p>
            <w:pPr>
              <w:jc w:val="right"/>
              <w:ind w:right="15"/>
              <w:spacing w:after="0"/>
              <w:rPr>
                <w:sz w:val="20"/>
                <w:szCs w:val="20"/>
                <w:color w:val="auto"/>
              </w:rPr>
            </w:pPr>
            <w:r>
              <w:rPr>
                <w:rFonts w:ascii="Arial" w:cs="Arial" w:eastAsia="Arial" w:hAnsi="Arial"/>
                <w:sz w:val="17"/>
                <w:szCs w:val="17"/>
                <w:color w:val="auto"/>
              </w:rPr>
              <w:t>June 30,</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December 31,</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8"/>
        </w:trPr>
        <w:tc>
          <w:tcPr>
            <w:tcW w:w="5080" w:type="dxa"/>
            <w:vAlign w:val="bottom"/>
          </w:tcPr>
          <w:p>
            <w:pPr>
              <w:spacing w:after="0"/>
              <w:rPr>
                <w:sz w:val="18"/>
                <w:szCs w:val="18"/>
                <w:color w:val="auto"/>
              </w:rPr>
            </w:pPr>
          </w:p>
        </w:tc>
        <w:tc>
          <w:tcPr>
            <w:tcW w:w="2700" w:type="dxa"/>
            <w:vAlign w:val="bottom"/>
            <w:gridSpan w:val="2"/>
          </w:tcPr>
          <w:p>
            <w:pPr>
              <w:jc w:val="right"/>
              <w:ind w:right="135"/>
              <w:spacing w:after="0"/>
              <w:rPr>
                <w:sz w:val="20"/>
                <w:szCs w:val="20"/>
                <w:color w:val="auto"/>
              </w:rPr>
            </w:pPr>
            <w:r>
              <w:rPr>
                <w:rFonts w:ascii="Arial" w:cs="Arial" w:eastAsia="Arial" w:hAnsi="Arial"/>
                <w:sz w:val="17"/>
                <w:szCs w:val="17"/>
                <w:color w:val="auto"/>
              </w:rPr>
              <w:t>2020</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gridSpan w:val="2"/>
          </w:tcPr>
          <w:p>
            <w:pPr>
              <w:jc w:val="right"/>
              <w:ind w:right="242"/>
              <w:spacing w:after="0"/>
              <w:rPr>
                <w:sz w:val="20"/>
                <w:szCs w:val="20"/>
                <w:color w:val="auto"/>
              </w:rPr>
            </w:pPr>
            <w:r>
              <w:rPr>
                <w:rFonts w:ascii="Arial" w:cs="Arial" w:eastAsia="Arial" w:hAnsi="Arial"/>
                <w:sz w:val="17"/>
                <w:szCs w:val="17"/>
                <w:color w:val="auto"/>
              </w:rPr>
              <w:t>2019</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2"/>
        </w:trPr>
        <w:tc>
          <w:tcPr>
            <w:tcW w:w="50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200" w:type="dxa"/>
            <w:vAlign w:val="bottom"/>
            <w:tcBorders>
              <w:top w:val="single" w:sz="8" w:color="auto"/>
            </w:tcBorders>
            <w:gridSpan w:val="5"/>
          </w:tcPr>
          <w:p>
            <w:pPr>
              <w:jc w:val="right"/>
              <w:ind w:right="162"/>
              <w:spacing w:after="0"/>
              <w:rPr>
                <w:sz w:val="20"/>
                <w:szCs w:val="20"/>
                <w:color w:val="auto"/>
              </w:rPr>
            </w:pPr>
            <w:r>
              <w:rPr>
                <w:rFonts w:ascii="Arial" w:cs="Arial" w:eastAsia="Arial" w:hAnsi="Arial"/>
                <w:sz w:val="17"/>
                <w:szCs w:val="17"/>
                <w:i w:val="1"/>
                <w:iCs w:val="1"/>
                <w:color w:val="auto"/>
              </w:rPr>
              <w:t>(Dollars in Millions, Except Par Value Data)</w:t>
            </w:r>
          </w:p>
        </w:tc>
        <w:tc>
          <w:tcPr>
            <w:tcW w:w="6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08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ASSETS</w:t>
            </w:r>
          </w:p>
        </w:tc>
        <w:tc>
          <w:tcPr>
            <w:tcW w:w="120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7"/>
                <w:szCs w:val="17"/>
                <w:color w:val="auto"/>
              </w:rPr>
              <w:t>Current Assets:</w:t>
            </w:r>
          </w:p>
        </w:tc>
        <w:tc>
          <w:tcPr>
            <w:tcW w:w="1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080" w:type="dxa"/>
            <w:vAlign w:val="bottom"/>
            <w:shd w:val="clear" w:color="auto" w:fill="CFF0FC"/>
          </w:tcPr>
          <w:p>
            <w:pPr>
              <w:spacing w:after="0"/>
              <w:rPr>
                <w:sz w:val="20"/>
                <w:szCs w:val="20"/>
                <w:color w:val="auto"/>
              </w:rPr>
            </w:pPr>
            <w:r>
              <w:rPr>
                <w:rFonts w:ascii="Arial" w:cs="Arial" w:eastAsia="Arial" w:hAnsi="Arial"/>
                <w:sz w:val="17"/>
                <w:szCs w:val="17"/>
                <w:color w:val="auto"/>
              </w:rPr>
              <w:t>Cash and cash equivalents</w:t>
            </w:r>
          </w:p>
        </w:tc>
        <w:tc>
          <w:tcPr>
            <w:tcW w:w="2700" w:type="dxa"/>
            <w:vAlign w:val="bottom"/>
            <w:gridSpan w:val="2"/>
            <w:shd w:val="clear" w:color="auto" w:fill="CFF0FC"/>
          </w:tcPr>
          <w:p>
            <w:pPr>
              <w:jc w:val="right"/>
              <w:ind w:right="1315"/>
              <w:spacing w:after="0"/>
              <w:rPr>
                <w:sz w:val="20"/>
                <w:szCs w:val="20"/>
                <w:color w:val="auto"/>
              </w:rPr>
            </w:pPr>
            <w:r>
              <w:rPr>
                <w:rFonts w:ascii="Arial" w:cs="Arial" w:eastAsia="Arial" w:hAnsi="Arial"/>
                <w:sz w:val="17"/>
                <w:szCs w:val="17"/>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70.1</w:t>
            </w:r>
          </w:p>
        </w:tc>
        <w:tc>
          <w:tcPr>
            <w:tcW w:w="20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ind w:right="1442"/>
              <w:spacing w:after="0"/>
              <w:rPr>
                <w:sz w:val="20"/>
                <w:szCs w:val="20"/>
                <w:color w:val="auto"/>
              </w:rPr>
            </w:pPr>
            <w:r>
              <w:rPr>
                <w:rFonts w:ascii="Arial" w:cs="Arial" w:eastAsia="Arial" w:hAnsi="Arial"/>
                <w:sz w:val="17"/>
                <w:szCs w:val="17"/>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21.0</w:t>
            </w:r>
          </w:p>
        </w:tc>
        <w:tc>
          <w:tcPr>
            <w:tcW w:w="120" w:type="dxa"/>
            <w:vAlign w:val="bottom"/>
            <w:shd w:val="clear" w:color="auto" w:fill="CFF0FC"/>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7"/>
                <w:szCs w:val="17"/>
                <w:color w:val="auto"/>
              </w:rPr>
              <w:t>Accounts receivable, net</w:t>
            </w:r>
          </w:p>
        </w:tc>
        <w:tc>
          <w:tcPr>
            <w:tcW w:w="1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690.4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573.7</w:t>
            </w:r>
          </w:p>
        </w:tc>
        <w:tc>
          <w:tcPr>
            <w:tcW w:w="120" w:type="dxa"/>
            <w:vAlign w:val="bottom"/>
          </w:tcPr>
          <w:p>
            <w:pPr>
              <w:spacing w:after="0"/>
              <w:rPr>
                <w:sz w:val="18"/>
                <w:szCs w:val="18"/>
                <w:color w:val="auto"/>
              </w:rPr>
            </w:pPr>
          </w:p>
        </w:tc>
      </w:tr>
      <w:tr>
        <w:trPr>
          <w:trHeight w:val="216"/>
        </w:trPr>
        <w:tc>
          <w:tcPr>
            <w:tcW w:w="5080" w:type="dxa"/>
            <w:vAlign w:val="bottom"/>
            <w:shd w:val="clear" w:color="auto" w:fill="CFF0FC"/>
          </w:tcPr>
          <w:p>
            <w:pPr>
              <w:spacing w:after="0"/>
              <w:rPr>
                <w:sz w:val="20"/>
                <w:szCs w:val="20"/>
                <w:color w:val="auto"/>
              </w:rPr>
            </w:pPr>
            <w:r>
              <w:rPr>
                <w:rFonts w:ascii="Arial" w:cs="Arial" w:eastAsia="Arial" w:hAnsi="Arial"/>
                <w:sz w:val="17"/>
                <w:szCs w:val="17"/>
                <w:color w:val="auto"/>
              </w:rPr>
              <w:t>Inventories, net</w:t>
            </w:r>
          </w:p>
        </w:tc>
        <w:tc>
          <w:tcPr>
            <w:tcW w:w="120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712.9</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690.8</w:t>
            </w:r>
          </w:p>
        </w:tc>
        <w:tc>
          <w:tcPr>
            <w:tcW w:w="120" w:type="dxa"/>
            <w:vAlign w:val="bottom"/>
            <w:shd w:val="clear" w:color="auto" w:fill="CFF0FC"/>
          </w:tcPr>
          <w:p>
            <w:pPr>
              <w:spacing w:after="0"/>
              <w:rPr>
                <w:sz w:val="18"/>
                <w:szCs w:val="18"/>
                <w:color w:val="auto"/>
              </w:rPr>
            </w:pPr>
          </w:p>
        </w:tc>
      </w:tr>
      <w:tr>
        <w:trPr>
          <w:trHeight w:val="216"/>
        </w:trPr>
        <w:tc>
          <w:tcPr>
            <w:tcW w:w="508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Other current assets</w:t>
            </w:r>
          </w:p>
        </w:tc>
        <w:tc>
          <w:tcPr>
            <w:tcW w:w="1200" w:type="dxa"/>
            <w:vAlign w:val="bottom"/>
            <w:tcBorders>
              <w:bottom w:val="single" w:sz="8" w:color="CFF0FC"/>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113.7</w:t>
            </w:r>
          </w:p>
        </w:tc>
        <w:tc>
          <w:tcPr>
            <w:tcW w:w="20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141.2</w:t>
            </w:r>
          </w:p>
        </w:tc>
        <w:tc>
          <w:tcPr>
            <w:tcW w:w="120" w:type="dxa"/>
            <w:vAlign w:val="bottom"/>
            <w:tcBorders>
              <w:bottom w:val="single" w:sz="8" w:color="CFF0FC"/>
            </w:tcBorders>
          </w:tcPr>
          <w:p>
            <w:pPr>
              <w:spacing w:after="0"/>
              <w:rPr>
                <w:sz w:val="18"/>
                <w:szCs w:val="18"/>
                <w:color w:val="auto"/>
              </w:rPr>
            </w:pPr>
          </w:p>
        </w:tc>
      </w:tr>
      <w:tr>
        <w:trPr>
          <w:trHeight w:val="209"/>
        </w:trPr>
        <w:tc>
          <w:tcPr>
            <w:tcW w:w="5080" w:type="dxa"/>
            <w:vAlign w:val="bottom"/>
            <w:shd w:val="clear" w:color="auto" w:fill="CFF0FC"/>
          </w:tcPr>
          <w:p>
            <w:pPr>
              <w:ind w:left="260"/>
              <w:spacing w:after="0"/>
              <w:rPr>
                <w:sz w:val="20"/>
                <w:szCs w:val="20"/>
                <w:color w:val="auto"/>
              </w:rPr>
            </w:pPr>
            <w:r>
              <w:rPr>
                <w:rFonts w:ascii="Arial" w:cs="Arial" w:eastAsia="Arial" w:hAnsi="Arial"/>
                <w:sz w:val="17"/>
                <w:szCs w:val="17"/>
                <w:color w:val="auto"/>
              </w:rPr>
              <w:t>Total Current Assets</w:t>
            </w:r>
          </w:p>
        </w:tc>
        <w:tc>
          <w:tcPr>
            <w:tcW w:w="1200" w:type="dxa"/>
            <w:vAlign w:val="bottom"/>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1,587.1</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1,426.7</w:t>
            </w:r>
          </w:p>
        </w:tc>
        <w:tc>
          <w:tcPr>
            <w:tcW w:w="120" w:type="dxa"/>
            <w:vAlign w:val="bottom"/>
            <w:shd w:val="clear" w:color="auto" w:fill="CFF0FC"/>
          </w:tcPr>
          <w:p>
            <w:pPr>
              <w:spacing w:after="0"/>
              <w:rPr>
                <w:sz w:val="18"/>
                <w:szCs w:val="18"/>
                <w:color w:val="auto"/>
              </w:rPr>
            </w:pPr>
          </w:p>
        </w:tc>
      </w:tr>
      <w:tr>
        <w:trPr>
          <w:trHeight w:val="209"/>
        </w:trPr>
        <w:tc>
          <w:tcPr>
            <w:tcW w:w="50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080" w:type="dxa"/>
            <w:vAlign w:val="bottom"/>
            <w:shd w:val="clear" w:color="auto" w:fill="CFF0FC"/>
          </w:tcPr>
          <w:p>
            <w:pPr>
              <w:spacing w:after="0"/>
              <w:rPr>
                <w:sz w:val="20"/>
                <w:szCs w:val="20"/>
                <w:color w:val="auto"/>
              </w:rPr>
            </w:pPr>
            <w:r>
              <w:rPr>
                <w:rFonts w:ascii="Arial" w:cs="Arial" w:eastAsia="Arial" w:hAnsi="Arial"/>
                <w:sz w:val="17"/>
                <w:szCs w:val="17"/>
                <w:color w:val="auto"/>
              </w:rPr>
              <w:t>Property, plant and equipment</w:t>
            </w:r>
          </w:p>
        </w:tc>
        <w:tc>
          <w:tcPr>
            <w:tcW w:w="120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8,737.8</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8,633.5</w:t>
            </w:r>
          </w:p>
        </w:tc>
        <w:tc>
          <w:tcPr>
            <w:tcW w:w="120" w:type="dxa"/>
            <w:vAlign w:val="bottom"/>
            <w:shd w:val="clear" w:color="auto" w:fill="CFF0FC"/>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7"/>
                <w:szCs w:val="17"/>
                <w:color w:val="auto"/>
              </w:rPr>
              <w:t>Allowances for depreciation, depletion and amortization</w:t>
            </w:r>
          </w:p>
        </w:tc>
        <w:tc>
          <w:tcPr>
            <w:tcW w:w="1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(3,577.3)</w:t>
            </w: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7"/>
                <w:szCs w:val="17"/>
                <w:color w:val="auto"/>
                <w:w w:val="99"/>
              </w:rPr>
              <w:t>(3,427.5)</w:t>
            </w:r>
          </w:p>
        </w:tc>
      </w:tr>
      <w:tr>
        <w:trPr>
          <w:trHeight w:val="209"/>
        </w:trPr>
        <w:tc>
          <w:tcPr>
            <w:tcW w:w="5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Net property, plant and equipment</w:t>
            </w:r>
          </w:p>
        </w:tc>
        <w:tc>
          <w:tcPr>
            <w:tcW w:w="1200" w:type="dxa"/>
            <w:vAlign w:val="bottom"/>
            <w:tcBorders>
              <w:top w:val="single" w:sz="8" w:color="CFF0FC"/>
            </w:tcBorders>
            <w:shd w:val="clear" w:color="auto" w:fill="CFF0FC"/>
          </w:tcPr>
          <w:p>
            <w:pPr>
              <w:spacing w:after="0"/>
              <w:rPr>
                <w:sz w:val="18"/>
                <w:szCs w:val="18"/>
                <w:color w:val="auto"/>
              </w:rPr>
            </w:pPr>
          </w:p>
        </w:tc>
        <w:tc>
          <w:tcPr>
            <w:tcW w:w="150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5,160.5</w:t>
            </w:r>
          </w:p>
        </w:tc>
        <w:tc>
          <w:tcPr>
            <w:tcW w:w="2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60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5,206.0</w:t>
            </w:r>
          </w:p>
        </w:tc>
        <w:tc>
          <w:tcPr>
            <w:tcW w:w="120" w:type="dxa"/>
            <w:vAlign w:val="bottom"/>
            <w:tcBorders>
              <w:top w:val="single" w:sz="8" w:color="CFF0FC"/>
            </w:tcBorders>
            <w:shd w:val="clear" w:color="auto" w:fill="CFF0FC"/>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7"/>
                <w:szCs w:val="17"/>
                <w:color w:val="auto"/>
              </w:rPr>
              <w:t>Goodwill</w:t>
            </w:r>
          </w:p>
        </w:tc>
        <w:tc>
          <w:tcPr>
            <w:tcW w:w="1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2,397.5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2,396.8</w:t>
            </w:r>
          </w:p>
        </w:tc>
        <w:tc>
          <w:tcPr>
            <w:tcW w:w="120" w:type="dxa"/>
            <w:vAlign w:val="bottom"/>
          </w:tcPr>
          <w:p>
            <w:pPr>
              <w:spacing w:after="0"/>
              <w:rPr>
                <w:sz w:val="18"/>
                <w:szCs w:val="18"/>
                <w:color w:val="auto"/>
              </w:rPr>
            </w:pPr>
          </w:p>
        </w:tc>
      </w:tr>
      <w:tr>
        <w:trPr>
          <w:trHeight w:val="216"/>
        </w:trPr>
        <w:tc>
          <w:tcPr>
            <w:tcW w:w="5080" w:type="dxa"/>
            <w:vAlign w:val="bottom"/>
            <w:shd w:val="clear" w:color="auto" w:fill="CFF0FC"/>
          </w:tcPr>
          <w:p>
            <w:pPr>
              <w:spacing w:after="0"/>
              <w:rPr>
                <w:sz w:val="20"/>
                <w:szCs w:val="20"/>
                <w:color w:val="auto"/>
              </w:rPr>
            </w:pPr>
            <w:r>
              <w:rPr>
                <w:rFonts w:ascii="Arial" w:cs="Arial" w:eastAsia="Arial" w:hAnsi="Arial"/>
                <w:sz w:val="17"/>
                <w:szCs w:val="17"/>
                <w:color w:val="auto"/>
              </w:rPr>
              <w:t>Other intangibles, net</w:t>
            </w:r>
          </w:p>
        </w:tc>
        <w:tc>
          <w:tcPr>
            <w:tcW w:w="120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481.0</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486.8</w:t>
            </w:r>
          </w:p>
        </w:tc>
        <w:tc>
          <w:tcPr>
            <w:tcW w:w="120" w:type="dxa"/>
            <w:vAlign w:val="bottom"/>
            <w:shd w:val="clear" w:color="auto" w:fill="CFF0FC"/>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7"/>
                <w:szCs w:val="17"/>
                <w:color w:val="auto"/>
              </w:rPr>
              <w:t>Operating lease right-of-use assets, net</w:t>
            </w:r>
          </w:p>
        </w:tc>
        <w:tc>
          <w:tcPr>
            <w:tcW w:w="1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468.0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481.9</w:t>
            </w:r>
          </w:p>
        </w:tc>
        <w:tc>
          <w:tcPr>
            <w:tcW w:w="120" w:type="dxa"/>
            <w:vAlign w:val="bottom"/>
          </w:tcPr>
          <w:p>
            <w:pPr>
              <w:spacing w:after="0"/>
              <w:rPr>
                <w:sz w:val="18"/>
                <w:szCs w:val="18"/>
                <w:color w:val="auto"/>
              </w:rPr>
            </w:pPr>
          </w:p>
        </w:tc>
      </w:tr>
      <w:tr>
        <w:trPr>
          <w:trHeight w:val="216"/>
        </w:trPr>
        <w:tc>
          <w:tcPr>
            <w:tcW w:w="5080" w:type="dxa"/>
            <w:vAlign w:val="bottom"/>
            <w:shd w:val="clear" w:color="auto" w:fill="CFF0FC"/>
          </w:tcPr>
          <w:p>
            <w:pPr>
              <w:spacing w:after="0"/>
              <w:rPr>
                <w:sz w:val="20"/>
                <w:szCs w:val="20"/>
                <w:color w:val="auto"/>
              </w:rPr>
            </w:pPr>
            <w:r>
              <w:rPr>
                <w:rFonts w:ascii="Arial" w:cs="Arial" w:eastAsia="Arial" w:hAnsi="Arial"/>
                <w:sz w:val="17"/>
                <w:szCs w:val="17"/>
                <w:color w:val="auto"/>
              </w:rPr>
              <w:t>Other noncurrent assets</w:t>
            </w:r>
          </w:p>
        </w:tc>
        <w:tc>
          <w:tcPr>
            <w:tcW w:w="1200" w:type="dxa"/>
            <w:vAlign w:val="bottom"/>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132.5</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133.4</w:t>
            </w:r>
          </w:p>
        </w:tc>
        <w:tc>
          <w:tcPr>
            <w:tcW w:w="120" w:type="dxa"/>
            <w:vAlign w:val="bottom"/>
            <w:shd w:val="clear" w:color="auto" w:fill="CFF0FC"/>
          </w:tcPr>
          <w:p>
            <w:pPr>
              <w:spacing w:after="0"/>
              <w:rPr>
                <w:sz w:val="18"/>
                <w:szCs w:val="18"/>
                <w:color w:val="auto"/>
              </w:rPr>
            </w:pPr>
          </w:p>
        </w:tc>
      </w:tr>
      <w:tr>
        <w:trPr>
          <w:trHeight w:val="249"/>
        </w:trPr>
        <w:tc>
          <w:tcPr>
            <w:tcW w:w="5080" w:type="dxa"/>
            <w:vAlign w:val="bottom"/>
            <w:tcBorders>
              <w:bottom w:val="single" w:sz="8" w:color="CFF0FC"/>
            </w:tcBorders>
          </w:tcPr>
          <w:p>
            <w:pPr>
              <w:ind w:left="260"/>
              <w:spacing w:after="0"/>
              <w:rPr>
                <w:sz w:val="20"/>
                <w:szCs w:val="20"/>
                <w:color w:val="auto"/>
              </w:rPr>
            </w:pPr>
            <w:r>
              <w:rPr>
                <w:rFonts w:ascii="Arial" w:cs="Arial" w:eastAsia="Arial" w:hAnsi="Arial"/>
                <w:sz w:val="17"/>
                <w:szCs w:val="17"/>
                <w:color w:val="auto"/>
              </w:rPr>
              <w:t>Total Assets</w:t>
            </w:r>
          </w:p>
        </w:tc>
        <w:tc>
          <w:tcPr>
            <w:tcW w:w="1200" w:type="dxa"/>
            <w:vAlign w:val="bottom"/>
            <w:tcBorders>
              <w:bottom w:val="single" w:sz="8" w:color="CFF0FC"/>
            </w:tcBorders>
          </w:tcPr>
          <w:p>
            <w:pPr>
              <w:spacing w:after="0"/>
              <w:rPr>
                <w:sz w:val="21"/>
                <w:szCs w:val="21"/>
                <w:color w:val="auto"/>
              </w:rPr>
            </w:pPr>
          </w:p>
        </w:tc>
        <w:tc>
          <w:tcPr>
            <w:tcW w:w="1500" w:type="dxa"/>
            <w:vAlign w:val="bottom"/>
            <w:tcBorders>
              <w:bottom w:val="single" w:sz="8" w:color="auto"/>
            </w:tcBorders>
          </w:tcPr>
          <w:p>
            <w:pPr>
              <w:jc w:val="right"/>
              <w:ind w:right="1315"/>
              <w:spacing w:after="0"/>
              <w:rPr>
                <w:sz w:val="20"/>
                <w:szCs w:val="20"/>
                <w:color w:val="auto"/>
              </w:rPr>
            </w:pPr>
            <w:r>
              <w:rPr>
                <w:rFonts w:ascii="Arial" w:cs="Arial" w:eastAsia="Arial" w:hAnsi="Arial"/>
                <w:sz w:val="17"/>
                <w:szCs w:val="17"/>
                <w:color w:val="auto"/>
                <w:w w:val="84"/>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10,226.6</w:t>
            </w:r>
          </w:p>
        </w:tc>
        <w:tc>
          <w:tcPr>
            <w:tcW w:w="200" w:type="dxa"/>
            <w:vAlign w:val="bottom"/>
            <w:tcBorders>
              <w:bottom w:val="single" w:sz="8" w:color="CFF0FC"/>
            </w:tcBorders>
          </w:tcPr>
          <w:p>
            <w:pPr>
              <w:spacing w:after="0"/>
              <w:rPr>
                <w:sz w:val="21"/>
                <w:szCs w:val="21"/>
                <w:color w:val="auto"/>
              </w:rPr>
            </w:pPr>
          </w:p>
        </w:tc>
        <w:tc>
          <w:tcPr>
            <w:tcW w:w="160" w:type="dxa"/>
            <w:vAlign w:val="bottom"/>
            <w:tcBorders>
              <w:bottom w:val="single" w:sz="8" w:color="CFF0FC"/>
            </w:tcBorders>
          </w:tcPr>
          <w:p>
            <w:pPr>
              <w:spacing w:after="0"/>
              <w:rPr>
                <w:sz w:val="21"/>
                <w:szCs w:val="21"/>
                <w:color w:val="auto"/>
              </w:rPr>
            </w:pPr>
          </w:p>
        </w:tc>
        <w:tc>
          <w:tcPr>
            <w:tcW w:w="1600" w:type="dxa"/>
            <w:vAlign w:val="bottom"/>
            <w:tcBorders>
              <w:bottom w:val="single" w:sz="8" w:color="auto"/>
            </w:tcBorders>
          </w:tcPr>
          <w:p>
            <w:pPr>
              <w:jc w:val="right"/>
              <w:ind w:right="1442"/>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0"/>
              </w:rPr>
              <w:t>10,131.6</w:t>
            </w:r>
          </w:p>
        </w:tc>
        <w:tc>
          <w:tcPr>
            <w:tcW w:w="120" w:type="dxa"/>
            <w:vAlign w:val="bottom"/>
            <w:tcBorders>
              <w:bottom w:val="single" w:sz="8" w:color="CFF0FC"/>
            </w:tcBorders>
          </w:tcPr>
          <w:p>
            <w:pPr>
              <w:spacing w:after="0"/>
              <w:rPr>
                <w:sz w:val="21"/>
                <w:szCs w:val="21"/>
                <w:color w:val="auto"/>
              </w:rPr>
            </w:pPr>
          </w:p>
        </w:tc>
      </w:tr>
      <w:tr>
        <w:trPr>
          <w:trHeight w:val="197"/>
        </w:trPr>
        <w:tc>
          <w:tcPr>
            <w:tcW w:w="508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7"/>
                <w:szCs w:val="17"/>
                <w:b w:val="1"/>
                <w:bCs w:val="1"/>
                <w:color w:val="auto"/>
              </w:rPr>
              <w:t>LIABILITIES AND EQUITY</w:t>
            </w:r>
          </w:p>
        </w:tc>
        <w:tc>
          <w:tcPr>
            <w:tcW w:w="1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080" w:type="dxa"/>
            <w:vAlign w:val="bottom"/>
            <w:shd w:val="clear" w:color="auto" w:fill="CFF0FC"/>
          </w:tcPr>
          <w:p>
            <w:pPr>
              <w:spacing w:after="0"/>
              <w:rPr>
                <w:sz w:val="20"/>
                <w:szCs w:val="20"/>
                <w:color w:val="auto"/>
              </w:rPr>
            </w:pPr>
            <w:r>
              <w:rPr>
                <w:rFonts w:ascii="Arial" w:cs="Arial" w:eastAsia="Arial" w:hAnsi="Arial"/>
                <w:sz w:val="17"/>
                <w:szCs w:val="17"/>
                <w:color w:val="auto"/>
              </w:rPr>
              <w:t>Current Liabilities:</w:t>
            </w:r>
          </w:p>
        </w:tc>
        <w:tc>
          <w:tcPr>
            <w:tcW w:w="120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7"/>
                <w:szCs w:val="17"/>
                <w:color w:val="auto"/>
              </w:rPr>
              <w:t>Accounts payable</w:t>
            </w:r>
          </w:p>
        </w:tc>
        <w:tc>
          <w:tcPr>
            <w:tcW w:w="2700" w:type="dxa"/>
            <w:vAlign w:val="bottom"/>
            <w:gridSpan w:val="2"/>
          </w:tcPr>
          <w:p>
            <w:pPr>
              <w:jc w:val="right"/>
              <w:ind w:right="1315"/>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197.2</w:t>
            </w:r>
          </w:p>
        </w:tc>
        <w:tc>
          <w:tcPr>
            <w:tcW w:w="200" w:type="dxa"/>
            <w:vAlign w:val="bottom"/>
          </w:tcPr>
          <w:p>
            <w:pPr>
              <w:spacing w:after="0"/>
              <w:rPr>
                <w:sz w:val="18"/>
                <w:szCs w:val="18"/>
                <w:color w:val="auto"/>
              </w:rPr>
            </w:pPr>
          </w:p>
        </w:tc>
        <w:tc>
          <w:tcPr>
            <w:tcW w:w="1760" w:type="dxa"/>
            <w:vAlign w:val="bottom"/>
            <w:gridSpan w:val="2"/>
          </w:tcPr>
          <w:p>
            <w:pPr>
              <w:jc w:val="right"/>
              <w:ind w:right="1442"/>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229.6</w:t>
            </w:r>
          </w:p>
        </w:tc>
        <w:tc>
          <w:tcPr>
            <w:tcW w:w="120" w:type="dxa"/>
            <w:vAlign w:val="bottom"/>
          </w:tcPr>
          <w:p>
            <w:pPr>
              <w:spacing w:after="0"/>
              <w:rPr>
                <w:sz w:val="18"/>
                <w:szCs w:val="18"/>
                <w:color w:val="auto"/>
              </w:rPr>
            </w:pPr>
          </w:p>
        </w:tc>
      </w:tr>
      <w:tr>
        <w:trPr>
          <w:trHeight w:val="216"/>
        </w:trPr>
        <w:tc>
          <w:tcPr>
            <w:tcW w:w="5080" w:type="dxa"/>
            <w:vAlign w:val="bottom"/>
            <w:shd w:val="clear" w:color="auto" w:fill="CFF0FC"/>
          </w:tcPr>
          <w:p>
            <w:pPr>
              <w:spacing w:after="0"/>
              <w:rPr>
                <w:sz w:val="20"/>
                <w:szCs w:val="20"/>
                <w:color w:val="auto"/>
              </w:rPr>
            </w:pPr>
            <w:r>
              <w:rPr>
                <w:rFonts w:ascii="Arial" w:cs="Arial" w:eastAsia="Arial" w:hAnsi="Arial"/>
                <w:sz w:val="17"/>
                <w:szCs w:val="17"/>
                <w:color w:val="auto"/>
              </w:rPr>
              <w:t>Accrued salaries, benefits and payroll taxes</w:t>
            </w:r>
          </w:p>
        </w:tc>
        <w:tc>
          <w:tcPr>
            <w:tcW w:w="120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43.4</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56.7</w:t>
            </w:r>
          </w:p>
        </w:tc>
        <w:tc>
          <w:tcPr>
            <w:tcW w:w="120" w:type="dxa"/>
            <w:vAlign w:val="bottom"/>
            <w:shd w:val="clear" w:color="auto" w:fill="CFF0FC"/>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7"/>
                <w:szCs w:val="17"/>
                <w:color w:val="auto"/>
              </w:rPr>
              <w:t>Accrued insurance and other taxes</w:t>
            </w:r>
          </w:p>
        </w:tc>
        <w:tc>
          <w:tcPr>
            <w:tcW w:w="1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58.2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63.1</w:t>
            </w:r>
          </w:p>
        </w:tc>
        <w:tc>
          <w:tcPr>
            <w:tcW w:w="120" w:type="dxa"/>
            <w:vAlign w:val="bottom"/>
          </w:tcPr>
          <w:p>
            <w:pPr>
              <w:spacing w:after="0"/>
              <w:rPr>
                <w:sz w:val="18"/>
                <w:szCs w:val="18"/>
                <w:color w:val="auto"/>
              </w:rPr>
            </w:pPr>
          </w:p>
        </w:tc>
      </w:tr>
      <w:tr>
        <w:trPr>
          <w:trHeight w:val="198"/>
        </w:trPr>
        <w:tc>
          <w:tcPr>
            <w:tcW w:w="5080" w:type="dxa"/>
            <w:vAlign w:val="bottom"/>
            <w:shd w:val="clear" w:color="auto" w:fill="CFF0FC"/>
          </w:tcPr>
          <w:p>
            <w:pPr>
              <w:spacing w:after="0"/>
              <w:rPr>
                <w:sz w:val="20"/>
                <w:szCs w:val="20"/>
                <w:color w:val="auto"/>
              </w:rPr>
            </w:pPr>
            <w:r>
              <w:rPr>
                <w:rFonts w:ascii="Arial" w:cs="Arial" w:eastAsia="Arial" w:hAnsi="Arial"/>
                <w:sz w:val="17"/>
                <w:szCs w:val="17"/>
                <w:color w:val="auto"/>
              </w:rPr>
              <w:t>Current maturities of long-term debt and short-term</w:t>
            </w:r>
          </w:p>
        </w:tc>
        <w:tc>
          <w:tcPr>
            <w:tcW w:w="120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20"/>
        </w:trPr>
        <w:tc>
          <w:tcPr>
            <w:tcW w:w="5080" w:type="dxa"/>
            <w:vAlign w:val="bottom"/>
            <w:shd w:val="clear" w:color="auto" w:fill="CFF0FC"/>
          </w:tcPr>
          <w:p>
            <w:pPr>
              <w:ind w:left="140"/>
              <w:spacing w:after="0"/>
              <w:rPr>
                <w:sz w:val="20"/>
                <w:szCs w:val="20"/>
                <w:color w:val="auto"/>
              </w:rPr>
            </w:pPr>
            <w:r>
              <w:rPr>
                <w:rFonts w:ascii="Arial" w:cs="Arial" w:eastAsia="Arial" w:hAnsi="Arial"/>
                <w:sz w:val="17"/>
                <w:szCs w:val="17"/>
                <w:color w:val="auto"/>
              </w:rPr>
              <w:t>facilities</w:t>
            </w:r>
          </w:p>
        </w:tc>
        <w:tc>
          <w:tcPr>
            <w:tcW w:w="120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130.0</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340.0</w:t>
            </w:r>
          </w:p>
        </w:tc>
        <w:tc>
          <w:tcPr>
            <w:tcW w:w="120" w:type="dxa"/>
            <w:vAlign w:val="bottom"/>
            <w:shd w:val="clear" w:color="auto" w:fill="CFF0FC"/>
          </w:tcPr>
          <w:p>
            <w:pPr>
              <w:spacing w:after="0"/>
              <w:rPr>
                <w:sz w:val="19"/>
                <w:szCs w:val="19"/>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7"/>
                <w:szCs w:val="17"/>
                <w:color w:val="auto"/>
              </w:rPr>
              <w:t>Operating lease liabilities</w:t>
            </w:r>
          </w:p>
        </w:tc>
        <w:tc>
          <w:tcPr>
            <w:tcW w:w="1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51.4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52.7</w:t>
            </w:r>
          </w:p>
        </w:tc>
        <w:tc>
          <w:tcPr>
            <w:tcW w:w="120" w:type="dxa"/>
            <w:vAlign w:val="bottom"/>
          </w:tcPr>
          <w:p>
            <w:pPr>
              <w:spacing w:after="0"/>
              <w:rPr>
                <w:sz w:val="18"/>
                <w:szCs w:val="18"/>
                <w:color w:val="auto"/>
              </w:rPr>
            </w:pPr>
          </w:p>
        </w:tc>
      </w:tr>
      <w:tr>
        <w:trPr>
          <w:trHeight w:val="216"/>
        </w:trPr>
        <w:tc>
          <w:tcPr>
            <w:tcW w:w="5080" w:type="dxa"/>
            <w:vAlign w:val="bottom"/>
            <w:shd w:val="clear" w:color="auto" w:fill="CFF0FC"/>
          </w:tcPr>
          <w:p>
            <w:pPr>
              <w:spacing w:after="0"/>
              <w:rPr>
                <w:sz w:val="20"/>
                <w:szCs w:val="20"/>
                <w:color w:val="auto"/>
              </w:rPr>
            </w:pPr>
            <w:r>
              <w:rPr>
                <w:rFonts w:ascii="Arial" w:cs="Arial" w:eastAsia="Arial" w:hAnsi="Arial"/>
                <w:sz w:val="17"/>
                <w:szCs w:val="17"/>
                <w:color w:val="auto"/>
              </w:rPr>
              <w:t>Other current liabilities</w:t>
            </w:r>
          </w:p>
        </w:tc>
        <w:tc>
          <w:tcPr>
            <w:tcW w:w="1200" w:type="dxa"/>
            <w:vAlign w:val="bottom"/>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115.1</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96.4</w:t>
            </w:r>
          </w:p>
        </w:tc>
        <w:tc>
          <w:tcPr>
            <w:tcW w:w="120" w:type="dxa"/>
            <w:vAlign w:val="bottom"/>
            <w:shd w:val="clear" w:color="auto" w:fill="CFF0FC"/>
          </w:tcPr>
          <w:p>
            <w:pPr>
              <w:spacing w:after="0"/>
              <w:rPr>
                <w:sz w:val="18"/>
                <w:szCs w:val="18"/>
                <w:color w:val="auto"/>
              </w:rPr>
            </w:pPr>
          </w:p>
        </w:tc>
      </w:tr>
      <w:tr>
        <w:trPr>
          <w:trHeight w:val="210"/>
        </w:trPr>
        <w:tc>
          <w:tcPr>
            <w:tcW w:w="5080" w:type="dxa"/>
            <w:vAlign w:val="bottom"/>
            <w:tcBorders>
              <w:bottom w:val="single" w:sz="8" w:color="CFF0FC"/>
            </w:tcBorders>
          </w:tcPr>
          <w:p>
            <w:pPr>
              <w:ind w:left="260"/>
              <w:spacing w:after="0"/>
              <w:rPr>
                <w:sz w:val="20"/>
                <w:szCs w:val="20"/>
                <w:color w:val="auto"/>
              </w:rPr>
            </w:pPr>
            <w:r>
              <w:rPr>
                <w:rFonts w:ascii="Arial" w:cs="Arial" w:eastAsia="Arial" w:hAnsi="Arial"/>
                <w:sz w:val="17"/>
                <w:szCs w:val="17"/>
                <w:color w:val="auto"/>
              </w:rPr>
              <w:t>Total Current Liabilities</w:t>
            </w:r>
          </w:p>
        </w:tc>
        <w:tc>
          <w:tcPr>
            <w:tcW w:w="1200" w:type="dxa"/>
            <w:vAlign w:val="bottom"/>
            <w:tcBorders>
              <w:bottom w:val="single" w:sz="8" w:color="CFF0FC"/>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595.3</w:t>
            </w:r>
          </w:p>
        </w:tc>
        <w:tc>
          <w:tcPr>
            <w:tcW w:w="20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838.5</w:t>
            </w:r>
          </w:p>
        </w:tc>
        <w:tc>
          <w:tcPr>
            <w:tcW w:w="120" w:type="dxa"/>
            <w:vAlign w:val="bottom"/>
            <w:tcBorders>
              <w:bottom w:val="single" w:sz="8" w:color="CFF0FC"/>
            </w:tcBorders>
          </w:tcPr>
          <w:p>
            <w:pPr>
              <w:spacing w:after="0"/>
              <w:rPr>
                <w:sz w:val="18"/>
                <w:szCs w:val="18"/>
                <w:color w:val="auto"/>
              </w:rPr>
            </w:pPr>
          </w:p>
        </w:tc>
      </w:tr>
      <w:tr>
        <w:trPr>
          <w:trHeight w:val="210"/>
        </w:trPr>
        <w:tc>
          <w:tcPr>
            <w:tcW w:w="50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7"/>
                <w:szCs w:val="17"/>
                <w:color w:val="auto"/>
              </w:rPr>
              <w:t>Long-term debt</w:t>
            </w:r>
          </w:p>
        </w:tc>
        <w:tc>
          <w:tcPr>
            <w:tcW w:w="1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2,624.5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2,433.6</w:t>
            </w:r>
          </w:p>
        </w:tc>
        <w:tc>
          <w:tcPr>
            <w:tcW w:w="120" w:type="dxa"/>
            <w:vAlign w:val="bottom"/>
          </w:tcPr>
          <w:p>
            <w:pPr>
              <w:spacing w:after="0"/>
              <w:rPr>
                <w:sz w:val="18"/>
                <w:szCs w:val="18"/>
                <w:color w:val="auto"/>
              </w:rPr>
            </w:pPr>
          </w:p>
        </w:tc>
      </w:tr>
      <w:tr>
        <w:trPr>
          <w:trHeight w:val="216"/>
        </w:trPr>
        <w:tc>
          <w:tcPr>
            <w:tcW w:w="5080" w:type="dxa"/>
            <w:vAlign w:val="bottom"/>
            <w:shd w:val="clear" w:color="auto" w:fill="CFF0FC"/>
          </w:tcPr>
          <w:p>
            <w:pPr>
              <w:spacing w:after="0"/>
              <w:rPr>
                <w:sz w:val="20"/>
                <w:szCs w:val="20"/>
                <w:color w:val="auto"/>
              </w:rPr>
            </w:pPr>
            <w:r>
              <w:rPr>
                <w:rFonts w:ascii="Arial" w:cs="Arial" w:eastAsia="Arial" w:hAnsi="Arial"/>
                <w:sz w:val="17"/>
                <w:szCs w:val="17"/>
                <w:color w:val="auto"/>
              </w:rPr>
              <w:t>Deferred income taxes, net</w:t>
            </w:r>
          </w:p>
        </w:tc>
        <w:tc>
          <w:tcPr>
            <w:tcW w:w="120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741.2</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733.0</w:t>
            </w:r>
          </w:p>
        </w:tc>
        <w:tc>
          <w:tcPr>
            <w:tcW w:w="120" w:type="dxa"/>
            <w:vAlign w:val="bottom"/>
            <w:shd w:val="clear" w:color="auto" w:fill="CFF0FC"/>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7"/>
                <w:szCs w:val="17"/>
                <w:color w:val="auto"/>
              </w:rPr>
              <w:t>Noncurrent operating lease liabilities</w:t>
            </w:r>
          </w:p>
        </w:tc>
        <w:tc>
          <w:tcPr>
            <w:tcW w:w="1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420.7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433.9</w:t>
            </w:r>
          </w:p>
        </w:tc>
        <w:tc>
          <w:tcPr>
            <w:tcW w:w="120" w:type="dxa"/>
            <w:vAlign w:val="bottom"/>
          </w:tcPr>
          <w:p>
            <w:pPr>
              <w:spacing w:after="0"/>
              <w:rPr>
                <w:sz w:val="18"/>
                <w:szCs w:val="18"/>
                <w:color w:val="auto"/>
              </w:rPr>
            </w:pPr>
          </w:p>
        </w:tc>
      </w:tr>
      <w:tr>
        <w:trPr>
          <w:trHeight w:val="216"/>
        </w:trPr>
        <w:tc>
          <w:tcPr>
            <w:tcW w:w="5080" w:type="dxa"/>
            <w:vAlign w:val="bottom"/>
            <w:shd w:val="clear" w:color="auto" w:fill="CFF0FC"/>
          </w:tcPr>
          <w:p>
            <w:pPr>
              <w:spacing w:after="0"/>
              <w:rPr>
                <w:sz w:val="20"/>
                <w:szCs w:val="20"/>
                <w:color w:val="auto"/>
              </w:rPr>
            </w:pPr>
            <w:r>
              <w:rPr>
                <w:rFonts w:ascii="Arial" w:cs="Arial" w:eastAsia="Arial" w:hAnsi="Arial"/>
                <w:sz w:val="17"/>
                <w:szCs w:val="17"/>
                <w:color w:val="auto"/>
              </w:rPr>
              <w:t>Other noncurrent liabilities</w:t>
            </w:r>
          </w:p>
        </w:tc>
        <w:tc>
          <w:tcPr>
            <w:tcW w:w="1200" w:type="dxa"/>
            <w:vAlign w:val="bottom"/>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351.3</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339.3</w:t>
            </w:r>
          </w:p>
        </w:tc>
        <w:tc>
          <w:tcPr>
            <w:tcW w:w="120" w:type="dxa"/>
            <w:vAlign w:val="bottom"/>
            <w:shd w:val="clear" w:color="auto" w:fill="CFF0FC"/>
          </w:tcPr>
          <w:p>
            <w:pPr>
              <w:spacing w:after="0"/>
              <w:rPr>
                <w:sz w:val="18"/>
                <w:szCs w:val="18"/>
                <w:color w:val="auto"/>
              </w:rPr>
            </w:pPr>
          </w:p>
        </w:tc>
      </w:tr>
      <w:tr>
        <w:trPr>
          <w:trHeight w:val="210"/>
        </w:trPr>
        <w:tc>
          <w:tcPr>
            <w:tcW w:w="5080" w:type="dxa"/>
            <w:vAlign w:val="bottom"/>
            <w:tcBorders>
              <w:bottom w:val="single" w:sz="8" w:color="CFF0FC"/>
            </w:tcBorders>
          </w:tcPr>
          <w:p>
            <w:pPr>
              <w:ind w:left="260"/>
              <w:spacing w:after="0"/>
              <w:rPr>
                <w:sz w:val="20"/>
                <w:szCs w:val="20"/>
                <w:color w:val="auto"/>
              </w:rPr>
            </w:pPr>
            <w:r>
              <w:rPr>
                <w:rFonts w:ascii="Arial" w:cs="Arial" w:eastAsia="Arial" w:hAnsi="Arial"/>
                <w:sz w:val="17"/>
                <w:szCs w:val="17"/>
                <w:color w:val="auto"/>
              </w:rPr>
              <w:t>Total Liabilities</w:t>
            </w:r>
          </w:p>
        </w:tc>
        <w:tc>
          <w:tcPr>
            <w:tcW w:w="1200" w:type="dxa"/>
            <w:vAlign w:val="bottom"/>
            <w:tcBorders>
              <w:bottom w:val="single" w:sz="8" w:color="CFF0FC"/>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4,733.0</w:t>
            </w:r>
          </w:p>
        </w:tc>
        <w:tc>
          <w:tcPr>
            <w:tcW w:w="20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4,778.3</w:t>
            </w:r>
          </w:p>
        </w:tc>
        <w:tc>
          <w:tcPr>
            <w:tcW w:w="120" w:type="dxa"/>
            <w:vAlign w:val="bottom"/>
            <w:tcBorders>
              <w:bottom w:val="single" w:sz="8" w:color="CFF0FC"/>
            </w:tcBorders>
          </w:tcPr>
          <w:p>
            <w:pPr>
              <w:spacing w:after="0"/>
              <w:rPr>
                <w:sz w:val="18"/>
                <w:szCs w:val="18"/>
                <w:color w:val="auto"/>
              </w:rPr>
            </w:pPr>
          </w:p>
        </w:tc>
      </w:tr>
      <w:tr>
        <w:trPr>
          <w:trHeight w:val="209"/>
        </w:trPr>
        <w:tc>
          <w:tcPr>
            <w:tcW w:w="50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7"/>
                <w:szCs w:val="17"/>
                <w:color w:val="auto"/>
              </w:rPr>
              <w:t>Equity:</w:t>
            </w:r>
          </w:p>
        </w:tc>
        <w:tc>
          <w:tcPr>
            <w:tcW w:w="1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080" w:type="dxa"/>
            <w:vAlign w:val="bottom"/>
            <w:shd w:val="clear" w:color="auto" w:fill="CFF0FC"/>
          </w:tcPr>
          <w:p>
            <w:pPr>
              <w:spacing w:after="0"/>
              <w:rPr>
                <w:sz w:val="20"/>
                <w:szCs w:val="20"/>
                <w:color w:val="auto"/>
              </w:rPr>
            </w:pPr>
            <w:r>
              <w:rPr>
                <w:rFonts w:ascii="Arial" w:cs="Arial" w:eastAsia="Arial" w:hAnsi="Arial"/>
                <w:sz w:val="17"/>
                <w:szCs w:val="17"/>
                <w:color w:val="auto"/>
              </w:rPr>
              <w:t>Common stock, par value $0.01 per share</w:t>
            </w:r>
          </w:p>
        </w:tc>
        <w:tc>
          <w:tcPr>
            <w:tcW w:w="120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0.6</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0.6</w:t>
            </w:r>
          </w:p>
        </w:tc>
        <w:tc>
          <w:tcPr>
            <w:tcW w:w="120" w:type="dxa"/>
            <w:vAlign w:val="bottom"/>
            <w:shd w:val="clear" w:color="auto" w:fill="CFF0FC"/>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7"/>
                <w:szCs w:val="17"/>
                <w:color w:val="auto"/>
              </w:rPr>
              <w:t>Preferred stock, par value $0.01 per share</w:t>
            </w:r>
          </w:p>
        </w:tc>
        <w:tc>
          <w:tcPr>
            <w:tcW w:w="1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216"/>
        </w:trPr>
        <w:tc>
          <w:tcPr>
            <w:tcW w:w="5080" w:type="dxa"/>
            <w:vAlign w:val="bottom"/>
            <w:shd w:val="clear" w:color="auto" w:fill="CFF0FC"/>
          </w:tcPr>
          <w:p>
            <w:pPr>
              <w:spacing w:after="0"/>
              <w:rPr>
                <w:sz w:val="20"/>
                <w:szCs w:val="20"/>
                <w:color w:val="auto"/>
              </w:rPr>
            </w:pPr>
            <w:r>
              <w:rPr>
                <w:rFonts w:ascii="Arial" w:cs="Arial" w:eastAsia="Arial" w:hAnsi="Arial"/>
                <w:sz w:val="17"/>
                <w:szCs w:val="17"/>
                <w:color w:val="auto"/>
              </w:rPr>
              <w:t>Additional paid-in capital</w:t>
            </w:r>
          </w:p>
        </w:tc>
        <w:tc>
          <w:tcPr>
            <w:tcW w:w="120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3,431.0</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3,418.8</w:t>
            </w:r>
          </w:p>
        </w:tc>
        <w:tc>
          <w:tcPr>
            <w:tcW w:w="120" w:type="dxa"/>
            <w:vAlign w:val="bottom"/>
            <w:shd w:val="clear" w:color="auto" w:fill="CFF0FC"/>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7"/>
                <w:szCs w:val="17"/>
                <w:color w:val="auto"/>
              </w:rPr>
              <w:t>Accumulated other comprehensive loss</w:t>
            </w:r>
          </w:p>
        </w:tc>
        <w:tc>
          <w:tcPr>
            <w:tcW w:w="1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(142.2)</w:t>
            </w: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7"/>
                <w:szCs w:val="17"/>
                <w:color w:val="auto"/>
              </w:rPr>
              <w:t>(145.8)</w:t>
            </w:r>
          </w:p>
        </w:tc>
      </w:tr>
      <w:tr>
        <w:trPr>
          <w:trHeight w:val="216"/>
        </w:trPr>
        <w:tc>
          <w:tcPr>
            <w:tcW w:w="5080" w:type="dxa"/>
            <w:vAlign w:val="bottom"/>
            <w:shd w:val="clear" w:color="auto" w:fill="CFF0FC"/>
          </w:tcPr>
          <w:p>
            <w:pPr>
              <w:spacing w:after="0"/>
              <w:rPr>
                <w:sz w:val="20"/>
                <w:szCs w:val="20"/>
                <w:color w:val="auto"/>
              </w:rPr>
            </w:pPr>
            <w:r>
              <w:rPr>
                <w:rFonts w:ascii="Arial" w:cs="Arial" w:eastAsia="Arial" w:hAnsi="Arial"/>
                <w:sz w:val="17"/>
                <w:szCs w:val="17"/>
                <w:color w:val="auto"/>
              </w:rPr>
              <w:t>Retained earnings</w:t>
            </w:r>
          </w:p>
        </w:tc>
        <w:tc>
          <w:tcPr>
            <w:tcW w:w="1200" w:type="dxa"/>
            <w:vAlign w:val="bottom"/>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2,201.7</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2,077.2</w:t>
            </w:r>
          </w:p>
        </w:tc>
        <w:tc>
          <w:tcPr>
            <w:tcW w:w="120" w:type="dxa"/>
            <w:vAlign w:val="bottom"/>
            <w:shd w:val="clear" w:color="auto" w:fill="CFF0FC"/>
          </w:tcPr>
          <w:p>
            <w:pPr>
              <w:spacing w:after="0"/>
              <w:rPr>
                <w:sz w:val="18"/>
                <w:szCs w:val="18"/>
                <w:color w:val="auto"/>
              </w:rPr>
            </w:pPr>
          </w:p>
        </w:tc>
      </w:tr>
      <w:tr>
        <w:trPr>
          <w:trHeight w:val="209"/>
        </w:trPr>
        <w:tc>
          <w:tcPr>
            <w:tcW w:w="5080" w:type="dxa"/>
            <w:vAlign w:val="bottom"/>
          </w:tcPr>
          <w:p>
            <w:pPr>
              <w:ind w:left="260"/>
              <w:spacing w:after="0"/>
              <w:rPr>
                <w:sz w:val="20"/>
                <w:szCs w:val="20"/>
                <w:color w:val="auto"/>
              </w:rPr>
            </w:pPr>
            <w:r>
              <w:rPr>
                <w:rFonts w:ascii="Arial" w:cs="Arial" w:eastAsia="Arial" w:hAnsi="Arial"/>
                <w:sz w:val="17"/>
                <w:szCs w:val="17"/>
                <w:color w:val="auto"/>
              </w:rPr>
              <w:t>Total Shareholders' Equity</w:t>
            </w:r>
          </w:p>
        </w:tc>
        <w:tc>
          <w:tcPr>
            <w:tcW w:w="1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5,491.1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5,350.8</w:t>
            </w:r>
          </w:p>
        </w:tc>
        <w:tc>
          <w:tcPr>
            <w:tcW w:w="120" w:type="dxa"/>
            <w:vAlign w:val="bottom"/>
          </w:tcPr>
          <w:p>
            <w:pPr>
              <w:spacing w:after="0"/>
              <w:rPr>
                <w:sz w:val="18"/>
                <w:szCs w:val="18"/>
                <w:color w:val="auto"/>
              </w:rPr>
            </w:pPr>
          </w:p>
        </w:tc>
      </w:tr>
      <w:tr>
        <w:trPr>
          <w:trHeight w:val="216"/>
        </w:trPr>
        <w:tc>
          <w:tcPr>
            <w:tcW w:w="5080" w:type="dxa"/>
            <w:vAlign w:val="bottom"/>
            <w:shd w:val="clear" w:color="auto" w:fill="CFF0FC"/>
          </w:tcPr>
          <w:p>
            <w:pPr>
              <w:spacing w:after="0"/>
              <w:rPr>
                <w:sz w:val="20"/>
                <w:szCs w:val="20"/>
                <w:color w:val="auto"/>
              </w:rPr>
            </w:pPr>
            <w:r>
              <w:rPr>
                <w:rFonts w:ascii="Arial" w:cs="Arial" w:eastAsia="Arial" w:hAnsi="Arial"/>
                <w:sz w:val="17"/>
                <w:szCs w:val="17"/>
                <w:color w:val="auto"/>
              </w:rPr>
              <w:t>Noncontrolling interests</w:t>
            </w:r>
          </w:p>
        </w:tc>
        <w:tc>
          <w:tcPr>
            <w:tcW w:w="1200" w:type="dxa"/>
            <w:vAlign w:val="bottom"/>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2.5</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2.5</w:t>
            </w:r>
          </w:p>
        </w:tc>
        <w:tc>
          <w:tcPr>
            <w:tcW w:w="120" w:type="dxa"/>
            <w:vAlign w:val="bottom"/>
            <w:shd w:val="clear" w:color="auto" w:fill="CFF0FC"/>
          </w:tcPr>
          <w:p>
            <w:pPr>
              <w:spacing w:after="0"/>
              <w:rPr>
                <w:sz w:val="18"/>
                <w:szCs w:val="18"/>
                <w:color w:val="auto"/>
              </w:rPr>
            </w:pPr>
          </w:p>
        </w:tc>
      </w:tr>
      <w:tr>
        <w:trPr>
          <w:trHeight w:val="209"/>
        </w:trPr>
        <w:tc>
          <w:tcPr>
            <w:tcW w:w="5080" w:type="dxa"/>
            <w:vAlign w:val="bottom"/>
            <w:tcBorders>
              <w:bottom w:val="single" w:sz="8" w:color="CFF0FC"/>
            </w:tcBorders>
          </w:tcPr>
          <w:p>
            <w:pPr>
              <w:ind w:left="260"/>
              <w:spacing w:after="0"/>
              <w:rPr>
                <w:sz w:val="20"/>
                <w:szCs w:val="20"/>
                <w:color w:val="auto"/>
              </w:rPr>
            </w:pPr>
            <w:r>
              <w:rPr>
                <w:rFonts w:ascii="Arial" w:cs="Arial" w:eastAsia="Arial" w:hAnsi="Arial"/>
                <w:sz w:val="17"/>
                <w:szCs w:val="17"/>
                <w:color w:val="auto"/>
              </w:rPr>
              <w:t>Total Equity</w:t>
            </w:r>
          </w:p>
        </w:tc>
        <w:tc>
          <w:tcPr>
            <w:tcW w:w="1200" w:type="dxa"/>
            <w:vAlign w:val="bottom"/>
            <w:tcBorders>
              <w:bottom w:val="single" w:sz="8" w:color="CFF0FC"/>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5,493.6</w:t>
            </w:r>
          </w:p>
        </w:tc>
        <w:tc>
          <w:tcPr>
            <w:tcW w:w="20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5,353.3</w:t>
            </w:r>
          </w:p>
        </w:tc>
        <w:tc>
          <w:tcPr>
            <w:tcW w:w="120" w:type="dxa"/>
            <w:vAlign w:val="bottom"/>
            <w:tcBorders>
              <w:bottom w:val="single" w:sz="8" w:color="CFF0FC"/>
            </w:tcBorders>
          </w:tcPr>
          <w:p>
            <w:pPr>
              <w:spacing w:after="0"/>
              <w:rPr>
                <w:sz w:val="18"/>
                <w:szCs w:val="18"/>
                <w:color w:val="auto"/>
              </w:rPr>
            </w:pPr>
          </w:p>
        </w:tc>
      </w:tr>
      <w:tr>
        <w:trPr>
          <w:trHeight w:val="210"/>
        </w:trPr>
        <w:tc>
          <w:tcPr>
            <w:tcW w:w="50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7"/>
                <w:szCs w:val="17"/>
                <w:color w:val="auto"/>
              </w:rPr>
              <w:t>Total Liabilities and Equity</w:t>
            </w:r>
          </w:p>
        </w:tc>
        <w:tc>
          <w:tcPr>
            <w:tcW w:w="1200" w:type="dxa"/>
            <w:vAlign w:val="bottom"/>
            <w:tcBorders>
              <w:bottom w:val="single" w:sz="8" w:color="CFF0FC"/>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ind w:right="1315"/>
              <w:spacing w:after="0"/>
              <w:rPr>
                <w:sz w:val="20"/>
                <w:szCs w:val="20"/>
                <w:color w:val="auto"/>
              </w:rPr>
            </w:pPr>
            <w:r>
              <w:rPr>
                <w:rFonts w:ascii="Arial" w:cs="Arial" w:eastAsia="Arial" w:hAnsi="Arial"/>
                <w:sz w:val="17"/>
                <w:szCs w:val="17"/>
                <w:color w:val="auto"/>
                <w:w w:val="84"/>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10,226.6</w:t>
            </w:r>
          </w:p>
        </w:tc>
        <w:tc>
          <w:tcPr>
            <w:tcW w:w="2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ind w:right="1442"/>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90"/>
              </w:rPr>
              <w:t>10,131.6</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
        </w:trPr>
        <w:tc>
          <w:tcPr>
            <w:tcW w:w="50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4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See accompanying notes to the consolidated financial statements.</w:t>
      </w:r>
    </w:p>
    <w:p>
      <w:pPr>
        <w:spacing w:after="0" w:line="94" w:lineRule="exact"/>
        <w:rPr>
          <w:sz w:val="20"/>
          <w:szCs w:val="20"/>
          <w:color w:val="auto"/>
        </w:rPr>
      </w:pPr>
    </w:p>
    <w:p>
      <w:pPr>
        <w:ind w:left="5120"/>
        <w:spacing w:after="0"/>
        <w:rPr>
          <w:sz w:val="20"/>
          <w:szCs w:val="20"/>
          <w:color w:val="auto"/>
        </w:rPr>
      </w:pPr>
      <w:r>
        <w:rPr>
          <w:rFonts w:ascii="Arial" w:cs="Arial" w:eastAsia="Arial" w:hAnsi="Arial"/>
          <w:sz w:val="20"/>
          <w:szCs w:val="20"/>
          <w:color w:val="auto"/>
        </w:rPr>
        <w:t>Page 3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color w:val="auto"/>
        </w:rPr>
        <w:t>MARTIN MARIETTA MATERIALS, INC. AND CONSOLIDATED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CONSOLIDATED STATEMENTS OF EARNINGS AND COMPREHENSIVE EARNINGS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0" w:type="dxa"/>
            <w:vAlign w:val="bottom"/>
            <w:gridSpan w:val="6"/>
          </w:tcPr>
          <w:p>
            <w:pPr>
              <w:jc w:val="right"/>
              <w:ind w:right="760"/>
              <w:spacing w:after="0"/>
              <w:rPr>
                <w:sz w:val="20"/>
                <w:szCs w:val="20"/>
                <w:color w:val="auto"/>
              </w:rPr>
            </w:pPr>
            <w:r>
              <w:rPr>
                <w:rFonts w:ascii="Arial" w:cs="Arial" w:eastAsia="Arial" w:hAnsi="Arial"/>
                <w:sz w:val="18"/>
                <w:szCs w:val="18"/>
                <w:color w:val="auto"/>
              </w:rPr>
              <w:t>Three Months Ended</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580" w:type="dxa"/>
            <w:vAlign w:val="bottom"/>
            <w:gridSpan w:val="6"/>
          </w:tcPr>
          <w:p>
            <w:pPr>
              <w:jc w:val="right"/>
              <w:ind w:right="82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30"/>
        </w:trPr>
        <w:tc>
          <w:tcPr>
            <w:tcW w:w="54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8"/>
                <w:szCs w:val="18"/>
                <w:color w:val="auto"/>
              </w:rPr>
              <w:t>June 30,</w:t>
            </w:r>
          </w:p>
        </w:tc>
        <w:tc>
          <w:tcPr>
            <w:tcW w:w="9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right"/>
              <w:ind w:right="47"/>
              <w:spacing w:after="0"/>
              <w:rPr>
                <w:sz w:val="20"/>
                <w:szCs w:val="20"/>
                <w:color w:val="auto"/>
              </w:rPr>
            </w:pPr>
            <w:r>
              <w:rPr>
                <w:rFonts w:ascii="Arial" w:cs="Arial" w:eastAsia="Arial" w:hAnsi="Arial"/>
                <w:sz w:val="18"/>
                <w:szCs w:val="18"/>
                <w:color w:val="auto"/>
              </w:rPr>
              <w:t>June 30,</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4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2020</w:t>
            </w:r>
          </w:p>
        </w:tc>
        <w:tc>
          <w:tcPr>
            <w:tcW w:w="1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2019</w:t>
            </w: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2020</w:t>
            </w: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80" w:type="dxa"/>
            <w:vAlign w:val="bottom"/>
            <w:gridSpan w:val="7"/>
          </w:tcPr>
          <w:p>
            <w:pPr>
              <w:jc w:val="right"/>
              <w:ind w:right="180"/>
              <w:spacing w:after="0"/>
              <w:rPr>
                <w:sz w:val="20"/>
                <w:szCs w:val="20"/>
                <w:color w:val="auto"/>
              </w:rPr>
            </w:pPr>
            <w:r>
              <w:rPr>
                <w:rFonts w:ascii="Arial" w:cs="Arial" w:eastAsia="Arial" w:hAnsi="Arial"/>
                <w:sz w:val="18"/>
                <w:szCs w:val="18"/>
                <w:i w:val="1"/>
                <w:iCs w:val="1"/>
                <w:color w:val="auto"/>
                <w:w w:val="93"/>
              </w:rPr>
              <w:t>(In Millions, Except Per Share Data)</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Products and services revenues</w:t>
            </w: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1,189.5</w:t>
            </w:r>
          </w:p>
        </w:tc>
        <w:tc>
          <w:tcPr>
            <w:tcW w:w="16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1,196.1</w:t>
            </w:r>
          </w:p>
        </w:tc>
        <w:tc>
          <w:tcPr>
            <w:tcW w:w="16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107"/>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2,080.5</w:t>
            </w:r>
          </w:p>
        </w:tc>
        <w:tc>
          <w:tcPr>
            <w:tcW w:w="14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147"/>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2,074.4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Freight revenues</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81.1</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83.4</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148.4</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Revenues</w:t>
            </w:r>
          </w:p>
        </w:tc>
        <w:tc>
          <w:tcPr>
            <w:tcW w:w="2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1,270.6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1,279.5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2,228.9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2,218.4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revenues - products and services</w:t>
            </w: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807.4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838.3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1,554.8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1,572.5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revenues - freight</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82.7</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84.3</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151.2</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Cost of Revenues</w:t>
            </w:r>
          </w:p>
        </w:tc>
        <w:tc>
          <w:tcPr>
            <w:tcW w:w="2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890.1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922.6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1,706.0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1,718.6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356.9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522.9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499.8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Selling, general &amp; administrative expenses</w:t>
            </w: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Acquisition-related expenses</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Other operating expenses and (income), net</w:t>
            </w: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23"/>
        </w:trPr>
        <w:tc>
          <w:tcPr>
            <w:tcW w:w="5440" w:type="dxa"/>
            <w:vAlign w:val="bottom"/>
          </w:tcPr>
          <w:p>
            <w:pPr>
              <w:ind w:left="260"/>
              <w:spacing w:after="0"/>
              <w:rPr>
                <w:sz w:val="20"/>
                <w:szCs w:val="20"/>
                <w:color w:val="auto"/>
              </w:rPr>
            </w:pPr>
            <w:r>
              <w:rPr>
                <w:rFonts w:ascii="Arial" w:cs="Arial" w:eastAsia="Arial" w:hAnsi="Arial"/>
                <w:sz w:val="18"/>
                <w:szCs w:val="18"/>
                <w:color w:val="auto"/>
              </w:rPr>
              <w:t>Earnings from Operations</w:t>
            </w:r>
          </w:p>
        </w:tc>
        <w:tc>
          <w:tcPr>
            <w:tcW w:w="2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306.4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285.9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364.2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40" w:type="dxa"/>
            <w:vAlign w:val="bottom"/>
          </w:tcPr>
          <w:p>
            <w:pPr>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61.0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Other nonoperating (income) and expenses, net</w:t>
            </w: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(3.8)</w:t>
            </w: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tcPr>
          <w:p>
            <w:pPr>
              <w:ind w:left="260"/>
              <w:spacing w:after="0"/>
              <w:rPr>
                <w:sz w:val="20"/>
                <w:szCs w:val="20"/>
                <w:color w:val="auto"/>
              </w:rPr>
            </w:pPr>
            <w:r>
              <w:rPr>
                <w:rFonts w:ascii="Arial" w:cs="Arial" w:eastAsia="Arial" w:hAnsi="Arial"/>
                <w:sz w:val="18"/>
                <w:szCs w:val="18"/>
                <w:color w:val="auto"/>
              </w:rPr>
              <w:t>Earnings before income tax expense</w:t>
            </w:r>
          </w:p>
        </w:tc>
        <w:tc>
          <w:tcPr>
            <w:tcW w:w="2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279.0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239.4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305.1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w:t>
            </w:r>
          </w:p>
        </w:tc>
        <w:tc>
          <w:tcPr>
            <w:tcW w:w="2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tcPr>
          <w:p>
            <w:pPr>
              <w:spacing w:after="0"/>
              <w:rPr>
                <w:sz w:val="20"/>
                <w:szCs w:val="20"/>
                <w:color w:val="auto"/>
              </w:rPr>
            </w:pPr>
            <w:r>
              <w:rPr>
                <w:rFonts w:ascii="Arial" w:cs="Arial" w:eastAsia="Arial" w:hAnsi="Arial"/>
                <w:sz w:val="18"/>
                <w:szCs w:val="18"/>
                <w:color w:val="auto"/>
              </w:rPr>
              <w:t>Consolidated net earnings</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217.6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189.5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243.5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Less: Net earnings attributable to noncontrolling</w:t>
            </w: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interests</w:t>
            </w:r>
          </w:p>
        </w:tc>
        <w:tc>
          <w:tcPr>
            <w:tcW w:w="26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5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Earnings Attributable to Martin Marietta Materials, Inc.</w:t>
            </w: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217.6</w:t>
            </w:r>
          </w:p>
        </w:tc>
        <w:tc>
          <w:tcPr>
            <w:tcW w:w="16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189.5</w:t>
            </w:r>
          </w:p>
        </w:tc>
        <w:tc>
          <w:tcPr>
            <w:tcW w:w="16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243.5</w:t>
            </w:r>
          </w:p>
        </w:tc>
        <w:tc>
          <w:tcPr>
            <w:tcW w:w="14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232.3</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4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Consolidated Comprehensive Earnings:</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Earnings attributable to Martin Marietta Materials, Inc.</w:t>
            </w: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220.8</w:t>
            </w:r>
          </w:p>
        </w:tc>
        <w:tc>
          <w:tcPr>
            <w:tcW w:w="16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192.5</w:t>
            </w:r>
          </w:p>
        </w:tc>
        <w:tc>
          <w:tcPr>
            <w:tcW w:w="16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107"/>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247.1</w:t>
            </w:r>
          </w:p>
        </w:tc>
        <w:tc>
          <w:tcPr>
            <w:tcW w:w="14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147"/>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40" w:type="dxa"/>
            <w:vAlign w:val="bottom"/>
          </w:tcPr>
          <w:p>
            <w:pPr>
              <w:ind w:left="260"/>
              <w:spacing w:after="0"/>
              <w:rPr>
                <w:sz w:val="20"/>
                <w:szCs w:val="20"/>
                <w:color w:val="auto"/>
              </w:rPr>
            </w:pPr>
            <w:r>
              <w:rPr>
                <w:rFonts w:ascii="Arial" w:cs="Arial" w:eastAsia="Arial" w:hAnsi="Arial"/>
                <w:sz w:val="18"/>
                <w:szCs w:val="18"/>
                <w:color w:val="auto"/>
              </w:rPr>
              <w:t>Earnings attributable to noncontrolling interests</w:t>
            </w:r>
          </w:p>
        </w:tc>
        <w:tc>
          <w:tcPr>
            <w:tcW w:w="26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4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220.8</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192.5</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247.1</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40" w:type="dxa"/>
            <w:vAlign w:val="bottom"/>
            <w:vMerge w:val="restart"/>
          </w:tcPr>
          <w:p>
            <w:pPr>
              <w:spacing w:after="0"/>
              <w:rPr>
                <w:sz w:val="20"/>
                <w:szCs w:val="20"/>
                <w:color w:val="auto"/>
              </w:rPr>
            </w:pPr>
            <w:r>
              <w:rPr>
                <w:rFonts w:ascii="Arial" w:cs="Arial" w:eastAsia="Arial" w:hAnsi="Arial"/>
                <w:sz w:val="18"/>
                <w:szCs w:val="18"/>
                <w:color w:val="auto"/>
              </w:rPr>
              <w:t>Net Earnings Attributable to Martin Marietta Materials, Inc.</w:t>
            </w: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4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Per Common Share:</w:t>
            </w: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440" w:type="dxa"/>
            <w:vAlign w:val="bottom"/>
          </w:tcPr>
          <w:p>
            <w:pPr>
              <w:ind w:left="500"/>
              <w:spacing w:after="0"/>
              <w:rPr>
                <w:sz w:val="20"/>
                <w:szCs w:val="20"/>
                <w:color w:val="auto"/>
              </w:rPr>
            </w:pPr>
            <w:r>
              <w:rPr>
                <w:rFonts w:ascii="Arial" w:cs="Arial" w:eastAsia="Arial" w:hAnsi="Arial"/>
                <w:sz w:val="18"/>
                <w:szCs w:val="18"/>
                <w:color w:val="auto"/>
              </w:rPr>
              <w:t>Basic attributable to common shareholders</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3.49</w:t>
            </w: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3.02</w:t>
            </w:r>
          </w:p>
        </w:tc>
        <w:tc>
          <w:tcPr>
            <w:tcW w:w="160" w:type="dxa"/>
            <w:vAlign w:val="bottom"/>
          </w:tcPr>
          <w:p>
            <w:pPr>
              <w:spacing w:after="0"/>
              <w:rPr>
                <w:sz w:val="23"/>
                <w:szCs w:val="23"/>
                <w:color w:val="auto"/>
              </w:rPr>
            </w:pPr>
          </w:p>
        </w:tc>
        <w:tc>
          <w:tcPr>
            <w:tcW w:w="36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3.91</w:t>
            </w:r>
          </w:p>
        </w:tc>
        <w:tc>
          <w:tcPr>
            <w:tcW w:w="140" w:type="dxa"/>
            <w:vAlign w:val="bottom"/>
          </w:tcPr>
          <w:p>
            <w:pPr>
              <w:spacing w:after="0"/>
              <w:rPr>
                <w:sz w:val="23"/>
                <w:szCs w:val="23"/>
                <w:color w:val="auto"/>
              </w:rPr>
            </w:pPr>
          </w:p>
        </w:tc>
        <w:tc>
          <w:tcPr>
            <w:tcW w:w="40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3.71</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5440" w:type="dxa"/>
            <w:vAlign w:val="bottom"/>
            <w:tcBorders>
              <w:top w:val="single" w:sz="8" w:color="CFF0FC"/>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Diluted attributable to common shareholders</w:t>
            </w: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3.49</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3.01</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3.90</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3.69</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Common Shares Outstanding:</w:t>
            </w: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54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62.3</w:t>
            </w:r>
          </w:p>
        </w:tc>
        <w:tc>
          <w:tcPr>
            <w:tcW w:w="160" w:type="dxa"/>
            <w:vAlign w:val="bottom"/>
            <w:tcBorders>
              <w:bottom w:val="single" w:sz="8" w:color="CFF0FC"/>
            </w:tcBorders>
          </w:tcPr>
          <w:p>
            <w:pPr>
              <w:spacing w:after="0"/>
              <w:rPr>
                <w:sz w:val="23"/>
                <w:szCs w:val="23"/>
                <w:color w:val="auto"/>
              </w:rPr>
            </w:pPr>
          </w:p>
        </w:tc>
        <w:tc>
          <w:tcPr>
            <w:tcW w:w="80" w:type="dxa"/>
            <w:vAlign w:val="bottom"/>
            <w:tcBorders>
              <w:bottom w:val="single" w:sz="8" w:color="CFF0FC"/>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w:t>
            </w:r>
          </w:p>
        </w:tc>
        <w:tc>
          <w:tcPr>
            <w:tcW w:w="160" w:type="dxa"/>
            <w:vAlign w:val="bottom"/>
            <w:tcBorders>
              <w:bottom w:val="single" w:sz="8" w:color="CFF0FC"/>
            </w:tcBorders>
          </w:tcPr>
          <w:p>
            <w:pPr>
              <w:spacing w:after="0"/>
              <w:rPr>
                <w:sz w:val="23"/>
                <w:szCs w:val="23"/>
                <w:color w:val="auto"/>
              </w:rPr>
            </w:pPr>
          </w:p>
        </w:tc>
        <w:tc>
          <w:tcPr>
            <w:tcW w:w="100" w:type="dxa"/>
            <w:vAlign w:val="bottom"/>
            <w:tcBorders>
              <w:bottom w:val="single" w:sz="8" w:color="CFF0FC"/>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62.3</w:t>
            </w:r>
          </w:p>
        </w:tc>
        <w:tc>
          <w:tcPr>
            <w:tcW w:w="140" w:type="dxa"/>
            <w:vAlign w:val="bottom"/>
            <w:tcBorders>
              <w:bottom w:val="single" w:sz="8" w:color="CFF0FC"/>
            </w:tcBorders>
          </w:tcPr>
          <w:p>
            <w:pPr>
              <w:spacing w:after="0"/>
              <w:rPr>
                <w:sz w:val="23"/>
                <w:szCs w:val="23"/>
                <w:color w:val="auto"/>
              </w:rPr>
            </w:pPr>
          </w:p>
        </w:tc>
        <w:tc>
          <w:tcPr>
            <w:tcW w:w="100" w:type="dxa"/>
            <w:vAlign w:val="bottom"/>
            <w:tcBorders>
              <w:bottom w:val="single" w:sz="8" w:color="CFF0FC"/>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w:t>
            </w:r>
          </w:p>
        </w:tc>
        <w:tc>
          <w:tcPr>
            <w:tcW w:w="10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54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62.3</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62.7</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62.4</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See accompanying notes to the consolidated financial statements.</w:t>
      </w:r>
    </w:p>
    <w:p>
      <w:pPr>
        <w:spacing w:after="0" w:line="94" w:lineRule="exact"/>
        <w:rPr>
          <w:sz w:val="20"/>
          <w:szCs w:val="20"/>
          <w:color w:val="auto"/>
        </w:rPr>
      </w:pPr>
    </w:p>
    <w:p>
      <w:pPr>
        <w:ind w:left="5120"/>
        <w:spacing w:after="0"/>
        <w:rPr>
          <w:sz w:val="20"/>
          <w:szCs w:val="20"/>
          <w:color w:val="auto"/>
        </w:rPr>
      </w:pPr>
      <w:r>
        <w:rPr>
          <w:rFonts w:ascii="Arial" w:cs="Arial" w:eastAsia="Arial" w:hAnsi="Arial"/>
          <w:sz w:val="20"/>
          <w:szCs w:val="20"/>
          <w:color w:val="auto"/>
        </w:rPr>
        <w:t>Page 4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color w:val="auto"/>
        </w:rPr>
        <w:t>MARTIN MARIETTA MATERIALS, INC. AND CONSOLIDATED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CONSOLIDATED STATEMENTS OF CASH FLOWS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5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540" w:type="dxa"/>
            <w:vAlign w:val="bottom"/>
            <w:gridSpan w:val="3"/>
          </w:tcPr>
          <w:p>
            <w:pPr>
              <w:jc w:val="center"/>
              <w:spacing w:after="0"/>
              <w:rPr>
                <w:sz w:val="20"/>
                <w:szCs w:val="20"/>
                <w:color w:val="auto"/>
              </w:rPr>
            </w:pPr>
            <w:r>
              <w:rPr>
                <w:rFonts w:ascii="Arial" w:cs="Arial" w:eastAsia="Arial" w:hAnsi="Arial"/>
                <w:sz w:val="18"/>
                <w:szCs w:val="18"/>
                <w:color w:val="auto"/>
                <w:w w:val="91"/>
              </w:rPr>
              <w:t>Six Months Ended</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2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6"/>
              </w:rPr>
              <w:t>June 30,</w:t>
            </w:r>
          </w:p>
        </w:tc>
        <w:tc>
          <w:tcPr>
            <w:tcW w:w="10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52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6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w w:val="89"/>
              </w:rPr>
              <w:t>2019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520" w:type="dxa"/>
            <w:vAlign w:val="bottom"/>
            <w:vMerge w:val="restart"/>
          </w:tcPr>
          <w:p>
            <w:pPr>
              <w:spacing w:after="0"/>
              <w:rPr>
                <w:sz w:val="20"/>
                <w:szCs w:val="20"/>
                <w:color w:val="auto"/>
              </w:rPr>
            </w:pPr>
            <w:r>
              <w:rPr>
                <w:rFonts w:ascii="Arial" w:cs="Arial" w:eastAsia="Arial" w:hAnsi="Arial"/>
                <w:sz w:val="18"/>
                <w:szCs w:val="18"/>
                <w:color w:val="auto"/>
              </w:rPr>
              <w:t>Cash Flows from Operating Activities:</w:t>
            </w:r>
          </w:p>
        </w:tc>
        <w:tc>
          <w:tcPr>
            <w:tcW w:w="1020" w:type="dxa"/>
            <w:vAlign w:val="bottom"/>
          </w:tcPr>
          <w:p>
            <w:pPr>
              <w:spacing w:after="0"/>
              <w:rPr>
                <w:sz w:val="19"/>
                <w:szCs w:val="19"/>
                <w:color w:val="auto"/>
              </w:rPr>
            </w:pPr>
          </w:p>
        </w:tc>
        <w:tc>
          <w:tcPr>
            <w:tcW w:w="1540" w:type="dxa"/>
            <w:vAlign w:val="bottom"/>
            <w:gridSpan w:val="3"/>
          </w:tcPr>
          <w:p>
            <w:pPr>
              <w:jc w:val="center"/>
              <w:spacing w:after="0"/>
              <w:rPr>
                <w:sz w:val="20"/>
                <w:szCs w:val="20"/>
                <w:color w:val="auto"/>
              </w:rPr>
            </w:pPr>
            <w:r>
              <w:rPr>
                <w:rFonts w:ascii="Arial" w:cs="Arial" w:eastAsia="Arial" w:hAnsi="Arial"/>
                <w:sz w:val="18"/>
                <w:szCs w:val="18"/>
                <w:i w:val="1"/>
                <w:iCs w:val="1"/>
                <w:color w:val="auto"/>
                <w:w w:val="98"/>
              </w:rPr>
              <w:t>(Dollars in Millions)</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20" w:type="dxa"/>
            <w:vAlign w:val="bottom"/>
            <w:vMerge w:val="continue"/>
          </w:tcPr>
          <w:p>
            <w:pPr>
              <w:spacing w:after="0"/>
              <w:rPr>
                <w:sz w:val="19"/>
                <w:szCs w:val="19"/>
                <w:color w:val="auto"/>
              </w:rPr>
            </w:pPr>
          </w:p>
        </w:tc>
        <w:tc>
          <w:tcPr>
            <w:tcW w:w="10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20" w:type="dxa"/>
            <w:vAlign w:val="bottom"/>
            <w:shd w:val="clear" w:color="auto" w:fill="CFF0FC"/>
          </w:tcPr>
          <w:p>
            <w:pPr>
              <w:spacing w:after="0"/>
              <w:rPr>
                <w:sz w:val="20"/>
                <w:szCs w:val="20"/>
                <w:color w:val="auto"/>
              </w:rPr>
            </w:pPr>
            <w:r>
              <w:rPr>
                <w:rFonts w:ascii="Arial" w:cs="Arial" w:eastAsia="Arial" w:hAnsi="Arial"/>
                <w:sz w:val="18"/>
                <w:szCs w:val="18"/>
                <w:color w:val="auto"/>
              </w:rPr>
              <w:t>Consolidated net earnings</w:t>
            </w:r>
          </w:p>
        </w:tc>
        <w:tc>
          <w:tcPr>
            <w:tcW w:w="1020" w:type="dxa"/>
            <w:vAlign w:val="bottom"/>
            <w:shd w:val="clear" w:color="auto" w:fill="CFF0FC"/>
          </w:tcPr>
          <w:p>
            <w:pPr>
              <w:jc w:val="right"/>
              <w:ind w:right="861"/>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243.5</w:t>
            </w: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46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520" w:type="dxa"/>
            <w:vAlign w:val="bottom"/>
          </w:tcPr>
          <w:p>
            <w:pPr>
              <w:spacing w:after="0"/>
              <w:rPr>
                <w:sz w:val="20"/>
                <w:szCs w:val="20"/>
                <w:color w:val="auto"/>
              </w:rPr>
            </w:pPr>
            <w:r>
              <w:rPr>
                <w:rFonts w:ascii="Arial" w:cs="Arial" w:eastAsia="Arial" w:hAnsi="Arial"/>
                <w:sz w:val="18"/>
                <w:szCs w:val="18"/>
                <w:color w:val="auto"/>
              </w:rPr>
              <w:t>Adjustments to reconcile consolidated net earnings to net cash</w:t>
            </w:r>
          </w:p>
        </w:tc>
        <w:tc>
          <w:tcPr>
            <w:tcW w:w="10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20" w:type="dxa"/>
            <w:vAlign w:val="bottom"/>
          </w:tcPr>
          <w:p>
            <w:pPr>
              <w:jc w:val="right"/>
              <w:ind w:right="4950"/>
              <w:spacing w:after="0"/>
              <w:rPr>
                <w:sz w:val="20"/>
                <w:szCs w:val="20"/>
                <w:color w:val="auto"/>
              </w:rPr>
            </w:pPr>
            <w:r>
              <w:rPr>
                <w:rFonts w:ascii="Arial" w:cs="Arial" w:eastAsia="Arial" w:hAnsi="Arial"/>
                <w:sz w:val="18"/>
                <w:szCs w:val="18"/>
                <w:color w:val="auto"/>
                <w:w w:val="97"/>
              </w:rPr>
              <w:t>provided by operating activities:</w:t>
            </w:r>
          </w:p>
        </w:tc>
        <w:tc>
          <w:tcPr>
            <w:tcW w:w="10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 depletion and amortization</w:t>
            </w:r>
          </w:p>
        </w:tc>
        <w:tc>
          <w:tcPr>
            <w:tcW w:w="10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193.4</w:t>
            </w: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20" w:type="dxa"/>
            <w:vAlign w:val="bottom"/>
          </w:tcPr>
          <w:p>
            <w:pPr>
              <w:ind w:left="260"/>
              <w:spacing w:after="0"/>
              <w:rPr>
                <w:sz w:val="20"/>
                <w:szCs w:val="20"/>
                <w:color w:val="auto"/>
              </w:rPr>
            </w:pPr>
            <w:r>
              <w:rPr>
                <w:rFonts w:ascii="Arial" w:cs="Arial" w:eastAsia="Arial" w:hAnsi="Arial"/>
                <w:sz w:val="18"/>
                <w:szCs w:val="18"/>
                <w:color w:val="auto"/>
              </w:rPr>
              <w:t>Stock-based compensation expense</w:t>
            </w:r>
          </w:p>
        </w:tc>
        <w:tc>
          <w:tcPr>
            <w:tcW w:w="10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19.7</w:t>
            </w: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Gain on divestitures and sales of assets</w:t>
            </w:r>
          </w:p>
        </w:tc>
        <w:tc>
          <w:tcPr>
            <w:tcW w:w="10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(3.1)</w:t>
            </w:r>
          </w:p>
        </w:tc>
        <w:tc>
          <w:tcPr>
            <w:tcW w:w="6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30"/>
        </w:trPr>
        <w:tc>
          <w:tcPr>
            <w:tcW w:w="7520" w:type="dxa"/>
            <w:vAlign w:val="bottom"/>
          </w:tcPr>
          <w:p>
            <w:pPr>
              <w:ind w:left="260"/>
              <w:spacing w:after="0"/>
              <w:rPr>
                <w:sz w:val="20"/>
                <w:szCs w:val="20"/>
                <w:color w:val="auto"/>
              </w:rPr>
            </w:pPr>
            <w:r>
              <w:rPr>
                <w:rFonts w:ascii="Arial" w:cs="Arial" w:eastAsia="Arial" w:hAnsi="Arial"/>
                <w:sz w:val="18"/>
                <w:szCs w:val="18"/>
                <w:color w:val="auto"/>
              </w:rPr>
              <w:t>Deferred income taxes</w:t>
            </w:r>
          </w:p>
        </w:tc>
        <w:tc>
          <w:tcPr>
            <w:tcW w:w="10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6.6</w:t>
            </w: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29"/>
        </w:trPr>
        <w:tc>
          <w:tcPr>
            <w:tcW w:w="7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items, net</w:t>
            </w:r>
          </w:p>
        </w:tc>
        <w:tc>
          <w:tcPr>
            <w:tcW w:w="10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520" w:type="dxa"/>
            <w:vAlign w:val="bottom"/>
          </w:tcPr>
          <w:p>
            <w:pPr>
              <w:ind w:left="260"/>
              <w:spacing w:after="0"/>
              <w:rPr>
                <w:sz w:val="20"/>
                <w:szCs w:val="20"/>
                <w:color w:val="auto"/>
              </w:rPr>
            </w:pPr>
            <w:r>
              <w:rPr>
                <w:rFonts w:ascii="Arial" w:cs="Arial" w:eastAsia="Arial" w:hAnsi="Arial"/>
                <w:sz w:val="18"/>
                <w:szCs w:val="18"/>
                <w:color w:val="auto"/>
              </w:rPr>
              <w:t>Changes in operating assets and liabilities, net of effects of</w:t>
            </w:r>
          </w:p>
        </w:tc>
        <w:tc>
          <w:tcPr>
            <w:tcW w:w="10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20" w:type="dxa"/>
            <w:vAlign w:val="bottom"/>
          </w:tcPr>
          <w:p>
            <w:pPr>
              <w:jc w:val="right"/>
              <w:ind w:right="4950"/>
              <w:spacing w:after="0"/>
              <w:rPr>
                <w:sz w:val="20"/>
                <w:szCs w:val="20"/>
                <w:color w:val="auto"/>
              </w:rPr>
            </w:pPr>
            <w:r>
              <w:rPr>
                <w:rFonts w:ascii="Arial" w:cs="Arial" w:eastAsia="Arial" w:hAnsi="Arial"/>
                <w:sz w:val="18"/>
                <w:szCs w:val="18"/>
                <w:color w:val="auto"/>
              </w:rPr>
              <w:t>acquisitions and divestitures:</w:t>
            </w:r>
          </w:p>
        </w:tc>
        <w:tc>
          <w:tcPr>
            <w:tcW w:w="10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5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Accounts receivable, net</w:t>
            </w:r>
          </w:p>
        </w:tc>
        <w:tc>
          <w:tcPr>
            <w:tcW w:w="10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(117.4)</w:t>
            </w:r>
          </w:p>
        </w:tc>
        <w:tc>
          <w:tcPr>
            <w:tcW w:w="6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(187.1)</w:t>
            </w:r>
          </w:p>
        </w:tc>
        <w:tc>
          <w:tcPr>
            <w:tcW w:w="0" w:type="dxa"/>
            <w:vAlign w:val="bottom"/>
          </w:tcPr>
          <w:p>
            <w:pPr>
              <w:spacing w:after="0"/>
              <w:rPr>
                <w:sz w:val="1"/>
                <w:szCs w:val="1"/>
                <w:color w:val="auto"/>
              </w:rPr>
            </w:pPr>
          </w:p>
        </w:tc>
      </w:tr>
      <w:tr>
        <w:trPr>
          <w:trHeight w:val="229"/>
        </w:trPr>
        <w:tc>
          <w:tcPr>
            <w:tcW w:w="7520" w:type="dxa"/>
            <w:vAlign w:val="bottom"/>
          </w:tcPr>
          <w:p>
            <w:pPr>
              <w:ind w:left="500"/>
              <w:spacing w:after="0"/>
              <w:rPr>
                <w:sz w:val="20"/>
                <w:szCs w:val="20"/>
                <w:color w:val="auto"/>
              </w:rPr>
            </w:pPr>
            <w:r>
              <w:rPr>
                <w:rFonts w:ascii="Arial" w:cs="Arial" w:eastAsia="Arial" w:hAnsi="Arial"/>
                <w:sz w:val="18"/>
                <w:szCs w:val="18"/>
                <w:color w:val="auto"/>
              </w:rPr>
              <w:t>Inventories, net</w:t>
            </w:r>
          </w:p>
        </w:tc>
        <w:tc>
          <w:tcPr>
            <w:tcW w:w="102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(21.7)</w:t>
            </w:r>
          </w:p>
        </w:tc>
        <w:tc>
          <w:tcPr>
            <w:tcW w:w="6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Accounts payable</w:t>
            </w:r>
          </w:p>
        </w:tc>
        <w:tc>
          <w:tcPr>
            <w:tcW w:w="10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(0.5)</w:t>
            </w:r>
          </w:p>
        </w:tc>
        <w:tc>
          <w:tcPr>
            <w:tcW w:w="6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Other assets and liabilities, net</w:t>
            </w:r>
          </w:p>
        </w:tc>
        <w:tc>
          <w:tcPr>
            <w:tcW w:w="10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w:t>
            </w:r>
          </w:p>
        </w:tc>
        <w:tc>
          <w:tcPr>
            <w:tcW w:w="280" w:type="dxa"/>
            <w:vAlign w:val="bottom"/>
            <w:tcBorders>
              <w:bottom w:val="single" w:sz="8" w:color="CFF0FC"/>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2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Operating Activities</w:t>
            </w:r>
          </w:p>
        </w:tc>
        <w:tc>
          <w:tcPr>
            <w:tcW w:w="102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373.2</w:t>
            </w:r>
          </w:p>
        </w:tc>
        <w:tc>
          <w:tcPr>
            <w:tcW w:w="28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333.7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2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Investing Activities:</w:t>
            </w:r>
          </w:p>
        </w:tc>
        <w:tc>
          <w:tcPr>
            <w:tcW w:w="10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20" w:type="dxa"/>
            <w:vAlign w:val="bottom"/>
          </w:tcPr>
          <w:p>
            <w:pPr>
              <w:ind w:left="260"/>
              <w:spacing w:after="0"/>
              <w:rPr>
                <w:sz w:val="20"/>
                <w:szCs w:val="20"/>
                <w:color w:val="auto"/>
              </w:rPr>
            </w:pPr>
            <w:r>
              <w:rPr>
                <w:rFonts w:ascii="Arial" w:cs="Arial" w:eastAsia="Arial" w:hAnsi="Arial"/>
                <w:sz w:val="18"/>
                <w:szCs w:val="18"/>
                <w:color w:val="auto"/>
              </w:rPr>
              <w:t>Additions to property, plant and equipment</w:t>
            </w:r>
          </w:p>
        </w:tc>
        <w:tc>
          <w:tcPr>
            <w:tcW w:w="102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(175.7)</w:t>
            </w:r>
          </w:p>
        </w:tc>
        <w:tc>
          <w:tcPr>
            <w:tcW w:w="62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(207.4)</w:t>
            </w:r>
          </w:p>
        </w:tc>
        <w:tc>
          <w:tcPr>
            <w:tcW w:w="0" w:type="dxa"/>
            <w:vAlign w:val="bottom"/>
          </w:tcPr>
          <w:p>
            <w:pPr>
              <w:spacing w:after="0"/>
              <w:rPr>
                <w:sz w:val="1"/>
                <w:szCs w:val="1"/>
                <w:color w:val="auto"/>
              </w:rPr>
            </w:pPr>
          </w:p>
        </w:tc>
      </w:tr>
      <w:tr>
        <w:trPr>
          <w:trHeight w:val="229"/>
        </w:trPr>
        <w:tc>
          <w:tcPr>
            <w:tcW w:w="7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Acquisitions, net</w:t>
            </w:r>
          </w:p>
        </w:tc>
        <w:tc>
          <w:tcPr>
            <w:tcW w:w="10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(2.3)</w:t>
            </w:r>
          </w:p>
        </w:tc>
        <w:tc>
          <w:tcPr>
            <w:tcW w:w="6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520" w:type="dxa"/>
            <w:vAlign w:val="bottom"/>
          </w:tcPr>
          <w:p>
            <w:pPr>
              <w:ind w:left="260"/>
              <w:spacing w:after="0"/>
              <w:rPr>
                <w:sz w:val="20"/>
                <w:szCs w:val="20"/>
                <w:color w:val="auto"/>
              </w:rPr>
            </w:pPr>
            <w:r>
              <w:rPr>
                <w:rFonts w:ascii="Arial" w:cs="Arial" w:eastAsia="Arial" w:hAnsi="Arial"/>
                <w:sz w:val="18"/>
                <w:szCs w:val="18"/>
                <w:color w:val="auto"/>
              </w:rPr>
              <w:t>Proceeds from divestitures and sales of assets</w:t>
            </w:r>
          </w:p>
        </w:tc>
        <w:tc>
          <w:tcPr>
            <w:tcW w:w="10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17.9</w:t>
            </w: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Investments in life insurance contracts, net</w:t>
            </w:r>
          </w:p>
        </w:tc>
        <w:tc>
          <w:tcPr>
            <w:tcW w:w="10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(6.2)</w:t>
            </w:r>
          </w:p>
        </w:tc>
        <w:tc>
          <w:tcPr>
            <w:tcW w:w="6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20" w:type="dxa"/>
            <w:vAlign w:val="bottom"/>
          </w:tcPr>
          <w:p>
            <w:pPr>
              <w:ind w:left="260"/>
              <w:spacing w:after="0"/>
              <w:rPr>
                <w:sz w:val="20"/>
                <w:szCs w:val="20"/>
                <w:color w:val="auto"/>
              </w:rPr>
            </w:pPr>
            <w:r>
              <w:rPr>
                <w:rFonts w:ascii="Arial" w:cs="Arial" w:eastAsia="Arial" w:hAnsi="Arial"/>
                <w:sz w:val="18"/>
                <w:szCs w:val="18"/>
                <w:color w:val="auto"/>
              </w:rPr>
              <w:t>Other investing activities, net</w:t>
            </w:r>
          </w:p>
        </w:tc>
        <w:tc>
          <w:tcPr>
            <w:tcW w:w="102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(4.5)</w:t>
            </w:r>
          </w:p>
        </w:tc>
        <w:tc>
          <w:tcPr>
            <w:tcW w:w="62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752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Net Cash Used for Investing Activities</w:t>
            </w:r>
          </w:p>
        </w:tc>
        <w:tc>
          <w:tcPr>
            <w:tcW w:w="10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520" w:type="dxa"/>
            <w:vAlign w:val="bottom"/>
            <w:vMerge w:val="continue"/>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(170.8)</w:t>
            </w:r>
          </w:p>
        </w:tc>
        <w:tc>
          <w:tcPr>
            <w:tcW w:w="6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23"/>
        </w:trPr>
        <w:tc>
          <w:tcPr>
            <w:tcW w:w="752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2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Financing Activities:</w:t>
            </w:r>
          </w:p>
        </w:tc>
        <w:tc>
          <w:tcPr>
            <w:tcW w:w="10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20" w:type="dxa"/>
            <w:vAlign w:val="bottom"/>
          </w:tcPr>
          <w:p>
            <w:pPr>
              <w:ind w:left="260"/>
              <w:spacing w:after="0"/>
              <w:rPr>
                <w:sz w:val="20"/>
                <w:szCs w:val="20"/>
                <w:color w:val="auto"/>
              </w:rPr>
            </w:pPr>
            <w:r>
              <w:rPr>
                <w:rFonts w:ascii="Arial" w:cs="Arial" w:eastAsia="Arial" w:hAnsi="Arial"/>
                <w:sz w:val="18"/>
                <w:szCs w:val="18"/>
                <w:color w:val="auto"/>
              </w:rPr>
              <w:t>Borrowings of debt</w:t>
            </w:r>
          </w:p>
        </w:tc>
        <w:tc>
          <w:tcPr>
            <w:tcW w:w="10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618.0</w:t>
            </w: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Repayments of debt</w:t>
            </w:r>
          </w:p>
        </w:tc>
        <w:tc>
          <w:tcPr>
            <w:tcW w:w="10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(637.0)</w:t>
            </w:r>
          </w:p>
        </w:tc>
        <w:tc>
          <w:tcPr>
            <w:tcW w:w="6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(170.0)</w:t>
            </w:r>
          </w:p>
        </w:tc>
        <w:tc>
          <w:tcPr>
            <w:tcW w:w="0" w:type="dxa"/>
            <w:vAlign w:val="bottom"/>
          </w:tcPr>
          <w:p>
            <w:pPr>
              <w:spacing w:after="0"/>
              <w:rPr>
                <w:sz w:val="1"/>
                <w:szCs w:val="1"/>
                <w:color w:val="auto"/>
              </w:rPr>
            </w:pPr>
          </w:p>
        </w:tc>
      </w:tr>
      <w:tr>
        <w:trPr>
          <w:trHeight w:val="230"/>
        </w:trPr>
        <w:tc>
          <w:tcPr>
            <w:tcW w:w="7520" w:type="dxa"/>
            <w:vAlign w:val="bottom"/>
          </w:tcPr>
          <w:p>
            <w:pPr>
              <w:ind w:left="260"/>
              <w:spacing w:after="0"/>
              <w:rPr>
                <w:sz w:val="20"/>
                <w:szCs w:val="20"/>
                <w:color w:val="auto"/>
              </w:rPr>
            </w:pPr>
            <w:r>
              <w:rPr>
                <w:rFonts w:ascii="Arial" w:cs="Arial" w:eastAsia="Arial" w:hAnsi="Arial"/>
                <w:sz w:val="18"/>
                <w:szCs w:val="18"/>
                <w:color w:val="auto"/>
              </w:rPr>
              <w:t>Payments on financing leases</w:t>
            </w:r>
          </w:p>
        </w:tc>
        <w:tc>
          <w:tcPr>
            <w:tcW w:w="102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(1.6)</w:t>
            </w:r>
          </w:p>
        </w:tc>
        <w:tc>
          <w:tcPr>
            <w:tcW w:w="62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9"/>
        </w:trPr>
        <w:tc>
          <w:tcPr>
            <w:tcW w:w="7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Debt issuance costs</w:t>
            </w:r>
          </w:p>
        </w:tc>
        <w:tc>
          <w:tcPr>
            <w:tcW w:w="10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(1.7)</w:t>
            </w:r>
          </w:p>
        </w:tc>
        <w:tc>
          <w:tcPr>
            <w:tcW w:w="6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520" w:type="dxa"/>
            <w:vAlign w:val="bottom"/>
          </w:tcPr>
          <w:p>
            <w:pPr>
              <w:ind w:left="260"/>
              <w:spacing w:after="0"/>
              <w:rPr>
                <w:sz w:val="20"/>
                <w:szCs w:val="20"/>
                <w:color w:val="auto"/>
              </w:rPr>
            </w:pPr>
            <w:r>
              <w:rPr>
                <w:rFonts w:ascii="Arial" w:cs="Arial" w:eastAsia="Arial" w:hAnsi="Arial"/>
                <w:sz w:val="18"/>
                <w:szCs w:val="18"/>
                <w:color w:val="auto"/>
              </w:rPr>
              <w:t>Distributions to owners of noncontrolling interest</w:t>
            </w:r>
          </w:p>
        </w:tc>
        <w:tc>
          <w:tcPr>
            <w:tcW w:w="1020" w:type="dxa"/>
            <w:vAlign w:val="bottom"/>
          </w:tcPr>
          <w:p>
            <w:pPr>
              <w:spacing w:after="0"/>
              <w:rPr>
                <w:sz w:val="19"/>
                <w:szCs w:val="19"/>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30"/>
        </w:trPr>
        <w:tc>
          <w:tcPr>
            <w:tcW w:w="7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Repurchases of common stock</w:t>
            </w:r>
          </w:p>
        </w:tc>
        <w:tc>
          <w:tcPr>
            <w:tcW w:w="10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(50.0)</w:t>
            </w:r>
          </w:p>
        </w:tc>
        <w:tc>
          <w:tcPr>
            <w:tcW w:w="6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30"/>
        </w:trPr>
        <w:tc>
          <w:tcPr>
            <w:tcW w:w="7520" w:type="dxa"/>
            <w:vAlign w:val="bottom"/>
          </w:tcPr>
          <w:p>
            <w:pPr>
              <w:ind w:left="260"/>
              <w:spacing w:after="0"/>
              <w:rPr>
                <w:sz w:val="20"/>
                <w:szCs w:val="20"/>
                <w:color w:val="auto"/>
              </w:rPr>
            </w:pPr>
            <w:r>
              <w:rPr>
                <w:rFonts w:ascii="Arial" w:cs="Arial" w:eastAsia="Arial" w:hAnsi="Arial"/>
                <w:sz w:val="18"/>
                <w:szCs w:val="18"/>
                <w:color w:val="auto"/>
              </w:rPr>
              <w:t>Dividends paid</w:t>
            </w:r>
          </w:p>
        </w:tc>
        <w:tc>
          <w:tcPr>
            <w:tcW w:w="102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(69.4)</w:t>
            </w:r>
          </w:p>
        </w:tc>
        <w:tc>
          <w:tcPr>
            <w:tcW w:w="62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r>
        <w:trPr>
          <w:trHeight w:val="229"/>
        </w:trPr>
        <w:tc>
          <w:tcPr>
            <w:tcW w:w="7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exercise of stock options</w:t>
            </w:r>
          </w:p>
        </w:tc>
        <w:tc>
          <w:tcPr>
            <w:tcW w:w="10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20" w:type="dxa"/>
            <w:vAlign w:val="bottom"/>
          </w:tcPr>
          <w:p>
            <w:pPr>
              <w:ind w:left="260"/>
              <w:spacing w:after="0"/>
              <w:rPr>
                <w:sz w:val="20"/>
                <w:szCs w:val="20"/>
                <w:color w:val="auto"/>
              </w:rPr>
            </w:pPr>
            <w:r>
              <w:rPr>
                <w:rFonts w:ascii="Arial" w:cs="Arial" w:eastAsia="Arial" w:hAnsi="Arial"/>
                <w:sz w:val="18"/>
                <w:szCs w:val="18"/>
                <w:color w:val="auto"/>
              </w:rPr>
              <w:t>Shares withheld for employees' income tax obligations</w:t>
            </w:r>
          </w:p>
        </w:tc>
        <w:tc>
          <w:tcPr>
            <w:tcW w:w="102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(12.9)</w:t>
            </w:r>
          </w:p>
        </w:tc>
        <w:tc>
          <w:tcPr>
            <w:tcW w:w="62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23"/>
        </w:trPr>
        <w:tc>
          <w:tcPr>
            <w:tcW w:w="7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Used for Financing Activities</w:t>
            </w:r>
          </w:p>
        </w:tc>
        <w:tc>
          <w:tcPr>
            <w:tcW w:w="1020" w:type="dxa"/>
            <w:vAlign w:val="bottom"/>
            <w:tcBorders>
              <w:top w:val="single" w:sz="8" w:color="auto"/>
              <w:bottom w:val="single" w:sz="8" w:color="auto"/>
            </w:tcBorders>
            <w:shd w:val="clear" w:color="auto" w:fill="CFF0FC"/>
          </w:tcPr>
          <w:p>
            <w:pPr>
              <w:spacing w:after="0"/>
              <w:rPr>
                <w:sz w:val="19"/>
                <w:szCs w:val="19"/>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(153.3)</w:t>
            </w:r>
          </w:p>
        </w:tc>
        <w:tc>
          <w:tcPr>
            <w:tcW w:w="280" w:type="dxa"/>
            <w:vAlign w:val="bottom"/>
            <w:tcBorders>
              <w:top w:val="single" w:sz="8" w:color="CFF0FC"/>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(123.1)</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20" w:type="dxa"/>
            <w:vAlign w:val="bottom"/>
          </w:tcPr>
          <w:p>
            <w:pPr>
              <w:spacing w:after="0"/>
              <w:rPr>
                <w:sz w:val="20"/>
                <w:szCs w:val="20"/>
                <w:color w:val="auto"/>
              </w:rPr>
            </w:pPr>
            <w:r>
              <w:rPr>
                <w:rFonts w:ascii="Arial" w:cs="Arial" w:eastAsia="Arial" w:hAnsi="Arial"/>
                <w:sz w:val="18"/>
                <w:szCs w:val="18"/>
                <w:color w:val="auto"/>
              </w:rPr>
              <w:t>Net Increase in Cash and Cash Equivalents</w:t>
            </w:r>
          </w:p>
        </w:tc>
        <w:tc>
          <w:tcPr>
            <w:tcW w:w="10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49.1</w:t>
            </w: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2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beginning of period</w:t>
            </w:r>
          </w:p>
        </w:tc>
        <w:tc>
          <w:tcPr>
            <w:tcW w:w="102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w:t>
            </w:r>
          </w:p>
        </w:tc>
        <w:tc>
          <w:tcPr>
            <w:tcW w:w="28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20" w:type="dxa"/>
            <w:vAlign w:val="bottom"/>
          </w:tcPr>
          <w:p>
            <w:pPr>
              <w:spacing w:after="0"/>
              <w:rPr>
                <w:sz w:val="20"/>
                <w:szCs w:val="20"/>
                <w:color w:val="auto"/>
              </w:rPr>
            </w:pPr>
            <w:r>
              <w:rPr>
                <w:rFonts w:ascii="Arial" w:cs="Arial" w:eastAsia="Arial" w:hAnsi="Arial"/>
                <w:sz w:val="18"/>
                <w:szCs w:val="18"/>
                <w:color w:val="auto"/>
              </w:rPr>
              <w:t>Cash and Cash Equivalents, end of period</w:t>
            </w:r>
          </w:p>
        </w:tc>
        <w:tc>
          <w:tcPr>
            <w:tcW w:w="1020" w:type="dxa"/>
            <w:vAlign w:val="bottom"/>
            <w:tcBorders>
              <w:bottom w:val="single" w:sz="8" w:color="auto"/>
            </w:tcBorders>
          </w:tcPr>
          <w:p>
            <w:pPr>
              <w:jc w:val="right"/>
              <w:ind w:right="861"/>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70.1</w:t>
            </w:r>
          </w:p>
        </w:tc>
        <w:tc>
          <w:tcPr>
            <w:tcW w:w="280" w:type="dxa"/>
            <w:vAlign w:val="bottom"/>
          </w:tcPr>
          <w:p>
            <w:pPr>
              <w:spacing w:after="0"/>
              <w:rPr>
                <w:sz w:val="19"/>
                <w:szCs w:val="19"/>
                <w:color w:val="auto"/>
              </w:rPr>
            </w:pPr>
          </w:p>
        </w:tc>
        <w:tc>
          <w:tcPr>
            <w:tcW w:w="620" w:type="dxa"/>
            <w:vAlign w:val="bottom"/>
            <w:tcBorders>
              <w:bottom w:val="single" w:sz="8" w:color="auto"/>
            </w:tcBorders>
          </w:tcPr>
          <w:p>
            <w:pPr>
              <w:jc w:val="right"/>
              <w:ind w:right="46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See accompanying notes to the consolidated financial statements.</w:t>
      </w:r>
    </w:p>
    <w:p>
      <w:pPr>
        <w:spacing w:after="0" w:line="94" w:lineRule="exact"/>
        <w:rPr>
          <w:sz w:val="20"/>
          <w:szCs w:val="20"/>
          <w:color w:val="auto"/>
        </w:rPr>
      </w:pPr>
    </w:p>
    <w:p>
      <w:pPr>
        <w:ind w:left="5120"/>
        <w:spacing w:after="0"/>
        <w:rPr>
          <w:sz w:val="20"/>
          <w:szCs w:val="20"/>
          <w:color w:val="auto"/>
        </w:rPr>
      </w:pPr>
      <w:r>
        <w:rPr>
          <w:rFonts w:ascii="Arial" w:cs="Arial" w:eastAsia="Arial" w:hAnsi="Arial"/>
          <w:sz w:val="20"/>
          <w:szCs w:val="20"/>
          <w:color w:val="auto"/>
        </w:rPr>
        <w:t>Page 5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color w:val="auto"/>
        </w:rPr>
        <w:t>MARTIN MARIETTA MATERIALS, INC. AND CONSOLIDATED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CONSOLIDATED STATEMENTS OF TOTAL EQUITY</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3"/>
          </w:tcPr>
          <w:p>
            <w:pPr>
              <w:jc w:val="center"/>
              <w:ind w:right="160"/>
              <w:spacing w:after="0"/>
              <w:rPr>
                <w:sz w:val="20"/>
                <w:szCs w:val="20"/>
                <w:color w:val="auto"/>
              </w:rPr>
            </w:pPr>
            <w:r>
              <w:rPr>
                <w:rFonts w:ascii="Arial" w:cs="Arial" w:eastAsia="Arial" w:hAnsi="Arial"/>
                <w:sz w:val="18"/>
                <w:szCs w:val="18"/>
                <w:color w:val="auto"/>
                <w:w w:val="92"/>
              </w:rPr>
              <w:t>Accumulated</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Shares of</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3"/>
          </w:tcPr>
          <w:p>
            <w:pPr>
              <w:jc w:val="center"/>
              <w:ind w:right="120"/>
              <w:spacing w:after="0"/>
              <w:rPr>
                <w:sz w:val="20"/>
                <w:szCs w:val="20"/>
                <w:color w:val="auto"/>
              </w:rPr>
            </w:pPr>
            <w:r>
              <w:rPr>
                <w:rFonts w:ascii="Arial" w:cs="Arial" w:eastAsia="Arial" w:hAnsi="Arial"/>
                <w:sz w:val="18"/>
                <w:szCs w:val="18"/>
                <w:color w:val="auto"/>
                <w:w w:val="98"/>
              </w:rPr>
              <w:t>Additional</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8"/>
                <w:szCs w:val="18"/>
                <w:color w:val="auto"/>
                <w:w w:val="88"/>
              </w:rPr>
              <w:t>Other</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Total</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60" w:type="dxa"/>
            <w:vAlign w:val="bottom"/>
            <w:gridSpan w:val="2"/>
          </w:tcPr>
          <w:p>
            <w:pPr>
              <w:spacing w:after="0"/>
              <w:rPr>
                <w:sz w:val="20"/>
                <w:szCs w:val="20"/>
                <w:color w:val="auto"/>
              </w:rPr>
            </w:pPr>
            <w:r>
              <w:rPr>
                <w:rFonts w:ascii="Arial" w:cs="Arial" w:eastAsia="Arial" w:hAnsi="Arial"/>
                <w:sz w:val="18"/>
                <w:szCs w:val="18"/>
                <w:i w:val="1"/>
                <w:iCs w:val="1"/>
                <w:color w:val="auto"/>
              </w:rPr>
              <w:t>(In Millions, Except Per</w:t>
            </w:r>
          </w:p>
        </w:tc>
        <w:tc>
          <w:tcPr>
            <w:tcW w:w="86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Common</w:t>
            </w:r>
          </w:p>
        </w:tc>
        <w:tc>
          <w:tcPr>
            <w:tcW w:w="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w w:val="98"/>
              </w:rPr>
              <w:t>Common</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Paid-</w:t>
            </w:r>
          </w:p>
        </w:tc>
        <w:tc>
          <w:tcPr>
            <w:tcW w:w="1360" w:type="dxa"/>
            <w:vAlign w:val="bottom"/>
            <w:gridSpan w:val="4"/>
          </w:tcPr>
          <w:p>
            <w:pPr>
              <w:ind w:left="80"/>
              <w:spacing w:after="0"/>
              <w:rPr>
                <w:sz w:val="20"/>
                <w:szCs w:val="20"/>
                <w:color w:val="auto"/>
              </w:rPr>
            </w:pPr>
            <w:r>
              <w:rPr>
                <w:rFonts w:ascii="Arial" w:cs="Arial" w:eastAsia="Arial" w:hAnsi="Arial"/>
                <w:sz w:val="18"/>
                <w:szCs w:val="18"/>
                <w:color w:val="auto"/>
                <w:w w:val="99"/>
              </w:rPr>
              <w:t>Comprehensive</w:t>
            </w:r>
          </w:p>
        </w:tc>
        <w:tc>
          <w:tcPr>
            <w:tcW w:w="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Retained</w:t>
            </w:r>
          </w:p>
        </w:tc>
        <w:tc>
          <w:tcPr>
            <w:tcW w:w="1180" w:type="dxa"/>
            <w:vAlign w:val="bottom"/>
            <w:gridSpan w:val="4"/>
          </w:tcPr>
          <w:p>
            <w:pPr>
              <w:ind w:left="60"/>
              <w:spacing w:after="0"/>
              <w:rPr>
                <w:sz w:val="20"/>
                <w:szCs w:val="20"/>
                <w:color w:val="auto"/>
              </w:rPr>
            </w:pPr>
            <w:r>
              <w:rPr>
                <w:rFonts w:ascii="Arial" w:cs="Arial" w:eastAsia="Arial" w:hAnsi="Arial"/>
                <w:sz w:val="18"/>
                <w:szCs w:val="18"/>
                <w:color w:val="auto"/>
                <w:w w:val="99"/>
              </w:rPr>
              <w:t>Shareholders'</w:t>
            </w:r>
          </w:p>
        </w:tc>
        <w:tc>
          <w:tcPr>
            <w:tcW w:w="1600" w:type="dxa"/>
            <w:vAlign w:val="bottom"/>
            <w:gridSpan w:val="4"/>
          </w:tcPr>
          <w:p>
            <w:pPr>
              <w:ind w:left="80"/>
              <w:spacing w:after="0"/>
              <w:rPr>
                <w:sz w:val="20"/>
                <w:szCs w:val="20"/>
                <w:color w:val="auto"/>
              </w:rPr>
            </w:pPr>
            <w:r>
              <w:rPr>
                <w:rFonts w:ascii="Arial" w:cs="Arial" w:eastAsia="Arial" w:hAnsi="Arial"/>
                <w:sz w:val="18"/>
                <w:szCs w:val="18"/>
                <w:color w:val="auto"/>
              </w:rPr>
              <w:t>Noncontrolling</w:t>
            </w:r>
          </w:p>
        </w:tc>
        <w:tc>
          <w:tcPr>
            <w:tcW w:w="12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Total</w:t>
            </w:r>
          </w:p>
        </w:tc>
      </w:tr>
      <w:tr>
        <w:trPr>
          <w:trHeight w:val="230"/>
        </w:trPr>
        <w:tc>
          <w:tcPr>
            <w:tcW w:w="2360" w:type="dxa"/>
            <w:vAlign w:val="bottom"/>
            <w:gridSpan w:val="2"/>
          </w:tcPr>
          <w:p>
            <w:pPr>
              <w:spacing w:after="0"/>
              <w:rPr>
                <w:sz w:val="20"/>
                <w:szCs w:val="20"/>
                <w:color w:val="auto"/>
              </w:rPr>
            </w:pPr>
            <w:r>
              <w:rPr>
                <w:rFonts w:ascii="Arial" w:cs="Arial" w:eastAsia="Arial" w:hAnsi="Arial"/>
                <w:sz w:val="18"/>
                <w:szCs w:val="18"/>
                <w:i w:val="1"/>
                <w:iCs w:val="1"/>
                <w:color w:val="auto"/>
              </w:rPr>
              <w:t>Share Data)</w:t>
            </w:r>
          </w:p>
        </w:tc>
        <w:tc>
          <w:tcPr>
            <w:tcW w:w="86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Stock</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ind w:right="110"/>
              <w:spacing w:after="0"/>
              <w:rPr>
                <w:sz w:val="20"/>
                <w:szCs w:val="20"/>
                <w:color w:val="auto"/>
              </w:rPr>
            </w:pPr>
            <w:r>
              <w:rPr>
                <w:rFonts w:ascii="Arial" w:cs="Arial" w:eastAsia="Arial" w:hAnsi="Arial"/>
                <w:sz w:val="18"/>
                <w:szCs w:val="18"/>
                <w:color w:val="auto"/>
                <w:w w:val="97"/>
              </w:rPr>
              <w:t>Stock</w:t>
            </w:r>
          </w:p>
        </w:tc>
        <w:tc>
          <w:tcPr>
            <w:tcW w:w="180" w:type="dxa"/>
            <w:vAlign w:val="bottom"/>
          </w:tcPr>
          <w:p>
            <w:pPr>
              <w:spacing w:after="0"/>
              <w:rPr>
                <w:sz w:val="20"/>
                <w:szCs w:val="20"/>
                <w:color w:val="auto"/>
              </w:rPr>
            </w:pPr>
          </w:p>
        </w:tc>
        <w:tc>
          <w:tcPr>
            <w:tcW w:w="980" w:type="dxa"/>
            <w:vAlign w:val="bottom"/>
            <w:gridSpan w:val="3"/>
          </w:tcPr>
          <w:p>
            <w:pPr>
              <w:jc w:val="center"/>
              <w:ind w:right="120"/>
              <w:spacing w:after="0"/>
              <w:rPr>
                <w:sz w:val="20"/>
                <w:szCs w:val="20"/>
                <w:color w:val="auto"/>
              </w:rPr>
            </w:pPr>
            <w:r>
              <w:rPr>
                <w:rFonts w:ascii="Arial" w:cs="Arial" w:eastAsia="Arial" w:hAnsi="Arial"/>
                <w:sz w:val="18"/>
                <w:szCs w:val="18"/>
                <w:color w:val="auto"/>
                <w:w w:val="93"/>
              </w:rPr>
              <w:t>in Capital</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Loss</w:t>
            </w:r>
          </w:p>
        </w:tc>
        <w:tc>
          <w:tcPr>
            <w:tcW w:w="8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w w:val="90"/>
              </w:rPr>
              <w:t>Earnings</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Equity</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ind w:left="80"/>
              <w:spacing w:after="0"/>
              <w:rPr>
                <w:sz w:val="20"/>
                <w:szCs w:val="20"/>
                <w:color w:val="auto"/>
              </w:rPr>
            </w:pPr>
            <w:r>
              <w:rPr>
                <w:rFonts w:ascii="Arial" w:cs="Arial" w:eastAsia="Arial" w:hAnsi="Arial"/>
                <w:sz w:val="18"/>
                <w:szCs w:val="18"/>
                <w:color w:val="auto"/>
              </w:rPr>
              <w:t>Interests</w:t>
            </w:r>
          </w:p>
        </w:tc>
        <w:tc>
          <w:tcPr>
            <w:tcW w:w="120" w:type="dxa"/>
            <w:vAlign w:val="bottom"/>
          </w:tcPr>
          <w:p>
            <w:pPr>
              <w:spacing w:after="0"/>
              <w:rPr>
                <w:sz w:val="20"/>
                <w:szCs w:val="20"/>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Equity</w:t>
            </w:r>
          </w:p>
        </w:tc>
      </w:tr>
      <w:tr>
        <w:trPr>
          <w:trHeight w:val="223"/>
        </w:trPr>
        <w:tc>
          <w:tcPr>
            <w:tcW w:w="2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Balance at March 31, 2020</w:t>
            </w:r>
          </w:p>
        </w:tc>
        <w:tc>
          <w:tcPr>
            <w:tcW w:w="20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62.2</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0.6</w:t>
            </w:r>
          </w:p>
        </w:tc>
        <w:tc>
          <w:tcPr>
            <w:tcW w:w="1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3,423.1</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(145.4)</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$ 2,018.6</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5,296.9</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4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5,299.4</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2360" w:type="dxa"/>
            <w:vAlign w:val="bottom"/>
            <w:gridSpan w:val="2"/>
          </w:tcPr>
          <w:p>
            <w:pPr>
              <w:ind w:left="260"/>
              <w:spacing w:after="0"/>
              <w:rPr>
                <w:sz w:val="20"/>
                <w:szCs w:val="20"/>
                <w:color w:val="auto"/>
              </w:rPr>
            </w:pPr>
            <w:r>
              <w:rPr>
                <w:rFonts w:ascii="Arial" w:cs="Arial" w:eastAsia="Arial" w:hAnsi="Arial"/>
                <w:sz w:val="18"/>
                <w:szCs w:val="18"/>
                <w:color w:val="auto"/>
                <w:w w:val="99"/>
              </w:rPr>
              <w:t>Consolidated net earnings</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217.6</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217.6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217.6</w:t>
            </w:r>
          </w:p>
        </w:tc>
        <w:tc>
          <w:tcPr>
            <w:tcW w:w="100" w:type="dxa"/>
            <w:vAlign w:val="bottom"/>
          </w:tcPr>
          <w:p>
            <w:pPr>
              <w:spacing w:after="0"/>
              <w:rPr>
                <w:sz w:val="19"/>
                <w:szCs w:val="19"/>
                <w:color w:val="auto"/>
              </w:rPr>
            </w:pPr>
          </w:p>
        </w:tc>
      </w:tr>
      <w:tr>
        <w:trPr>
          <w:trHeight w:val="215"/>
        </w:trPr>
        <w:tc>
          <w:tcPr>
            <w:tcW w:w="23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Other comprehensive</w:t>
            </w: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23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earnings,</w:t>
            </w: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236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net of tax</w:t>
            </w: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FF0FC"/>
          </w:tcPr>
          <w:p>
            <w:pPr>
              <w:spacing w:after="0"/>
              <w:rPr>
                <w:sz w:val="20"/>
                <w:szCs w:val="20"/>
                <w:color w:val="auto"/>
              </w:rPr>
            </w:pPr>
          </w:p>
        </w:tc>
      </w:tr>
      <w:tr>
        <w:trPr>
          <w:trHeight w:val="215"/>
        </w:trPr>
        <w:tc>
          <w:tcPr>
            <w:tcW w:w="2360" w:type="dxa"/>
            <w:vAlign w:val="bottom"/>
            <w:gridSpan w:val="2"/>
          </w:tcPr>
          <w:p>
            <w:pPr>
              <w:ind w:left="260"/>
              <w:spacing w:after="0"/>
              <w:rPr>
                <w:sz w:val="20"/>
                <w:szCs w:val="20"/>
                <w:color w:val="auto"/>
              </w:rPr>
            </w:pPr>
            <w:r>
              <w:rPr>
                <w:rFonts w:ascii="Arial" w:cs="Arial" w:eastAsia="Arial" w:hAnsi="Arial"/>
                <w:sz w:val="18"/>
                <w:szCs w:val="18"/>
                <w:color w:val="auto"/>
              </w:rPr>
              <w:t>Dividends declared</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360" w:type="dxa"/>
            <w:vAlign w:val="bottom"/>
            <w:gridSpan w:val="2"/>
          </w:tcPr>
          <w:p>
            <w:pPr>
              <w:ind w:left="260"/>
              <w:spacing w:after="0"/>
              <w:rPr>
                <w:sz w:val="20"/>
                <w:szCs w:val="20"/>
                <w:color w:val="auto"/>
              </w:rPr>
            </w:pPr>
            <w:r>
              <w:rPr>
                <w:rFonts w:ascii="Arial" w:cs="Arial" w:eastAsia="Arial" w:hAnsi="Arial"/>
                <w:sz w:val="18"/>
                <w:szCs w:val="18"/>
                <w:color w:val="auto"/>
              </w:rPr>
              <w:t>($0.55 per share)</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80"/>
              <w:spacing w:after="0"/>
              <w:rPr>
                <w:sz w:val="20"/>
                <w:szCs w:val="20"/>
                <w:color w:val="auto"/>
              </w:rPr>
            </w:pPr>
            <w:r>
              <w:rPr>
                <w:rFonts w:ascii="Arial" w:cs="Arial" w:eastAsia="Arial" w:hAnsi="Arial"/>
                <w:sz w:val="18"/>
                <w:szCs w:val="18"/>
                <w:color w:val="auto"/>
              </w:rPr>
              <w:t>(34.5)</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(34.5)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(34.5)</w:t>
            </w:r>
          </w:p>
        </w:tc>
      </w:tr>
      <w:tr>
        <w:trPr>
          <w:trHeight w:val="215"/>
        </w:trPr>
        <w:tc>
          <w:tcPr>
            <w:tcW w:w="23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Issuances of common</w:t>
            </w: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23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stock for stock</w:t>
            </w: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236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award plans</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FF0FC"/>
          </w:tcPr>
          <w:p>
            <w:pPr>
              <w:spacing w:after="0"/>
              <w:rPr>
                <w:sz w:val="20"/>
                <w:szCs w:val="20"/>
                <w:color w:val="auto"/>
              </w:rPr>
            </w:pPr>
          </w:p>
        </w:tc>
      </w:tr>
      <w:tr>
        <w:trPr>
          <w:trHeight w:val="215"/>
        </w:trPr>
        <w:tc>
          <w:tcPr>
            <w:tcW w:w="2360" w:type="dxa"/>
            <w:vAlign w:val="bottom"/>
            <w:gridSpan w:val="2"/>
          </w:tcPr>
          <w:p>
            <w:pPr>
              <w:ind w:left="260"/>
              <w:spacing w:after="0"/>
              <w:rPr>
                <w:sz w:val="20"/>
                <w:szCs w:val="20"/>
                <w:color w:val="auto"/>
              </w:rPr>
            </w:pPr>
            <w:r>
              <w:rPr>
                <w:rFonts w:ascii="Arial" w:cs="Arial" w:eastAsia="Arial" w:hAnsi="Arial"/>
                <w:sz w:val="18"/>
                <w:szCs w:val="18"/>
                <w:color w:val="auto"/>
              </w:rPr>
              <w:t>Shares withheld for</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60" w:type="dxa"/>
            <w:vAlign w:val="bottom"/>
            <w:gridSpan w:val="2"/>
          </w:tcPr>
          <w:p>
            <w:pPr>
              <w:ind w:left="260"/>
              <w:spacing w:after="0"/>
              <w:rPr>
                <w:sz w:val="20"/>
                <w:szCs w:val="20"/>
                <w:color w:val="auto"/>
              </w:rPr>
            </w:pPr>
            <w:r>
              <w:rPr>
                <w:rFonts w:ascii="Arial" w:cs="Arial" w:eastAsia="Arial" w:hAnsi="Arial"/>
                <w:sz w:val="18"/>
                <w:szCs w:val="18"/>
                <w:color w:val="auto"/>
              </w:rPr>
              <w:t>employees'</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360" w:type="dxa"/>
            <w:vAlign w:val="bottom"/>
            <w:gridSpan w:val="2"/>
          </w:tcPr>
          <w:p>
            <w:pPr>
              <w:ind w:left="380"/>
              <w:spacing w:after="0"/>
              <w:rPr>
                <w:sz w:val="20"/>
                <w:szCs w:val="20"/>
                <w:color w:val="auto"/>
              </w:rPr>
            </w:pPr>
            <w:r>
              <w:rPr>
                <w:rFonts w:ascii="Arial" w:cs="Arial" w:eastAsia="Arial" w:hAnsi="Arial"/>
                <w:sz w:val="18"/>
                <w:szCs w:val="18"/>
                <w:color w:val="auto"/>
              </w:rPr>
              <w:t>income tax obligations</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(0.4)</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(0.4)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(0.4)</w:t>
            </w:r>
          </w:p>
        </w:tc>
      </w:tr>
      <w:tr>
        <w:trPr>
          <w:trHeight w:val="215"/>
        </w:trPr>
        <w:tc>
          <w:tcPr>
            <w:tcW w:w="23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Stock-based</w:t>
            </w: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23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compensation expense</w:t>
            </w: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FF0FC"/>
          </w:tcPr>
          <w:p>
            <w:pPr>
              <w:spacing w:after="0"/>
              <w:rPr>
                <w:sz w:val="20"/>
                <w:szCs w:val="20"/>
                <w:color w:val="auto"/>
              </w:rPr>
            </w:pPr>
          </w:p>
        </w:tc>
      </w:tr>
      <w:tr>
        <w:trPr>
          <w:trHeight w:val="263"/>
        </w:trPr>
        <w:tc>
          <w:tcPr>
            <w:tcW w:w="236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Balance at June 30, 2020</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62.3</w:t>
            </w:r>
          </w:p>
        </w:tc>
        <w:tc>
          <w:tcPr>
            <w:tcW w:w="140" w:type="dxa"/>
            <w:vAlign w:val="bottom"/>
            <w:tcBorders>
              <w:bottom w:val="single" w:sz="8" w:color="CFF0FC"/>
            </w:tcBorders>
          </w:tcPr>
          <w:p>
            <w:pPr>
              <w:spacing w:after="0"/>
              <w:rPr>
                <w:sz w:val="22"/>
                <w:szCs w:val="22"/>
                <w:color w:val="auto"/>
              </w:rPr>
            </w:pPr>
          </w:p>
        </w:tc>
        <w:tc>
          <w:tcPr>
            <w:tcW w:w="6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8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3,431.0</w:t>
            </w:r>
          </w:p>
        </w:tc>
        <w:tc>
          <w:tcPr>
            <w:tcW w:w="12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(142.2)</w:t>
            </w:r>
          </w:p>
        </w:tc>
        <w:tc>
          <w:tcPr>
            <w:tcW w:w="1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$ 2,201.7</w:t>
            </w:r>
          </w:p>
        </w:tc>
        <w:tc>
          <w:tcPr>
            <w:tcW w:w="140" w:type="dxa"/>
            <w:vAlign w:val="bottom"/>
            <w:tcBorders>
              <w:bottom w:val="single" w:sz="8" w:color="CFF0FC"/>
            </w:tcBorders>
          </w:tcPr>
          <w:p>
            <w:pPr>
              <w:spacing w:after="0"/>
              <w:rPr>
                <w:sz w:val="22"/>
                <w:szCs w:val="22"/>
                <w:color w:val="auto"/>
              </w:rPr>
            </w:pPr>
          </w:p>
        </w:tc>
        <w:tc>
          <w:tcPr>
            <w:tcW w:w="6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5,491.1</w:t>
            </w:r>
          </w:p>
        </w:tc>
        <w:tc>
          <w:tcPr>
            <w:tcW w:w="1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42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5,493.6</w:t>
            </w:r>
          </w:p>
        </w:tc>
        <w:tc>
          <w:tcPr>
            <w:tcW w:w="100" w:type="dxa"/>
            <w:vAlign w:val="bottom"/>
            <w:tcBorders>
              <w:bottom w:val="single" w:sz="8" w:color="CFF0FC"/>
            </w:tcBorders>
          </w:tcPr>
          <w:p>
            <w:pPr>
              <w:spacing w:after="0"/>
              <w:rPr>
                <w:sz w:val="22"/>
                <w:szCs w:val="22"/>
                <w:color w:val="auto"/>
              </w:rPr>
            </w:pPr>
          </w:p>
        </w:tc>
      </w:tr>
      <w:tr>
        <w:trPr>
          <w:trHeight w:val="210"/>
        </w:trPr>
        <w:tc>
          <w:tcPr>
            <w:tcW w:w="2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5"/>
        </w:trPr>
        <w:tc>
          <w:tcPr>
            <w:tcW w:w="2360" w:type="dxa"/>
            <w:vAlign w:val="bottom"/>
            <w:gridSpan w:val="2"/>
          </w:tcPr>
          <w:p>
            <w:pPr>
              <w:spacing w:after="0"/>
              <w:rPr>
                <w:sz w:val="20"/>
                <w:szCs w:val="20"/>
                <w:color w:val="auto"/>
              </w:rPr>
            </w:pPr>
            <w:r>
              <w:rPr>
                <w:rFonts w:ascii="Arial" w:cs="Arial" w:eastAsia="Arial" w:hAnsi="Arial"/>
                <w:sz w:val="18"/>
                <w:szCs w:val="18"/>
                <w:color w:val="auto"/>
              </w:rPr>
              <w:t>Balance at December 31,</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160" w:type="dxa"/>
            <w:vAlign w:val="bottom"/>
          </w:tcPr>
          <w:p>
            <w:pPr>
              <w:spacing w:after="0"/>
              <w:rPr>
                <w:sz w:val="20"/>
                <w:szCs w:val="20"/>
                <w:color w:val="auto"/>
              </w:rPr>
            </w:pPr>
            <w:r>
              <w:rPr>
                <w:rFonts w:ascii="Arial" w:cs="Arial" w:eastAsia="Arial" w:hAnsi="Arial"/>
                <w:sz w:val="18"/>
                <w:szCs w:val="18"/>
                <w:color w:val="auto"/>
              </w:rPr>
              <w:t>2019</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62.4</w:t>
            </w:r>
          </w:p>
        </w:tc>
        <w:tc>
          <w:tcPr>
            <w:tcW w:w="14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0.6</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3,418.8</w:t>
            </w:r>
          </w:p>
        </w:tc>
        <w:tc>
          <w:tcPr>
            <w:tcW w:w="120" w:type="dxa"/>
            <w:vAlign w:val="bottom"/>
          </w:tcPr>
          <w:p>
            <w:pPr>
              <w:spacing w:after="0"/>
              <w:rPr>
                <w:sz w:val="20"/>
                <w:szCs w:val="20"/>
                <w:color w:val="auto"/>
              </w:rPr>
            </w:pPr>
          </w:p>
        </w:tc>
        <w:tc>
          <w:tcPr>
            <w:tcW w:w="3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(145.8)</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8"/>
              </w:rPr>
              <w:t>$ 2,077.2</w:t>
            </w:r>
          </w:p>
        </w:tc>
        <w:tc>
          <w:tcPr>
            <w:tcW w:w="140" w:type="dxa"/>
            <w:vAlign w:val="bottom"/>
          </w:tcPr>
          <w:p>
            <w:pPr>
              <w:spacing w:after="0"/>
              <w:rPr>
                <w:sz w:val="20"/>
                <w:szCs w:val="20"/>
                <w:color w:val="auto"/>
              </w:rPr>
            </w:pPr>
          </w:p>
        </w:tc>
        <w:tc>
          <w:tcPr>
            <w:tcW w:w="2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5,350.8</w:t>
            </w:r>
          </w:p>
        </w:tc>
        <w:tc>
          <w:tcPr>
            <w:tcW w:w="140" w:type="dxa"/>
            <w:vAlign w:val="bottom"/>
          </w:tcPr>
          <w:p>
            <w:pPr>
              <w:spacing w:after="0"/>
              <w:rPr>
                <w:sz w:val="20"/>
                <w:szCs w:val="20"/>
                <w:color w:val="auto"/>
              </w:rPr>
            </w:pP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2.5</w:t>
            </w:r>
          </w:p>
        </w:tc>
        <w:tc>
          <w:tcPr>
            <w:tcW w:w="4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5,353.3</w:t>
            </w:r>
          </w:p>
        </w:tc>
        <w:tc>
          <w:tcPr>
            <w:tcW w:w="100" w:type="dxa"/>
            <w:vAlign w:val="bottom"/>
          </w:tcPr>
          <w:p>
            <w:pPr>
              <w:spacing w:after="0"/>
              <w:rPr>
                <w:sz w:val="20"/>
                <w:szCs w:val="20"/>
                <w:color w:val="auto"/>
              </w:rPr>
            </w:pPr>
          </w:p>
        </w:tc>
      </w:tr>
      <w:tr>
        <w:trPr>
          <w:trHeight w:val="229"/>
        </w:trPr>
        <w:tc>
          <w:tcPr>
            <w:tcW w:w="23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w w:val="99"/>
              </w:rPr>
              <w:t>Consolidated net earnings</w:t>
            </w: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243.5</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243.5</w:t>
            </w:r>
          </w:p>
        </w:tc>
        <w:tc>
          <w:tcPr>
            <w:tcW w:w="100" w:type="dxa"/>
            <w:vAlign w:val="bottom"/>
            <w:shd w:val="clear" w:color="auto" w:fill="CFF0FC"/>
          </w:tcPr>
          <w:p>
            <w:pPr>
              <w:spacing w:after="0"/>
              <w:rPr>
                <w:sz w:val="19"/>
                <w:szCs w:val="19"/>
                <w:color w:val="auto"/>
              </w:rPr>
            </w:pPr>
          </w:p>
        </w:tc>
      </w:tr>
      <w:tr>
        <w:trPr>
          <w:trHeight w:val="215"/>
        </w:trPr>
        <w:tc>
          <w:tcPr>
            <w:tcW w:w="2360" w:type="dxa"/>
            <w:vAlign w:val="bottom"/>
            <w:gridSpan w:val="2"/>
          </w:tcPr>
          <w:p>
            <w:pPr>
              <w:ind w:left="260"/>
              <w:spacing w:after="0"/>
              <w:rPr>
                <w:sz w:val="20"/>
                <w:szCs w:val="20"/>
                <w:color w:val="auto"/>
              </w:rPr>
            </w:pPr>
            <w:r>
              <w:rPr>
                <w:rFonts w:ascii="Arial" w:cs="Arial" w:eastAsia="Arial" w:hAnsi="Arial"/>
                <w:sz w:val="18"/>
                <w:szCs w:val="18"/>
                <w:color w:val="auto"/>
              </w:rPr>
              <w:t>Other comprehensive</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60" w:type="dxa"/>
            <w:vAlign w:val="bottom"/>
            <w:gridSpan w:val="2"/>
          </w:tcPr>
          <w:p>
            <w:pPr>
              <w:ind w:left="260"/>
              <w:spacing w:after="0"/>
              <w:rPr>
                <w:sz w:val="20"/>
                <w:szCs w:val="20"/>
                <w:color w:val="auto"/>
              </w:rPr>
            </w:pPr>
            <w:r>
              <w:rPr>
                <w:rFonts w:ascii="Arial" w:cs="Arial" w:eastAsia="Arial" w:hAnsi="Arial"/>
                <w:sz w:val="18"/>
                <w:szCs w:val="18"/>
                <w:color w:val="auto"/>
              </w:rPr>
              <w:t>earnings,</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360" w:type="dxa"/>
            <w:vAlign w:val="bottom"/>
            <w:gridSpan w:val="2"/>
          </w:tcPr>
          <w:p>
            <w:pPr>
              <w:ind w:left="380"/>
              <w:spacing w:after="0"/>
              <w:rPr>
                <w:sz w:val="20"/>
                <w:szCs w:val="20"/>
                <w:color w:val="auto"/>
              </w:rPr>
            </w:pPr>
            <w:r>
              <w:rPr>
                <w:rFonts w:ascii="Arial" w:cs="Arial" w:eastAsia="Arial" w:hAnsi="Arial"/>
                <w:sz w:val="18"/>
                <w:szCs w:val="18"/>
                <w:color w:val="auto"/>
              </w:rPr>
              <w:t>net of tax</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0"/>
                <w:szCs w:val="20"/>
                <w:color w:val="auto"/>
              </w:rPr>
            </w:pPr>
          </w:p>
        </w:tc>
      </w:tr>
      <w:tr>
        <w:trPr>
          <w:trHeight w:val="215"/>
        </w:trPr>
        <w:tc>
          <w:tcPr>
            <w:tcW w:w="23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Dividends declared</w:t>
            </w: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23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($1.10 per share)</w:t>
            </w: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(69.0)</w:t>
            </w:r>
          </w:p>
        </w:tc>
        <w:tc>
          <w:tcPr>
            <w:tcW w:w="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(69.0)</w:t>
            </w: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(69.0)</w:t>
            </w:r>
          </w:p>
        </w:tc>
      </w:tr>
      <w:tr>
        <w:trPr>
          <w:trHeight w:val="215"/>
        </w:trPr>
        <w:tc>
          <w:tcPr>
            <w:tcW w:w="2360" w:type="dxa"/>
            <w:vAlign w:val="bottom"/>
            <w:gridSpan w:val="2"/>
          </w:tcPr>
          <w:p>
            <w:pPr>
              <w:ind w:left="260"/>
              <w:spacing w:after="0"/>
              <w:rPr>
                <w:sz w:val="20"/>
                <w:szCs w:val="20"/>
                <w:color w:val="auto"/>
              </w:rPr>
            </w:pPr>
            <w:r>
              <w:rPr>
                <w:rFonts w:ascii="Arial" w:cs="Arial" w:eastAsia="Arial" w:hAnsi="Arial"/>
                <w:sz w:val="18"/>
                <w:szCs w:val="18"/>
                <w:color w:val="auto"/>
              </w:rPr>
              <w:t>Issuances of common</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60" w:type="dxa"/>
            <w:vAlign w:val="bottom"/>
            <w:gridSpan w:val="2"/>
          </w:tcPr>
          <w:p>
            <w:pPr>
              <w:ind w:left="260"/>
              <w:spacing w:after="0"/>
              <w:rPr>
                <w:sz w:val="20"/>
                <w:szCs w:val="20"/>
                <w:color w:val="auto"/>
              </w:rPr>
            </w:pPr>
            <w:r>
              <w:rPr>
                <w:rFonts w:ascii="Arial" w:cs="Arial" w:eastAsia="Arial" w:hAnsi="Arial"/>
                <w:sz w:val="18"/>
                <w:szCs w:val="18"/>
                <w:color w:val="auto"/>
              </w:rPr>
              <w:t>stock for stock</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360" w:type="dxa"/>
            <w:vAlign w:val="bottom"/>
            <w:gridSpan w:val="2"/>
          </w:tcPr>
          <w:p>
            <w:pPr>
              <w:ind w:left="380"/>
              <w:spacing w:after="0"/>
              <w:rPr>
                <w:sz w:val="20"/>
                <w:szCs w:val="20"/>
                <w:color w:val="auto"/>
              </w:rPr>
            </w:pPr>
            <w:r>
              <w:rPr>
                <w:rFonts w:ascii="Arial" w:cs="Arial" w:eastAsia="Arial" w:hAnsi="Arial"/>
                <w:sz w:val="18"/>
                <w:szCs w:val="18"/>
                <w:color w:val="auto"/>
              </w:rPr>
              <w:t>award plans</w:t>
            </w:r>
          </w:p>
        </w:tc>
        <w:tc>
          <w:tcPr>
            <w:tcW w:w="720" w:type="dxa"/>
            <w:vAlign w:val="bottom"/>
          </w:tcPr>
          <w:p>
            <w:pPr>
              <w:jc w:val="right"/>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0"/>
                <w:szCs w:val="20"/>
                <w:color w:val="auto"/>
              </w:rPr>
            </w:pPr>
          </w:p>
        </w:tc>
      </w:tr>
      <w:tr>
        <w:trPr>
          <w:trHeight w:val="215"/>
        </w:trPr>
        <w:tc>
          <w:tcPr>
            <w:tcW w:w="23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Shares withheld for</w:t>
            </w: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23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employees'</w:t>
            </w: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236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income tax obligations</w:t>
            </w: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(13.1)</w:t>
            </w: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(13.1)</w:t>
            </w: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(13.1)</w:t>
            </w:r>
          </w:p>
        </w:tc>
      </w:tr>
      <w:tr>
        <w:trPr>
          <w:trHeight w:val="215"/>
        </w:trPr>
        <w:tc>
          <w:tcPr>
            <w:tcW w:w="2360" w:type="dxa"/>
            <w:vAlign w:val="bottom"/>
            <w:gridSpan w:val="2"/>
          </w:tcPr>
          <w:p>
            <w:pPr>
              <w:ind w:left="260"/>
              <w:spacing w:after="0"/>
              <w:rPr>
                <w:sz w:val="20"/>
                <w:szCs w:val="20"/>
                <w:color w:val="auto"/>
              </w:rPr>
            </w:pPr>
            <w:r>
              <w:rPr>
                <w:rFonts w:ascii="Arial" w:cs="Arial" w:eastAsia="Arial" w:hAnsi="Arial"/>
                <w:sz w:val="18"/>
                <w:szCs w:val="18"/>
                <w:color w:val="auto"/>
              </w:rPr>
              <w:t>Repurchases of common</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360" w:type="dxa"/>
            <w:vAlign w:val="bottom"/>
            <w:gridSpan w:val="2"/>
          </w:tcPr>
          <w:p>
            <w:pPr>
              <w:ind w:left="260"/>
              <w:spacing w:after="0"/>
              <w:rPr>
                <w:sz w:val="20"/>
                <w:szCs w:val="20"/>
                <w:color w:val="auto"/>
              </w:rPr>
            </w:pPr>
            <w:r>
              <w:rPr>
                <w:rFonts w:ascii="Arial" w:cs="Arial" w:eastAsia="Arial" w:hAnsi="Arial"/>
                <w:sz w:val="18"/>
                <w:szCs w:val="18"/>
                <w:color w:val="auto"/>
              </w:rPr>
              <w:t>stock</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(0.2)</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80"/>
              <w:spacing w:after="0"/>
              <w:rPr>
                <w:sz w:val="20"/>
                <w:szCs w:val="20"/>
                <w:color w:val="auto"/>
              </w:rPr>
            </w:pPr>
            <w:r>
              <w:rPr>
                <w:rFonts w:ascii="Arial" w:cs="Arial" w:eastAsia="Arial" w:hAnsi="Arial"/>
                <w:sz w:val="18"/>
                <w:szCs w:val="18"/>
                <w:color w:val="auto"/>
              </w:rPr>
              <w:t>(50.0)</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(50.0)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(50.0)</w:t>
            </w:r>
          </w:p>
        </w:tc>
      </w:tr>
      <w:tr>
        <w:trPr>
          <w:trHeight w:val="215"/>
        </w:trPr>
        <w:tc>
          <w:tcPr>
            <w:tcW w:w="23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Stock-based</w:t>
            </w: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23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compensation expense</w:t>
            </w: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w:t>
            </w:r>
          </w:p>
        </w:tc>
        <w:tc>
          <w:tcPr>
            <w:tcW w:w="100" w:type="dxa"/>
            <w:vAlign w:val="bottom"/>
            <w:shd w:val="clear" w:color="auto" w:fill="CFF0FC"/>
          </w:tcPr>
          <w:p>
            <w:pPr>
              <w:spacing w:after="0"/>
              <w:rPr>
                <w:sz w:val="20"/>
                <w:szCs w:val="20"/>
                <w:color w:val="auto"/>
              </w:rPr>
            </w:pPr>
          </w:p>
        </w:tc>
      </w:tr>
      <w:tr>
        <w:trPr>
          <w:trHeight w:val="223"/>
        </w:trPr>
        <w:tc>
          <w:tcPr>
            <w:tcW w:w="2360" w:type="dxa"/>
            <w:vAlign w:val="bottom"/>
            <w:gridSpan w:val="2"/>
          </w:tcPr>
          <w:p>
            <w:pPr>
              <w:spacing w:after="0"/>
              <w:rPr>
                <w:sz w:val="20"/>
                <w:szCs w:val="20"/>
                <w:color w:val="auto"/>
              </w:rPr>
            </w:pPr>
            <w:r>
              <w:rPr>
                <w:rFonts w:ascii="Arial" w:cs="Arial" w:eastAsia="Arial" w:hAnsi="Arial"/>
                <w:sz w:val="18"/>
                <w:szCs w:val="18"/>
                <w:color w:val="auto"/>
              </w:rPr>
              <w:t>Balance at June 30, 2020</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62.3</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3,431.0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$ 2,201.7</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5,491.1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4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5,493.6</w:t>
            </w:r>
          </w:p>
        </w:tc>
        <w:tc>
          <w:tcPr>
            <w:tcW w:w="100" w:type="dxa"/>
            <w:vAlign w:val="bottom"/>
          </w:tcPr>
          <w:p>
            <w:pPr>
              <w:spacing w:after="0"/>
              <w:rPr>
                <w:sz w:val="19"/>
                <w:szCs w:val="19"/>
                <w:color w:val="auto"/>
              </w:rPr>
            </w:pPr>
          </w:p>
        </w:tc>
      </w:tr>
      <w:tr>
        <w:trPr>
          <w:trHeight w:val="20"/>
        </w:trPr>
        <w:tc>
          <w:tcPr>
            <w:tcW w:w="2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See accompanying notes to the consolidated financial statements.</w:t>
      </w:r>
    </w:p>
    <w:p>
      <w:pPr>
        <w:spacing w:after="0" w:line="94" w:lineRule="exact"/>
        <w:rPr>
          <w:sz w:val="20"/>
          <w:szCs w:val="20"/>
          <w:color w:val="auto"/>
        </w:rPr>
      </w:pPr>
    </w:p>
    <w:p>
      <w:pPr>
        <w:ind w:left="5120"/>
        <w:spacing w:after="0"/>
        <w:rPr>
          <w:sz w:val="20"/>
          <w:szCs w:val="20"/>
          <w:color w:val="auto"/>
        </w:rPr>
      </w:pPr>
      <w:r>
        <w:rPr>
          <w:rFonts w:ascii="Arial" w:cs="Arial" w:eastAsia="Arial" w:hAnsi="Arial"/>
          <w:sz w:val="20"/>
          <w:szCs w:val="20"/>
          <w:color w:val="auto"/>
        </w:rPr>
        <w:t>Page 6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 w:name="page7"/>
    <w:bookmarkEnd w:id="6"/>
    <w:p>
      <w:pPr>
        <w:jc w:val="both"/>
        <w:ind w:left="2480" w:right="2460" w:firstLine="11"/>
        <w:spacing w:after="0" w:line="308" w:lineRule="auto"/>
        <w:rPr>
          <w:sz w:val="20"/>
          <w:szCs w:val="20"/>
          <w:color w:val="auto"/>
        </w:rPr>
      </w:pPr>
      <w:r>
        <w:rPr>
          <w:rFonts w:ascii="Arial" w:cs="Arial" w:eastAsia="Arial" w:hAnsi="Arial"/>
          <w:sz w:val="17"/>
          <w:szCs w:val="17"/>
          <w:color w:val="auto"/>
        </w:rPr>
        <w:t>MARTIN MARIETTA MATERIALS, INC. AND CONSOLIDATED SUBSIDIARIES (UNAUDITED) CONSOLIDATED STATEMENTS OF TOTAL EQUITY (Continued)</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Shares of</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3"/>
          </w:tcPr>
          <w:p>
            <w:pPr>
              <w:ind w:left="20"/>
              <w:spacing w:after="0"/>
              <w:rPr>
                <w:sz w:val="20"/>
                <w:szCs w:val="20"/>
                <w:color w:val="auto"/>
              </w:rPr>
            </w:pPr>
            <w:r>
              <w:rPr>
                <w:rFonts w:ascii="Arial" w:cs="Arial" w:eastAsia="Arial" w:hAnsi="Arial"/>
                <w:sz w:val="18"/>
                <w:szCs w:val="18"/>
                <w:color w:val="auto"/>
              </w:rPr>
              <w:t>Additional</w:t>
            </w:r>
          </w:p>
        </w:tc>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gridSpan w:val="2"/>
          </w:tcPr>
          <w:p>
            <w:pPr>
              <w:spacing w:after="0"/>
              <w:rPr>
                <w:sz w:val="20"/>
                <w:szCs w:val="20"/>
                <w:color w:val="auto"/>
              </w:rPr>
            </w:pPr>
            <w:r>
              <w:rPr>
                <w:rFonts w:ascii="Arial" w:cs="Arial" w:eastAsia="Arial" w:hAnsi="Arial"/>
                <w:sz w:val="18"/>
                <w:szCs w:val="18"/>
                <w:i w:val="1"/>
                <w:iCs w:val="1"/>
                <w:color w:val="auto"/>
              </w:rPr>
              <w:t>(In Millions, Except Per</w:t>
            </w:r>
          </w:p>
        </w:tc>
        <w:tc>
          <w:tcPr>
            <w:tcW w:w="92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Common</w:t>
            </w:r>
          </w:p>
        </w:tc>
        <w:tc>
          <w:tcPr>
            <w:tcW w:w="960" w:type="dxa"/>
            <w:vAlign w:val="bottom"/>
            <w:gridSpan w:val="3"/>
          </w:tcPr>
          <w:p>
            <w:pPr>
              <w:jc w:val="center"/>
              <w:ind w:right="200"/>
              <w:spacing w:after="0"/>
              <w:rPr>
                <w:sz w:val="20"/>
                <w:szCs w:val="20"/>
                <w:color w:val="auto"/>
              </w:rPr>
            </w:pPr>
            <w:r>
              <w:rPr>
                <w:rFonts w:ascii="Arial" w:cs="Arial" w:eastAsia="Arial" w:hAnsi="Arial"/>
                <w:sz w:val="18"/>
                <w:szCs w:val="18"/>
                <w:color w:val="auto"/>
                <w:w w:val="93"/>
              </w:rPr>
              <w:t>Common</w:t>
            </w:r>
          </w:p>
        </w:tc>
        <w:tc>
          <w:tcPr>
            <w:tcW w:w="14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Paid-</w:t>
            </w:r>
          </w:p>
        </w:tc>
        <w:tc>
          <w:tcPr>
            <w:tcW w:w="1700" w:type="dxa"/>
            <w:vAlign w:val="bottom"/>
            <w:gridSpan w:val="3"/>
          </w:tcPr>
          <w:p>
            <w:pPr>
              <w:ind w:left="60"/>
              <w:spacing w:after="0"/>
              <w:rPr>
                <w:sz w:val="20"/>
                <w:szCs w:val="20"/>
                <w:color w:val="auto"/>
              </w:rPr>
            </w:pPr>
            <w:r>
              <w:rPr>
                <w:rFonts w:ascii="Arial" w:cs="Arial" w:eastAsia="Arial" w:hAnsi="Arial"/>
                <w:sz w:val="18"/>
                <w:szCs w:val="18"/>
                <w:color w:val="auto"/>
              </w:rPr>
              <w:t>Accumulated Other</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Retained</w:t>
            </w:r>
          </w:p>
        </w:tc>
        <w:tc>
          <w:tcPr>
            <w:tcW w:w="1180" w:type="dxa"/>
            <w:vAlign w:val="bottom"/>
            <w:gridSpan w:val="3"/>
          </w:tcPr>
          <w:p>
            <w:pPr>
              <w:spacing w:after="0"/>
              <w:rPr>
                <w:sz w:val="20"/>
                <w:szCs w:val="20"/>
                <w:color w:val="auto"/>
              </w:rPr>
            </w:pPr>
            <w:r>
              <w:rPr>
                <w:rFonts w:ascii="Arial" w:cs="Arial" w:eastAsia="Arial" w:hAnsi="Arial"/>
                <w:sz w:val="18"/>
                <w:szCs w:val="18"/>
                <w:color w:val="auto"/>
              </w:rPr>
              <w:t>Shareholders'</w:t>
            </w:r>
          </w:p>
        </w:tc>
        <w:tc>
          <w:tcPr>
            <w:tcW w:w="1520" w:type="dxa"/>
            <w:vAlign w:val="bottom"/>
            <w:gridSpan w:val="3"/>
          </w:tcPr>
          <w:p>
            <w:pPr>
              <w:spacing w:after="0"/>
              <w:rPr>
                <w:sz w:val="20"/>
                <w:szCs w:val="20"/>
                <w:color w:val="auto"/>
              </w:rPr>
            </w:pPr>
            <w:r>
              <w:rPr>
                <w:rFonts w:ascii="Arial" w:cs="Arial" w:eastAsia="Arial" w:hAnsi="Arial"/>
                <w:sz w:val="18"/>
                <w:szCs w:val="18"/>
                <w:color w:val="auto"/>
              </w:rPr>
              <w:t>Noncontrolling</w:t>
            </w:r>
          </w:p>
        </w:tc>
        <w:tc>
          <w:tcPr>
            <w:tcW w:w="12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30"/>
        </w:trPr>
        <w:tc>
          <w:tcPr>
            <w:tcW w:w="2160" w:type="dxa"/>
            <w:vAlign w:val="bottom"/>
            <w:gridSpan w:val="2"/>
          </w:tcPr>
          <w:p>
            <w:pPr>
              <w:spacing w:after="0"/>
              <w:rPr>
                <w:sz w:val="20"/>
                <w:szCs w:val="20"/>
                <w:color w:val="auto"/>
              </w:rPr>
            </w:pPr>
            <w:r>
              <w:rPr>
                <w:rFonts w:ascii="Arial" w:cs="Arial" w:eastAsia="Arial" w:hAnsi="Arial"/>
                <w:sz w:val="18"/>
                <w:szCs w:val="18"/>
                <w:i w:val="1"/>
                <w:iCs w:val="1"/>
                <w:color w:val="auto"/>
              </w:rPr>
              <w:t>Share Data)</w:t>
            </w:r>
          </w:p>
        </w:tc>
        <w:tc>
          <w:tcPr>
            <w:tcW w:w="92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Stock</w:t>
            </w:r>
          </w:p>
        </w:tc>
        <w:tc>
          <w:tcPr>
            <w:tcW w:w="120" w:type="dxa"/>
            <w:vAlign w:val="bottom"/>
          </w:tcPr>
          <w:p>
            <w:pPr>
              <w:spacing w:after="0"/>
              <w:rPr>
                <w:sz w:val="20"/>
                <w:szCs w:val="20"/>
                <w:color w:val="auto"/>
              </w:rPr>
            </w:pPr>
          </w:p>
        </w:tc>
        <w:tc>
          <w:tcPr>
            <w:tcW w:w="84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Stock</w:t>
            </w:r>
          </w:p>
        </w:tc>
        <w:tc>
          <w:tcPr>
            <w:tcW w:w="1000" w:type="dxa"/>
            <w:vAlign w:val="bottom"/>
            <w:gridSpan w:val="3"/>
          </w:tcPr>
          <w:p>
            <w:pPr>
              <w:ind w:left="60"/>
              <w:spacing w:after="0"/>
              <w:rPr>
                <w:sz w:val="20"/>
                <w:szCs w:val="20"/>
                <w:color w:val="auto"/>
              </w:rPr>
            </w:pPr>
            <w:r>
              <w:rPr>
                <w:rFonts w:ascii="Arial" w:cs="Arial" w:eastAsia="Arial" w:hAnsi="Arial"/>
                <w:sz w:val="18"/>
                <w:szCs w:val="18"/>
                <w:color w:val="auto"/>
              </w:rPr>
              <w:t>in Capital</w:t>
            </w:r>
          </w:p>
        </w:tc>
        <w:tc>
          <w:tcPr>
            <w:tcW w:w="1700" w:type="dxa"/>
            <w:vAlign w:val="bottom"/>
            <w:gridSpan w:val="3"/>
          </w:tcPr>
          <w:p>
            <w:pPr>
              <w:spacing w:after="0"/>
              <w:rPr>
                <w:sz w:val="20"/>
                <w:szCs w:val="20"/>
                <w:color w:val="auto"/>
              </w:rPr>
            </w:pPr>
            <w:r>
              <w:rPr>
                <w:rFonts w:ascii="Arial" w:cs="Arial" w:eastAsia="Arial" w:hAnsi="Arial"/>
                <w:sz w:val="18"/>
                <w:szCs w:val="18"/>
                <w:color w:val="auto"/>
                <w:w w:val="98"/>
              </w:rPr>
              <w:t>Comprehensive Loss</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w w:val="90"/>
              </w:rPr>
              <w:t>Earnings</w:t>
            </w:r>
          </w:p>
        </w:tc>
        <w:tc>
          <w:tcPr>
            <w:tcW w:w="180" w:type="dxa"/>
            <w:vAlign w:val="bottom"/>
          </w:tcPr>
          <w:p>
            <w:pPr>
              <w:spacing w:after="0"/>
              <w:rPr>
                <w:sz w:val="20"/>
                <w:szCs w:val="20"/>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Equity</w:t>
            </w:r>
          </w:p>
        </w:tc>
        <w:tc>
          <w:tcPr>
            <w:tcW w:w="160" w:type="dxa"/>
            <w:vAlign w:val="bottom"/>
          </w:tcPr>
          <w:p>
            <w:pPr>
              <w:spacing w:after="0"/>
              <w:rPr>
                <w:sz w:val="20"/>
                <w:szCs w:val="20"/>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w w:val="98"/>
              </w:rPr>
              <w:t>Interests</w:t>
            </w:r>
          </w:p>
        </w:tc>
        <w:tc>
          <w:tcPr>
            <w:tcW w:w="120" w:type="dxa"/>
            <w:vAlign w:val="bottom"/>
          </w:tcPr>
          <w:p>
            <w:pPr>
              <w:spacing w:after="0"/>
              <w:rPr>
                <w:sz w:val="20"/>
                <w:szCs w:val="20"/>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Equity</w:t>
            </w:r>
          </w:p>
        </w:tc>
        <w:tc>
          <w:tcPr>
            <w:tcW w:w="0" w:type="dxa"/>
            <w:vAlign w:val="bottom"/>
          </w:tcPr>
          <w:p>
            <w:pPr>
              <w:spacing w:after="0"/>
              <w:rPr>
                <w:sz w:val="1"/>
                <w:szCs w:val="1"/>
                <w:color w:val="auto"/>
              </w:rPr>
            </w:pPr>
          </w:p>
        </w:tc>
      </w:tr>
      <w:tr>
        <w:trPr>
          <w:trHeight w:val="223"/>
        </w:trPr>
        <w:tc>
          <w:tcPr>
            <w:tcW w:w="198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1"/>
              </w:rPr>
              <w:t>Balance at March 31, 2019</w:t>
            </w:r>
          </w:p>
        </w:tc>
        <w:tc>
          <w:tcPr>
            <w:tcW w:w="18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62.6</w:t>
            </w:r>
          </w:p>
        </w:tc>
        <w:tc>
          <w:tcPr>
            <w:tcW w:w="18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80" w:type="dxa"/>
            <w:vAlign w:val="bottom"/>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3,406.5</w:t>
            </w:r>
          </w:p>
        </w:tc>
        <w:tc>
          <w:tcPr>
            <w:tcW w:w="180" w:type="dxa"/>
            <w:vAlign w:val="bottom"/>
          </w:tcPr>
          <w:p>
            <w:pPr>
              <w:spacing w:after="0"/>
              <w:rPr>
                <w:sz w:val="19"/>
                <w:szCs w:val="19"/>
                <w:color w:val="auto"/>
              </w:rPr>
            </w:pPr>
          </w:p>
        </w:tc>
        <w:tc>
          <w:tcPr>
            <w:tcW w:w="5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(140.3)</w:t>
            </w:r>
          </w:p>
        </w:tc>
        <w:tc>
          <w:tcPr>
            <w:tcW w:w="18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$ 1,705.7</w:t>
            </w:r>
          </w:p>
        </w:tc>
        <w:tc>
          <w:tcPr>
            <w:tcW w:w="200" w:type="dxa"/>
            <w:vAlign w:val="bottom"/>
          </w:tcPr>
          <w:p>
            <w:pPr>
              <w:spacing w:after="0"/>
              <w:rPr>
                <w:sz w:val="19"/>
                <w:szCs w:val="19"/>
                <w:color w:val="auto"/>
              </w:rPr>
            </w:pPr>
          </w:p>
        </w:tc>
        <w:tc>
          <w:tcPr>
            <w:tcW w:w="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4,972.5</w:t>
            </w:r>
          </w:p>
        </w:tc>
        <w:tc>
          <w:tcPr>
            <w:tcW w:w="20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4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4,975.5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1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Consolidated net</w:t>
            </w:r>
          </w:p>
        </w:tc>
        <w:tc>
          <w:tcPr>
            <w:tcW w:w="740" w:type="dxa"/>
            <w:vAlign w:val="bottom"/>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earnings</w:t>
            </w:r>
          </w:p>
        </w:tc>
        <w:tc>
          <w:tcPr>
            <w:tcW w:w="92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86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spacing w:after="0"/>
              <w:rPr>
                <w:sz w:val="20"/>
                <w:szCs w:val="20"/>
                <w:color w:val="auto"/>
              </w:rPr>
            </w:pPr>
          </w:p>
        </w:tc>
        <w:tc>
          <w:tcPr>
            <w:tcW w:w="112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189.5</w:t>
            </w:r>
          </w:p>
        </w:tc>
        <w:tc>
          <w:tcPr>
            <w:tcW w:w="2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189.5</w:t>
            </w:r>
          </w:p>
        </w:tc>
        <w:tc>
          <w:tcPr>
            <w:tcW w:w="200" w:type="dxa"/>
            <w:vAlign w:val="bottom"/>
            <w:tcBorders>
              <w:right w:val="single" w:sz="8" w:color="CFF0FC"/>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160" w:type="dxa"/>
            <w:vAlign w:val="bottom"/>
            <w:gridSpan w:val="2"/>
          </w:tcPr>
          <w:p>
            <w:pPr>
              <w:ind w:left="260"/>
              <w:spacing w:after="0"/>
              <w:rPr>
                <w:sz w:val="20"/>
                <w:szCs w:val="20"/>
                <w:color w:val="auto"/>
              </w:rPr>
            </w:pPr>
            <w:r>
              <w:rPr>
                <w:rFonts w:ascii="Arial" w:cs="Arial" w:eastAsia="Arial" w:hAnsi="Arial"/>
                <w:sz w:val="18"/>
                <w:szCs w:val="18"/>
                <w:color w:val="auto"/>
              </w:rPr>
              <w:t>Other comprehensive</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gridSpan w:val="2"/>
          </w:tcPr>
          <w:p>
            <w:pPr>
              <w:ind w:left="260"/>
              <w:spacing w:after="0"/>
              <w:rPr>
                <w:sz w:val="20"/>
                <w:szCs w:val="20"/>
                <w:color w:val="auto"/>
              </w:rPr>
            </w:pPr>
            <w:r>
              <w:rPr>
                <w:rFonts w:ascii="Arial" w:cs="Arial" w:eastAsia="Arial" w:hAnsi="Arial"/>
                <w:sz w:val="18"/>
                <w:szCs w:val="18"/>
                <w:color w:val="auto"/>
              </w:rPr>
              <w:t>earnings,</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60" w:type="dxa"/>
            <w:vAlign w:val="bottom"/>
            <w:gridSpan w:val="2"/>
          </w:tcPr>
          <w:p>
            <w:pPr>
              <w:ind w:left="380"/>
              <w:spacing w:after="0"/>
              <w:rPr>
                <w:sz w:val="20"/>
                <w:szCs w:val="20"/>
                <w:color w:val="auto"/>
              </w:rPr>
            </w:pPr>
            <w:r>
              <w:rPr>
                <w:rFonts w:ascii="Arial" w:cs="Arial" w:eastAsia="Arial" w:hAnsi="Arial"/>
                <w:sz w:val="18"/>
                <w:szCs w:val="18"/>
                <w:color w:val="auto"/>
              </w:rPr>
              <w:t>net of tax</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w:t>
            </w:r>
          </w:p>
        </w:tc>
        <w:tc>
          <w:tcPr>
            <w:tcW w:w="18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1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Dividends declared</w:t>
            </w:r>
          </w:p>
        </w:tc>
        <w:tc>
          <w:tcPr>
            <w:tcW w:w="740" w:type="dxa"/>
            <w:vAlign w:val="bottom"/>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($0.48 per share)</w:t>
            </w:r>
          </w:p>
        </w:tc>
        <w:tc>
          <w:tcPr>
            <w:tcW w:w="92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86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spacing w:after="0"/>
              <w:rPr>
                <w:sz w:val="20"/>
                <w:szCs w:val="20"/>
                <w:color w:val="auto"/>
              </w:rPr>
            </w:pPr>
          </w:p>
        </w:tc>
        <w:tc>
          <w:tcPr>
            <w:tcW w:w="112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(30.2)</w:t>
            </w:r>
          </w:p>
        </w:tc>
        <w:tc>
          <w:tcPr>
            <w:tcW w:w="180" w:type="dxa"/>
            <w:vAlign w:val="bottom"/>
            <w:shd w:val="clear" w:color="auto" w:fill="CFF0FC"/>
          </w:tcPr>
          <w:p>
            <w:pPr>
              <w:spacing w:after="0"/>
              <w:rPr>
                <w:sz w:val="20"/>
                <w:szCs w:val="20"/>
                <w:color w:val="auto"/>
              </w:rPr>
            </w:pPr>
          </w:p>
        </w:tc>
        <w:tc>
          <w:tcPr>
            <w:tcW w:w="100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(30.2)</w:t>
            </w:r>
          </w:p>
        </w:tc>
        <w:tc>
          <w:tcPr>
            <w:tcW w:w="16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15"/>
        </w:trPr>
        <w:tc>
          <w:tcPr>
            <w:tcW w:w="2160" w:type="dxa"/>
            <w:vAlign w:val="bottom"/>
            <w:gridSpan w:val="2"/>
          </w:tcPr>
          <w:p>
            <w:pPr>
              <w:ind w:left="260"/>
              <w:spacing w:after="0"/>
              <w:rPr>
                <w:sz w:val="20"/>
                <w:szCs w:val="20"/>
                <w:color w:val="auto"/>
              </w:rPr>
            </w:pPr>
            <w:r>
              <w:rPr>
                <w:rFonts w:ascii="Arial" w:cs="Arial" w:eastAsia="Arial" w:hAnsi="Arial"/>
                <w:sz w:val="18"/>
                <w:szCs w:val="18"/>
                <w:color w:val="auto"/>
              </w:rPr>
              <w:t>Issuances of common</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gridSpan w:val="2"/>
          </w:tcPr>
          <w:p>
            <w:pPr>
              <w:ind w:left="260"/>
              <w:spacing w:after="0"/>
              <w:rPr>
                <w:sz w:val="20"/>
                <w:szCs w:val="20"/>
                <w:color w:val="auto"/>
              </w:rPr>
            </w:pPr>
            <w:r>
              <w:rPr>
                <w:rFonts w:ascii="Arial" w:cs="Arial" w:eastAsia="Arial" w:hAnsi="Arial"/>
                <w:sz w:val="18"/>
                <w:szCs w:val="18"/>
                <w:color w:val="auto"/>
              </w:rPr>
              <w:t>stock for stock</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60" w:type="dxa"/>
            <w:vAlign w:val="bottom"/>
            <w:gridSpan w:val="2"/>
          </w:tcPr>
          <w:p>
            <w:pPr>
              <w:ind w:left="380"/>
              <w:spacing w:after="0"/>
              <w:rPr>
                <w:sz w:val="20"/>
                <w:szCs w:val="20"/>
                <w:color w:val="auto"/>
              </w:rPr>
            </w:pPr>
            <w:r>
              <w:rPr>
                <w:rFonts w:ascii="Arial" w:cs="Arial" w:eastAsia="Arial" w:hAnsi="Arial"/>
                <w:sz w:val="18"/>
                <w:szCs w:val="18"/>
                <w:color w:val="auto"/>
              </w:rPr>
              <w:t>award plans</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6.5</w:t>
            </w: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6.5</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1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Shares withheld for</w:t>
            </w:r>
          </w:p>
        </w:tc>
        <w:tc>
          <w:tcPr>
            <w:tcW w:w="740" w:type="dxa"/>
            <w:vAlign w:val="bottom"/>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employees'</w:t>
            </w:r>
          </w:p>
        </w:tc>
        <w:tc>
          <w:tcPr>
            <w:tcW w:w="740" w:type="dxa"/>
            <w:vAlign w:val="bottom"/>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income tax</w:t>
            </w:r>
          </w:p>
        </w:tc>
        <w:tc>
          <w:tcPr>
            <w:tcW w:w="740" w:type="dxa"/>
            <w:vAlign w:val="bottom"/>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obligations</w:t>
            </w:r>
          </w:p>
        </w:tc>
        <w:tc>
          <w:tcPr>
            <w:tcW w:w="92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86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(5.1)</w:t>
            </w:r>
          </w:p>
        </w:tc>
        <w:tc>
          <w:tcPr>
            <w:tcW w:w="580" w:type="dxa"/>
            <w:vAlign w:val="bottom"/>
            <w:shd w:val="clear" w:color="auto" w:fill="CFF0FC"/>
          </w:tcPr>
          <w:p>
            <w:pPr>
              <w:spacing w:after="0"/>
              <w:rPr>
                <w:sz w:val="20"/>
                <w:szCs w:val="20"/>
                <w:color w:val="auto"/>
              </w:rPr>
            </w:pPr>
          </w:p>
        </w:tc>
        <w:tc>
          <w:tcPr>
            <w:tcW w:w="112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100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(5.1)</w:t>
            </w:r>
          </w:p>
        </w:tc>
        <w:tc>
          <w:tcPr>
            <w:tcW w:w="16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5"/>
        </w:trPr>
        <w:tc>
          <w:tcPr>
            <w:tcW w:w="2160" w:type="dxa"/>
            <w:vAlign w:val="bottom"/>
            <w:gridSpan w:val="2"/>
          </w:tcPr>
          <w:p>
            <w:pPr>
              <w:ind w:left="260"/>
              <w:spacing w:after="0"/>
              <w:rPr>
                <w:sz w:val="20"/>
                <w:szCs w:val="20"/>
                <w:color w:val="auto"/>
              </w:rPr>
            </w:pPr>
            <w:r>
              <w:rPr>
                <w:rFonts w:ascii="Arial" w:cs="Arial" w:eastAsia="Arial" w:hAnsi="Arial"/>
                <w:sz w:val="18"/>
                <w:szCs w:val="18"/>
                <w:color w:val="auto"/>
              </w:rPr>
              <w:t>Repurchases of</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60" w:type="dxa"/>
            <w:vAlign w:val="bottom"/>
            <w:gridSpan w:val="2"/>
          </w:tcPr>
          <w:p>
            <w:pPr>
              <w:ind w:left="260"/>
              <w:spacing w:after="0"/>
              <w:rPr>
                <w:sz w:val="20"/>
                <w:szCs w:val="20"/>
                <w:color w:val="auto"/>
              </w:rPr>
            </w:pPr>
            <w:r>
              <w:rPr>
                <w:rFonts w:ascii="Arial" w:cs="Arial" w:eastAsia="Arial" w:hAnsi="Arial"/>
                <w:sz w:val="18"/>
                <w:szCs w:val="18"/>
                <w:color w:val="auto"/>
              </w:rPr>
              <w:t>common stock</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(50.0)</w:t>
            </w:r>
          </w:p>
        </w:tc>
        <w:tc>
          <w:tcPr>
            <w:tcW w:w="18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(50.0)</w:t>
            </w:r>
          </w:p>
        </w:tc>
        <w:tc>
          <w:tcPr>
            <w:tcW w:w="160" w:type="dxa"/>
            <w:vAlign w:val="bottom"/>
          </w:tcPr>
          <w:p>
            <w:pPr>
              <w:spacing w:after="0"/>
              <w:rPr>
                <w:sz w:val="20"/>
                <w:szCs w:val="20"/>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5"/>
        </w:trPr>
        <w:tc>
          <w:tcPr>
            <w:tcW w:w="21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Stock-based</w:t>
            </w:r>
          </w:p>
        </w:tc>
        <w:tc>
          <w:tcPr>
            <w:tcW w:w="740" w:type="dxa"/>
            <w:vAlign w:val="bottom"/>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compensation expense</w:t>
            </w:r>
          </w:p>
        </w:tc>
        <w:tc>
          <w:tcPr>
            <w:tcW w:w="92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w:t>
            </w:r>
          </w:p>
        </w:tc>
        <w:tc>
          <w:tcPr>
            <w:tcW w:w="180" w:type="dxa"/>
            <w:vAlign w:val="bottom"/>
            <w:tcBorders>
              <w:right w:val="single" w:sz="8" w:color="CFF0FC"/>
            </w:tcBorders>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12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w:t>
            </w:r>
          </w:p>
        </w:tc>
        <w:tc>
          <w:tcPr>
            <w:tcW w:w="200" w:type="dxa"/>
            <w:vAlign w:val="bottom"/>
            <w:tcBorders>
              <w:right w:val="single" w:sz="8" w:color="CFF0FC"/>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160" w:type="dxa"/>
            <w:vAlign w:val="bottom"/>
            <w:gridSpan w:val="2"/>
          </w:tcPr>
          <w:p>
            <w:pPr>
              <w:ind w:left="260"/>
              <w:spacing w:after="0"/>
              <w:rPr>
                <w:sz w:val="20"/>
                <w:szCs w:val="20"/>
                <w:color w:val="auto"/>
              </w:rPr>
            </w:pPr>
            <w:r>
              <w:rPr>
                <w:rFonts w:ascii="Arial" w:cs="Arial" w:eastAsia="Arial" w:hAnsi="Arial"/>
                <w:sz w:val="18"/>
                <w:szCs w:val="18"/>
                <w:color w:val="auto"/>
              </w:rPr>
              <w:t>Distributions to owners</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gridSpan w:val="2"/>
          </w:tcPr>
          <w:p>
            <w:pPr>
              <w:ind w:left="260"/>
              <w:spacing w:after="0"/>
              <w:rPr>
                <w:sz w:val="20"/>
                <w:szCs w:val="20"/>
                <w:color w:val="auto"/>
              </w:rPr>
            </w:pPr>
            <w:r>
              <w:rPr>
                <w:rFonts w:ascii="Arial" w:cs="Arial" w:eastAsia="Arial" w:hAnsi="Arial"/>
                <w:sz w:val="18"/>
                <w:szCs w:val="18"/>
                <w:color w:val="auto"/>
              </w:rPr>
              <w:t>of</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gridSpan w:val="2"/>
          </w:tcPr>
          <w:p>
            <w:pPr>
              <w:ind w:left="380"/>
              <w:spacing w:after="0"/>
              <w:rPr>
                <w:sz w:val="20"/>
                <w:szCs w:val="20"/>
                <w:color w:val="auto"/>
              </w:rPr>
            </w:pPr>
            <w:r>
              <w:rPr>
                <w:rFonts w:ascii="Arial" w:cs="Arial" w:eastAsia="Arial" w:hAnsi="Arial"/>
                <w:sz w:val="18"/>
                <w:szCs w:val="18"/>
                <w:color w:val="auto"/>
              </w:rPr>
              <w:t>noncontrolling</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60" w:type="dxa"/>
            <w:vAlign w:val="bottom"/>
            <w:gridSpan w:val="2"/>
          </w:tcPr>
          <w:p>
            <w:pPr>
              <w:ind w:left="260"/>
              <w:spacing w:after="0"/>
              <w:rPr>
                <w:sz w:val="20"/>
                <w:szCs w:val="20"/>
                <w:color w:val="auto"/>
              </w:rPr>
            </w:pPr>
            <w:r>
              <w:rPr>
                <w:rFonts w:ascii="Arial" w:cs="Arial" w:eastAsia="Arial" w:hAnsi="Arial"/>
                <w:sz w:val="18"/>
                <w:szCs w:val="18"/>
                <w:color w:val="auto"/>
              </w:rPr>
              <w:t>interest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0"/>
                <w:szCs w:val="20"/>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0"/>
        </w:trPr>
        <w:tc>
          <w:tcPr>
            <w:tcW w:w="2160" w:type="dxa"/>
            <w:vAlign w:val="bottom"/>
            <w:gridSpan w:val="2"/>
            <w:vMerge w:val="restart"/>
            <w:shd w:val="clear" w:color="auto" w:fill="CFF0FC"/>
          </w:tcPr>
          <w:p>
            <w:pPr>
              <w:spacing w:after="0"/>
              <w:rPr>
                <w:sz w:val="20"/>
                <w:szCs w:val="20"/>
                <w:color w:val="auto"/>
              </w:rPr>
            </w:pPr>
            <w:r>
              <w:rPr>
                <w:rFonts w:ascii="Arial" w:cs="Arial" w:eastAsia="Arial" w:hAnsi="Arial"/>
                <w:sz w:val="18"/>
                <w:szCs w:val="18"/>
                <w:color w:val="auto"/>
              </w:rPr>
              <w:t>Balance at June 30, 2019</w:t>
            </w:r>
          </w:p>
        </w:tc>
        <w:tc>
          <w:tcPr>
            <w:tcW w:w="740" w:type="dxa"/>
            <w:vAlign w:val="bottom"/>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160" w:type="dxa"/>
            <w:vAlign w:val="bottom"/>
            <w:gridSpan w:val="2"/>
            <w:vMerge w:val="continue"/>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62.4</w:t>
            </w:r>
          </w:p>
        </w:tc>
        <w:tc>
          <w:tcPr>
            <w:tcW w:w="18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3,416.6</w:t>
            </w:r>
          </w:p>
        </w:tc>
        <w:tc>
          <w:tcPr>
            <w:tcW w:w="180" w:type="dxa"/>
            <w:vAlign w:val="bottom"/>
            <w:tcBorders>
              <w:right w:val="single" w:sz="8" w:color="CFF0FC"/>
            </w:tcBorders>
            <w:shd w:val="clear" w:color="auto" w:fill="CFF0FC"/>
          </w:tcPr>
          <w:p>
            <w:pPr>
              <w:spacing w:after="0"/>
              <w:rPr>
                <w:sz w:val="19"/>
                <w:szCs w:val="19"/>
                <w:color w:val="auto"/>
              </w:rPr>
            </w:pPr>
          </w:p>
        </w:tc>
        <w:tc>
          <w:tcPr>
            <w:tcW w:w="5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(137.3)</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$ 1,815.0</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5,094.9</w:t>
            </w:r>
          </w:p>
        </w:tc>
        <w:tc>
          <w:tcPr>
            <w:tcW w:w="20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4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5,097.3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Balance at December 31,</w:t>
            </w:r>
          </w:p>
        </w:tc>
        <w:tc>
          <w:tcPr>
            <w:tcW w:w="740" w:type="dxa"/>
            <w:vAlign w:val="bottom"/>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80" w:type="dxa"/>
            <w:vAlign w:val="bottom"/>
            <w:shd w:val="clear" w:color="auto" w:fill="CFF0FC"/>
          </w:tcPr>
          <w:p>
            <w:pPr>
              <w:spacing w:after="0"/>
              <w:rPr>
                <w:sz w:val="20"/>
                <w:szCs w:val="20"/>
                <w:color w:val="auto"/>
              </w:rPr>
            </w:pPr>
            <w:r>
              <w:rPr>
                <w:rFonts w:ascii="Arial" w:cs="Arial" w:eastAsia="Arial" w:hAnsi="Arial"/>
                <w:sz w:val="18"/>
                <w:szCs w:val="18"/>
                <w:color w:val="auto"/>
              </w:rPr>
              <w:t>2018</w:t>
            </w:r>
          </w:p>
        </w:tc>
        <w:tc>
          <w:tcPr>
            <w:tcW w:w="18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62.5</w:t>
            </w:r>
          </w:p>
        </w:tc>
        <w:tc>
          <w:tcPr>
            <w:tcW w:w="180" w:type="dxa"/>
            <w:vAlign w:val="bottom"/>
            <w:tcBorders>
              <w:right w:val="single" w:sz="8" w:color="CFF0FC"/>
            </w:tcBorders>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w:t>
            </w:r>
          </w:p>
        </w:tc>
        <w:tc>
          <w:tcPr>
            <w:tcW w:w="1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3,396.1</w:t>
            </w:r>
          </w:p>
        </w:tc>
        <w:tc>
          <w:tcPr>
            <w:tcW w:w="180" w:type="dxa"/>
            <w:vAlign w:val="bottom"/>
            <w:tcBorders>
              <w:right w:val="single" w:sz="8" w:color="CFF0FC"/>
            </w:tcBorders>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(143.6)</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$ 1,693.3</w:t>
            </w:r>
          </w:p>
        </w:tc>
        <w:tc>
          <w:tcPr>
            <w:tcW w:w="2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4,946.4</w:t>
            </w:r>
          </w:p>
        </w:tc>
        <w:tc>
          <w:tcPr>
            <w:tcW w:w="200" w:type="dxa"/>
            <w:vAlign w:val="bottom"/>
            <w:tcBorders>
              <w:right w:val="single" w:sz="8" w:color="CFF0FC"/>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40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4,949.4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160" w:type="dxa"/>
            <w:vAlign w:val="bottom"/>
            <w:gridSpan w:val="2"/>
          </w:tcPr>
          <w:p>
            <w:pPr>
              <w:ind w:left="260"/>
              <w:spacing w:after="0"/>
              <w:rPr>
                <w:sz w:val="20"/>
                <w:szCs w:val="20"/>
                <w:color w:val="auto"/>
              </w:rPr>
            </w:pPr>
            <w:r>
              <w:rPr>
                <w:rFonts w:ascii="Arial" w:cs="Arial" w:eastAsia="Arial" w:hAnsi="Arial"/>
                <w:sz w:val="18"/>
                <w:szCs w:val="18"/>
                <w:color w:val="auto"/>
              </w:rPr>
              <w:t>Consolidated net</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60" w:type="dxa"/>
            <w:vAlign w:val="bottom"/>
            <w:gridSpan w:val="2"/>
          </w:tcPr>
          <w:p>
            <w:pPr>
              <w:ind w:left="260"/>
              <w:spacing w:after="0"/>
              <w:rPr>
                <w:sz w:val="20"/>
                <w:szCs w:val="20"/>
                <w:color w:val="auto"/>
              </w:rPr>
            </w:pPr>
            <w:r>
              <w:rPr>
                <w:rFonts w:ascii="Arial" w:cs="Arial" w:eastAsia="Arial" w:hAnsi="Arial"/>
                <w:sz w:val="18"/>
                <w:szCs w:val="18"/>
                <w:color w:val="auto"/>
              </w:rPr>
              <w:t>earnings</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232.3</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232.3</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1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Other comprehensive</w:t>
            </w:r>
          </w:p>
        </w:tc>
        <w:tc>
          <w:tcPr>
            <w:tcW w:w="740" w:type="dxa"/>
            <w:vAlign w:val="bottom"/>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earnings,</w:t>
            </w:r>
          </w:p>
        </w:tc>
        <w:tc>
          <w:tcPr>
            <w:tcW w:w="740" w:type="dxa"/>
            <w:vAlign w:val="bottom"/>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6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net of tax</w:t>
            </w:r>
          </w:p>
        </w:tc>
        <w:tc>
          <w:tcPr>
            <w:tcW w:w="92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86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180" w:type="dxa"/>
            <w:vAlign w:val="bottom"/>
            <w:tcBorders>
              <w:right w:val="single" w:sz="8" w:color="CFF0FC"/>
            </w:tcBorders>
            <w:shd w:val="clear" w:color="auto" w:fill="CFF0FC"/>
          </w:tcPr>
          <w:p>
            <w:pPr>
              <w:spacing w:after="0"/>
              <w:rPr>
                <w:sz w:val="20"/>
                <w:szCs w:val="20"/>
                <w:color w:val="auto"/>
              </w:rPr>
            </w:pP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200" w:type="dxa"/>
            <w:vAlign w:val="bottom"/>
            <w:tcBorders>
              <w:right w:val="single" w:sz="8" w:color="CFF0FC"/>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160" w:type="dxa"/>
            <w:vAlign w:val="bottom"/>
            <w:gridSpan w:val="2"/>
          </w:tcPr>
          <w:p>
            <w:pPr>
              <w:ind w:left="260"/>
              <w:spacing w:after="0"/>
              <w:rPr>
                <w:sz w:val="20"/>
                <w:szCs w:val="20"/>
                <w:color w:val="auto"/>
              </w:rPr>
            </w:pPr>
            <w:r>
              <w:rPr>
                <w:rFonts w:ascii="Arial" w:cs="Arial" w:eastAsia="Arial" w:hAnsi="Arial"/>
                <w:sz w:val="18"/>
                <w:szCs w:val="18"/>
                <w:color w:val="auto"/>
              </w:rPr>
              <w:t>Dividends declared</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60" w:type="dxa"/>
            <w:vAlign w:val="bottom"/>
            <w:gridSpan w:val="2"/>
          </w:tcPr>
          <w:p>
            <w:pPr>
              <w:ind w:left="260"/>
              <w:spacing w:after="0"/>
              <w:rPr>
                <w:sz w:val="20"/>
                <w:szCs w:val="20"/>
                <w:color w:val="auto"/>
              </w:rPr>
            </w:pPr>
            <w:r>
              <w:rPr>
                <w:rFonts w:ascii="Arial" w:cs="Arial" w:eastAsia="Arial" w:hAnsi="Arial"/>
                <w:sz w:val="18"/>
                <w:szCs w:val="18"/>
                <w:color w:val="auto"/>
              </w:rPr>
              <w:t>($0.96 per share)</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(60.6)</w:t>
            </w:r>
          </w:p>
        </w:tc>
        <w:tc>
          <w:tcPr>
            <w:tcW w:w="18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(60.6)</w:t>
            </w:r>
          </w:p>
        </w:tc>
        <w:tc>
          <w:tcPr>
            <w:tcW w:w="160" w:type="dxa"/>
            <w:vAlign w:val="bottom"/>
          </w:tcPr>
          <w:p>
            <w:pPr>
              <w:spacing w:after="0"/>
              <w:rPr>
                <w:sz w:val="20"/>
                <w:szCs w:val="20"/>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r>
        <w:trPr>
          <w:trHeight w:val="215"/>
        </w:trPr>
        <w:tc>
          <w:tcPr>
            <w:tcW w:w="21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Issuances of common</w:t>
            </w:r>
          </w:p>
        </w:tc>
        <w:tc>
          <w:tcPr>
            <w:tcW w:w="740" w:type="dxa"/>
            <w:vAlign w:val="bottom"/>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stock for stock</w:t>
            </w:r>
          </w:p>
        </w:tc>
        <w:tc>
          <w:tcPr>
            <w:tcW w:w="740" w:type="dxa"/>
            <w:vAlign w:val="bottom"/>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6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award plans</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180" w:type="dxa"/>
            <w:vAlign w:val="bottom"/>
            <w:tcBorders>
              <w:right w:val="single" w:sz="8" w:color="CFF0FC"/>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w:t>
            </w:r>
          </w:p>
        </w:tc>
        <w:tc>
          <w:tcPr>
            <w:tcW w:w="180" w:type="dxa"/>
            <w:vAlign w:val="bottom"/>
            <w:tcBorders>
              <w:right w:val="single" w:sz="8" w:color="CFF0FC"/>
            </w:tcBorders>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12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w:t>
            </w:r>
          </w:p>
        </w:tc>
        <w:tc>
          <w:tcPr>
            <w:tcW w:w="200" w:type="dxa"/>
            <w:vAlign w:val="bottom"/>
            <w:tcBorders>
              <w:right w:val="single" w:sz="8" w:color="CFF0FC"/>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160" w:type="dxa"/>
            <w:vAlign w:val="bottom"/>
            <w:gridSpan w:val="2"/>
          </w:tcPr>
          <w:p>
            <w:pPr>
              <w:ind w:left="260"/>
              <w:spacing w:after="0"/>
              <w:rPr>
                <w:sz w:val="20"/>
                <w:szCs w:val="20"/>
                <w:color w:val="auto"/>
              </w:rPr>
            </w:pPr>
            <w:r>
              <w:rPr>
                <w:rFonts w:ascii="Arial" w:cs="Arial" w:eastAsia="Arial" w:hAnsi="Arial"/>
                <w:sz w:val="18"/>
                <w:szCs w:val="18"/>
                <w:color w:val="auto"/>
              </w:rPr>
              <w:t>Shares withheld for</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gridSpan w:val="2"/>
          </w:tcPr>
          <w:p>
            <w:pPr>
              <w:ind w:left="260"/>
              <w:spacing w:after="0"/>
              <w:rPr>
                <w:sz w:val="20"/>
                <w:szCs w:val="20"/>
                <w:color w:val="auto"/>
              </w:rPr>
            </w:pPr>
            <w:r>
              <w:rPr>
                <w:rFonts w:ascii="Arial" w:cs="Arial" w:eastAsia="Arial" w:hAnsi="Arial"/>
                <w:sz w:val="18"/>
                <w:szCs w:val="18"/>
                <w:color w:val="auto"/>
              </w:rPr>
              <w:t>employees'</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gridSpan w:val="2"/>
          </w:tcPr>
          <w:p>
            <w:pPr>
              <w:ind w:left="340"/>
              <w:spacing w:after="0"/>
              <w:rPr>
                <w:sz w:val="20"/>
                <w:szCs w:val="20"/>
                <w:color w:val="auto"/>
              </w:rPr>
            </w:pPr>
            <w:r>
              <w:rPr>
                <w:rFonts w:ascii="Arial" w:cs="Arial" w:eastAsia="Arial" w:hAnsi="Arial"/>
                <w:sz w:val="18"/>
                <w:szCs w:val="18"/>
                <w:color w:val="auto"/>
              </w:rPr>
              <w:t>income tax</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60" w:type="dxa"/>
            <w:vAlign w:val="bottom"/>
            <w:gridSpan w:val="2"/>
          </w:tcPr>
          <w:p>
            <w:pPr>
              <w:ind w:left="260"/>
              <w:spacing w:after="0"/>
              <w:rPr>
                <w:sz w:val="20"/>
                <w:szCs w:val="20"/>
                <w:color w:val="auto"/>
              </w:rPr>
            </w:pPr>
            <w:r>
              <w:rPr>
                <w:rFonts w:ascii="Arial" w:cs="Arial" w:eastAsia="Arial" w:hAnsi="Arial"/>
                <w:sz w:val="18"/>
                <w:szCs w:val="18"/>
                <w:color w:val="auto"/>
              </w:rPr>
              <w:t>obligations</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(12.3)</w:t>
            </w:r>
          </w:p>
        </w:tc>
        <w:tc>
          <w:tcPr>
            <w:tcW w:w="58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(12.3)</w:t>
            </w:r>
          </w:p>
        </w:tc>
        <w:tc>
          <w:tcPr>
            <w:tcW w:w="160" w:type="dxa"/>
            <w:vAlign w:val="bottom"/>
          </w:tcPr>
          <w:p>
            <w:pPr>
              <w:spacing w:after="0"/>
              <w:rPr>
                <w:sz w:val="20"/>
                <w:szCs w:val="20"/>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5"/>
        </w:trPr>
        <w:tc>
          <w:tcPr>
            <w:tcW w:w="21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Repurchases of</w:t>
            </w:r>
          </w:p>
        </w:tc>
        <w:tc>
          <w:tcPr>
            <w:tcW w:w="740" w:type="dxa"/>
            <w:vAlign w:val="bottom"/>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common stock</w:t>
            </w:r>
          </w:p>
        </w:tc>
        <w:tc>
          <w:tcPr>
            <w:tcW w:w="92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86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spacing w:after="0"/>
              <w:rPr>
                <w:sz w:val="20"/>
                <w:szCs w:val="20"/>
                <w:color w:val="auto"/>
              </w:rPr>
            </w:pPr>
          </w:p>
        </w:tc>
        <w:tc>
          <w:tcPr>
            <w:tcW w:w="112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(50.0)</w:t>
            </w:r>
          </w:p>
        </w:tc>
        <w:tc>
          <w:tcPr>
            <w:tcW w:w="180" w:type="dxa"/>
            <w:vAlign w:val="bottom"/>
            <w:shd w:val="clear" w:color="auto" w:fill="CFF0FC"/>
          </w:tcPr>
          <w:p>
            <w:pPr>
              <w:spacing w:after="0"/>
              <w:rPr>
                <w:sz w:val="20"/>
                <w:szCs w:val="20"/>
                <w:color w:val="auto"/>
              </w:rPr>
            </w:pPr>
          </w:p>
        </w:tc>
        <w:tc>
          <w:tcPr>
            <w:tcW w:w="100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(50.0)</w:t>
            </w:r>
          </w:p>
        </w:tc>
        <w:tc>
          <w:tcPr>
            <w:tcW w:w="16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5"/>
        </w:trPr>
        <w:tc>
          <w:tcPr>
            <w:tcW w:w="2160" w:type="dxa"/>
            <w:vAlign w:val="bottom"/>
            <w:gridSpan w:val="2"/>
          </w:tcPr>
          <w:p>
            <w:pPr>
              <w:ind w:left="260"/>
              <w:spacing w:after="0"/>
              <w:rPr>
                <w:sz w:val="20"/>
                <w:szCs w:val="20"/>
                <w:color w:val="auto"/>
              </w:rPr>
            </w:pPr>
            <w:r>
              <w:rPr>
                <w:rFonts w:ascii="Arial" w:cs="Arial" w:eastAsia="Arial" w:hAnsi="Arial"/>
                <w:sz w:val="18"/>
                <w:szCs w:val="18"/>
                <w:color w:val="auto"/>
              </w:rPr>
              <w:t>Stock-based</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60" w:type="dxa"/>
            <w:vAlign w:val="bottom"/>
            <w:gridSpan w:val="2"/>
          </w:tcPr>
          <w:p>
            <w:pPr>
              <w:ind w:left="260"/>
              <w:spacing w:after="0"/>
              <w:rPr>
                <w:sz w:val="20"/>
                <w:szCs w:val="20"/>
                <w:color w:val="auto"/>
              </w:rPr>
            </w:pPr>
            <w:r>
              <w:rPr>
                <w:rFonts w:ascii="Arial" w:cs="Arial" w:eastAsia="Arial" w:hAnsi="Arial"/>
                <w:sz w:val="18"/>
                <w:szCs w:val="18"/>
                <w:color w:val="auto"/>
              </w:rPr>
              <w:t>compensation expense</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22.3</w:t>
            </w: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22.3</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1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Distributions to owners</w:t>
            </w:r>
          </w:p>
        </w:tc>
        <w:tc>
          <w:tcPr>
            <w:tcW w:w="740" w:type="dxa"/>
            <w:vAlign w:val="bottom"/>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of</w:t>
            </w:r>
          </w:p>
        </w:tc>
        <w:tc>
          <w:tcPr>
            <w:tcW w:w="740" w:type="dxa"/>
            <w:vAlign w:val="bottom"/>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noncontrolling</w:t>
            </w:r>
          </w:p>
        </w:tc>
        <w:tc>
          <w:tcPr>
            <w:tcW w:w="740" w:type="dxa"/>
            <w:vAlign w:val="bottom"/>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interest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FF0FC"/>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FF0FC"/>
            </w:tcBorders>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FF0FC"/>
            </w:tcBorders>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FF0FC"/>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0"/>
        </w:trPr>
        <w:tc>
          <w:tcPr>
            <w:tcW w:w="2160" w:type="dxa"/>
            <w:vAlign w:val="bottom"/>
            <w:gridSpan w:val="2"/>
            <w:vMerge w:val="restart"/>
          </w:tcPr>
          <w:p>
            <w:pPr>
              <w:spacing w:after="0"/>
              <w:rPr>
                <w:sz w:val="20"/>
                <w:szCs w:val="20"/>
                <w:color w:val="auto"/>
              </w:rPr>
            </w:pPr>
            <w:r>
              <w:rPr>
                <w:rFonts w:ascii="Arial" w:cs="Arial" w:eastAsia="Arial" w:hAnsi="Arial"/>
                <w:sz w:val="18"/>
                <w:szCs w:val="18"/>
                <w:color w:val="auto"/>
              </w:rPr>
              <w:t>Balance at June 30, 2019</w:t>
            </w: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160" w:type="dxa"/>
            <w:vAlign w:val="bottom"/>
            <w:gridSpan w:val="2"/>
            <w:vMerge w:val="continue"/>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62.4</w:t>
            </w:r>
          </w:p>
        </w:tc>
        <w:tc>
          <w:tcPr>
            <w:tcW w:w="1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0.6</w:t>
            </w:r>
          </w:p>
        </w:tc>
        <w:tc>
          <w:tcPr>
            <w:tcW w:w="18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3,416.6</w:t>
            </w:r>
          </w:p>
        </w:tc>
        <w:tc>
          <w:tcPr>
            <w:tcW w:w="180" w:type="dxa"/>
            <w:vAlign w:val="bottom"/>
          </w:tcPr>
          <w:p>
            <w:pPr>
              <w:spacing w:after="0"/>
              <w:rPr>
                <w:sz w:val="19"/>
                <w:szCs w:val="19"/>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(137.3)</w:t>
            </w:r>
          </w:p>
        </w:tc>
        <w:tc>
          <w:tcPr>
            <w:tcW w:w="700" w:type="dxa"/>
            <w:vAlign w:val="bottom"/>
          </w:tcPr>
          <w:p>
            <w:pPr>
              <w:jc w:val="right"/>
              <w:spacing w:after="0"/>
              <w:rPr>
                <w:sz w:val="20"/>
                <w:szCs w:val="20"/>
                <w:color w:val="auto"/>
              </w:rPr>
            </w:pPr>
            <w:r>
              <w:rPr>
                <w:rFonts w:ascii="Arial" w:cs="Arial" w:eastAsia="Arial" w:hAnsi="Arial"/>
                <w:sz w:val="18"/>
                <w:szCs w:val="18"/>
                <w:color w:val="auto"/>
                <w:w w:val="90"/>
              </w:rPr>
              <w:t>$ 1,815.0</w:t>
            </w:r>
          </w:p>
        </w:tc>
        <w:tc>
          <w:tcPr>
            <w:tcW w:w="20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5,094.9</w:t>
            </w:r>
          </w:p>
        </w:tc>
        <w:tc>
          <w:tcPr>
            <w:tcW w:w="20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2.4</w:t>
            </w:r>
          </w:p>
        </w:tc>
        <w:tc>
          <w:tcPr>
            <w:tcW w:w="4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5,097.3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See accompanying notes to the consolidated financial statements.</w:t>
      </w:r>
    </w:p>
    <w:p>
      <w:pPr>
        <w:spacing w:after="0" w:line="94" w:lineRule="exact"/>
        <w:rPr>
          <w:sz w:val="20"/>
          <w:szCs w:val="20"/>
          <w:color w:val="auto"/>
        </w:rPr>
      </w:pPr>
    </w:p>
    <w:p>
      <w:pPr>
        <w:ind w:left="5120"/>
        <w:spacing w:after="0"/>
        <w:rPr>
          <w:sz w:val="20"/>
          <w:szCs w:val="20"/>
          <w:color w:val="auto"/>
        </w:rPr>
      </w:pPr>
      <w:r>
        <w:rPr>
          <w:rFonts w:ascii="Arial" w:cs="Arial" w:eastAsia="Arial" w:hAnsi="Arial"/>
          <w:sz w:val="20"/>
          <w:szCs w:val="20"/>
          <w:color w:val="auto"/>
        </w:rPr>
        <w:t>Page 7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June 30, 2020</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15" w:lineRule="exact"/>
        <w:rPr>
          <w:sz w:val="20"/>
          <w:szCs w:val="20"/>
          <w:color w:val="auto"/>
        </w:rPr>
      </w:pPr>
    </w:p>
    <w:p>
      <w:pPr>
        <w:ind w:left="380" w:right="8260" w:hanging="372"/>
        <w:spacing w:after="0" w:line="355" w:lineRule="auto"/>
        <w:tabs>
          <w:tab w:leader="none" w:pos="370" w:val="left"/>
        </w:tabs>
        <w:numPr>
          <w:ilvl w:val="0"/>
          <w:numId w:val="3"/>
        </w:numPr>
        <w:rPr>
          <w:rFonts w:ascii="Arial" w:cs="Arial" w:eastAsia="Arial" w:hAnsi="Arial"/>
          <w:sz w:val="20"/>
          <w:szCs w:val="20"/>
          <w:b w:val="1"/>
          <w:bCs w:val="1"/>
          <w:color w:val="auto"/>
        </w:rPr>
      </w:pPr>
      <w:r>
        <w:rPr>
          <w:rFonts w:ascii="Arial" w:cs="Arial" w:eastAsia="Arial" w:hAnsi="Arial"/>
          <w:sz w:val="20"/>
          <w:szCs w:val="20"/>
          <w:b w:val="1"/>
          <w:bCs w:val="1"/>
          <w:color w:val="auto"/>
        </w:rPr>
        <w:t>Significant Accounting Policies Organization</w:t>
      </w:r>
    </w:p>
    <w:p>
      <w:pPr>
        <w:jc w:val="both"/>
        <w:ind w:left="380"/>
        <w:spacing w:after="0" w:line="242" w:lineRule="auto"/>
        <w:rPr>
          <w:rFonts w:ascii="Arial" w:cs="Arial" w:eastAsia="Arial" w:hAnsi="Arial"/>
          <w:sz w:val="20"/>
          <w:szCs w:val="20"/>
          <w:b w:val="1"/>
          <w:bCs w:val="1"/>
          <w:color w:val="auto"/>
        </w:rPr>
      </w:pPr>
      <w:r>
        <w:rPr>
          <w:rFonts w:ascii="Arial" w:cs="Arial" w:eastAsia="Arial" w:hAnsi="Arial"/>
          <w:sz w:val="20"/>
          <w:szCs w:val="20"/>
          <w:color w:val="auto"/>
        </w:rPr>
        <w:t>Martin Marietta Materials, Inc. (the Company or Martin Marietta) is a natural resource-based building materials company. The Company supplies aggregates (crushed stone, sand and gravel) through its network of approximately 300 quarries, mines and distribution yards in 27 states, Canada and The Bahamas. In the southwestern and western United States, Martin Marietta also provides cement and downstream products and services, namely, ready mixed concrete, asphalt and paving, in vertically-integrated structured markets where the Company has a leading aggregates position. The Company’s heavy-side building materials are used in infrastructure, nonresidential and residential construction projects. Aggregates are also used in agricultural, utility and environmental applications and as railroad ballast. The aggregates, cement, ready mixed concrete and asphalt and paving product lines are reported collectively as the “Building Materials” business.</w:t>
      </w:r>
    </w:p>
    <w:p>
      <w:pPr>
        <w:spacing w:after="0" w:line="88" w:lineRule="exact"/>
        <w:rPr>
          <w:rFonts w:ascii="Arial" w:cs="Arial" w:eastAsia="Arial" w:hAnsi="Arial"/>
          <w:sz w:val="20"/>
          <w:szCs w:val="20"/>
          <w:b w:val="1"/>
          <w:bCs w:val="1"/>
          <w:color w:val="auto"/>
        </w:rPr>
      </w:pPr>
    </w:p>
    <w:p>
      <w:pPr>
        <w:jc w:val="both"/>
        <w:ind w:left="380"/>
        <w:spacing w:after="0" w:line="269" w:lineRule="auto"/>
        <w:rPr>
          <w:rFonts w:ascii="Arial" w:cs="Arial" w:eastAsia="Arial" w:hAnsi="Arial"/>
          <w:sz w:val="20"/>
          <w:szCs w:val="20"/>
          <w:b w:val="1"/>
          <w:bCs w:val="1"/>
          <w:color w:val="auto"/>
        </w:rPr>
      </w:pPr>
      <w:r>
        <w:rPr>
          <w:rFonts w:ascii="Arial" w:cs="Arial" w:eastAsia="Arial" w:hAnsi="Arial"/>
          <w:sz w:val="19"/>
          <w:szCs w:val="19"/>
          <w:color w:val="auto"/>
        </w:rPr>
        <w:t>Effective January 1, 2020, the Company moved the management of its one quarry in the state of Washington from the Mid-America Group to the West Group, resulting in an immaterial change to its reportable segments. The Company’s Building Materials business includes three reportable segments: the Mid-America Group, the Southeast Group and the West Group.</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BUILDING MATERIALS BUSINESS</w:t>
      </w:r>
    </w:p>
    <w:p>
      <w:pPr>
        <w:spacing w:after="0" w:line="22" w:lineRule="exact"/>
        <w:rPr>
          <w:sz w:val="20"/>
          <w:szCs w:val="20"/>
          <w:color w:val="auto"/>
        </w:rPr>
      </w:pPr>
    </w:p>
    <w:tbl>
      <w:tblPr>
        <w:tblLayout w:type="fixed"/>
        <w:tblInd w:w="40" w:type="dxa"/>
        <w:tblCellMar>
          <w:top w:w="0" w:type="dxa"/>
          <w:left w:w="0" w:type="dxa"/>
          <w:bottom w:w="0" w:type="dxa"/>
          <w:right w:w="0" w:type="dxa"/>
        </w:tblCellMar>
      </w:tblPr>
      <w:tr>
        <w:trPr>
          <w:trHeight w:val="237"/>
        </w:trPr>
        <w:tc>
          <w:tcPr>
            <w:tcW w:w="2540" w:type="dxa"/>
            <w:vAlign w:val="bottom"/>
            <w:tcBorders>
              <w:top w:val="single" w:sz="8" w:color="auto"/>
            </w:tcBorders>
            <w:gridSpan w:val="3"/>
          </w:tcPr>
          <w:p>
            <w:pPr>
              <w:spacing w:after="0"/>
              <w:rPr>
                <w:sz w:val="20"/>
                <w:szCs w:val="20"/>
                <w:color w:val="auto"/>
              </w:rPr>
            </w:pPr>
            <w:r>
              <w:rPr>
                <w:rFonts w:ascii="Arial" w:cs="Arial" w:eastAsia="Arial" w:hAnsi="Arial"/>
                <w:sz w:val="20"/>
                <w:szCs w:val="20"/>
                <w:color w:val="auto"/>
              </w:rPr>
              <w:t>Reportable Segments</w:t>
            </w:r>
          </w:p>
        </w:tc>
        <w:tc>
          <w:tcPr>
            <w:tcW w:w="3000" w:type="dxa"/>
            <w:vAlign w:val="bottom"/>
            <w:tcBorders>
              <w:top w:val="single" w:sz="8" w:color="auto"/>
            </w:tcBorders>
            <w:gridSpan w:val="2"/>
          </w:tcPr>
          <w:p>
            <w:pPr>
              <w:jc w:val="center"/>
              <w:ind w:right="160"/>
              <w:spacing w:after="0"/>
              <w:rPr>
                <w:sz w:val="20"/>
                <w:szCs w:val="20"/>
                <w:color w:val="auto"/>
              </w:rPr>
            </w:pPr>
            <w:r>
              <w:rPr>
                <w:rFonts w:ascii="Arial" w:cs="Arial" w:eastAsia="Arial" w:hAnsi="Arial"/>
                <w:sz w:val="20"/>
                <w:szCs w:val="20"/>
                <w:color w:val="auto"/>
                <w:w w:val="94"/>
              </w:rPr>
              <w:t>Mid-America Group</w:t>
            </w:r>
          </w:p>
        </w:tc>
        <w:tc>
          <w:tcPr>
            <w:tcW w:w="2600" w:type="dxa"/>
            <w:vAlign w:val="bottom"/>
            <w:tcBorders>
              <w:top w:val="single" w:sz="8" w:color="auto"/>
            </w:tcBorders>
            <w:gridSpan w:val="2"/>
          </w:tcPr>
          <w:p>
            <w:pPr>
              <w:jc w:val="center"/>
              <w:ind w:right="200"/>
              <w:spacing w:after="0"/>
              <w:rPr>
                <w:sz w:val="20"/>
                <w:szCs w:val="20"/>
                <w:color w:val="auto"/>
              </w:rPr>
            </w:pPr>
            <w:r>
              <w:rPr>
                <w:rFonts w:ascii="Arial" w:cs="Arial" w:eastAsia="Arial" w:hAnsi="Arial"/>
                <w:sz w:val="20"/>
                <w:szCs w:val="20"/>
                <w:color w:val="auto"/>
                <w:w w:val="87"/>
              </w:rPr>
              <w:t>Southeast Group</w:t>
            </w:r>
          </w:p>
        </w:tc>
        <w:tc>
          <w:tcPr>
            <w:tcW w:w="3040" w:type="dxa"/>
            <w:vAlign w:val="bottom"/>
            <w:tcBorders>
              <w:top w:val="single" w:sz="8" w:color="auto"/>
            </w:tcBorders>
          </w:tcPr>
          <w:p>
            <w:pPr>
              <w:jc w:val="center"/>
              <w:spacing w:after="0"/>
              <w:rPr>
                <w:sz w:val="20"/>
                <w:szCs w:val="20"/>
                <w:color w:val="auto"/>
              </w:rPr>
            </w:pPr>
            <w:r>
              <w:rPr>
                <w:rFonts w:ascii="Arial" w:cs="Arial" w:eastAsia="Arial" w:hAnsi="Arial"/>
                <w:sz w:val="20"/>
                <w:szCs w:val="20"/>
                <w:color w:val="auto"/>
                <w:w w:val="88"/>
              </w:rPr>
              <w:t>West Group</w:t>
            </w:r>
          </w:p>
        </w:tc>
      </w:tr>
      <w:tr>
        <w:trPr>
          <w:trHeight w:val="206"/>
        </w:trPr>
        <w:tc>
          <w:tcPr>
            <w:tcW w:w="20" w:type="dxa"/>
            <w:vAlign w:val="bottom"/>
          </w:tcPr>
          <w:p>
            <w:pPr>
              <w:spacing w:after="0"/>
              <w:rPr>
                <w:sz w:val="17"/>
                <w:szCs w:val="17"/>
                <w:color w:val="auto"/>
              </w:rPr>
            </w:pPr>
          </w:p>
        </w:tc>
        <w:tc>
          <w:tcPr>
            <w:tcW w:w="2360" w:type="dxa"/>
            <w:vAlign w:val="bottom"/>
            <w:tcBorders>
              <w:top w:val="single" w:sz="8" w:color="auto"/>
            </w:tcBorders>
          </w:tcPr>
          <w:p>
            <w:pPr>
              <w:spacing w:after="0" w:line="207" w:lineRule="exact"/>
              <w:rPr>
                <w:sz w:val="20"/>
                <w:szCs w:val="20"/>
                <w:color w:val="auto"/>
              </w:rPr>
            </w:pPr>
            <w:r>
              <w:rPr>
                <w:rFonts w:ascii="Arial" w:cs="Arial" w:eastAsia="Arial" w:hAnsi="Arial"/>
                <w:sz w:val="20"/>
                <w:szCs w:val="20"/>
                <w:color w:val="auto"/>
              </w:rPr>
              <w:t>Operating Locations</w:t>
            </w:r>
          </w:p>
        </w:tc>
        <w:tc>
          <w:tcPr>
            <w:tcW w:w="160" w:type="dxa"/>
            <w:vAlign w:val="bottom"/>
          </w:tcPr>
          <w:p>
            <w:pPr>
              <w:spacing w:after="0"/>
              <w:rPr>
                <w:sz w:val="17"/>
                <w:szCs w:val="17"/>
                <w:color w:val="auto"/>
              </w:rPr>
            </w:pPr>
          </w:p>
        </w:tc>
        <w:tc>
          <w:tcPr>
            <w:tcW w:w="2840" w:type="dxa"/>
            <w:vAlign w:val="bottom"/>
            <w:tcBorders>
              <w:top w:val="single" w:sz="8" w:color="auto"/>
            </w:tcBorders>
          </w:tcPr>
          <w:p>
            <w:pPr>
              <w:jc w:val="center"/>
              <w:spacing w:after="0" w:line="207" w:lineRule="exact"/>
              <w:rPr>
                <w:sz w:val="20"/>
                <w:szCs w:val="20"/>
                <w:color w:val="auto"/>
              </w:rPr>
            </w:pPr>
            <w:r>
              <w:rPr>
                <w:rFonts w:ascii="Arial" w:cs="Arial" w:eastAsia="Arial" w:hAnsi="Arial"/>
                <w:sz w:val="20"/>
                <w:szCs w:val="20"/>
                <w:color w:val="auto"/>
                <w:w w:val="89"/>
              </w:rPr>
              <w:t>Indiana, Iowa, northern Kansas,</w:t>
            </w:r>
          </w:p>
        </w:tc>
        <w:tc>
          <w:tcPr>
            <w:tcW w:w="160" w:type="dxa"/>
            <w:vAlign w:val="bottom"/>
          </w:tcPr>
          <w:p>
            <w:pPr>
              <w:spacing w:after="0"/>
              <w:rPr>
                <w:sz w:val="17"/>
                <w:szCs w:val="17"/>
                <w:color w:val="auto"/>
              </w:rPr>
            </w:pPr>
          </w:p>
        </w:tc>
        <w:tc>
          <w:tcPr>
            <w:tcW w:w="2420" w:type="dxa"/>
            <w:vAlign w:val="bottom"/>
            <w:tcBorders>
              <w:top w:val="single" w:sz="8" w:color="auto"/>
            </w:tcBorders>
          </w:tcPr>
          <w:p>
            <w:pPr>
              <w:jc w:val="center"/>
              <w:spacing w:after="0" w:line="207" w:lineRule="exact"/>
              <w:rPr>
                <w:sz w:val="20"/>
                <w:szCs w:val="20"/>
                <w:color w:val="auto"/>
              </w:rPr>
            </w:pPr>
            <w:r>
              <w:rPr>
                <w:rFonts w:ascii="Arial" w:cs="Arial" w:eastAsia="Arial" w:hAnsi="Arial"/>
                <w:sz w:val="20"/>
                <w:szCs w:val="20"/>
                <w:color w:val="auto"/>
                <w:w w:val="90"/>
              </w:rPr>
              <w:t>Alabama, Florida, Georgia,</w:t>
            </w:r>
          </w:p>
        </w:tc>
        <w:tc>
          <w:tcPr>
            <w:tcW w:w="180" w:type="dxa"/>
            <w:vAlign w:val="bottom"/>
          </w:tcPr>
          <w:p>
            <w:pPr>
              <w:spacing w:after="0"/>
              <w:rPr>
                <w:sz w:val="17"/>
                <w:szCs w:val="17"/>
                <w:color w:val="auto"/>
              </w:rPr>
            </w:pPr>
          </w:p>
        </w:tc>
        <w:tc>
          <w:tcPr>
            <w:tcW w:w="3040" w:type="dxa"/>
            <w:vAlign w:val="bottom"/>
            <w:tcBorders>
              <w:top w:val="single" w:sz="8" w:color="auto"/>
            </w:tcBorders>
          </w:tcPr>
          <w:p>
            <w:pPr>
              <w:jc w:val="center"/>
              <w:spacing w:after="0" w:line="207" w:lineRule="exact"/>
              <w:rPr>
                <w:sz w:val="20"/>
                <w:szCs w:val="20"/>
                <w:color w:val="auto"/>
              </w:rPr>
            </w:pPr>
            <w:r>
              <w:rPr>
                <w:rFonts w:ascii="Arial" w:cs="Arial" w:eastAsia="Arial" w:hAnsi="Arial"/>
                <w:sz w:val="20"/>
                <w:szCs w:val="20"/>
                <w:color w:val="auto"/>
                <w:w w:val="88"/>
              </w:rPr>
              <w:t>Arkansas, Colorado, southern Kansas,</w:t>
            </w:r>
          </w:p>
        </w:tc>
      </w:tr>
      <w:tr>
        <w:trPr>
          <w:trHeight w:val="230"/>
        </w:trPr>
        <w:tc>
          <w:tcPr>
            <w:tcW w:w="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0" w:type="dxa"/>
            <w:vAlign w:val="bottom"/>
            <w:gridSpan w:val="2"/>
          </w:tcPr>
          <w:p>
            <w:pPr>
              <w:jc w:val="center"/>
              <w:ind w:right="160"/>
              <w:spacing w:after="0"/>
              <w:rPr>
                <w:sz w:val="20"/>
                <w:szCs w:val="20"/>
                <w:color w:val="auto"/>
              </w:rPr>
            </w:pPr>
            <w:r>
              <w:rPr>
                <w:rFonts w:ascii="Arial" w:cs="Arial" w:eastAsia="Arial" w:hAnsi="Arial"/>
                <w:sz w:val="20"/>
                <w:szCs w:val="20"/>
                <w:color w:val="auto"/>
                <w:w w:val="91"/>
              </w:rPr>
              <w:t>Kentucky, Maryland, Minnesota,</w:t>
            </w:r>
          </w:p>
        </w:tc>
        <w:tc>
          <w:tcPr>
            <w:tcW w:w="2600" w:type="dxa"/>
            <w:vAlign w:val="bottom"/>
            <w:gridSpan w:val="2"/>
          </w:tcPr>
          <w:p>
            <w:pPr>
              <w:jc w:val="center"/>
              <w:ind w:right="180"/>
              <w:spacing w:after="0"/>
              <w:rPr>
                <w:sz w:val="20"/>
                <w:szCs w:val="20"/>
                <w:color w:val="auto"/>
              </w:rPr>
            </w:pPr>
            <w:r>
              <w:rPr>
                <w:rFonts w:ascii="Arial" w:cs="Arial" w:eastAsia="Arial" w:hAnsi="Arial"/>
                <w:sz w:val="20"/>
                <w:szCs w:val="20"/>
                <w:color w:val="auto"/>
                <w:w w:val="89"/>
              </w:rPr>
              <w:t>southwestern South Carolina,</w:t>
            </w:r>
          </w:p>
        </w:tc>
        <w:tc>
          <w:tcPr>
            <w:tcW w:w="3040" w:type="dxa"/>
            <w:vAlign w:val="bottom"/>
          </w:tcPr>
          <w:p>
            <w:pPr>
              <w:jc w:val="center"/>
              <w:spacing w:after="0"/>
              <w:rPr>
                <w:sz w:val="20"/>
                <w:szCs w:val="20"/>
                <w:color w:val="auto"/>
              </w:rPr>
            </w:pPr>
            <w:r>
              <w:rPr>
                <w:rFonts w:ascii="Arial" w:cs="Arial" w:eastAsia="Arial" w:hAnsi="Arial"/>
                <w:sz w:val="20"/>
                <w:szCs w:val="20"/>
                <w:color w:val="auto"/>
                <w:w w:val="88"/>
              </w:rPr>
              <w:t>Louisiana, western Nebraska,</w:t>
            </w:r>
          </w:p>
        </w:tc>
      </w:tr>
      <w:tr>
        <w:trPr>
          <w:trHeight w:val="229"/>
        </w:trPr>
        <w:tc>
          <w:tcPr>
            <w:tcW w:w="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0" w:type="dxa"/>
            <w:vAlign w:val="bottom"/>
            <w:gridSpan w:val="2"/>
          </w:tcPr>
          <w:p>
            <w:pPr>
              <w:jc w:val="center"/>
              <w:ind w:right="160"/>
              <w:spacing w:after="0"/>
              <w:rPr>
                <w:sz w:val="20"/>
                <w:szCs w:val="20"/>
                <w:color w:val="auto"/>
              </w:rPr>
            </w:pPr>
            <w:r>
              <w:rPr>
                <w:rFonts w:ascii="Arial" w:cs="Arial" w:eastAsia="Arial" w:hAnsi="Arial"/>
                <w:sz w:val="20"/>
                <w:szCs w:val="20"/>
                <w:color w:val="auto"/>
                <w:w w:val="89"/>
              </w:rPr>
              <w:t>Missouri, eastern Nebraska, North</w:t>
            </w:r>
          </w:p>
        </w:tc>
        <w:tc>
          <w:tcPr>
            <w:tcW w:w="2600" w:type="dxa"/>
            <w:vAlign w:val="bottom"/>
            <w:gridSpan w:val="2"/>
          </w:tcPr>
          <w:p>
            <w:pPr>
              <w:jc w:val="center"/>
              <w:ind w:right="180"/>
              <w:spacing w:after="0"/>
              <w:rPr>
                <w:sz w:val="20"/>
                <w:szCs w:val="20"/>
                <w:color w:val="auto"/>
              </w:rPr>
            </w:pPr>
            <w:r>
              <w:rPr>
                <w:rFonts w:ascii="Arial" w:cs="Arial" w:eastAsia="Arial" w:hAnsi="Arial"/>
                <w:sz w:val="20"/>
                <w:szCs w:val="20"/>
                <w:color w:val="auto"/>
                <w:w w:val="86"/>
              </w:rPr>
              <w:t>Tennessee, Nova Scotia and</w:t>
            </w:r>
          </w:p>
        </w:tc>
        <w:tc>
          <w:tcPr>
            <w:tcW w:w="3040" w:type="dxa"/>
            <w:vAlign w:val="bottom"/>
          </w:tcPr>
          <w:p>
            <w:pPr>
              <w:jc w:val="center"/>
              <w:spacing w:after="0"/>
              <w:rPr>
                <w:sz w:val="20"/>
                <w:szCs w:val="20"/>
                <w:color w:val="auto"/>
              </w:rPr>
            </w:pPr>
            <w:r>
              <w:rPr>
                <w:rFonts w:ascii="Arial" w:cs="Arial" w:eastAsia="Arial" w:hAnsi="Arial"/>
                <w:sz w:val="20"/>
                <w:szCs w:val="20"/>
                <w:color w:val="auto"/>
                <w:w w:val="88"/>
              </w:rPr>
              <w:t>Nevada, Oklahoma, Texas, Utah,</w:t>
            </w:r>
          </w:p>
        </w:tc>
      </w:tr>
      <w:tr>
        <w:trPr>
          <w:trHeight w:val="230"/>
        </w:trPr>
        <w:tc>
          <w:tcPr>
            <w:tcW w:w="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0" w:type="dxa"/>
            <w:vAlign w:val="bottom"/>
            <w:gridSpan w:val="2"/>
          </w:tcPr>
          <w:p>
            <w:pPr>
              <w:jc w:val="center"/>
              <w:ind w:right="220"/>
              <w:spacing w:after="0"/>
              <w:rPr>
                <w:sz w:val="20"/>
                <w:szCs w:val="20"/>
                <w:color w:val="auto"/>
              </w:rPr>
            </w:pPr>
            <w:r>
              <w:rPr>
                <w:rFonts w:ascii="Arial" w:cs="Arial" w:eastAsia="Arial" w:hAnsi="Arial"/>
                <w:sz w:val="20"/>
                <w:szCs w:val="20"/>
                <w:color w:val="auto"/>
                <w:w w:val="90"/>
              </w:rPr>
              <w:t>Carolina, Ohio, Pennsylvania,</w:t>
            </w:r>
          </w:p>
        </w:tc>
        <w:tc>
          <w:tcPr>
            <w:tcW w:w="2600" w:type="dxa"/>
            <w:vAlign w:val="bottom"/>
            <w:gridSpan w:val="2"/>
          </w:tcPr>
          <w:p>
            <w:pPr>
              <w:jc w:val="center"/>
              <w:ind w:right="200"/>
              <w:spacing w:after="0"/>
              <w:rPr>
                <w:sz w:val="20"/>
                <w:szCs w:val="20"/>
                <w:color w:val="auto"/>
              </w:rPr>
            </w:pPr>
            <w:r>
              <w:rPr>
                <w:rFonts w:ascii="Arial" w:cs="Arial" w:eastAsia="Arial" w:hAnsi="Arial"/>
                <w:sz w:val="20"/>
                <w:szCs w:val="20"/>
                <w:color w:val="auto"/>
                <w:w w:val="86"/>
              </w:rPr>
              <w:t>The Bahamas</w:t>
            </w:r>
          </w:p>
        </w:tc>
        <w:tc>
          <w:tcPr>
            <w:tcW w:w="3040" w:type="dxa"/>
            <w:vAlign w:val="bottom"/>
          </w:tcPr>
          <w:p>
            <w:pPr>
              <w:ind w:left="1100"/>
              <w:spacing w:after="0"/>
              <w:rPr>
                <w:sz w:val="20"/>
                <w:szCs w:val="20"/>
                <w:color w:val="auto"/>
              </w:rPr>
            </w:pPr>
            <w:r>
              <w:rPr>
                <w:rFonts w:ascii="Arial" w:cs="Arial" w:eastAsia="Arial" w:hAnsi="Arial"/>
                <w:sz w:val="20"/>
                <w:szCs w:val="20"/>
                <w:color w:val="auto"/>
              </w:rPr>
              <w:t>Wyoming</w:t>
            </w:r>
          </w:p>
        </w:tc>
      </w:tr>
      <w:tr>
        <w:trPr>
          <w:trHeight w:val="229"/>
        </w:trPr>
        <w:tc>
          <w:tcPr>
            <w:tcW w:w="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0" w:type="dxa"/>
            <w:vAlign w:val="bottom"/>
            <w:gridSpan w:val="2"/>
          </w:tcPr>
          <w:p>
            <w:pPr>
              <w:jc w:val="center"/>
              <w:ind w:right="220"/>
              <w:spacing w:after="0"/>
              <w:rPr>
                <w:sz w:val="20"/>
                <w:szCs w:val="20"/>
                <w:color w:val="auto"/>
              </w:rPr>
            </w:pPr>
            <w:r>
              <w:rPr>
                <w:rFonts w:ascii="Arial" w:cs="Arial" w:eastAsia="Arial" w:hAnsi="Arial"/>
                <w:sz w:val="20"/>
                <w:szCs w:val="20"/>
                <w:color w:val="auto"/>
                <w:w w:val="92"/>
              </w:rPr>
              <w:t>South Carolina, Virginia</w:t>
            </w:r>
          </w:p>
        </w:tc>
        <w:tc>
          <w:tcPr>
            <w:tcW w:w="2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40" w:type="dxa"/>
            <w:vAlign w:val="bottom"/>
          </w:tcPr>
          <w:p>
            <w:pPr>
              <w:jc w:val="center"/>
              <w:spacing w:after="0"/>
              <w:rPr>
                <w:sz w:val="20"/>
                <w:szCs w:val="20"/>
                <w:color w:val="auto"/>
              </w:rPr>
            </w:pPr>
            <w:r>
              <w:rPr>
                <w:rFonts w:ascii="Arial" w:cs="Arial" w:eastAsia="Arial" w:hAnsi="Arial"/>
                <w:sz w:val="20"/>
                <w:szCs w:val="20"/>
                <w:color w:val="auto"/>
                <w:w w:val="88"/>
              </w:rPr>
              <w:t>and Washington</w:t>
            </w:r>
          </w:p>
        </w:tc>
      </w:tr>
      <w:tr>
        <w:trPr>
          <w:trHeight w:val="250"/>
        </w:trPr>
        <w:tc>
          <w:tcPr>
            <w:tcW w:w="2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0" w:type="dxa"/>
            <w:vAlign w:val="bottom"/>
            <w:gridSpan w:val="2"/>
          </w:tcPr>
          <w:p>
            <w:pPr>
              <w:jc w:val="center"/>
              <w:ind w:right="180"/>
              <w:spacing w:after="0"/>
              <w:rPr>
                <w:sz w:val="20"/>
                <w:szCs w:val="20"/>
                <w:color w:val="auto"/>
              </w:rPr>
            </w:pPr>
            <w:r>
              <w:rPr>
                <w:rFonts w:ascii="Arial" w:cs="Arial" w:eastAsia="Arial" w:hAnsi="Arial"/>
                <w:sz w:val="20"/>
                <w:szCs w:val="20"/>
                <w:color w:val="auto"/>
                <w:w w:val="90"/>
              </w:rPr>
              <w:t>and West Virginia</w:t>
            </w:r>
          </w:p>
        </w:tc>
        <w:tc>
          <w:tcPr>
            <w:tcW w:w="2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40" w:type="dxa"/>
            <w:vAlign w:val="bottom"/>
          </w:tcPr>
          <w:p>
            <w:pPr>
              <w:spacing w:after="0"/>
              <w:rPr>
                <w:sz w:val="21"/>
                <w:szCs w:val="21"/>
                <w:color w:val="auto"/>
              </w:rPr>
            </w:pPr>
          </w:p>
        </w:tc>
      </w:tr>
      <w:tr>
        <w:trPr>
          <w:trHeight w:val="438"/>
        </w:trPr>
        <w:tc>
          <w:tcPr>
            <w:tcW w:w="2540" w:type="dxa"/>
            <w:vAlign w:val="bottom"/>
            <w:gridSpan w:val="3"/>
          </w:tcPr>
          <w:p>
            <w:pPr>
              <w:spacing w:after="0"/>
              <w:rPr>
                <w:sz w:val="20"/>
                <w:szCs w:val="20"/>
                <w:color w:val="auto"/>
              </w:rPr>
            </w:pPr>
            <w:r>
              <w:rPr>
                <w:rFonts w:ascii="Arial" w:cs="Arial" w:eastAsia="Arial" w:hAnsi="Arial"/>
                <w:sz w:val="20"/>
                <w:szCs w:val="20"/>
                <w:color w:val="auto"/>
              </w:rPr>
              <w:t>Product Lines</w:t>
            </w:r>
          </w:p>
        </w:tc>
        <w:tc>
          <w:tcPr>
            <w:tcW w:w="3000" w:type="dxa"/>
            <w:vAlign w:val="bottom"/>
            <w:gridSpan w:val="2"/>
          </w:tcPr>
          <w:p>
            <w:pPr>
              <w:jc w:val="center"/>
              <w:ind w:right="180"/>
              <w:spacing w:after="0"/>
              <w:rPr>
                <w:sz w:val="20"/>
                <w:szCs w:val="20"/>
                <w:color w:val="auto"/>
              </w:rPr>
            </w:pPr>
            <w:r>
              <w:rPr>
                <w:rFonts w:ascii="Arial" w:cs="Arial" w:eastAsia="Arial" w:hAnsi="Arial"/>
                <w:sz w:val="20"/>
                <w:szCs w:val="20"/>
                <w:color w:val="auto"/>
                <w:w w:val="87"/>
              </w:rPr>
              <w:t>Aggregates</w:t>
            </w:r>
          </w:p>
        </w:tc>
        <w:tc>
          <w:tcPr>
            <w:tcW w:w="2600" w:type="dxa"/>
            <w:vAlign w:val="bottom"/>
            <w:gridSpan w:val="2"/>
          </w:tcPr>
          <w:p>
            <w:pPr>
              <w:jc w:val="center"/>
              <w:ind w:right="180"/>
              <w:spacing w:after="0"/>
              <w:rPr>
                <w:sz w:val="20"/>
                <w:szCs w:val="20"/>
                <w:color w:val="auto"/>
              </w:rPr>
            </w:pPr>
            <w:r>
              <w:rPr>
                <w:rFonts w:ascii="Arial" w:cs="Arial" w:eastAsia="Arial" w:hAnsi="Arial"/>
                <w:sz w:val="20"/>
                <w:szCs w:val="20"/>
                <w:color w:val="auto"/>
                <w:w w:val="87"/>
              </w:rPr>
              <w:t>Aggregates</w:t>
            </w:r>
          </w:p>
        </w:tc>
        <w:tc>
          <w:tcPr>
            <w:tcW w:w="3040" w:type="dxa"/>
            <w:vAlign w:val="bottom"/>
          </w:tcPr>
          <w:p>
            <w:pPr>
              <w:jc w:val="center"/>
              <w:spacing w:after="0"/>
              <w:rPr>
                <w:sz w:val="20"/>
                <w:szCs w:val="20"/>
                <w:color w:val="auto"/>
              </w:rPr>
            </w:pPr>
            <w:r>
              <w:rPr>
                <w:rFonts w:ascii="Arial" w:cs="Arial" w:eastAsia="Arial" w:hAnsi="Arial"/>
                <w:sz w:val="20"/>
                <w:szCs w:val="20"/>
                <w:color w:val="auto"/>
                <w:w w:val="89"/>
              </w:rPr>
              <w:t>Aggregates, Cement, Ready Mixed</w:t>
            </w:r>
          </w:p>
        </w:tc>
      </w:tr>
      <w:tr>
        <w:trPr>
          <w:trHeight w:val="250"/>
        </w:trPr>
        <w:tc>
          <w:tcPr>
            <w:tcW w:w="2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40" w:type="dxa"/>
            <w:vAlign w:val="bottom"/>
          </w:tcPr>
          <w:p>
            <w:pPr>
              <w:jc w:val="center"/>
              <w:spacing w:after="0"/>
              <w:rPr>
                <w:sz w:val="20"/>
                <w:szCs w:val="20"/>
                <w:color w:val="auto"/>
              </w:rPr>
            </w:pPr>
            <w:r>
              <w:rPr>
                <w:rFonts w:ascii="Arial" w:cs="Arial" w:eastAsia="Arial" w:hAnsi="Arial"/>
                <w:sz w:val="20"/>
                <w:szCs w:val="20"/>
                <w:color w:val="auto"/>
                <w:w w:val="89"/>
              </w:rPr>
              <w:t>Concrete, Asphalt and Paving</w:t>
            </w:r>
          </w:p>
        </w:tc>
      </w:tr>
    </w:tbl>
    <w:p>
      <w:pPr>
        <w:spacing w:after="0" w:line="195" w:lineRule="exact"/>
        <w:rPr>
          <w:sz w:val="20"/>
          <w:szCs w:val="20"/>
          <w:color w:val="auto"/>
        </w:rPr>
      </w:pPr>
    </w:p>
    <w:p>
      <w:pPr>
        <w:jc w:val="both"/>
        <w:ind w:left="380" w:right="20"/>
        <w:spacing w:after="0" w:line="250" w:lineRule="auto"/>
        <w:rPr>
          <w:sz w:val="20"/>
          <w:szCs w:val="20"/>
          <w:color w:val="auto"/>
        </w:rPr>
      </w:pPr>
      <w:r>
        <w:rPr>
          <w:rFonts w:ascii="Arial" w:cs="Arial" w:eastAsia="Arial" w:hAnsi="Arial"/>
          <w:sz w:val="20"/>
          <w:szCs w:val="20"/>
          <w:color w:val="auto"/>
        </w:rPr>
        <w:t>The Company has a Magnesia Specialties business with manufacturing facilities in Manistee, Michigan, and Woodville, Ohio. The Magnesia Specialties business produces magnesia-based chemicals products used in industrial, agricultural and environmental applications, and dolomitic lime sold primarily to customers in the steel and mining industries.</w:t>
      </w:r>
    </w:p>
    <w:p>
      <w:pPr>
        <w:spacing w:after="0" w:line="180" w:lineRule="exact"/>
        <w:rPr>
          <w:sz w:val="20"/>
          <w:szCs w:val="20"/>
          <w:color w:val="auto"/>
        </w:rPr>
      </w:pPr>
    </w:p>
    <w:p>
      <w:pPr>
        <w:ind w:left="380"/>
        <w:spacing w:after="0"/>
        <w:rPr>
          <w:sz w:val="20"/>
          <w:szCs w:val="20"/>
          <w:color w:val="auto"/>
        </w:rPr>
      </w:pPr>
      <w:r>
        <w:rPr>
          <w:rFonts w:ascii="Arial" w:cs="Arial" w:eastAsia="Arial" w:hAnsi="Arial"/>
          <w:sz w:val="20"/>
          <w:szCs w:val="20"/>
          <w:b w:val="1"/>
          <w:bCs w:val="1"/>
          <w:color w:val="auto"/>
        </w:rPr>
        <w:t>Basis of Presentation</w:t>
      </w:r>
    </w:p>
    <w:p>
      <w:pPr>
        <w:spacing w:after="0" w:line="114" w:lineRule="exact"/>
        <w:rPr>
          <w:sz w:val="20"/>
          <w:szCs w:val="20"/>
          <w:color w:val="auto"/>
        </w:rPr>
      </w:pPr>
    </w:p>
    <w:p>
      <w:pPr>
        <w:jc w:val="both"/>
        <w:ind w:left="380"/>
        <w:spacing w:after="0" w:line="273" w:lineRule="auto"/>
        <w:rPr>
          <w:sz w:val="20"/>
          <w:szCs w:val="20"/>
          <w:color w:val="auto"/>
        </w:rPr>
      </w:pPr>
      <w:r>
        <w:rPr>
          <w:rFonts w:ascii="Arial" w:cs="Arial" w:eastAsia="Arial" w:hAnsi="Arial"/>
          <w:sz w:val="18"/>
          <w:szCs w:val="18"/>
          <w:color w:val="auto"/>
        </w:rPr>
        <w:t>The accompanying unaudited consolidated financial statements of the Company have been prepared in accordance with accounting principles generally accepted in the United States (U.S. GAAP) for interim financial information and with the instructions to the Quarterly Report on Form 10-Q and in Article 10 of Regulation S-X. The Company has continued to follow the accounting policies set forth in the audited consolidated financial statements and related notes thereto included in the Company’s Annual Report on Form 10-K for the year ended December 31, 2019. In the opinion of management, the interim consolidated financial information provided herein reflects all adjustments, consisting of normal recurring accruals, necessary for a fair statement of the results of operations, financial position and cash flows for the interim periods. The consolidated results of operations for the three and six months ended June 30, 2020 are not indicative of the results expected for other interim periods or the full year. The consolidated</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8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June 30, 2020</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335" w:lineRule="exact"/>
        <w:rPr>
          <w:sz w:val="20"/>
          <w:szCs w:val="20"/>
          <w:color w:val="auto"/>
        </w:rPr>
      </w:pPr>
    </w:p>
    <w:p>
      <w:pPr>
        <w:jc w:val="both"/>
        <w:ind w:left="380"/>
        <w:spacing w:after="0" w:line="246" w:lineRule="auto"/>
        <w:rPr>
          <w:sz w:val="20"/>
          <w:szCs w:val="20"/>
          <w:color w:val="auto"/>
        </w:rPr>
      </w:pPr>
      <w:r>
        <w:rPr>
          <w:rFonts w:ascii="Arial" w:cs="Arial" w:eastAsia="Arial" w:hAnsi="Arial"/>
          <w:sz w:val="20"/>
          <w:szCs w:val="20"/>
          <w:color w:val="auto"/>
        </w:rPr>
        <w:t>balance sheet at December 31, 2019 has been derived from the audited consolidated financial statements at that date but does not include all of the information and notes required by U.S. GAAP for complete financial statements. These consolidated financial statements should be read in conjunction with the audited consolidated financial statements and notes thereto included in the Company’s Annual Report on Form 10-K for the year ended December 31, 2019.</w:t>
      </w:r>
    </w:p>
    <w:p>
      <w:pPr>
        <w:spacing w:after="0" w:line="83" w:lineRule="exact"/>
        <w:rPr>
          <w:sz w:val="20"/>
          <w:szCs w:val="20"/>
          <w:color w:val="auto"/>
        </w:rPr>
      </w:pPr>
    </w:p>
    <w:p>
      <w:pPr>
        <w:jc w:val="both"/>
        <w:ind w:left="380"/>
        <w:spacing w:after="0" w:line="282" w:lineRule="auto"/>
        <w:rPr>
          <w:sz w:val="20"/>
          <w:szCs w:val="20"/>
          <w:color w:val="auto"/>
        </w:rPr>
      </w:pPr>
      <w:r>
        <w:rPr>
          <w:rFonts w:ascii="Arial" w:cs="Arial" w:eastAsia="Arial" w:hAnsi="Arial"/>
          <w:sz w:val="18"/>
          <w:szCs w:val="18"/>
          <w:color w:val="auto"/>
        </w:rPr>
        <w:t>The preparation of the Company’s consolidated financial statements requires management to make certain estimates and assumptions about future events. As future events and their effects, including the impact of the coronavirus (COVID-19) pandemic and the related responses, cannot be fully determined with precision, actual results could differ significantly from estimates. Changes in estimates are reflected in the consolidated financial statements in the period in which the change in estimate occurs.</w:t>
      </w:r>
    </w:p>
    <w:p>
      <w:pPr>
        <w:spacing w:after="0" w:line="155" w:lineRule="exact"/>
        <w:rPr>
          <w:sz w:val="20"/>
          <w:szCs w:val="20"/>
          <w:color w:val="auto"/>
        </w:rPr>
      </w:pPr>
    </w:p>
    <w:p>
      <w:pPr>
        <w:ind w:left="380"/>
        <w:spacing w:after="0"/>
        <w:rPr>
          <w:sz w:val="20"/>
          <w:szCs w:val="20"/>
          <w:color w:val="auto"/>
        </w:rPr>
      </w:pPr>
      <w:r>
        <w:rPr>
          <w:rFonts w:ascii="Arial" w:cs="Arial" w:eastAsia="Arial" w:hAnsi="Arial"/>
          <w:sz w:val="20"/>
          <w:szCs w:val="20"/>
          <w:b w:val="1"/>
          <w:bCs w:val="1"/>
          <w:color w:val="auto"/>
        </w:rPr>
        <w:t>New Accounting Pronouncement</w:t>
      </w:r>
    </w:p>
    <w:p>
      <w:pPr>
        <w:spacing w:after="0" w:line="114" w:lineRule="exact"/>
        <w:rPr>
          <w:sz w:val="20"/>
          <w:szCs w:val="20"/>
          <w:color w:val="auto"/>
        </w:rPr>
      </w:pPr>
    </w:p>
    <w:p>
      <w:pPr>
        <w:ind w:left="380"/>
        <w:spacing w:after="0"/>
        <w:rPr>
          <w:sz w:val="20"/>
          <w:szCs w:val="20"/>
          <w:color w:val="auto"/>
        </w:rPr>
      </w:pPr>
      <w:r>
        <w:rPr>
          <w:rFonts w:ascii="Arial" w:cs="Arial" w:eastAsia="Arial" w:hAnsi="Arial"/>
          <w:sz w:val="20"/>
          <w:szCs w:val="20"/>
          <w:i w:val="1"/>
          <w:iCs w:val="1"/>
          <w:u w:val="single" w:color="auto"/>
          <w:color w:val="auto"/>
        </w:rPr>
        <w:t>Credit Losses</w:t>
      </w:r>
    </w:p>
    <w:p>
      <w:pPr>
        <w:spacing w:after="0" w:line="108" w:lineRule="exact"/>
        <w:rPr>
          <w:sz w:val="20"/>
          <w:szCs w:val="20"/>
          <w:color w:val="auto"/>
        </w:rPr>
      </w:pPr>
    </w:p>
    <w:p>
      <w:pPr>
        <w:jc w:val="both"/>
        <w:ind w:left="380"/>
        <w:spacing w:after="0" w:line="274" w:lineRule="auto"/>
        <w:rPr>
          <w:sz w:val="20"/>
          <w:szCs w:val="20"/>
          <w:color w:val="auto"/>
        </w:rPr>
      </w:pPr>
      <w:r>
        <w:rPr>
          <w:rFonts w:ascii="Arial" w:cs="Arial" w:eastAsia="Arial" w:hAnsi="Arial"/>
          <w:sz w:val="18"/>
          <w:szCs w:val="18"/>
          <w:color w:val="auto"/>
        </w:rPr>
        <w:t xml:space="preserve">Effective January 1, 2020, the Company adopted Accounting Standards Update (ASU) 2016-13, </w:t>
      </w:r>
      <w:r>
        <w:rPr>
          <w:rFonts w:ascii="Arial" w:cs="Arial" w:eastAsia="Arial" w:hAnsi="Arial"/>
          <w:sz w:val="18"/>
          <w:szCs w:val="18"/>
          <w:i w:val="1"/>
          <w:iCs w:val="1"/>
          <w:color w:val="auto"/>
        </w:rPr>
        <w:t>Financial Instruments – Credit Losses</w:t>
      </w:r>
      <w:r>
        <w:rPr>
          <w:rFonts w:ascii="Arial" w:cs="Arial" w:eastAsia="Arial" w:hAnsi="Arial"/>
          <w:sz w:val="18"/>
          <w:szCs w:val="18"/>
          <w:color w:val="auto"/>
        </w:rPr>
        <w:t xml:space="preserve"> (ASU 2016-13), which includes a current expected credit loss (CECL) model that requires an entity to estimate credit losses expected over the life of an exposure or pool of exposures based on historical information, current information and reasonable and supportable forecasts at the time the asset is recognized and is remeasured at each reporting period. ASU 2016-13 primarily relates to the Company’s receivables, but the scope also includes retainage and contract assets related to its paving business. The adoption of ASU 2016-13 did not have a material impact on the Company’s financial position or statement of earnings and comprehensive earnings. The Company amended its allowance for credit losses policy, which follows, for the implementation of ASU 2016-13.</w:t>
      </w:r>
    </w:p>
    <w:p>
      <w:pPr>
        <w:spacing w:after="0" w:line="60" w:lineRule="exact"/>
        <w:rPr>
          <w:sz w:val="20"/>
          <w:szCs w:val="20"/>
          <w:color w:val="auto"/>
        </w:rPr>
      </w:pPr>
    </w:p>
    <w:p>
      <w:pPr>
        <w:jc w:val="both"/>
        <w:ind w:left="380"/>
        <w:spacing w:after="0" w:line="260" w:lineRule="auto"/>
        <w:rPr>
          <w:sz w:val="20"/>
          <w:szCs w:val="20"/>
          <w:color w:val="auto"/>
        </w:rPr>
      </w:pPr>
      <w:r>
        <w:rPr>
          <w:rFonts w:ascii="Arial" w:cs="Arial" w:eastAsia="Arial" w:hAnsi="Arial"/>
          <w:sz w:val="19"/>
          <w:szCs w:val="19"/>
          <w:color w:val="auto"/>
        </w:rPr>
        <w:t>The Company records an allowance for credit losses, which includes a provision for probable losses based on historical write-offs, adjusted for current conditions as deemed necessary, and a specific reserve for accounts deemed at risk. The allowance is the Company’s estimate for receivables as of the balance sheet date that ultimately will not be collected. Any changes in the allowance are reflected in earnings in the period in which the change occurs. The Company writes-off accounts receivable when it becomes probable, based upon customer facts and circumstances, that such amounts will not be collected.</w:t>
      </w:r>
    </w:p>
    <w:p>
      <w:pPr>
        <w:spacing w:after="0" w:line="174" w:lineRule="exact"/>
        <w:rPr>
          <w:sz w:val="20"/>
          <w:szCs w:val="20"/>
          <w:color w:val="auto"/>
        </w:rPr>
      </w:pPr>
    </w:p>
    <w:p>
      <w:pPr>
        <w:ind w:left="380"/>
        <w:spacing w:after="0"/>
        <w:rPr>
          <w:sz w:val="20"/>
          <w:szCs w:val="20"/>
          <w:color w:val="auto"/>
        </w:rPr>
      </w:pPr>
      <w:r>
        <w:rPr>
          <w:rFonts w:ascii="Arial" w:cs="Arial" w:eastAsia="Arial" w:hAnsi="Arial"/>
          <w:sz w:val="20"/>
          <w:szCs w:val="20"/>
          <w:b w:val="1"/>
          <w:bCs w:val="1"/>
          <w:color w:val="auto"/>
        </w:rPr>
        <w:t>Consolidated Comprehensive Earnings/Loss and Accumulated Other Comprehensive Loss</w:t>
      </w:r>
    </w:p>
    <w:p>
      <w:pPr>
        <w:spacing w:after="0" w:line="114" w:lineRule="exact"/>
        <w:rPr>
          <w:sz w:val="20"/>
          <w:szCs w:val="20"/>
          <w:color w:val="auto"/>
        </w:rPr>
      </w:pPr>
    </w:p>
    <w:p>
      <w:pPr>
        <w:jc w:val="both"/>
        <w:ind w:left="380" w:right="20"/>
        <w:spacing w:after="0" w:line="269" w:lineRule="auto"/>
        <w:rPr>
          <w:sz w:val="20"/>
          <w:szCs w:val="20"/>
          <w:color w:val="auto"/>
        </w:rPr>
      </w:pPr>
      <w:r>
        <w:rPr>
          <w:rFonts w:ascii="Arial" w:cs="Arial" w:eastAsia="Arial" w:hAnsi="Arial"/>
          <w:sz w:val="19"/>
          <w:szCs w:val="19"/>
          <w:color w:val="auto"/>
        </w:rPr>
        <w:t>Consolidated comprehensive earnings/loss and accumulated other comprehensive loss consist of consolidated net earnings or loss; adjustments for the funded status of pension and postretirement benefit plans; and foreign currency translation adjustments; and are presented in the Company’s consolidated statements of earnings and comprehensive earnings.</w:t>
      </w:r>
    </w:p>
    <w:p>
      <w:pPr>
        <w:spacing w:after="0" w:line="62" w:lineRule="exact"/>
        <w:rPr>
          <w:sz w:val="20"/>
          <w:szCs w:val="20"/>
          <w:color w:val="auto"/>
        </w:rPr>
      </w:pPr>
    </w:p>
    <w:p>
      <w:pPr>
        <w:ind w:left="380"/>
        <w:spacing w:after="0"/>
        <w:rPr>
          <w:sz w:val="20"/>
          <w:szCs w:val="20"/>
          <w:color w:val="auto"/>
        </w:rPr>
      </w:pPr>
      <w:r>
        <w:rPr>
          <w:rFonts w:ascii="Arial" w:cs="Arial" w:eastAsia="Arial" w:hAnsi="Arial"/>
          <w:sz w:val="20"/>
          <w:szCs w:val="20"/>
          <w:color w:val="auto"/>
        </w:rPr>
        <w:t>Comprehensive earnings attributable to Martin Marietta is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200" w:type="dxa"/>
            <w:vAlign w:val="bottom"/>
          </w:tcPr>
          <w:p>
            <w:pPr>
              <w:spacing w:after="0"/>
              <w:rPr>
                <w:sz w:val="21"/>
                <w:szCs w:val="21"/>
                <w:color w:val="auto"/>
              </w:rPr>
            </w:pPr>
          </w:p>
        </w:tc>
        <w:tc>
          <w:tcPr>
            <w:tcW w:w="2840" w:type="dxa"/>
            <w:vAlign w:val="bottom"/>
            <w:gridSpan w:val="5"/>
          </w:tcPr>
          <w:p>
            <w:pPr>
              <w:jc w:val="right"/>
              <w:ind w:right="501"/>
              <w:spacing w:after="0"/>
              <w:rPr>
                <w:sz w:val="20"/>
                <w:szCs w:val="20"/>
                <w:color w:val="auto"/>
              </w:rPr>
            </w:pPr>
            <w:r>
              <w:rPr>
                <w:rFonts w:ascii="Arial" w:cs="Arial" w:eastAsia="Arial" w:hAnsi="Arial"/>
                <w:sz w:val="20"/>
                <w:szCs w:val="20"/>
                <w:color w:val="auto"/>
              </w:rPr>
              <w:t>Three Months Ended</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80" w:type="dxa"/>
            <w:vAlign w:val="bottom"/>
            <w:gridSpan w:val="5"/>
          </w:tcPr>
          <w:p>
            <w:pPr>
              <w:ind w:left="400"/>
              <w:spacing w:after="0"/>
              <w:rPr>
                <w:sz w:val="20"/>
                <w:szCs w:val="20"/>
                <w:color w:val="auto"/>
              </w:rPr>
            </w:pPr>
            <w:r>
              <w:rPr>
                <w:rFonts w:ascii="Arial" w:cs="Arial" w:eastAsia="Arial" w:hAnsi="Arial"/>
                <w:sz w:val="20"/>
                <w:szCs w:val="20"/>
                <w:color w:val="auto"/>
              </w:rPr>
              <w:t>Six Months Ended</w:t>
            </w:r>
          </w:p>
        </w:tc>
      </w:tr>
      <w:tr>
        <w:trPr>
          <w:trHeight w:val="246"/>
        </w:trPr>
        <w:tc>
          <w:tcPr>
            <w:tcW w:w="5200" w:type="dxa"/>
            <w:vAlign w:val="bottom"/>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gridSpan w:val="3"/>
          </w:tcPr>
          <w:p>
            <w:pPr>
              <w:jc w:val="right"/>
              <w:ind w:right="21"/>
              <w:spacing w:after="0"/>
              <w:rPr>
                <w:sz w:val="20"/>
                <w:szCs w:val="20"/>
                <w:color w:val="auto"/>
              </w:rPr>
            </w:pPr>
            <w:r>
              <w:rPr>
                <w:rFonts w:ascii="Arial" w:cs="Arial" w:eastAsia="Arial" w:hAnsi="Arial"/>
                <w:sz w:val="20"/>
                <w:szCs w:val="20"/>
                <w:color w:val="auto"/>
              </w:rPr>
              <w:t>June 30,</w:t>
            </w:r>
          </w:p>
        </w:tc>
        <w:tc>
          <w:tcPr>
            <w:tcW w:w="98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20"/>
                <w:szCs w:val="20"/>
                <w:color w:val="auto"/>
              </w:rPr>
              <w:t>June 30,</w:t>
            </w:r>
          </w:p>
        </w:tc>
        <w:tc>
          <w:tcPr>
            <w:tcW w:w="9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r>
      <w:tr>
        <w:trPr>
          <w:trHeight w:val="236"/>
        </w:trPr>
        <w:tc>
          <w:tcPr>
            <w:tcW w:w="5200" w:type="dxa"/>
            <w:vAlign w:val="bottom"/>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2020</w:t>
            </w:r>
          </w:p>
        </w:tc>
        <w:tc>
          <w:tcPr>
            <w:tcW w:w="4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61"/>
              <w:spacing w:after="0"/>
              <w:rPr>
                <w:sz w:val="20"/>
                <w:szCs w:val="20"/>
                <w:color w:val="auto"/>
              </w:rPr>
            </w:pPr>
            <w:r>
              <w:rPr>
                <w:rFonts w:ascii="Arial" w:cs="Arial" w:eastAsia="Arial" w:hAnsi="Arial"/>
                <w:sz w:val="20"/>
                <w:szCs w:val="20"/>
                <w:color w:val="auto"/>
              </w:rPr>
              <w:t>2019</w:t>
            </w:r>
          </w:p>
        </w:tc>
        <w:tc>
          <w:tcPr>
            <w:tcW w:w="2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61"/>
              <w:spacing w:after="0"/>
              <w:rPr>
                <w:sz w:val="20"/>
                <w:szCs w:val="20"/>
                <w:color w:val="auto"/>
              </w:rPr>
            </w:pPr>
            <w:r>
              <w:rPr>
                <w:rFonts w:ascii="Arial" w:cs="Arial" w:eastAsia="Arial" w:hAnsi="Arial"/>
                <w:sz w:val="20"/>
                <w:szCs w:val="20"/>
                <w:color w:val="auto"/>
              </w:rPr>
              <w:t>2020</w:t>
            </w:r>
          </w:p>
        </w:tc>
        <w:tc>
          <w:tcPr>
            <w:tcW w:w="2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61"/>
              <w:spacing w:after="0"/>
              <w:rPr>
                <w:sz w:val="20"/>
                <w:szCs w:val="20"/>
                <w:color w:val="auto"/>
              </w:rPr>
            </w:pPr>
            <w:r>
              <w:rPr>
                <w:rFonts w:ascii="Arial" w:cs="Arial" w:eastAsia="Arial" w:hAnsi="Arial"/>
                <w:sz w:val="20"/>
                <w:szCs w:val="20"/>
                <w:color w:val="auto"/>
              </w:rPr>
              <w:t>2019</w:t>
            </w:r>
          </w:p>
        </w:tc>
        <w:tc>
          <w:tcPr>
            <w:tcW w:w="120" w:type="dxa"/>
            <w:vAlign w:val="bottom"/>
          </w:tcPr>
          <w:p>
            <w:pPr>
              <w:spacing w:after="0"/>
              <w:rPr>
                <w:sz w:val="20"/>
                <w:szCs w:val="20"/>
                <w:color w:val="auto"/>
              </w:rPr>
            </w:pPr>
          </w:p>
        </w:tc>
      </w:tr>
      <w:tr>
        <w:trPr>
          <w:trHeight w:val="237"/>
        </w:trPr>
        <w:tc>
          <w:tcPr>
            <w:tcW w:w="5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520" w:type="dxa"/>
            <w:vAlign w:val="bottom"/>
            <w:gridSpan w:val="4"/>
          </w:tcPr>
          <w:p>
            <w:pPr>
              <w:jc w:val="right"/>
              <w:ind w:right="501"/>
              <w:spacing w:after="0"/>
              <w:rPr>
                <w:sz w:val="20"/>
                <w:szCs w:val="20"/>
                <w:color w:val="auto"/>
              </w:rPr>
            </w:pPr>
            <w:r>
              <w:rPr>
                <w:rFonts w:ascii="Arial" w:cs="Arial" w:eastAsia="Arial" w:hAnsi="Arial"/>
                <w:sz w:val="20"/>
                <w:szCs w:val="20"/>
                <w:i w:val="1"/>
                <w:iCs w:val="1"/>
                <w:color w:val="auto"/>
              </w:rPr>
              <w:t>(Dollars in Millions)</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3"/>
        </w:trPr>
        <w:tc>
          <w:tcPr>
            <w:tcW w:w="5200" w:type="dxa"/>
            <w:vAlign w:val="bottom"/>
            <w:shd w:val="clear" w:color="auto" w:fill="CFF0FC"/>
          </w:tcPr>
          <w:p>
            <w:pPr>
              <w:spacing w:after="0"/>
              <w:rPr>
                <w:sz w:val="20"/>
                <w:szCs w:val="20"/>
                <w:color w:val="auto"/>
              </w:rPr>
            </w:pPr>
            <w:r>
              <w:rPr>
                <w:rFonts w:ascii="Arial" w:cs="Arial" w:eastAsia="Arial" w:hAnsi="Arial"/>
                <w:sz w:val="20"/>
                <w:szCs w:val="20"/>
                <w:color w:val="auto"/>
              </w:rPr>
              <w:t>Net earnings attributable to Martin Marietta</w:t>
            </w:r>
          </w:p>
        </w:tc>
        <w:tc>
          <w:tcPr>
            <w:tcW w:w="840" w:type="dxa"/>
            <w:vAlign w:val="bottom"/>
            <w:shd w:val="clear" w:color="auto" w:fill="CFF0FC"/>
          </w:tcPr>
          <w:p>
            <w:pPr>
              <w:jc w:val="right"/>
              <w:ind w:right="641"/>
              <w:spacing w:after="0"/>
              <w:rPr>
                <w:sz w:val="20"/>
                <w:szCs w:val="20"/>
                <w:color w:val="auto"/>
              </w:rPr>
            </w:pPr>
            <w:r>
              <w:rPr>
                <w:rFonts w:ascii="Arial" w:cs="Arial" w:eastAsia="Arial" w:hAnsi="Arial"/>
                <w:sz w:val="20"/>
                <w:szCs w:val="20"/>
                <w:color w:val="auto"/>
                <w:w w:val="71"/>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3"/>
              </w:rPr>
              <w:t>217.6</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189.5</w:t>
            </w:r>
          </w:p>
        </w:tc>
        <w:tc>
          <w:tcPr>
            <w:tcW w:w="520" w:type="dxa"/>
            <w:vAlign w:val="bottom"/>
            <w:gridSpan w:val="2"/>
            <w:shd w:val="clear" w:color="auto" w:fill="CFF0FC"/>
          </w:tcPr>
          <w:p>
            <w:pPr>
              <w:jc w:val="right"/>
              <w:ind w:right="180"/>
              <w:spacing w:after="0"/>
              <w:rPr>
                <w:sz w:val="20"/>
                <w:szCs w:val="20"/>
                <w:color w:val="auto"/>
              </w:rPr>
            </w:pPr>
            <w:r>
              <w:rPr>
                <w:rFonts w:ascii="Arial" w:cs="Arial" w:eastAsia="Arial" w:hAnsi="Arial"/>
                <w:sz w:val="20"/>
                <w:szCs w:val="20"/>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243.5</w:t>
            </w:r>
          </w:p>
        </w:tc>
        <w:tc>
          <w:tcPr>
            <w:tcW w:w="560" w:type="dxa"/>
            <w:vAlign w:val="bottom"/>
            <w:gridSpan w:val="2"/>
            <w:shd w:val="clear" w:color="auto" w:fill="CFF0FC"/>
          </w:tcPr>
          <w:p>
            <w:pPr>
              <w:jc w:val="right"/>
              <w:ind w:right="220"/>
              <w:spacing w:after="0"/>
              <w:rPr>
                <w:sz w:val="20"/>
                <w:szCs w:val="20"/>
                <w:color w:val="auto"/>
              </w:rPr>
            </w:pPr>
            <w:r>
              <w:rPr>
                <w:rFonts w:ascii="Arial" w:cs="Arial" w:eastAsia="Arial" w:hAnsi="Arial"/>
                <w:sz w:val="20"/>
                <w:szCs w:val="20"/>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232.3</w:t>
            </w:r>
          </w:p>
        </w:tc>
        <w:tc>
          <w:tcPr>
            <w:tcW w:w="120" w:type="dxa"/>
            <w:vAlign w:val="bottom"/>
            <w:shd w:val="clear" w:color="auto" w:fill="CFF0FC"/>
          </w:tcPr>
          <w:p>
            <w:pPr>
              <w:spacing w:after="0"/>
              <w:rPr>
                <w:sz w:val="21"/>
                <w:szCs w:val="21"/>
                <w:color w:val="auto"/>
              </w:rPr>
            </w:pPr>
          </w:p>
        </w:tc>
      </w:tr>
      <w:tr>
        <w:trPr>
          <w:trHeight w:val="243"/>
        </w:trPr>
        <w:tc>
          <w:tcPr>
            <w:tcW w:w="5200" w:type="dxa"/>
            <w:vAlign w:val="bottom"/>
            <w:tcBorders>
              <w:bottom w:val="single" w:sz="8" w:color="CFF0FC"/>
            </w:tcBorders>
          </w:tcPr>
          <w:p>
            <w:pPr>
              <w:spacing w:after="0"/>
              <w:rPr>
                <w:sz w:val="20"/>
                <w:szCs w:val="20"/>
                <w:color w:val="auto"/>
              </w:rPr>
            </w:pPr>
            <w:r>
              <w:rPr>
                <w:rFonts w:ascii="Arial" w:cs="Arial" w:eastAsia="Arial" w:hAnsi="Arial"/>
                <w:sz w:val="20"/>
                <w:szCs w:val="20"/>
                <w:color w:val="auto"/>
              </w:rPr>
              <w:t>Other comprehensive earnings, net of tax</w:t>
            </w:r>
          </w:p>
        </w:tc>
        <w:tc>
          <w:tcPr>
            <w:tcW w:w="84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3.2</w:t>
            </w:r>
          </w:p>
        </w:tc>
        <w:tc>
          <w:tcPr>
            <w:tcW w:w="260" w:type="dxa"/>
            <w:vAlign w:val="bottom"/>
            <w:tcBorders>
              <w:bottom w:val="single" w:sz="8" w:color="CFF0FC"/>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3.0</w:t>
            </w:r>
          </w:p>
        </w:tc>
        <w:tc>
          <w:tcPr>
            <w:tcW w:w="240" w:type="dxa"/>
            <w:vAlign w:val="bottom"/>
            <w:tcBorders>
              <w:bottom w:val="single" w:sz="8" w:color="CFF0FC"/>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3.6</w:t>
            </w:r>
          </w:p>
        </w:tc>
        <w:tc>
          <w:tcPr>
            <w:tcW w:w="240" w:type="dxa"/>
            <w:vAlign w:val="bottom"/>
            <w:tcBorders>
              <w:bottom w:val="single" w:sz="8" w:color="CFF0FC"/>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6.3</w:t>
            </w:r>
          </w:p>
        </w:tc>
        <w:tc>
          <w:tcPr>
            <w:tcW w:w="120" w:type="dxa"/>
            <w:vAlign w:val="bottom"/>
            <w:tcBorders>
              <w:bottom w:val="single" w:sz="8" w:color="CFF0FC"/>
            </w:tcBorders>
          </w:tcPr>
          <w:p>
            <w:pPr>
              <w:spacing w:after="0"/>
              <w:rPr>
                <w:sz w:val="21"/>
                <w:szCs w:val="21"/>
                <w:color w:val="auto"/>
              </w:rPr>
            </w:pPr>
          </w:p>
        </w:tc>
      </w:tr>
      <w:tr>
        <w:trPr>
          <w:trHeight w:val="220"/>
        </w:trPr>
        <w:tc>
          <w:tcPr>
            <w:tcW w:w="5200" w:type="dxa"/>
            <w:vAlign w:val="bottom"/>
            <w:shd w:val="clear" w:color="auto" w:fill="CFF0FC"/>
          </w:tcPr>
          <w:p>
            <w:pPr>
              <w:spacing w:after="0" w:line="220" w:lineRule="exact"/>
              <w:rPr>
                <w:sz w:val="20"/>
                <w:szCs w:val="20"/>
                <w:color w:val="auto"/>
              </w:rPr>
            </w:pPr>
            <w:r>
              <w:rPr>
                <w:rFonts w:ascii="Arial" w:cs="Arial" w:eastAsia="Arial" w:hAnsi="Arial"/>
                <w:sz w:val="20"/>
                <w:szCs w:val="20"/>
                <w:color w:val="auto"/>
              </w:rPr>
              <w:t>Comprehensive earnings attributable to Martin</w:t>
            </w:r>
          </w:p>
        </w:tc>
        <w:tc>
          <w:tcPr>
            <w:tcW w:w="8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46"/>
        </w:trPr>
        <w:tc>
          <w:tcPr>
            <w:tcW w:w="5200" w:type="dxa"/>
            <w:vAlign w:val="bottom"/>
            <w:shd w:val="clear" w:color="auto" w:fill="CFF0FC"/>
          </w:tcPr>
          <w:p>
            <w:pPr>
              <w:ind w:left="160"/>
              <w:spacing w:after="0"/>
              <w:rPr>
                <w:sz w:val="20"/>
                <w:szCs w:val="20"/>
                <w:color w:val="auto"/>
              </w:rPr>
            </w:pPr>
            <w:r>
              <w:rPr>
                <w:rFonts w:ascii="Arial" w:cs="Arial" w:eastAsia="Arial" w:hAnsi="Arial"/>
                <w:sz w:val="20"/>
                <w:szCs w:val="20"/>
                <w:color w:val="auto"/>
              </w:rPr>
              <w:t>Marietta</w:t>
            </w:r>
          </w:p>
        </w:tc>
        <w:tc>
          <w:tcPr>
            <w:tcW w:w="840" w:type="dxa"/>
            <w:vAlign w:val="bottom"/>
            <w:shd w:val="clear" w:color="auto" w:fill="CFF0FC"/>
          </w:tcPr>
          <w:p>
            <w:pPr>
              <w:jc w:val="right"/>
              <w:ind w:right="641"/>
              <w:spacing w:after="0"/>
              <w:rPr>
                <w:sz w:val="20"/>
                <w:szCs w:val="20"/>
                <w:color w:val="auto"/>
              </w:rPr>
            </w:pPr>
            <w:r>
              <w:rPr>
                <w:rFonts w:ascii="Arial" w:cs="Arial" w:eastAsia="Arial" w:hAnsi="Arial"/>
                <w:sz w:val="20"/>
                <w:szCs w:val="20"/>
                <w:color w:val="auto"/>
                <w:w w:val="71"/>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3"/>
              </w:rPr>
              <w:t>220.8</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192.5</w:t>
            </w:r>
          </w:p>
        </w:tc>
        <w:tc>
          <w:tcPr>
            <w:tcW w:w="520" w:type="dxa"/>
            <w:vAlign w:val="bottom"/>
            <w:gridSpan w:val="2"/>
            <w:shd w:val="clear" w:color="auto" w:fill="CFF0FC"/>
          </w:tcPr>
          <w:p>
            <w:pPr>
              <w:jc w:val="right"/>
              <w:ind w:right="180"/>
              <w:spacing w:after="0"/>
              <w:rPr>
                <w:sz w:val="20"/>
                <w:szCs w:val="20"/>
                <w:color w:val="auto"/>
              </w:rPr>
            </w:pPr>
            <w:r>
              <w:rPr>
                <w:rFonts w:ascii="Arial" w:cs="Arial" w:eastAsia="Arial" w:hAnsi="Arial"/>
                <w:sz w:val="20"/>
                <w:szCs w:val="20"/>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247.1</w:t>
            </w:r>
          </w:p>
        </w:tc>
        <w:tc>
          <w:tcPr>
            <w:tcW w:w="560" w:type="dxa"/>
            <w:vAlign w:val="bottom"/>
            <w:gridSpan w:val="2"/>
            <w:shd w:val="clear" w:color="auto" w:fill="CFF0FC"/>
          </w:tcPr>
          <w:p>
            <w:pPr>
              <w:jc w:val="right"/>
              <w:ind w:right="220"/>
              <w:spacing w:after="0"/>
              <w:rPr>
                <w:sz w:val="20"/>
                <w:szCs w:val="20"/>
                <w:color w:val="auto"/>
              </w:rPr>
            </w:pPr>
            <w:r>
              <w:rPr>
                <w:rFonts w:ascii="Arial" w:cs="Arial" w:eastAsia="Arial" w:hAnsi="Arial"/>
                <w:sz w:val="20"/>
                <w:szCs w:val="20"/>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238.6</w:t>
            </w:r>
          </w:p>
        </w:tc>
        <w:tc>
          <w:tcPr>
            <w:tcW w:w="120" w:type="dxa"/>
            <w:vAlign w:val="bottom"/>
            <w:shd w:val="clear" w:color="auto" w:fill="CFF0FC"/>
          </w:tcPr>
          <w:p>
            <w:pPr>
              <w:spacing w:after="0"/>
              <w:rPr>
                <w:sz w:val="21"/>
                <w:szCs w:val="21"/>
                <w:color w:val="auto"/>
              </w:rPr>
            </w:pPr>
          </w:p>
        </w:tc>
      </w:tr>
      <w:tr>
        <w:trPr>
          <w:trHeight w:val="20"/>
        </w:trPr>
        <w:tc>
          <w:tcPr>
            <w:tcW w:w="520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9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June 30, 2020</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227" w:lineRule="exact"/>
        <w:rPr>
          <w:sz w:val="20"/>
          <w:szCs w:val="20"/>
          <w:color w:val="auto"/>
        </w:rPr>
      </w:pPr>
    </w:p>
    <w:p>
      <w:pPr>
        <w:ind w:left="380"/>
        <w:spacing w:after="0"/>
        <w:rPr>
          <w:sz w:val="20"/>
          <w:szCs w:val="20"/>
          <w:color w:val="auto"/>
        </w:rPr>
      </w:pPr>
      <w:r>
        <w:rPr>
          <w:rFonts w:ascii="Arial" w:cs="Arial" w:eastAsia="Arial" w:hAnsi="Arial"/>
          <w:sz w:val="20"/>
          <w:szCs w:val="20"/>
          <w:color w:val="auto"/>
        </w:rPr>
        <w:t>Changes in accumulated other comprehensive loss, net of tax, are as follows: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4"/>
          </w:tcPr>
          <w:p>
            <w:pPr>
              <w:jc w:val="center"/>
              <w:ind w:right="160"/>
              <w:spacing w:after="0"/>
              <w:rPr>
                <w:sz w:val="20"/>
                <w:szCs w:val="20"/>
                <w:color w:val="auto"/>
              </w:rPr>
            </w:pPr>
            <w:r>
              <w:rPr>
                <w:rFonts w:ascii="Arial" w:cs="Arial" w:eastAsia="Arial" w:hAnsi="Arial"/>
                <w:sz w:val="19"/>
                <w:szCs w:val="19"/>
                <w:i w:val="1"/>
                <w:iCs w:val="1"/>
                <w:color w:val="auto"/>
                <w:w w:val="97"/>
              </w:rPr>
              <w:t>(Dollars in Millions)</w:t>
            </w:r>
          </w:p>
        </w:tc>
        <w:tc>
          <w:tcPr>
            <w:tcW w:w="1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6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jc w:val="center"/>
              <w:ind w:right="46"/>
              <w:spacing w:after="0" w:line="201" w:lineRule="exact"/>
              <w:rPr>
                <w:sz w:val="20"/>
                <w:szCs w:val="20"/>
                <w:color w:val="auto"/>
              </w:rPr>
            </w:pPr>
            <w:r>
              <w:rPr>
                <w:rFonts w:ascii="Arial" w:cs="Arial" w:eastAsia="Arial" w:hAnsi="Arial"/>
                <w:sz w:val="19"/>
                <w:szCs w:val="19"/>
                <w:color w:val="auto"/>
                <w:w w:val="91"/>
              </w:rPr>
              <w:t>Accumulated</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center"/>
              <w:ind w:right="300"/>
              <w:spacing w:after="0" w:line="216" w:lineRule="exact"/>
              <w:rPr>
                <w:sz w:val="20"/>
                <w:szCs w:val="20"/>
                <w:color w:val="auto"/>
              </w:rPr>
            </w:pPr>
            <w:r>
              <w:rPr>
                <w:rFonts w:ascii="Arial" w:cs="Arial" w:eastAsia="Arial" w:hAnsi="Arial"/>
                <w:sz w:val="19"/>
                <w:szCs w:val="19"/>
                <w:color w:val="auto"/>
                <w:w w:val="87"/>
              </w:rPr>
              <w:t>Pension and</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60"/>
              <w:spacing w:after="0" w:line="216" w:lineRule="exact"/>
              <w:rPr>
                <w:sz w:val="20"/>
                <w:szCs w:val="20"/>
                <w:color w:val="auto"/>
              </w:rPr>
            </w:pPr>
            <w:r>
              <w:rPr>
                <w:rFonts w:ascii="Arial" w:cs="Arial" w:eastAsia="Arial" w:hAnsi="Arial"/>
                <w:sz w:val="19"/>
                <w:szCs w:val="19"/>
                <w:color w:val="auto"/>
                <w:w w:val="92"/>
              </w:rPr>
              <w:t>Other</w:t>
            </w:r>
          </w:p>
        </w:tc>
        <w:tc>
          <w:tcPr>
            <w:tcW w:w="0" w:type="dxa"/>
            <w:vAlign w:val="bottom"/>
          </w:tcPr>
          <w:p>
            <w:pPr>
              <w:spacing w:after="0"/>
              <w:rPr>
                <w:sz w:val="1"/>
                <w:szCs w:val="1"/>
                <w:color w:val="auto"/>
              </w:rPr>
            </w:pPr>
          </w:p>
        </w:tc>
      </w:tr>
      <w:tr>
        <w:trPr>
          <w:trHeight w:val="216"/>
        </w:trPr>
        <w:tc>
          <w:tcPr>
            <w:tcW w:w="6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center"/>
              <w:ind w:right="320"/>
              <w:spacing w:after="0" w:line="216" w:lineRule="exact"/>
              <w:rPr>
                <w:sz w:val="20"/>
                <w:szCs w:val="20"/>
                <w:color w:val="auto"/>
              </w:rPr>
            </w:pPr>
            <w:r>
              <w:rPr>
                <w:rFonts w:ascii="Arial" w:cs="Arial" w:eastAsia="Arial" w:hAnsi="Arial"/>
                <w:sz w:val="19"/>
                <w:szCs w:val="19"/>
                <w:color w:val="auto"/>
                <w:w w:val="89"/>
              </w:rPr>
              <w:t>Postretirement</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60"/>
              <w:spacing w:after="0" w:line="216" w:lineRule="exact"/>
              <w:rPr>
                <w:sz w:val="20"/>
                <w:szCs w:val="20"/>
                <w:color w:val="auto"/>
              </w:rPr>
            </w:pPr>
            <w:r>
              <w:rPr>
                <w:rFonts w:ascii="Arial" w:cs="Arial" w:eastAsia="Arial" w:hAnsi="Arial"/>
                <w:sz w:val="19"/>
                <w:szCs w:val="19"/>
                <w:color w:val="auto"/>
                <w:w w:val="90"/>
              </w:rPr>
              <w:t>Comprehensive</w:t>
            </w:r>
          </w:p>
        </w:tc>
        <w:tc>
          <w:tcPr>
            <w:tcW w:w="0" w:type="dxa"/>
            <w:vAlign w:val="bottom"/>
          </w:tcPr>
          <w:p>
            <w:pPr>
              <w:spacing w:after="0"/>
              <w:rPr>
                <w:sz w:val="1"/>
                <w:szCs w:val="1"/>
                <w:color w:val="auto"/>
              </w:rPr>
            </w:pPr>
          </w:p>
        </w:tc>
      </w:tr>
      <w:tr>
        <w:trPr>
          <w:trHeight w:val="238"/>
        </w:trPr>
        <w:tc>
          <w:tcPr>
            <w:tcW w:w="6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9"/>
                <w:szCs w:val="19"/>
                <w:color w:val="auto"/>
                <w:w w:val="89"/>
              </w:rPr>
              <w:t>Benefit Plans</w:t>
            </w:r>
          </w:p>
        </w:tc>
        <w:tc>
          <w:tcPr>
            <w:tcW w:w="120" w:type="dxa"/>
            <w:vAlign w:val="bottom"/>
          </w:tcPr>
          <w:p>
            <w:pPr>
              <w:spacing w:after="0"/>
              <w:rPr>
                <w:sz w:val="20"/>
                <w:szCs w:val="20"/>
                <w:color w:val="auto"/>
              </w:rPr>
            </w:pPr>
          </w:p>
        </w:tc>
        <w:tc>
          <w:tcPr>
            <w:tcW w:w="1800" w:type="dxa"/>
            <w:vAlign w:val="bottom"/>
            <w:gridSpan w:val="3"/>
          </w:tcPr>
          <w:p>
            <w:pPr>
              <w:jc w:val="center"/>
              <w:ind w:right="280"/>
              <w:spacing w:after="0"/>
              <w:rPr>
                <w:sz w:val="20"/>
                <w:szCs w:val="20"/>
                <w:color w:val="auto"/>
              </w:rPr>
            </w:pPr>
            <w:r>
              <w:rPr>
                <w:rFonts w:ascii="Arial" w:cs="Arial" w:eastAsia="Arial" w:hAnsi="Arial"/>
                <w:sz w:val="19"/>
                <w:szCs w:val="19"/>
                <w:color w:val="auto"/>
                <w:w w:val="89"/>
              </w:rPr>
              <w:t>Foreign Currency</w:t>
            </w:r>
          </w:p>
        </w:tc>
        <w:tc>
          <w:tcPr>
            <w:tcW w:w="120" w:type="dxa"/>
            <w:vAlign w:val="bottom"/>
          </w:tcPr>
          <w:p>
            <w:pPr>
              <w:spacing w:after="0"/>
              <w:rPr>
                <w:sz w:val="20"/>
                <w:szCs w:val="20"/>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9"/>
                <w:szCs w:val="19"/>
                <w:color w:val="auto"/>
                <w:w w:val="89"/>
              </w:rPr>
              <w:t>Loss</w:t>
            </w:r>
          </w:p>
        </w:tc>
        <w:tc>
          <w:tcPr>
            <w:tcW w:w="0" w:type="dxa"/>
            <w:vAlign w:val="bottom"/>
          </w:tcPr>
          <w:p>
            <w:pPr>
              <w:spacing w:after="0"/>
              <w:rPr>
                <w:sz w:val="1"/>
                <w:szCs w:val="1"/>
                <w:color w:val="auto"/>
              </w:rPr>
            </w:pPr>
          </w:p>
        </w:tc>
      </w:tr>
      <w:tr>
        <w:trPr>
          <w:trHeight w:val="223"/>
        </w:trPr>
        <w:tc>
          <w:tcPr>
            <w:tcW w:w="60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4920" w:type="dxa"/>
            <w:vAlign w:val="bottom"/>
            <w:tcBorders>
              <w:top w:val="single" w:sz="8" w:color="auto"/>
              <w:bottom w:val="single" w:sz="8" w:color="auto"/>
            </w:tcBorders>
            <w:gridSpan w:val="8"/>
          </w:tcPr>
          <w:p>
            <w:pPr>
              <w:jc w:val="center"/>
              <w:ind w:right="66"/>
              <w:spacing w:after="0"/>
              <w:rPr>
                <w:sz w:val="20"/>
                <w:szCs w:val="20"/>
                <w:color w:val="auto"/>
              </w:rPr>
            </w:pPr>
            <w:r>
              <w:rPr>
                <w:rFonts w:ascii="Arial" w:cs="Arial" w:eastAsia="Arial" w:hAnsi="Arial"/>
                <w:sz w:val="19"/>
                <w:szCs w:val="19"/>
                <w:color w:val="auto"/>
                <w:w w:val="88"/>
              </w:rPr>
              <w:t>Three Months Ended June 30, 2020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60" w:type="dxa"/>
            <w:vAlign w:val="bottom"/>
          </w:tcPr>
          <w:p>
            <w:pPr>
              <w:spacing w:after="0"/>
              <w:rPr>
                <w:sz w:val="20"/>
                <w:szCs w:val="20"/>
                <w:color w:val="auto"/>
              </w:rPr>
            </w:pPr>
            <w:r>
              <w:rPr>
                <w:rFonts w:ascii="Arial" w:cs="Arial" w:eastAsia="Arial" w:hAnsi="Arial"/>
                <w:sz w:val="19"/>
                <w:szCs w:val="19"/>
                <w:color w:val="auto"/>
              </w:rPr>
              <w:t>Balance at beginning of period</w:t>
            </w:r>
          </w:p>
        </w:tc>
        <w:tc>
          <w:tcPr>
            <w:tcW w:w="14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1500" w:type="dxa"/>
            <w:vAlign w:val="bottom"/>
            <w:gridSpan w:val="2"/>
          </w:tcPr>
          <w:p>
            <w:pPr>
              <w:jc w:val="right"/>
              <w:ind w:right="80"/>
              <w:spacing w:after="0"/>
              <w:rPr>
                <w:sz w:val="20"/>
                <w:szCs w:val="20"/>
                <w:color w:val="auto"/>
              </w:rPr>
            </w:pPr>
            <w:r>
              <w:rPr>
                <w:rFonts w:ascii="Arial" w:cs="Arial" w:eastAsia="Arial" w:hAnsi="Arial"/>
                <w:sz w:val="19"/>
                <w:szCs w:val="19"/>
                <w:color w:val="auto"/>
              </w:rPr>
              <w:t>(142.4)</w:t>
            </w:r>
          </w:p>
        </w:tc>
        <w:tc>
          <w:tcPr>
            <w:tcW w:w="780" w:type="dxa"/>
            <w:vAlign w:val="bottom"/>
            <w:gridSpan w:val="2"/>
          </w:tcPr>
          <w:p>
            <w:pPr>
              <w:jc w:val="right"/>
              <w:ind w:right="466"/>
              <w:spacing w:after="0"/>
              <w:rPr>
                <w:sz w:val="20"/>
                <w:szCs w:val="20"/>
                <w:color w:val="auto"/>
              </w:rPr>
            </w:pPr>
            <w:r>
              <w:rPr>
                <w:rFonts w:ascii="Arial" w:cs="Arial" w:eastAsia="Arial" w:hAnsi="Arial"/>
                <w:sz w:val="19"/>
                <w:szCs w:val="19"/>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9"/>
                <w:szCs w:val="19"/>
                <w:color w:val="auto"/>
              </w:rPr>
              <w:t>(3.0)</w:t>
            </w:r>
          </w:p>
        </w:tc>
        <w:tc>
          <w:tcPr>
            <w:tcW w:w="12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1500" w:type="dxa"/>
            <w:vAlign w:val="bottom"/>
            <w:gridSpan w:val="2"/>
          </w:tcPr>
          <w:p>
            <w:pPr>
              <w:jc w:val="right"/>
              <w:ind w:right="60"/>
              <w:spacing w:after="0"/>
              <w:rPr>
                <w:sz w:val="20"/>
                <w:szCs w:val="20"/>
                <w:color w:val="auto"/>
              </w:rPr>
            </w:pPr>
            <w:r>
              <w:rPr>
                <w:rFonts w:ascii="Arial" w:cs="Arial" w:eastAsia="Arial" w:hAnsi="Arial"/>
                <w:sz w:val="19"/>
                <w:szCs w:val="19"/>
                <w:color w:val="auto"/>
              </w:rPr>
              <w:t>(145.4)</w:t>
            </w:r>
          </w:p>
        </w:tc>
        <w:tc>
          <w:tcPr>
            <w:tcW w:w="0" w:type="dxa"/>
            <w:vAlign w:val="bottom"/>
          </w:tcPr>
          <w:p>
            <w:pPr>
              <w:spacing w:after="0"/>
              <w:rPr>
                <w:sz w:val="1"/>
                <w:szCs w:val="1"/>
                <w:color w:val="auto"/>
              </w:rPr>
            </w:pPr>
          </w:p>
        </w:tc>
      </w:tr>
      <w:tr>
        <w:trPr>
          <w:trHeight w:val="207"/>
        </w:trPr>
        <w:tc>
          <w:tcPr>
            <w:tcW w:w="6060" w:type="dxa"/>
            <w:vAlign w:val="bottom"/>
            <w:shd w:val="clear" w:color="auto" w:fill="CFF0FC"/>
          </w:tcPr>
          <w:p>
            <w:pPr>
              <w:spacing w:after="0" w:line="207" w:lineRule="exact"/>
              <w:rPr>
                <w:sz w:val="20"/>
                <w:szCs w:val="20"/>
                <w:color w:val="auto"/>
              </w:rPr>
            </w:pPr>
            <w:r>
              <w:rPr>
                <w:rFonts w:ascii="Arial" w:cs="Arial" w:eastAsia="Arial" w:hAnsi="Arial"/>
                <w:sz w:val="19"/>
                <w:szCs w:val="19"/>
                <w:color w:val="auto"/>
              </w:rPr>
              <w:t>Other comprehensive earnings before reclassifications,</w:t>
            </w:r>
          </w:p>
        </w:tc>
        <w:tc>
          <w:tcPr>
            <w:tcW w:w="1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060" w:type="dxa"/>
            <w:vAlign w:val="bottom"/>
            <w:shd w:val="clear" w:color="auto" w:fill="CFF0FC"/>
          </w:tcPr>
          <w:p>
            <w:pPr>
              <w:ind w:left="140"/>
              <w:spacing w:after="0"/>
              <w:rPr>
                <w:sz w:val="20"/>
                <w:szCs w:val="20"/>
                <w:color w:val="auto"/>
              </w:rPr>
            </w:pPr>
            <w:r>
              <w:rPr>
                <w:rFonts w:ascii="Arial" w:cs="Arial" w:eastAsia="Arial" w:hAnsi="Arial"/>
                <w:sz w:val="19"/>
                <w:szCs w:val="19"/>
                <w:color w:val="auto"/>
              </w:rPr>
              <w:t>net of tax</w:t>
            </w:r>
          </w:p>
        </w:tc>
        <w:tc>
          <w:tcPr>
            <w:tcW w:w="140" w:type="dxa"/>
            <w:vAlign w:val="bottom"/>
            <w:shd w:val="clear" w:color="auto" w:fill="CFF0FC"/>
          </w:tcPr>
          <w:p>
            <w:pPr>
              <w:spacing w:after="0"/>
              <w:rPr>
                <w:sz w:val="20"/>
                <w:szCs w:val="20"/>
                <w:color w:val="auto"/>
              </w:rPr>
            </w:pPr>
          </w:p>
        </w:tc>
        <w:tc>
          <w:tcPr>
            <w:tcW w:w="1500" w:type="dxa"/>
            <w:vAlign w:val="bottom"/>
            <w:gridSpan w:val="2"/>
            <w:shd w:val="clear" w:color="auto" w:fill="CFF0FC"/>
          </w:tcPr>
          <w:p>
            <w:pPr>
              <w:jc w:val="right"/>
              <w:ind w:right="160"/>
              <w:spacing w:after="0"/>
              <w:rPr>
                <w:sz w:val="20"/>
                <w:szCs w:val="20"/>
                <w:color w:val="auto"/>
              </w:rPr>
            </w:pPr>
            <w:r>
              <w:rPr>
                <w:rFonts w:ascii="Arial" w:cs="Arial" w:eastAsia="Arial" w:hAnsi="Arial"/>
                <w:sz w:val="19"/>
                <w:szCs w:val="19"/>
                <w:color w:val="auto"/>
              </w:rPr>
              <w:t>—</w:t>
            </w:r>
          </w:p>
        </w:tc>
        <w:tc>
          <w:tcPr>
            <w:tcW w:w="12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9"/>
                <w:szCs w:val="19"/>
                <w:color w:val="auto"/>
              </w:rPr>
              <w:t>0.8</w:t>
            </w:r>
          </w:p>
        </w:tc>
        <w:tc>
          <w:tcPr>
            <w:tcW w:w="2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9"/>
                <w:szCs w:val="19"/>
                <w:color w:val="auto"/>
              </w:rPr>
              <w:t>0.8</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6060" w:type="dxa"/>
            <w:vAlign w:val="bottom"/>
          </w:tcPr>
          <w:p>
            <w:pPr>
              <w:spacing w:after="0" w:line="207" w:lineRule="exact"/>
              <w:rPr>
                <w:sz w:val="20"/>
                <w:szCs w:val="20"/>
                <w:color w:val="auto"/>
              </w:rPr>
            </w:pPr>
            <w:r>
              <w:rPr>
                <w:rFonts w:ascii="Arial" w:cs="Arial" w:eastAsia="Arial" w:hAnsi="Arial"/>
                <w:sz w:val="19"/>
                <w:szCs w:val="19"/>
                <w:color w:val="auto"/>
              </w:rPr>
              <w:t>Amounts reclassified from accumulated other</w:t>
            </w: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060" w:type="dxa"/>
            <w:vAlign w:val="bottom"/>
          </w:tcPr>
          <w:p>
            <w:pPr>
              <w:ind w:left="140"/>
              <w:spacing w:after="0"/>
              <w:rPr>
                <w:sz w:val="20"/>
                <w:szCs w:val="20"/>
                <w:color w:val="auto"/>
              </w:rPr>
            </w:pPr>
            <w:r>
              <w:rPr>
                <w:rFonts w:ascii="Arial" w:cs="Arial" w:eastAsia="Arial" w:hAnsi="Arial"/>
                <w:sz w:val="19"/>
                <w:szCs w:val="19"/>
                <w:color w:val="auto"/>
              </w:rPr>
              <w:t>comprehensive loss, net of tax</w:t>
            </w: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9"/>
                <w:szCs w:val="19"/>
                <w:color w:val="auto"/>
              </w:rPr>
              <w:t>2.4</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9"/>
                <w:szCs w:val="19"/>
                <w:color w:val="auto"/>
              </w:rPr>
              <w:t>—</w:t>
            </w: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9"/>
                <w:szCs w:val="19"/>
                <w:color w:val="auto"/>
              </w:rPr>
              <w:t>2.4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0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9"/>
                <w:szCs w:val="19"/>
                <w:color w:val="auto"/>
              </w:rPr>
              <w:t>Other comprehensive earnings, net of tax</w:t>
            </w: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2.4</w:t>
            </w: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66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0.8</w:t>
            </w:r>
          </w:p>
        </w:tc>
        <w:tc>
          <w:tcPr>
            <w:tcW w:w="2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3.2</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60" w:type="dxa"/>
            <w:vAlign w:val="bottom"/>
          </w:tcPr>
          <w:p>
            <w:pPr>
              <w:spacing w:after="0"/>
              <w:rPr>
                <w:sz w:val="20"/>
                <w:szCs w:val="20"/>
                <w:color w:val="auto"/>
              </w:rPr>
            </w:pPr>
            <w:r>
              <w:rPr>
                <w:rFonts w:ascii="Arial" w:cs="Arial" w:eastAsia="Arial" w:hAnsi="Arial"/>
                <w:sz w:val="19"/>
                <w:szCs w:val="19"/>
                <w:color w:val="auto"/>
              </w:rPr>
              <w:t>Balance at end of period</w:t>
            </w:r>
          </w:p>
        </w:tc>
        <w:tc>
          <w:tcPr>
            <w:tcW w:w="14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1500" w:type="dxa"/>
            <w:vAlign w:val="bottom"/>
            <w:gridSpan w:val="2"/>
          </w:tcPr>
          <w:p>
            <w:pPr>
              <w:jc w:val="right"/>
              <w:ind w:right="80"/>
              <w:spacing w:after="0"/>
              <w:rPr>
                <w:sz w:val="20"/>
                <w:szCs w:val="20"/>
                <w:color w:val="auto"/>
              </w:rPr>
            </w:pPr>
            <w:r>
              <w:rPr>
                <w:rFonts w:ascii="Arial" w:cs="Arial" w:eastAsia="Arial" w:hAnsi="Arial"/>
                <w:sz w:val="19"/>
                <w:szCs w:val="19"/>
                <w:color w:val="auto"/>
              </w:rPr>
              <w:t>(140.0)</w:t>
            </w:r>
          </w:p>
        </w:tc>
        <w:tc>
          <w:tcPr>
            <w:tcW w:w="120" w:type="dxa"/>
            <w:vAlign w:val="bottom"/>
          </w:tcPr>
          <w:p>
            <w:pPr>
              <w:spacing w:after="0"/>
              <w:rPr>
                <w:sz w:val="19"/>
                <w:szCs w:val="19"/>
                <w:color w:val="auto"/>
              </w:rPr>
            </w:pPr>
          </w:p>
        </w:tc>
        <w:tc>
          <w:tcPr>
            <w:tcW w:w="660" w:type="dxa"/>
            <w:vAlign w:val="bottom"/>
          </w:tcPr>
          <w:p>
            <w:pPr>
              <w:jc w:val="right"/>
              <w:ind w:right="466"/>
              <w:spacing w:after="0"/>
              <w:rPr>
                <w:sz w:val="20"/>
                <w:szCs w:val="20"/>
                <w:color w:val="auto"/>
              </w:rPr>
            </w:pPr>
            <w:r>
              <w:rPr>
                <w:rFonts w:ascii="Arial" w:cs="Arial" w:eastAsia="Arial" w:hAnsi="Arial"/>
                <w:sz w:val="19"/>
                <w:szCs w:val="19"/>
                <w:color w:val="auto"/>
                <w:w w:val="75"/>
              </w:rPr>
              <w:t>$</w:t>
            </w:r>
          </w:p>
        </w:tc>
        <w:tc>
          <w:tcPr>
            <w:tcW w:w="1140" w:type="dxa"/>
            <w:vAlign w:val="bottom"/>
            <w:gridSpan w:val="2"/>
          </w:tcPr>
          <w:p>
            <w:pPr>
              <w:jc w:val="right"/>
              <w:ind w:right="200"/>
              <w:spacing w:after="0"/>
              <w:rPr>
                <w:sz w:val="20"/>
                <w:szCs w:val="20"/>
                <w:color w:val="auto"/>
              </w:rPr>
            </w:pPr>
            <w:r>
              <w:rPr>
                <w:rFonts w:ascii="Arial" w:cs="Arial" w:eastAsia="Arial" w:hAnsi="Arial"/>
                <w:sz w:val="19"/>
                <w:szCs w:val="19"/>
                <w:color w:val="auto"/>
              </w:rPr>
              <w:t>(2.2)</w:t>
            </w:r>
          </w:p>
        </w:tc>
        <w:tc>
          <w:tcPr>
            <w:tcW w:w="12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1500" w:type="dxa"/>
            <w:vAlign w:val="bottom"/>
            <w:gridSpan w:val="2"/>
          </w:tcPr>
          <w:p>
            <w:pPr>
              <w:jc w:val="right"/>
              <w:ind w:right="60"/>
              <w:spacing w:after="0"/>
              <w:rPr>
                <w:sz w:val="20"/>
                <w:szCs w:val="20"/>
                <w:color w:val="auto"/>
              </w:rPr>
            </w:pPr>
            <w:r>
              <w:rPr>
                <w:rFonts w:ascii="Arial" w:cs="Arial" w:eastAsia="Arial" w:hAnsi="Arial"/>
                <w:sz w:val="19"/>
                <w:szCs w:val="19"/>
                <w:color w:val="auto"/>
              </w:rPr>
              <w:t>(142.2)</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52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60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920" w:type="dxa"/>
            <w:vAlign w:val="bottom"/>
            <w:tcBorders>
              <w:bottom w:val="single" w:sz="8" w:color="auto"/>
            </w:tcBorders>
            <w:gridSpan w:val="8"/>
          </w:tcPr>
          <w:p>
            <w:pPr>
              <w:jc w:val="center"/>
              <w:ind w:right="66"/>
              <w:spacing w:after="0"/>
              <w:rPr>
                <w:sz w:val="20"/>
                <w:szCs w:val="20"/>
                <w:color w:val="auto"/>
              </w:rPr>
            </w:pPr>
            <w:r>
              <w:rPr>
                <w:rFonts w:ascii="Arial" w:cs="Arial" w:eastAsia="Arial" w:hAnsi="Arial"/>
                <w:sz w:val="19"/>
                <w:szCs w:val="19"/>
                <w:color w:val="auto"/>
                <w:w w:val="88"/>
              </w:rPr>
              <w:t>Three Months Ended June 30, 2019</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060" w:type="dxa"/>
            <w:vAlign w:val="bottom"/>
          </w:tcPr>
          <w:p>
            <w:pPr>
              <w:spacing w:after="0"/>
              <w:rPr>
                <w:sz w:val="20"/>
                <w:szCs w:val="20"/>
                <w:color w:val="auto"/>
              </w:rPr>
            </w:pPr>
            <w:r>
              <w:rPr>
                <w:rFonts w:ascii="Arial" w:cs="Arial" w:eastAsia="Arial" w:hAnsi="Arial"/>
                <w:sz w:val="19"/>
                <w:szCs w:val="19"/>
                <w:color w:val="auto"/>
              </w:rPr>
              <w:t>Balance at beginning of period</w:t>
            </w:r>
          </w:p>
        </w:tc>
        <w:tc>
          <w:tcPr>
            <w:tcW w:w="14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1500" w:type="dxa"/>
            <w:vAlign w:val="bottom"/>
            <w:gridSpan w:val="2"/>
          </w:tcPr>
          <w:p>
            <w:pPr>
              <w:jc w:val="right"/>
              <w:ind w:right="80"/>
              <w:spacing w:after="0"/>
              <w:rPr>
                <w:sz w:val="20"/>
                <w:szCs w:val="20"/>
                <w:color w:val="auto"/>
              </w:rPr>
            </w:pPr>
            <w:r>
              <w:rPr>
                <w:rFonts w:ascii="Arial" w:cs="Arial" w:eastAsia="Arial" w:hAnsi="Arial"/>
                <w:sz w:val="19"/>
                <w:szCs w:val="19"/>
                <w:color w:val="auto"/>
              </w:rPr>
              <w:t>(138.7)</w:t>
            </w:r>
          </w:p>
        </w:tc>
        <w:tc>
          <w:tcPr>
            <w:tcW w:w="780" w:type="dxa"/>
            <w:vAlign w:val="bottom"/>
            <w:gridSpan w:val="2"/>
          </w:tcPr>
          <w:p>
            <w:pPr>
              <w:jc w:val="right"/>
              <w:ind w:right="466"/>
              <w:spacing w:after="0"/>
              <w:rPr>
                <w:sz w:val="20"/>
                <w:szCs w:val="20"/>
                <w:color w:val="auto"/>
              </w:rPr>
            </w:pPr>
            <w:r>
              <w:rPr>
                <w:rFonts w:ascii="Arial" w:cs="Arial" w:eastAsia="Arial" w:hAnsi="Arial"/>
                <w:sz w:val="19"/>
                <w:szCs w:val="19"/>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9"/>
                <w:szCs w:val="19"/>
                <w:color w:val="auto"/>
              </w:rPr>
              <w:t>(1.6)</w:t>
            </w:r>
          </w:p>
        </w:tc>
        <w:tc>
          <w:tcPr>
            <w:tcW w:w="12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1500" w:type="dxa"/>
            <w:vAlign w:val="bottom"/>
            <w:gridSpan w:val="2"/>
          </w:tcPr>
          <w:p>
            <w:pPr>
              <w:jc w:val="right"/>
              <w:ind w:right="60"/>
              <w:spacing w:after="0"/>
              <w:rPr>
                <w:sz w:val="20"/>
                <w:szCs w:val="20"/>
                <w:color w:val="auto"/>
              </w:rPr>
            </w:pPr>
            <w:r>
              <w:rPr>
                <w:rFonts w:ascii="Arial" w:cs="Arial" w:eastAsia="Arial" w:hAnsi="Arial"/>
                <w:sz w:val="19"/>
                <w:szCs w:val="19"/>
                <w:color w:val="auto"/>
              </w:rPr>
              <w:t>(140.3)</w:t>
            </w:r>
          </w:p>
        </w:tc>
        <w:tc>
          <w:tcPr>
            <w:tcW w:w="0" w:type="dxa"/>
            <w:vAlign w:val="bottom"/>
          </w:tcPr>
          <w:p>
            <w:pPr>
              <w:spacing w:after="0"/>
              <w:rPr>
                <w:sz w:val="1"/>
                <w:szCs w:val="1"/>
                <w:color w:val="auto"/>
              </w:rPr>
            </w:pPr>
          </w:p>
        </w:tc>
      </w:tr>
      <w:tr>
        <w:trPr>
          <w:trHeight w:val="207"/>
        </w:trPr>
        <w:tc>
          <w:tcPr>
            <w:tcW w:w="6060" w:type="dxa"/>
            <w:vAlign w:val="bottom"/>
            <w:shd w:val="clear" w:color="auto" w:fill="CFF2FA"/>
          </w:tcPr>
          <w:p>
            <w:pPr>
              <w:spacing w:after="0" w:line="207" w:lineRule="exact"/>
              <w:rPr>
                <w:sz w:val="20"/>
                <w:szCs w:val="20"/>
                <w:color w:val="auto"/>
              </w:rPr>
            </w:pPr>
            <w:r>
              <w:rPr>
                <w:rFonts w:ascii="Arial" w:cs="Arial" w:eastAsia="Arial" w:hAnsi="Arial"/>
                <w:sz w:val="19"/>
                <w:szCs w:val="19"/>
                <w:color w:val="auto"/>
              </w:rPr>
              <w:t>Other comprehensive earnings before reclassifications,</w:t>
            </w:r>
          </w:p>
        </w:tc>
        <w:tc>
          <w:tcPr>
            <w:tcW w:w="140" w:type="dxa"/>
            <w:vAlign w:val="bottom"/>
            <w:shd w:val="clear" w:color="auto" w:fill="CFF2FA"/>
          </w:tcPr>
          <w:p>
            <w:pPr>
              <w:spacing w:after="0"/>
              <w:rPr>
                <w:sz w:val="18"/>
                <w:szCs w:val="18"/>
                <w:color w:val="auto"/>
              </w:rPr>
            </w:pPr>
          </w:p>
        </w:tc>
        <w:tc>
          <w:tcPr>
            <w:tcW w:w="1360" w:type="dxa"/>
            <w:vAlign w:val="bottom"/>
            <w:shd w:val="clear" w:color="auto" w:fill="CFF2FA"/>
          </w:tcPr>
          <w:p>
            <w:pPr>
              <w:spacing w:after="0"/>
              <w:rPr>
                <w:sz w:val="18"/>
                <w:szCs w:val="18"/>
                <w:color w:val="auto"/>
              </w:rPr>
            </w:pPr>
          </w:p>
        </w:tc>
        <w:tc>
          <w:tcPr>
            <w:tcW w:w="140" w:type="dxa"/>
            <w:vAlign w:val="bottom"/>
            <w:shd w:val="clear" w:color="auto" w:fill="CFF2FA"/>
          </w:tcPr>
          <w:p>
            <w:pPr>
              <w:spacing w:after="0"/>
              <w:rPr>
                <w:sz w:val="18"/>
                <w:szCs w:val="18"/>
                <w:color w:val="auto"/>
              </w:rPr>
            </w:pPr>
          </w:p>
        </w:tc>
        <w:tc>
          <w:tcPr>
            <w:tcW w:w="120" w:type="dxa"/>
            <w:vAlign w:val="bottom"/>
            <w:shd w:val="clear" w:color="auto" w:fill="CFF2FA"/>
          </w:tcPr>
          <w:p>
            <w:pPr>
              <w:spacing w:after="0"/>
              <w:rPr>
                <w:sz w:val="18"/>
                <w:szCs w:val="18"/>
                <w:color w:val="auto"/>
              </w:rPr>
            </w:pPr>
          </w:p>
        </w:tc>
        <w:tc>
          <w:tcPr>
            <w:tcW w:w="660" w:type="dxa"/>
            <w:vAlign w:val="bottom"/>
            <w:shd w:val="clear" w:color="auto" w:fill="CFF2FA"/>
          </w:tcPr>
          <w:p>
            <w:pPr>
              <w:spacing w:after="0"/>
              <w:rPr>
                <w:sz w:val="18"/>
                <w:szCs w:val="18"/>
                <w:color w:val="auto"/>
              </w:rPr>
            </w:pPr>
          </w:p>
        </w:tc>
        <w:tc>
          <w:tcPr>
            <w:tcW w:w="860" w:type="dxa"/>
            <w:vAlign w:val="bottom"/>
            <w:shd w:val="clear" w:color="auto" w:fill="CFF2FA"/>
          </w:tcPr>
          <w:p>
            <w:pPr>
              <w:spacing w:after="0"/>
              <w:rPr>
                <w:sz w:val="18"/>
                <w:szCs w:val="18"/>
                <w:color w:val="auto"/>
              </w:rPr>
            </w:pPr>
          </w:p>
        </w:tc>
        <w:tc>
          <w:tcPr>
            <w:tcW w:w="280" w:type="dxa"/>
            <w:vAlign w:val="bottom"/>
            <w:shd w:val="clear" w:color="auto" w:fill="CFF2FA"/>
          </w:tcPr>
          <w:p>
            <w:pPr>
              <w:spacing w:after="0"/>
              <w:rPr>
                <w:sz w:val="18"/>
                <w:szCs w:val="18"/>
                <w:color w:val="auto"/>
              </w:rPr>
            </w:pPr>
          </w:p>
        </w:tc>
        <w:tc>
          <w:tcPr>
            <w:tcW w:w="120" w:type="dxa"/>
            <w:vAlign w:val="bottom"/>
            <w:shd w:val="clear" w:color="auto" w:fill="CFF2FA"/>
          </w:tcPr>
          <w:p>
            <w:pPr>
              <w:spacing w:after="0"/>
              <w:rPr>
                <w:sz w:val="18"/>
                <w:szCs w:val="18"/>
                <w:color w:val="auto"/>
              </w:rPr>
            </w:pPr>
          </w:p>
        </w:tc>
        <w:tc>
          <w:tcPr>
            <w:tcW w:w="1380" w:type="dxa"/>
            <w:vAlign w:val="bottom"/>
            <w:shd w:val="clear" w:color="auto" w:fill="CFF2FA"/>
          </w:tcPr>
          <w:p>
            <w:pPr>
              <w:spacing w:after="0"/>
              <w:rPr>
                <w:sz w:val="18"/>
                <w:szCs w:val="18"/>
                <w:color w:val="auto"/>
              </w:rPr>
            </w:pPr>
          </w:p>
        </w:tc>
        <w:tc>
          <w:tcPr>
            <w:tcW w:w="120" w:type="dxa"/>
            <w:vAlign w:val="bottom"/>
            <w:shd w:val="clear" w:color="auto" w:fill="CFF2FA"/>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060" w:type="dxa"/>
            <w:vAlign w:val="bottom"/>
            <w:shd w:val="clear" w:color="auto" w:fill="CFF2FA"/>
          </w:tcPr>
          <w:p>
            <w:pPr>
              <w:ind w:left="140"/>
              <w:spacing w:after="0"/>
              <w:rPr>
                <w:sz w:val="20"/>
                <w:szCs w:val="20"/>
                <w:color w:val="auto"/>
              </w:rPr>
            </w:pPr>
            <w:r>
              <w:rPr>
                <w:rFonts w:ascii="Arial" w:cs="Arial" w:eastAsia="Arial" w:hAnsi="Arial"/>
                <w:sz w:val="19"/>
                <w:szCs w:val="19"/>
                <w:color w:val="auto"/>
              </w:rPr>
              <w:t>net of tax</w:t>
            </w:r>
          </w:p>
        </w:tc>
        <w:tc>
          <w:tcPr>
            <w:tcW w:w="140" w:type="dxa"/>
            <w:vAlign w:val="bottom"/>
            <w:shd w:val="clear" w:color="auto" w:fill="CFF2FA"/>
          </w:tcPr>
          <w:p>
            <w:pPr>
              <w:spacing w:after="0"/>
              <w:rPr>
                <w:sz w:val="20"/>
                <w:szCs w:val="20"/>
                <w:color w:val="auto"/>
              </w:rPr>
            </w:pPr>
          </w:p>
        </w:tc>
        <w:tc>
          <w:tcPr>
            <w:tcW w:w="1500" w:type="dxa"/>
            <w:vAlign w:val="bottom"/>
            <w:gridSpan w:val="2"/>
            <w:shd w:val="clear" w:color="auto" w:fill="CFF2FA"/>
          </w:tcPr>
          <w:p>
            <w:pPr>
              <w:jc w:val="right"/>
              <w:ind w:right="160"/>
              <w:spacing w:after="0"/>
              <w:rPr>
                <w:sz w:val="20"/>
                <w:szCs w:val="20"/>
                <w:color w:val="auto"/>
              </w:rPr>
            </w:pPr>
            <w:r>
              <w:rPr>
                <w:rFonts w:ascii="Arial" w:cs="Arial" w:eastAsia="Arial" w:hAnsi="Arial"/>
                <w:sz w:val="19"/>
                <w:szCs w:val="19"/>
                <w:color w:val="auto"/>
              </w:rPr>
              <w:t>—</w:t>
            </w:r>
          </w:p>
        </w:tc>
        <w:tc>
          <w:tcPr>
            <w:tcW w:w="120" w:type="dxa"/>
            <w:vAlign w:val="bottom"/>
            <w:shd w:val="clear" w:color="auto" w:fill="CFF2FA"/>
          </w:tcPr>
          <w:p>
            <w:pPr>
              <w:spacing w:after="0"/>
              <w:rPr>
                <w:sz w:val="20"/>
                <w:szCs w:val="20"/>
                <w:color w:val="auto"/>
              </w:rPr>
            </w:pPr>
          </w:p>
        </w:tc>
        <w:tc>
          <w:tcPr>
            <w:tcW w:w="660" w:type="dxa"/>
            <w:vAlign w:val="bottom"/>
            <w:shd w:val="clear" w:color="auto" w:fill="CFF2FA"/>
          </w:tcPr>
          <w:p>
            <w:pPr>
              <w:spacing w:after="0"/>
              <w:rPr>
                <w:sz w:val="20"/>
                <w:szCs w:val="20"/>
                <w:color w:val="auto"/>
              </w:rPr>
            </w:pPr>
          </w:p>
        </w:tc>
        <w:tc>
          <w:tcPr>
            <w:tcW w:w="860" w:type="dxa"/>
            <w:vAlign w:val="bottom"/>
            <w:shd w:val="clear" w:color="auto" w:fill="CFF2FA"/>
          </w:tcPr>
          <w:p>
            <w:pPr>
              <w:jc w:val="right"/>
              <w:spacing w:after="0"/>
              <w:rPr>
                <w:sz w:val="20"/>
                <w:szCs w:val="20"/>
                <w:color w:val="auto"/>
              </w:rPr>
            </w:pPr>
            <w:r>
              <w:rPr>
                <w:rFonts w:ascii="Arial" w:cs="Arial" w:eastAsia="Arial" w:hAnsi="Arial"/>
                <w:sz w:val="19"/>
                <w:szCs w:val="19"/>
                <w:color w:val="auto"/>
              </w:rPr>
              <w:t>0.3</w:t>
            </w:r>
          </w:p>
        </w:tc>
        <w:tc>
          <w:tcPr>
            <w:tcW w:w="280" w:type="dxa"/>
            <w:vAlign w:val="bottom"/>
            <w:shd w:val="clear" w:color="auto" w:fill="CFF2FA"/>
          </w:tcPr>
          <w:p>
            <w:pPr>
              <w:spacing w:after="0"/>
              <w:rPr>
                <w:sz w:val="20"/>
                <w:szCs w:val="20"/>
                <w:color w:val="auto"/>
              </w:rPr>
            </w:pPr>
          </w:p>
        </w:tc>
        <w:tc>
          <w:tcPr>
            <w:tcW w:w="120" w:type="dxa"/>
            <w:vAlign w:val="bottom"/>
            <w:shd w:val="clear" w:color="auto" w:fill="CFF2FA"/>
          </w:tcPr>
          <w:p>
            <w:pPr>
              <w:spacing w:after="0"/>
              <w:rPr>
                <w:sz w:val="20"/>
                <w:szCs w:val="20"/>
                <w:color w:val="auto"/>
              </w:rPr>
            </w:pPr>
          </w:p>
        </w:tc>
        <w:tc>
          <w:tcPr>
            <w:tcW w:w="1380" w:type="dxa"/>
            <w:vAlign w:val="bottom"/>
            <w:shd w:val="clear" w:color="auto" w:fill="CFF2FA"/>
          </w:tcPr>
          <w:p>
            <w:pPr>
              <w:jc w:val="right"/>
              <w:spacing w:after="0"/>
              <w:rPr>
                <w:sz w:val="20"/>
                <w:szCs w:val="20"/>
                <w:color w:val="auto"/>
              </w:rPr>
            </w:pPr>
            <w:r>
              <w:rPr>
                <w:rFonts w:ascii="Arial" w:cs="Arial" w:eastAsia="Arial" w:hAnsi="Arial"/>
                <w:sz w:val="19"/>
                <w:szCs w:val="19"/>
                <w:color w:val="auto"/>
              </w:rPr>
              <w:t>0.3</w:t>
            </w:r>
          </w:p>
        </w:tc>
        <w:tc>
          <w:tcPr>
            <w:tcW w:w="120" w:type="dxa"/>
            <w:vAlign w:val="bottom"/>
            <w:shd w:val="clear" w:color="auto" w:fill="CFF2FA"/>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6060" w:type="dxa"/>
            <w:vAlign w:val="bottom"/>
          </w:tcPr>
          <w:p>
            <w:pPr>
              <w:spacing w:after="0" w:line="207" w:lineRule="exact"/>
              <w:rPr>
                <w:sz w:val="20"/>
                <w:szCs w:val="20"/>
                <w:color w:val="auto"/>
              </w:rPr>
            </w:pPr>
            <w:r>
              <w:rPr>
                <w:rFonts w:ascii="Arial" w:cs="Arial" w:eastAsia="Arial" w:hAnsi="Arial"/>
                <w:sz w:val="19"/>
                <w:szCs w:val="19"/>
                <w:color w:val="auto"/>
              </w:rPr>
              <w:t>Amounts reclassified from accumulated other</w:t>
            </w: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060" w:type="dxa"/>
            <w:vAlign w:val="bottom"/>
          </w:tcPr>
          <w:p>
            <w:pPr>
              <w:ind w:left="140"/>
              <w:spacing w:after="0"/>
              <w:rPr>
                <w:sz w:val="20"/>
                <w:szCs w:val="20"/>
                <w:color w:val="auto"/>
              </w:rPr>
            </w:pPr>
            <w:r>
              <w:rPr>
                <w:rFonts w:ascii="Arial" w:cs="Arial" w:eastAsia="Arial" w:hAnsi="Arial"/>
                <w:sz w:val="19"/>
                <w:szCs w:val="19"/>
                <w:color w:val="auto"/>
              </w:rPr>
              <w:t>comprehensive loss, net of tax</w:t>
            </w: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9"/>
                <w:szCs w:val="19"/>
                <w:color w:val="auto"/>
              </w:rPr>
              <w:t>2.7</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9"/>
                <w:szCs w:val="19"/>
                <w:color w:val="auto"/>
              </w:rPr>
              <w:t>—</w:t>
            </w: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9"/>
                <w:szCs w:val="19"/>
                <w:color w:val="auto"/>
              </w:rPr>
              <w:t>2.7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060" w:type="dxa"/>
            <w:vAlign w:val="bottom"/>
            <w:tcBorders>
              <w:top w:val="single" w:sz="8" w:color="CFF2FA"/>
            </w:tcBorders>
            <w:shd w:val="clear" w:color="auto" w:fill="CFF2FA"/>
          </w:tcPr>
          <w:p>
            <w:pPr>
              <w:spacing w:after="0"/>
              <w:rPr>
                <w:sz w:val="20"/>
                <w:szCs w:val="20"/>
                <w:color w:val="auto"/>
              </w:rPr>
            </w:pPr>
            <w:r>
              <w:rPr>
                <w:rFonts w:ascii="Arial" w:cs="Arial" w:eastAsia="Arial" w:hAnsi="Arial"/>
                <w:sz w:val="19"/>
                <w:szCs w:val="19"/>
                <w:color w:val="auto"/>
              </w:rPr>
              <w:t>Other comprehensive earnings, net of tax</w:t>
            </w:r>
          </w:p>
        </w:tc>
        <w:tc>
          <w:tcPr>
            <w:tcW w:w="140" w:type="dxa"/>
            <w:vAlign w:val="bottom"/>
            <w:tcBorders>
              <w:top w:val="single" w:sz="8" w:color="auto"/>
              <w:bottom w:val="single" w:sz="8" w:color="auto"/>
            </w:tcBorders>
            <w:shd w:val="clear" w:color="auto" w:fill="CFF2FA"/>
          </w:tcPr>
          <w:p>
            <w:pPr>
              <w:spacing w:after="0"/>
              <w:rPr>
                <w:sz w:val="19"/>
                <w:szCs w:val="19"/>
                <w:color w:val="auto"/>
              </w:rPr>
            </w:pPr>
          </w:p>
        </w:tc>
        <w:tc>
          <w:tcPr>
            <w:tcW w:w="1360" w:type="dxa"/>
            <w:vAlign w:val="bottom"/>
            <w:tcBorders>
              <w:top w:val="single" w:sz="8" w:color="auto"/>
              <w:bottom w:val="single" w:sz="8" w:color="auto"/>
            </w:tcBorders>
            <w:shd w:val="clear" w:color="auto" w:fill="CFF2FA"/>
          </w:tcPr>
          <w:p>
            <w:pPr>
              <w:jc w:val="right"/>
              <w:spacing w:after="0"/>
              <w:rPr>
                <w:sz w:val="20"/>
                <w:szCs w:val="20"/>
                <w:color w:val="auto"/>
              </w:rPr>
            </w:pPr>
            <w:r>
              <w:rPr>
                <w:rFonts w:ascii="Arial" w:cs="Arial" w:eastAsia="Arial" w:hAnsi="Arial"/>
                <w:sz w:val="19"/>
                <w:szCs w:val="19"/>
                <w:color w:val="auto"/>
              </w:rPr>
              <w:t>2.7</w:t>
            </w:r>
          </w:p>
        </w:tc>
        <w:tc>
          <w:tcPr>
            <w:tcW w:w="140" w:type="dxa"/>
            <w:vAlign w:val="bottom"/>
            <w:tcBorders>
              <w:top w:val="single" w:sz="8" w:color="CFF2FA"/>
            </w:tcBorders>
            <w:shd w:val="clear" w:color="auto" w:fill="CFF2FA"/>
          </w:tcPr>
          <w:p>
            <w:pPr>
              <w:spacing w:after="0"/>
              <w:rPr>
                <w:sz w:val="19"/>
                <w:szCs w:val="19"/>
                <w:color w:val="auto"/>
              </w:rPr>
            </w:pPr>
          </w:p>
        </w:tc>
        <w:tc>
          <w:tcPr>
            <w:tcW w:w="120" w:type="dxa"/>
            <w:vAlign w:val="bottom"/>
            <w:tcBorders>
              <w:top w:val="single" w:sz="8" w:color="CFF2FA"/>
            </w:tcBorders>
            <w:shd w:val="clear" w:color="auto" w:fill="CFF2FA"/>
          </w:tcPr>
          <w:p>
            <w:pPr>
              <w:spacing w:after="0"/>
              <w:rPr>
                <w:sz w:val="19"/>
                <w:szCs w:val="19"/>
                <w:color w:val="auto"/>
              </w:rPr>
            </w:pPr>
          </w:p>
        </w:tc>
        <w:tc>
          <w:tcPr>
            <w:tcW w:w="660" w:type="dxa"/>
            <w:vAlign w:val="bottom"/>
            <w:tcBorders>
              <w:top w:val="single" w:sz="8" w:color="auto"/>
              <w:bottom w:val="single" w:sz="8" w:color="auto"/>
            </w:tcBorders>
            <w:shd w:val="clear" w:color="auto" w:fill="CFF2FA"/>
          </w:tcPr>
          <w:p>
            <w:pPr>
              <w:spacing w:after="0"/>
              <w:rPr>
                <w:sz w:val="19"/>
                <w:szCs w:val="19"/>
                <w:color w:val="auto"/>
              </w:rPr>
            </w:pPr>
          </w:p>
        </w:tc>
        <w:tc>
          <w:tcPr>
            <w:tcW w:w="860" w:type="dxa"/>
            <w:vAlign w:val="bottom"/>
            <w:tcBorders>
              <w:top w:val="single" w:sz="8" w:color="auto"/>
              <w:bottom w:val="single" w:sz="8" w:color="auto"/>
            </w:tcBorders>
            <w:shd w:val="clear" w:color="auto" w:fill="CFF2FA"/>
          </w:tcPr>
          <w:p>
            <w:pPr>
              <w:jc w:val="right"/>
              <w:spacing w:after="0"/>
              <w:rPr>
                <w:sz w:val="20"/>
                <w:szCs w:val="20"/>
                <w:color w:val="auto"/>
              </w:rPr>
            </w:pPr>
            <w:r>
              <w:rPr>
                <w:rFonts w:ascii="Arial" w:cs="Arial" w:eastAsia="Arial" w:hAnsi="Arial"/>
                <w:sz w:val="19"/>
                <w:szCs w:val="19"/>
                <w:color w:val="auto"/>
              </w:rPr>
              <w:t>0.3</w:t>
            </w:r>
          </w:p>
        </w:tc>
        <w:tc>
          <w:tcPr>
            <w:tcW w:w="280" w:type="dxa"/>
            <w:vAlign w:val="bottom"/>
            <w:tcBorders>
              <w:top w:val="single" w:sz="8" w:color="CFF2FA"/>
            </w:tcBorders>
            <w:shd w:val="clear" w:color="auto" w:fill="CFF2FA"/>
          </w:tcPr>
          <w:p>
            <w:pPr>
              <w:spacing w:after="0"/>
              <w:rPr>
                <w:sz w:val="19"/>
                <w:szCs w:val="19"/>
                <w:color w:val="auto"/>
              </w:rPr>
            </w:pPr>
          </w:p>
        </w:tc>
        <w:tc>
          <w:tcPr>
            <w:tcW w:w="120" w:type="dxa"/>
            <w:vAlign w:val="bottom"/>
            <w:tcBorders>
              <w:top w:val="single" w:sz="8" w:color="auto"/>
              <w:bottom w:val="single" w:sz="8" w:color="auto"/>
            </w:tcBorders>
            <w:shd w:val="clear" w:color="auto" w:fill="CFF2FA"/>
          </w:tcPr>
          <w:p>
            <w:pPr>
              <w:spacing w:after="0"/>
              <w:rPr>
                <w:sz w:val="19"/>
                <w:szCs w:val="19"/>
                <w:color w:val="auto"/>
              </w:rPr>
            </w:pPr>
          </w:p>
        </w:tc>
        <w:tc>
          <w:tcPr>
            <w:tcW w:w="1380" w:type="dxa"/>
            <w:vAlign w:val="bottom"/>
            <w:tcBorders>
              <w:top w:val="single" w:sz="8" w:color="auto"/>
              <w:bottom w:val="single" w:sz="8" w:color="auto"/>
            </w:tcBorders>
            <w:shd w:val="clear" w:color="auto" w:fill="CFF2FA"/>
          </w:tcPr>
          <w:p>
            <w:pPr>
              <w:jc w:val="right"/>
              <w:spacing w:after="0"/>
              <w:rPr>
                <w:sz w:val="20"/>
                <w:szCs w:val="20"/>
                <w:color w:val="auto"/>
              </w:rPr>
            </w:pPr>
            <w:r>
              <w:rPr>
                <w:rFonts w:ascii="Arial" w:cs="Arial" w:eastAsia="Arial" w:hAnsi="Arial"/>
                <w:sz w:val="19"/>
                <w:szCs w:val="19"/>
                <w:color w:val="auto"/>
              </w:rPr>
              <w:t>3.0</w:t>
            </w:r>
          </w:p>
        </w:tc>
        <w:tc>
          <w:tcPr>
            <w:tcW w:w="120" w:type="dxa"/>
            <w:vAlign w:val="bottom"/>
            <w:tcBorders>
              <w:top w:val="single" w:sz="8" w:color="CFF2FA"/>
            </w:tcBorders>
            <w:shd w:val="clear" w:color="auto" w:fill="CFF2FA"/>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60" w:type="dxa"/>
            <w:vAlign w:val="bottom"/>
          </w:tcPr>
          <w:p>
            <w:pPr>
              <w:spacing w:after="0"/>
              <w:rPr>
                <w:sz w:val="20"/>
                <w:szCs w:val="20"/>
                <w:color w:val="auto"/>
              </w:rPr>
            </w:pPr>
            <w:r>
              <w:rPr>
                <w:rFonts w:ascii="Arial" w:cs="Arial" w:eastAsia="Arial" w:hAnsi="Arial"/>
                <w:sz w:val="19"/>
                <w:szCs w:val="19"/>
                <w:color w:val="auto"/>
              </w:rPr>
              <w:t>Balance at end of period</w:t>
            </w:r>
          </w:p>
        </w:tc>
        <w:tc>
          <w:tcPr>
            <w:tcW w:w="14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1500" w:type="dxa"/>
            <w:vAlign w:val="bottom"/>
            <w:gridSpan w:val="2"/>
          </w:tcPr>
          <w:p>
            <w:pPr>
              <w:jc w:val="right"/>
              <w:ind w:right="80"/>
              <w:spacing w:after="0"/>
              <w:rPr>
                <w:sz w:val="20"/>
                <w:szCs w:val="20"/>
                <w:color w:val="auto"/>
              </w:rPr>
            </w:pPr>
            <w:r>
              <w:rPr>
                <w:rFonts w:ascii="Arial" w:cs="Arial" w:eastAsia="Arial" w:hAnsi="Arial"/>
                <w:sz w:val="19"/>
                <w:szCs w:val="19"/>
                <w:color w:val="auto"/>
              </w:rPr>
              <w:t>(136.0)</w:t>
            </w:r>
          </w:p>
        </w:tc>
        <w:tc>
          <w:tcPr>
            <w:tcW w:w="120" w:type="dxa"/>
            <w:vAlign w:val="bottom"/>
          </w:tcPr>
          <w:p>
            <w:pPr>
              <w:spacing w:after="0"/>
              <w:rPr>
                <w:sz w:val="19"/>
                <w:szCs w:val="19"/>
                <w:color w:val="auto"/>
              </w:rPr>
            </w:pPr>
          </w:p>
        </w:tc>
        <w:tc>
          <w:tcPr>
            <w:tcW w:w="660" w:type="dxa"/>
            <w:vAlign w:val="bottom"/>
          </w:tcPr>
          <w:p>
            <w:pPr>
              <w:jc w:val="right"/>
              <w:ind w:right="466"/>
              <w:spacing w:after="0"/>
              <w:rPr>
                <w:sz w:val="20"/>
                <w:szCs w:val="20"/>
                <w:color w:val="auto"/>
              </w:rPr>
            </w:pPr>
            <w:r>
              <w:rPr>
                <w:rFonts w:ascii="Arial" w:cs="Arial" w:eastAsia="Arial" w:hAnsi="Arial"/>
                <w:sz w:val="19"/>
                <w:szCs w:val="19"/>
                <w:color w:val="auto"/>
                <w:w w:val="75"/>
              </w:rPr>
              <w:t>$</w:t>
            </w:r>
          </w:p>
        </w:tc>
        <w:tc>
          <w:tcPr>
            <w:tcW w:w="1140" w:type="dxa"/>
            <w:vAlign w:val="bottom"/>
            <w:gridSpan w:val="2"/>
          </w:tcPr>
          <w:p>
            <w:pPr>
              <w:jc w:val="right"/>
              <w:ind w:right="200"/>
              <w:spacing w:after="0"/>
              <w:rPr>
                <w:sz w:val="20"/>
                <w:szCs w:val="20"/>
                <w:color w:val="auto"/>
              </w:rPr>
            </w:pPr>
            <w:r>
              <w:rPr>
                <w:rFonts w:ascii="Arial" w:cs="Arial" w:eastAsia="Arial" w:hAnsi="Arial"/>
                <w:sz w:val="19"/>
                <w:szCs w:val="19"/>
                <w:color w:val="auto"/>
              </w:rPr>
              <w:t>(1.3)</w:t>
            </w:r>
          </w:p>
        </w:tc>
        <w:tc>
          <w:tcPr>
            <w:tcW w:w="12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1500" w:type="dxa"/>
            <w:vAlign w:val="bottom"/>
            <w:gridSpan w:val="2"/>
          </w:tcPr>
          <w:p>
            <w:pPr>
              <w:jc w:val="right"/>
              <w:ind w:right="60"/>
              <w:spacing w:after="0"/>
              <w:rPr>
                <w:sz w:val="20"/>
                <w:szCs w:val="20"/>
                <w:color w:val="auto"/>
              </w:rPr>
            </w:pPr>
            <w:r>
              <w:rPr>
                <w:rFonts w:ascii="Arial" w:cs="Arial" w:eastAsia="Arial" w:hAnsi="Arial"/>
                <w:sz w:val="19"/>
                <w:szCs w:val="19"/>
                <w:color w:val="auto"/>
              </w:rPr>
              <w:t>(137.3)</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60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4"/>
          </w:tcPr>
          <w:p>
            <w:pPr>
              <w:jc w:val="center"/>
              <w:ind w:right="160"/>
              <w:spacing w:after="0"/>
              <w:rPr>
                <w:sz w:val="20"/>
                <w:szCs w:val="20"/>
                <w:color w:val="auto"/>
              </w:rPr>
            </w:pPr>
            <w:r>
              <w:rPr>
                <w:rFonts w:ascii="Arial" w:cs="Arial" w:eastAsia="Arial" w:hAnsi="Arial"/>
                <w:sz w:val="19"/>
                <w:szCs w:val="19"/>
                <w:i w:val="1"/>
                <w:iCs w:val="1"/>
                <w:color w:val="auto"/>
                <w:w w:val="97"/>
              </w:rPr>
              <w:t>(Dollars in Millions)</w:t>
            </w:r>
          </w:p>
        </w:tc>
        <w:tc>
          <w:tcPr>
            <w:tcW w:w="1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6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jc w:val="center"/>
              <w:ind w:right="46"/>
              <w:spacing w:after="0" w:line="201" w:lineRule="exact"/>
              <w:rPr>
                <w:sz w:val="20"/>
                <w:szCs w:val="20"/>
                <w:color w:val="auto"/>
              </w:rPr>
            </w:pPr>
            <w:r>
              <w:rPr>
                <w:rFonts w:ascii="Arial" w:cs="Arial" w:eastAsia="Arial" w:hAnsi="Arial"/>
                <w:sz w:val="19"/>
                <w:szCs w:val="19"/>
                <w:color w:val="auto"/>
                <w:w w:val="91"/>
              </w:rPr>
              <w:t>Accumulated</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center"/>
              <w:ind w:right="300"/>
              <w:spacing w:after="0" w:line="216" w:lineRule="exact"/>
              <w:rPr>
                <w:sz w:val="20"/>
                <w:szCs w:val="20"/>
                <w:color w:val="auto"/>
              </w:rPr>
            </w:pPr>
            <w:r>
              <w:rPr>
                <w:rFonts w:ascii="Arial" w:cs="Arial" w:eastAsia="Arial" w:hAnsi="Arial"/>
                <w:sz w:val="19"/>
                <w:szCs w:val="19"/>
                <w:color w:val="auto"/>
                <w:w w:val="87"/>
              </w:rPr>
              <w:t>Pension and</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60"/>
              <w:spacing w:after="0" w:line="216" w:lineRule="exact"/>
              <w:rPr>
                <w:sz w:val="20"/>
                <w:szCs w:val="20"/>
                <w:color w:val="auto"/>
              </w:rPr>
            </w:pPr>
            <w:r>
              <w:rPr>
                <w:rFonts w:ascii="Arial" w:cs="Arial" w:eastAsia="Arial" w:hAnsi="Arial"/>
                <w:sz w:val="19"/>
                <w:szCs w:val="19"/>
                <w:color w:val="auto"/>
                <w:w w:val="92"/>
              </w:rPr>
              <w:t>Other</w:t>
            </w:r>
          </w:p>
        </w:tc>
        <w:tc>
          <w:tcPr>
            <w:tcW w:w="0" w:type="dxa"/>
            <w:vAlign w:val="bottom"/>
          </w:tcPr>
          <w:p>
            <w:pPr>
              <w:spacing w:after="0"/>
              <w:rPr>
                <w:sz w:val="1"/>
                <w:szCs w:val="1"/>
                <w:color w:val="auto"/>
              </w:rPr>
            </w:pPr>
          </w:p>
        </w:tc>
      </w:tr>
      <w:tr>
        <w:trPr>
          <w:trHeight w:val="216"/>
        </w:trPr>
        <w:tc>
          <w:tcPr>
            <w:tcW w:w="6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center"/>
              <w:ind w:right="320"/>
              <w:spacing w:after="0" w:line="216" w:lineRule="exact"/>
              <w:rPr>
                <w:sz w:val="20"/>
                <w:szCs w:val="20"/>
                <w:color w:val="auto"/>
              </w:rPr>
            </w:pPr>
            <w:r>
              <w:rPr>
                <w:rFonts w:ascii="Arial" w:cs="Arial" w:eastAsia="Arial" w:hAnsi="Arial"/>
                <w:sz w:val="19"/>
                <w:szCs w:val="19"/>
                <w:color w:val="auto"/>
                <w:w w:val="89"/>
              </w:rPr>
              <w:t>Postretirement</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60"/>
              <w:spacing w:after="0" w:line="216" w:lineRule="exact"/>
              <w:rPr>
                <w:sz w:val="20"/>
                <w:szCs w:val="20"/>
                <w:color w:val="auto"/>
              </w:rPr>
            </w:pPr>
            <w:r>
              <w:rPr>
                <w:rFonts w:ascii="Arial" w:cs="Arial" w:eastAsia="Arial" w:hAnsi="Arial"/>
                <w:sz w:val="19"/>
                <w:szCs w:val="19"/>
                <w:color w:val="auto"/>
                <w:w w:val="90"/>
              </w:rPr>
              <w:t>Comprehensive</w:t>
            </w:r>
          </w:p>
        </w:tc>
        <w:tc>
          <w:tcPr>
            <w:tcW w:w="0" w:type="dxa"/>
            <w:vAlign w:val="bottom"/>
          </w:tcPr>
          <w:p>
            <w:pPr>
              <w:spacing w:after="0"/>
              <w:rPr>
                <w:sz w:val="1"/>
                <w:szCs w:val="1"/>
                <w:color w:val="auto"/>
              </w:rPr>
            </w:pPr>
          </w:p>
        </w:tc>
      </w:tr>
      <w:tr>
        <w:trPr>
          <w:trHeight w:val="238"/>
        </w:trPr>
        <w:tc>
          <w:tcPr>
            <w:tcW w:w="6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9"/>
                <w:szCs w:val="19"/>
                <w:color w:val="auto"/>
                <w:w w:val="89"/>
              </w:rPr>
              <w:t>Benefit Plans</w:t>
            </w:r>
          </w:p>
        </w:tc>
        <w:tc>
          <w:tcPr>
            <w:tcW w:w="120" w:type="dxa"/>
            <w:vAlign w:val="bottom"/>
          </w:tcPr>
          <w:p>
            <w:pPr>
              <w:spacing w:after="0"/>
              <w:rPr>
                <w:sz w:val="20"/>
                <w:szCs w:val="20"/>
                <w:color w:val="auto"/>
              </w:rPr>
            </w:pPr>
          </w:p>
        </w:tc>
        <w:tc>
          <w:tcPr>
            <w:tcW w:w="1800" w:type="dxa"/>
            <w:vAlign w:val="bottom"/>
            <w:gridSpan w:val="3"/>
          </w:tcPr>
          <w:p>
            <w:pPr>
              <w:jc w:val="center"/>
              <w:ind w:right="280"/>
              <w:spacing w:after="0"/>
              <w:rPr>
                <w:sz w:val="20"/>
                <w:szCs w:val="20"/>
                <w:color w:val="auto"/>
              </w:rPr>
            </w:pPr>
            <w:r>
              <w:rPr>
                <w:rFonts w:ascii="Arial" w:cs="Arial" w:eastAsia="Arial" w:hAnsi="Arial"/>
                <w:sz w:val="19"/>
                <w:szCs w:val="19"/>
                <w:color w:val="auto"/>
                <w:w w:val="89"/>
              </w:rPr>
              <w:t>Foreign Currency</w:t>
            </w:r>
          </w:p>
        </w:tc>
        <w:tc>
          <w:tcPr>
            <w:tcW w:w="120" w:type="dxa"/>
            <w:vAlign w:val="bottom"/>
          </w:tcPr>
          <w:p>
            <w:pPr>
              <w:spacing w:after="0"/>
              <w:rPr>
                <w:sz w:val="20"/>
                <w:szCs w:val="20"/>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9"/>
                <w:szCs w:val="19"/>
                <w:color w:val="auto"/>
                <w:w w:val="89"/>
              </w:rPr>
              <w:t>Loss</w:t>
            </w:r>
          </w:p>
        </w:tc>
        <w:tc>
          <w:tcPr>
            <w:tcW w:w="0" w:type="dxa"/>
            <w:vAlign w:val="bottom"/>
          </w:tcPr>
          <w:p>
            <w:pPr>
              <w:spacing w:after="0"/>
              <w:rPr>
                <w:sz w:val="1"/>
                <w:szCs w:val="1"/>
                <w:color w:val="auto"/>
              </w:rPr>
            </w:pPr>
          </w:p>
        </w:tc>
      </w:tr>
      <w:tr>
        <w:trPr>
          <w:trHeight w:val="223"/>
        </w:trPr>
        <w:tc>
          <w:tcPr>
            <w:tcW w:w="6060" w:type="dxa"/>
            <w:vAlign w:val="bottom"/>
            <w:tcBorders>
              <w:bottom w:val="single" w:sz="8" w:color="CFF2FA"/>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4920" w:type="dxa"/>
            <w:vAlign w:val="bottom"/>
            <w:tcBorders>
              <w:top w:val="single" w:sz="8" w:color="auto"/>
              <w:bottom w:val="single" w:sz="8" w:color="auto"/>
            </w:tcBorders>
            <w:gridSpan w:val="8"/>
          </w:tcPr>
          <w:p>
            <w:pPr>
              <w:jc w:val="center"/>
              <w:ind w:right="66"/>
              <w:spacing w:after="0"/>
              <w:rPr>
                <w:sz w:val="20"/>
                <w:szCs w:val="20"/>
                <w:color w:val="auto"/>
              </w:rPr>
            </w:pPr>
            <w:r>
              <w:rPr>
                <w:rFonts w:ascii="Arial" w:cs="Arial" w:eastAsia="Arial" w:hAnsi="Arial"/>
                <w:sz w:val="19"/>
                <w:szCs w:val="19"/>
                <w:color w:val="auto"/>
                <w:w w:val="90"/>
              </w:rPr>
              <w:t>Six Months Ended June 30, 2020</w:t>
            </w:r>
          </w:p>
        </w:tc>
        <w:tc>
          <w:tcPr>
            <w:tcW w:w="120" w:type="dxa"/>
            <w:vAlign w:val="bottom"/>
            <w:tcBorders>
              <w:bottom w:val="single" w:sz="8" w:color="CFF2FA"/>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60" w:type="dxa"/>
            <w:vAlign w:val="bottom"/>
            <w:shd w:val="clear" w:color="auto" w:fill="CFF2FA"/>
          </w:tcPr>
          <w:p>
            <w:pPr>
              <w:spacing w:after="0"/>
              <w:rPr>
                <w:sz w:val="20"/>
                <w:szCs w:val="20"/>
                <w:color w:val="auto"/>
              </w:rPr>
            </w:pPr>
            <w:r>
              <w:rPr>
                <w:rFonts w:ascii="Arial" w:cs="Arial" w:eastAsia="Arial" w:hAnsi="Arial"/>
                <w:sz w:val="19"/>
                <w:szCs w:val="19"/>
                <w:color w:val="auto"/>
              </w:rPr>
              <w:t>Balance at beginning of period</w:t>
            </w:r>
          </w:p>
        </w:tc>
        <w:tc>
          <w:tcPr>
            <w:tcW w:w="140" w:type="dxa"/>
            <w:vAlign w:val="bottom"/>
            <w:shd w:val="clear" w:color="auto" w:fill="CFF2FA"/>
          </w:tcPr>
          <w:p>
            <w:pPr>
              <w:jc w:val="right"/>
              <w:spacing w:after="0"/>
              <w:rPr>
                <w:sz w:val="20"/>
                <w:szCs w:val="20"/>
                <w:color w:val="auto"/>
              </w:rPr>
            </w:pPr>
            <w:r>
              <w:rPr>
                <w:rFonts w:ascii="Arial" w:cs="Arial" w:eastAsia="Arial" w:hAnsi="Arial"/>
                <w:sz w:val="19"/>
                <w:szCs w:val="19"/>
                <w:color w:val="auto"/>
                <w:w w:val="75"/>
              </w:rPr>
              <w:t>$</w:t>
            </w:r>
          </w:p>
        </w:tc>
        <w:tc>
          <w:tcPr>
            <w:tcW w:w="1500" w:type="dxa"/>
            <w:vAlign w:val="bottom"/>
            <w:gridSpan w:val="2"/>
            <w:shd w:val="clear" w:color="auto" w:fill="CFF2FA"/>
          </w:tcPr>
          <w:p>
            <w:pPr>
              <w:jc w:val="right"/>
              <w:ind w:right="80"/>
              <w:spacing w:after="0"/>
              <w:rPr>
                <w:sz w:val="20"/>
                <w:szCs w:val="20"/>
                <w:color w:val="auto"/>
              </w:rPr>
            </w:pPr>
            <w:r>
              <w:rPr>
                <w:rFonts w:ascii="Arial" w:cs="Arial" w:eastAsia="Arial" w:hAnsi="Arial"/>
                <w:sz w:val="19"/>
                <w:szCs w:val="19"/>
                <w:color w:val="auto"/>
              </w:rPr>
              <w:t>(144.9)</w:t>
            </w:r>
          </w:p>
        </w:tc>
        <w:tc>
          <w:tcPr>
            <w:tcW w:w="780" w:type="dxa"/>
            <w:vAlign w:val="bottom"/>
            <w:gridSpan w:val="2"/>
            <w:shd w:val="clear" w:color="auto" w:fill="CFF2FA"/>
          </w:tcPr>
          <w:p>
            <w:pPr>
              <w:jc w:val="right"/>
              <w:ind w:right="466"/>
              <w:spacing w:after="0"/>
              <w:rPr>
                <w:sz w:val="20"/>
                <w:szCs w:val="20"/>
                <w:color w:val="auto"/>
              </w:rPr>
            </w:pPr>
            <w:r>
              <w:rPr>
                <w:rFonts w:ascii="Arial" w:cs="Arial" w:eastAsia="Arial" w:hAnsi="Arial"/>
                <w:sz w:val="19"/>
                <w:szCs w:val="19"/>
                <w:color w:val="auto"/>
              </w:rPr>
              <w:t>$</w:t>
            </w:r>
          </w:p>
        </w:tc>
        <w:tc>
          <w:tcPr>
            <w:tcW w:w="1140" w:type="dxa"/>
            <w:vAlign w:val="bottom"/>
            <w:gridSpan w:val="2"/>
            <w:shd w:val="clear" w:color="auto" w:fill="CFF2FA"/>
          </w:tcPr>
          <w:p>
            <w:pPr>
              <w:jc w:val="right"/>
              <w:ind w:right="200"/>
              <w:spacing w:after="0"/>
              <w:rPr>
                <w:sz w:val="20"/>
                <w:szCs w:val="20"/>
                <w:color w:val="auto"/>
              </w:rPr>
            </w:pPr>
            <w:r>
              <w:rPr>
                <w:rFonts w:ascii="Arial" w:cs="Arial" w:eastAsia="Arial" w:hAnsi="Arial"/>
                <w:sz w:val="19"/>
                <w:szCs w:val="19"/>
                <w:color w:val="auto"/>
              </w:rPr>
              <w:t>(0.9)</w:t>
            </w:r>
          </w:p>
        </w:tc>
        <w:tc>
          <w:tcPr>
            <w:tcW w:w="120" w:type="dxa"/>
            <w:vAlign w:val="bottom"/>
            <w:shd w:val="clear" w:color="auto" w:fill="CFF2FA"/>
          </w:tcPr>
          <w:p>
            <w:pPr>
              <w:jc w:val="right"/>
              <w:spacing w:after="0"/>
              <w:rPr>
                <w:sz w:val="20"/>
                <w:szCs w:val="20"/>
                <w:color w:val="auto"/>
              </w:rPr>
            </w:pPr>
            <w:r>
              <w:rPr>
                <w:rFonts w:ascii="Arial" w:cs="Arial" w:eastAsia="Arial" w:hAnsi="Arial"/>
                <w:sz w:val="19"/>
                <w:szCs w:val="19"/>
                <w:color w:val="auto"/>
                <w:w w:val="75"/>
              </w:rPr>
              <w:t>$</w:t>
            </w:r>
          </w:p>
        </w:tc>
        <w:tc>
          <w:tcPr>
            <w:tcW w:w="1500" w:type="dxa"/>
            <w:vAlign w:val="bottom"/>
            <w:gridSpan w:val="2"/>
            <w:shd w:val="clear" w:color="auto" w:fill="CFF2FA"/>
          </w:tcPr>
          <w:p>
            <w:pPr>
              <w:jc w:val="right"/>
              <w:ind w:right="60"/>
              <w:spacing w:after="0"/>
              <w:rPr>
                <w:sz w:val="20"/>
                <w:szCs w:val="20"/>
                <w:color w:val="auto"/>
              </w:rPr>
            </w:pPr>
            <w:r>
              <w:rPr>
                <w:rFonts w:ascii="Arial" w:cs="Arial" w:eastAsia="Arial" w:hAnsi="Arial"/>
                <w:sz w:val="19"/>
                <w:szCs w:val="19"/>
                <w:color w:val="auto"/>
              </w:rPr>
              <w:t>(145.8)</w:t>
            </w:r>
          </w:p>
        </w:tc>
        <w:tc>
          <w:tcPr>
            <w:tcW w:w="0" w:type="dxa"/>
            <w:vAlign w:val="bottom"/>
          </w:tcPr>
          <w:p>
            <w:pPr>
              <w:spacing w:after="0"/>
              <w:rPr>
                <w:sz w:val="1"/>
                <w:szCs w:val="1"/>
                <w:color w:val="auto"/>
              </w:rPr>
            </w:pPr>
          </w:p>
        </w:tc>
      </w:tr>
      <w:tr>
        <w:trPr>
          <w:trHeight w:val="207"/>
        </w:trPr>
        <w:tc>
          <w:tcPr>
            <w:tcW w:w="6060" w:type="dxa"/>
            <w:vAlign w:val="bottom"/>
          </w:tcPr>
          <w:p>
            <w:pPr>
              <w:spacing w:after="0" w:line="207" w:lineRule="exact"/>
              <w:rPr>
                <w:sz w:val="20"/>
                <w:szCs w:val="20"/>
                <w:color w:val="auto"/>
              </w:rPr>
            </w:pPr>
            <w:r>
              <w:rPr>
                <w:rFonts w:ascii="Arial" w:cs="Arial" w:eastAsia="Arial" w:hAnsi="Arial"/>
                <w:sz w:val="19"/>
                <w:szCs w:val="19"/>
                <w:color w:val="auto"/>
              </w:rPr>
              <w:t>Other comprehensive loss before</w:t>
            </w: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060" w:type="dxa"/>
            <w:vAlign w:val="bottom"/>
          </w:tcPr>
          <w:p>
            <w:pPr>
              <w:ind w:left="140"/>
              <w:spacing w:after="0"/>
              <w:rPr>
                <w:sz w:val="20"/>
                <w:szCs w:val="20"/>
                <w:color w:val="auto"/>
              </w:rPr>
            </w:pPr>
            <w:r>
              <w:rPr>
                <w:rFonts w:ascii="Arial" w:cs="Arial" w:eastAsia="Arial" w:hAnsi="Arial"/>
                <w:sz w:val="19"/>
                <w:szCs w:val="19"/>
                <w:color w:val="auto"/>
              </w:rPr>
              <w:t>reclassifications, net of tax</w:t>
            </w:r>
          </w:p>
        </w:tc>
        <w:tc>
          <w:tcPr>
            <w:tcW w:w="140" w:type="dxa"/>
            <w:vAlign w:val="bottom"/>
          </w:tcPr>
          <w:p>
            <w:pPr>
              <w:spacing w:after="0"/>
              <w:rPr>
                <w:sz w:val="20"/>
                <w:szCs w:val="20"/>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9"/>
                <w:szCs w:val="19"/>
                <w:color w:val="auto"/>
              </w:rPr>
              <w:t>—</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9"/>
                <w:szCs w:val="19"/>
                <w:color w:val="auto"/>
              </w:rPr>
              <w:t>(1.3)</w:t>
            </w:r>
          </w:p>
        </w:tc>
        <w:tc>
          <w:tcPr>
            <w:tcW w:w="120" w:type="dxa"/>
            <w:vAlign w:val="bottom"/>
          </w:tcPr>
          <w:p>
            <w:pPr>
              <w:spacing w:after="0"/>
              <w:rPr>
                <w:sz w:val="20"/>
                <w:szCs w:val="20"/>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9"/>
                <w:szCs w:val="19"/>
                <w:color w:val="auto"/>
              </w:rPr>
              <w:t>(1.3)</w:t>
            </w:r>
          </w:p>
        </w:tc>
        <w:tc>
          <w:tcPr>
            <w:tcW w:w="0" w:type="dxa"/>
            <w:vAlign w:val="bottom"/>
          </w:tcPr>
          <w:p>
            <w:pPr>
              <w:spacing w:after="0"/>
              <w:rPr>
                <w:sz w:val="1"/>
                <w:szCs w:val="1"/>
                <w:color w:val="auto"/>
              </w:rPr>
            </w:pPr>
          </w:p>
        </w:tc>
      </w:tr>
      <w:tr>
        <w:trPr>
          <w:trHeight w:val="207"/>
        </w:trPr>
        <w:tc>
          <w:tcPr>
            <w:tcW w:w="6060" w:type="dxa"/>
            <w:vAlign w:val="bottom"/>
            <w:shd w:val="clear" w:color="auto" w:fill="CFF2FA"/>
          </w:tcPr>
          <w:p>
            <w:pPr>
              <w:spacing w:after="0" w:line="207" w:lineRule="exact"/>
              <w:rPr>
                <w:sz w:val="20"/>
                <w:szCs w:val="20"/>
                <w:color w:val="auto"/>
              </w:rPr>
            </w:pPr>
            <w:r>
              <w:rPr>
                <w:rFonts w:ascii="Arial" w:cs="Arial" w:eastAsia="Arial" w:hAnsi="Arial"/>
                <w:sz w:val="19"/>
                <w:szCs w:val="19"/>
                <w:color w:val="auto"/>
              </w:rPr>
              <w:t>Amounts reclassified from accumulated</w:t>
            </w:r>
          </w:p>
        </w:tc>
        <w:tc>
          <w:tcPr>
            <w:tcW w:w="140" w:type="dxa"/>
            <w:vAlign w:val="bottom"/>
            <w:shd w:val="clear" w:color="auto" w:fill="CFF2FA"/>
          </w:tcPr>
          <w:p>
            <w:pPr>
              <w:spacing w:after="0"/>
              <w:rPr>
                <w:sz w:val="18"/>
                <w:szCs w:val="18"/>
                <w:color w:val="auto"/>
              </w:rPr>
            </w:pPr>
          </w:p>
        </w:tc>
        <w:tc>
          <w:tcPr>
            <w:tcW w:w="1360" w:type="dxa"/>
            <w:vAlign w:val="bottom"/>
            <w:shd w:val="clear" w:color="auto" w:fill="CFF2FA"/>
          </w:tcPr>
          <w:p>
            <w:pPr>
              <w:spacing w:after="0"/>
              <w:rPr>
                <w:sz w:val="18"/>
                <w:szCs w:val="18"/>
                <w:color w:val="auto"/>
              </w:rPr>
            </w:pPr>
          </w:p>
        </w:tc>
        <w:tc>
          <w:tcPr>
            <w:tcW w:w="140" w:type="dxa"/>
            <w:vAlign w:val="bottom"/>
            <w:shd w:val="clear" w:color="auto" w:fill="CFF2FA"/>
          </w:tcPr>
          <w:p>
            <w:pPr>
              <w:spacing w:after="0"/>
              <w:rPr>
                <w:sz w:val="18"/>
                <w:szCs w:val="18"/>
                <w:color w:val="auto"/>
              </w:rPr>
            </w:pPr>
          </w:p>
        </w:tc>
        <w:tc>
          <w:tcPr>
            <w:tcW w:w="120" w:type="dxa"/>
            <w:vAlign w:val="bottom"/>
            <w:shd w:val="clear" w:color="auto" w:fill="CFF2FA"/>
          </w:tcPr>
          <w:p>
            <w:pPr>
              <w:spacing w:after="0"/>
              <w:rPr>
                <w:sz w:val="18"/>
                <w:szCs w:val="18"/>
                <w:color w:val="auto"/>
              </w:rPr>
            </w:pPr>
          </w:p>
        </w:tc>
        <w:tc>
          <w:tcPr>
            <w:tcW w:w="660" w:type="dxa"/>
            <w:vAlign w:val="bottom"/>
            <w:shd w:val="clear" w:color="auto" w:fill="CFF2FA"/>
          </w:tcPr>
          <w:p>
            <w:pPr>
              <w:spacing w:after="0"/>
              <w:rPr>
                <w:sz w:val="18"/>
                <w:szCs w:val="18"/>
                <w:color w:val="auto"/>
              </w:rPr>
            </w:pPr>
          </w:p>
        </w:tc>
        <w:tc>
          <w:tcPr>
            <w:tcW w:w="860" w:type="dxa"/>
            <w:vAlign w:val="bottom"/>
            <w:shd w:val="clear" w:color="auto" w:fill="CFF2FA"/>
          </w:tcPr>
          <w:p>
            <w:pPr>
              <w:spacing w:after="0"/>
              <w:rPr>
                <w:sz w:val="18"/>
                <w:szCs w:val="18"/>
                <w:color w:val="auto"/>
              </w:rPr>
            </w:pPr>
          </w:p>
        </w:tc>
        <w:tc>
          <w:tcPr>
            <w:tcW w:w="280" w:type="dxa"/>
            <w:vAlign w:val="bottom"/>
            <w:shd w:val="clear" w:color="auto" w:fill="CFF2FA"/>
          </w:tcPr>
          <w:p>
            <w:pPr>
              <w:spacing w:after="0"/>
              <w:rPr>
                <w:sz w:val="18"/>
                <w:szCs w:val="18"/>
                <w:color w:val="auto"/>
              </w:rPr>
            </w:pPr>
          </w:p>
        </w:tc>
        <w:tc>
          <w:tcPr>
            <w:tcW w:w="120" w:type="dxa"/>
            <w:vAlign w:val="bottom"/>
            <w:shd w:val="clear" w:color="auto" w:fill="CFF2FA"/>
          </w:tcPr>
          <w:p>
            <w:pPr>
              <w:spacing w:after="0"/>
              <w:rPr>
                <w:sz w:val="18"/>
                <w:szCs w:val="18"/>
                <w:color w:val="auto"/>
              </w:rPr>
            </w:pPr>
          </w:p>
        </w:tc>
        <w:tc>
          <w:tcPr>
            <w:tcW w:w="1380" w:type="dxa"/>
            <w:vAlign w:val="bottom"/>
            <w:shd w:val="clear" w:color="auto" w:fill="CFF2FA"/>
          </w:tcPr>
          <w:p>
            <w:pPr>
              <w:spacing w:after="0"/>
              <w:rPr>
                <w:sz w:val="18"/>
                <w:szCs w:val="18"/>
                <w:color w:val="auto"/>
              </w:rPr>
            </w:pPr>
          </w:p>
        </w:tc>
        <w:tc>
          <w:tcPr>
            <w:tcW w:w="120" w:type="dxa"/>
            <w:vAlign w:val="bottom"/>
            <w:shd w:val="clear" w:color="auto" w:fill="CFF2FA"/>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060" w:type="dxa"/>
            <w:vAlign w:val="bottom"/>
            <w:shd w:val="clear" w:color="auto" w:fill="CFF2FA"/>
          </w:tcPr>
          <w:p>
            <w:pPr>
              <w:ind w:left="140"/>
              <w:spacing w:after="0"/>
              <w:rPr>
                <w:sz w:val="20"/>
                <w:szCs w:val="20"/>
                <w:color w:val="auto"/>
              </w:rPr>
            </w:pPr>
            <w:r>
              <w:rPr>
                <w:rFonts w:ascii="Arial" w:cs="Arial" w:eastAsia="Arial" w:hAnsi="Arial"/>
                <w:sz w:val="19"/>
                <w:szCs w:val="19"/>
                <w:color w:val="auto"/>
              </w:rPr>
              <w:t>other comprehensive loss, net of tax</w:t>
            </w:r>
          </w:p>
        </w:tc>
        <w:tc>
          <w:tcPr>
            <w:tcW w:w="140" w:type="dxa"/>
            <w:vAlign w:val="bottom"/>
            <w:tcBorders>
              <w:bottom w:val="single" w:sz="8" w:color="auto"/>
            </w:tcBorders>
            <w:shd w:val="clear" w:color="auto" w:fill="CFF2FA"/>
          </w:tcPr>
          <w:p>
            <w:pPr>
              <w:spacing w:after="0"/>
              <w:rPr>
                <w:sz w:val="20"/>
                <w:szCs w:val="20"/>
                <w:color w:val="auto"/>
              </w:rPr>
            </w:pPr>
          </w:p>
        </w:tc>
        <w:tc>
          <w:tcPr>
            <w:tcW w:w="136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9"/>
                <w:szCs w:val="19"/>
                <w:color w:val="auto"/>
              </w:rPr>
              <w:t>4.9</w:t>
            </w:r>
          </w:p>
        </w:tc>
        <w:tc>
          <w:tcPr>
            <w:tcW w:w="140" w:type="dxa"/>
            <w:vAlign w:val="bottom"/>
            <w:shd w:val="clear" w:color="auto" w:fill="CFF2FA"/>
          </w:tcPr>
          <w:p>
            <w:pPr>
              <w:spacing w:after="0"/>
              <w:rPr>
                <w:sz w:val="20"/>
                <w:szCs w:val="20"/>
                <w:color w:val="auto"/>
              </w:rPr>
            </w:pPr>
          </w:p>
        </w:tc>
        <w:tc>
          <w:tcPr>
            <w:tcW w:w="120" w:type="dxa"/>
            <w:vAlign w:val="bottom"/>
            <w:shd w:val="clear" w:color="auto" w:fill="CFF2FA"/>
          </w:tcPr>
          <w:p>
            <w:pPr>
              <w:spacing w:after="0"/>
              <w:rPr>
                <w:sz w:val="20"/>
                <w:szCs w:val="20"/>
                <w:color w:val="auto"/>
              </w:rPr>
            </w:pPr>
          </w:p>
        </w:tc>
        <w:tc>
          <w:tcPr>
            <w:tcW w:w="660" w:type="dxa"/>
            <w:vAlign w:val="bottom"/>
            <w:tcBorders>
              <w:bottom w:val="single" w:sz="8" w:color="auto"/>
            </w:tcBorders>
            <w:shd w:val="clear" w:color="auto" w:fill="CFF2FA"/>
          </w:tcPr>
          <w:p>
            <w:pPr>
              <w:spacing w:after="0"/>
              <w:rPr>
                <w:sz w:val="20"/>
                <w:szCs w:val="20"/>
                <w:color w:val="auto"/>
              </w:rPr>
            </w:pPr>
          </w:p>
        </w:tc>
        <w:tc>
          <w:tcPr>
            <w:tcW w:w="86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9"/>
                <w:szCs w:val="19"/>
                <w:color w:val="auto"/>
              </w:rPr>
              <w:t>—</w:t>
            </w:r>
          </w:p>
        </w:tc>
        <w:tc>
          <w:tcPr>
            <w:tcW w:w="280" w:type="dxa"/>
            <w:vAlign w:val="bottom"/>
            <w:shd w:val="clear" w:color="auto" w:fill="CFF2FA"/>
          </w:tcPr>
          <w:p>
            <w:pPr>
              <w:spacing w:after="0"/>
              <w:rPr>
                <w:sz w:val="20"/>
                <w:szCs w:val="20"/>
                <w:color w:val="auto"/>
              </w:rPr>
            </w:pPr>
          </w:p>
        </w:tc>
        <w:tc>
          <w:tcPr>
            <w:tcW w:w="120" w:type="dxa"/>
            <w:vAlign w:val="bottom"/>
            <w:tcBorders>
              <w:bottom w:val="single" w:sz="8" w:color="auto"/>
            </w:tcBorders>
            <w:shd w:val="clear" w:color="auto" w:fill="CFF2FA"/>
          </w:tcPr>
          <w:p>
            <w:pPr>
              <w:spacing w:after="0"/>
              <w:rPr>
                <w:sz w:val="20"/>
                <w:szCs w:val="20"/>
                <w:color w:val="auto"/>
              </w:rPr>
            </w:pPr>
          </w:p>
        </w:tc>
        <w:tc>
          <w:tcPr>
            <w:tcW w:w="138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9"/>
                <w:szCs w:val="19"/>
                <w:color w:val="auto"/>
              </w:rPr>
              <w:t>4.9</w:t>
            </w:r>
          </w:p>
        </w:tc>
        <w:tc>
          <w:tcPr>
            <w:tcW w:w="120" w:type="dxa"/>
            <w:vAlign w:val="bottom"/>
            <w:shd w:val="clear" w:color="auto" w:fill="CFF2FA"/>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060" w:type="dxa"/>
            <w:vAlign w:val="bottom"/>
          </w:tcPr>
          <w:p>
            <w:pPr>
              <w:spacing w:after="0"/>
              <w:rPr>
                <w:sz w:val="20"/>
                <w:szCs w:val="20"/>
                <w:color w:val="auto"/>
              </w:rPr>
            </w:pPr>
            <w:r>
              <w:rPr>
                <w:rFonts w:ascii="Arial" w:cs="Arial" w:eastAsia="Arial" w:hAnsi="Arial"/>
                <w:sz w:val="19"/>
                <w:szCs w:val="19"/>
                <w:color w:val="auto"/>
              </w:rPr>
              <w:t>Other comprehensive earnings (loss), net of tax</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9"/>
                <w:szCs w:val="19"/>
                <w:color w:val="auto"/>
              </w:rPr>
              <w:t>4.9</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9"/>
                <w:szCs w:val="19"/>
                <w:color w:val="auto"/>
              </w:rPr>
              <w:t>(1.3)</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9"/>
                <w:szCs w:val="19"/>
                <w:color w:val="auto"/>
              </w:rPr>
              <w:t>3.6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60" w:type="dxa"/>
            <w:vAlign w:val="bottom"/>
            <w:vMerge w:val="restart"/>
            <w:shd w:val="clear" w:color="auto" w:fill="CFF2FA"/>
          </w:tcPr>
          <w:p>
            <w:pPr>
              <w:spacing w:after="0"/>
              <w:rPr>
                <w:sz w:val="20"/>
                <w:szCs w:val="20"/>
                <w:color w:val="auto"/>
              </w:rPr>
            </w:pPr>
            <w:r>
              <w:rPr>
                <w:rFonts w:ascii="Arial" w:cs="Arial" w:eastAsia="Arial" w:hAnsi="Arial"/>
                <w:sz w:val="19"/>
                <w:szCs w:val="19"/>
                <w:color w:val="auto"/>
              </w:rPr>
              <w:t>Balance at end of period</w:t>
            </w: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0" w:type="dxa"/>
            <w:vAlign w:val="bottom"/>
            <w:shd w:val="clear" w:color="auto" w:fill="CFF2FA"/>
          </w:tcPr>
          <w:p>
            <w:pPr>
              <w:spacing w:after="0" w:line="20" w:lineRule="exact"/>
              <w:rPr>
                <w:sz w:val="1"/>
                <w:szCs w:val="1"/>
                <w:color w:val="auto"/>
              </w:rPr>
            </w:pPr>
          </w:p>
        </w:tc>
        <w:tc>
          <w:tcPr>
            <w:tcW w:w="120" w:type="dxa"/>
            <w:vAlign w:val="bottom"/>
            <w:vMerge w:val="restart"/>
            <w:shd w:val="clear" w:color="auto" w:fill="CFF2FA"/>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shd w:val="clear" w:color="auto" w:fill="CFF2FA"/>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shd w:val="clear" w:color="auto" w:fill="CFF2FA"/>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60" w:type="dxa"/>
            <w:vAlign w:val="bottom"/>
            <w:vMerge w:val="continue"/>
            <w:shd w:val="clear" w:color="auto" w:fill="CFF2FA"/>
          </w:tcPr>
          <w:p>
            <w:pPr>
              <w:spacing w:after="0"/>
              <w:rPr>
                <w:sz w:val="19"/>
                <w:szCs w:val="19"/>
                <w:color w:val="auto"/>
              </w:rPr>
            </w:pPr>
          </w:p>
        </w:tc>
        <w:tc>
          <w:tcPr>
            <w:tcW w:w="140" w:type="dxa"/>
            <w:vAlign w:val="bottom"/>
            <w:shd w:val="clear" w:color="auto" w:fill="CFF2FA"/>
          </w:tcPr>
          <w:p>
            <w:pPr>
              <w:jc w:val="right"/>
              <w:spacing w:after="0"/>
              <w:rPr>
                <w:sz w:val="20"/>
                <w:szCs w:val="20"/>
                <w:color w:val="auto"/>
              </w:rPr>
            </w:pPr>
            <w:r>
              <w:rPr>
                <w:rFonts w:ascii="Arial" w:cs="Arial" w:eastAsia="Arial" w:hAnsi="Arial"/>
                <w:sz w:val="19"/>
                <w:szCs w:val="19"/>
                <w:color w:val="auto"/>
                <w:w w:val="75"/>
              </w:rPr>
              <w:t>$</w:t>
            </w:r>
          </w:p>
        </w:tc>
        <w:tc>
          <w:tcPr>
            <w:tcW w:w="1500" w:type="dxa"/>
            <w:vAlign w:val="bottom"/>
            <w:gridSpan w:val="2"/>
            <w:shd w:val="clear" w:color="auto" w:fill="CFF2FA"/>
          </w:tcPr>
          <w:p>
            <w:pPr>
              <w:jc w:val="right"/>
              <w:ind w:right="80"/>
              <w:spacing w:after="0"/>
              <w:rPr>
                <w:sz w:val="20"/>
                <w:szCs w:val="20"/>
                <w:color w:val="auto"/>
              </w:rPr>
            </w:pPr>
            <w:r>
              <w:rPr>
                <w:rFonts w:ascii="Arial" w:cs="Arial" w:eastAsia="Arial" w:hAnsi="Arial"/>
                <w:sz w:val="19"/>
                <w:szCs w:val="19"/>
                <w:color w:val="auto"/>
              </w:rPr>
              <w:t>(140.0)</w:t>
            </w:r>
          </w:p>
        </w:tc>
        <w:tc>
          <w:tcPr>
            <w:tcW w:w="120" w:type="dxa"/>
            <w:vAlign w:val="bottom"/>
            <w:vMerge w:val="continue"/>
            <w:shd w:val="clear" w:color="auto" w:fill="CFF2FA"/>
          </w:tcPr>
          <w:p>
            <w:pPr>
              <w:spacing w:after="0"/>
              <w:rPr>
                <w:sz w:val="19"/>
                <w:szCs w:val="19"/>
                <w:color w:val="auto"/>
              </w:rPr>
            </w:pPr>
          </w:p>
        </w:tc>
        <w:tc>
          <w:tcPr>
            <w:tcW w:w="660" w:type="dxa"/>
            <w:vAlign w:val="bottom"/>
            <w:shd w:val="clear" w:color="auto" w:fill="CFF2FA"/>
          </w:tcPr>
          <w:p>
            <w:pPr>
              <w:jc w:val="right"/>
              <w:ind w:right="466"/>
              <w:spacing w:after="0"/>
              <w:rPr>
                <w:sz w:val="20"/>
                <w:szCs w:val="20"/>
                <w:color w:val="auto"/>
              </w:rPr>
            </w:pPr>
            <w:r>
              <w:rPr>
                <w:rFonts w:ascii="Arial" w:cs="Arial" w:eastAsia="Arial" w:hAnsi="Arial"/>
                <w:sz w:val="19"/>
                <w:szCs w:val="19"/>
                <w:color w:val="auto"/>
                <w:w w:val="75"/>
              </w:rPr>
              <w:t>$</w:t>
            </w:r>
          </w:p>
        </w:tc>
        <w:tc>
          <w:tcPr>
            <w:tcW w:w="1140" w:type="dxa"/>
            <w:vAlign w:val="bottom"/>
            <w:gridSpan w:val="2"/>
            <w:shd w:val="clear" w:color="auto" w:fill="CFF2FA"/>
          </w:tcPr>
          <w:p>
            <w:pPr>
              <w:jc w:val="right"/>
              <w:ind w:right="200"/>
              <w:spacing w:after="0"/>
              <w:rPr>
                <w:sz w:val="20"/>
                <w:szCs w:val="20"/>
                <w:color w:val="auto"/>
              </w:rPr>
            </w:pPr>
            <w:r>
              <w:rPr>
                <w:rFonts w:ascii="Arial" w:cs="Arial" w:eastAsia="Arial" w:hAnsi="Arial"/>
                <w:sz w:val="19"/>
                <w:szCs w:val="19"/>
                <w:color w:val="auto"/>
              </w:rPr>
              <w:t>(2.2)</w:t>
            </w:r>
          </w:p>
        </w:tc>
        <w:tc>
          <w:tcPr>
            <w:tcW w:w="120" w:type="dxa"/>
            <w:vAlign w:val="bottom"/>
            <w:shd w:val="clear" w:color="auto" w:fill="CFF2FA"/>
          </w:tcPr>
          <w:p>
            <w:pPr>
              <w:jc w:val="right"/>
              <w:spacing w:after="0"/>
              <w:rPr>
                <w:sz w:val="20"/>
                <w:szCs w:val="20"/>
                <w:color w:val="auto"/>
              </w:rPr>
            </w:pPr>
            <w:r>
              <w:rPr>
                <w:rFonts w:ascii="Arial" w:cs="Arial" w:eastAsia="Arial" w:hAnsi="Arial"/>
                <w:sz w:val="19"/>
                <w:szCs w:val="19"/>
                <w:color w:val="auto"/>
                <w:w w:val="75"/>
              </w:rPr>
              <w:t>$</w:t>
            </w:r>
          </w:p>
        </w:tc>
        <w:tc>
          <w:tcPr>
            <w:tcW w:w="1500" w:type="dxa"/>
            <w:vAlign w:val="bottom"/>
            <w:gridSpan w:val="2"/>
            <w:shd w:val="clear" w:color="auto" w:fill="CFF2FA"/>
          </w:tcPr>
          <w:p>
            <w:pPr>
              <w:jc w:val="right"/>
              <w:ind w:right="60"/>
              <w:spacing w:after="0"/>
              <w:rPr>
                <w:sz w:val="20"/>
                <w:szCs w:val="20"/>
                <w:color w:val="auto"/>
              </w:rPr>
            </w:pPr>
            <w:r>
              <w:rPr>
                <w:rFonts w:ascii="Arial" w:cs="Arial" w:eastAsia="Arial" w:hAnsi="Arial"/>
                <w:sz w:val="19"/>
                <w:szCs w:val="19"/>
                <w:color w:val="auto"/>
              </w:rPr>
              <w:t>(142.2)</w:t>
            </w:r>
          </w:p>
        </w:tc>
        <w:tc>
          <w:tcPr>
            <w:tcW w:w="0" w:type="dxa"/>
            <w:vAlign w:val="bottom"/>
          </w:tcPr>
          <w:p>
            <w:pPr>
              <w:spacing w:after="0"/>
              <w:rPr>
                <w:sz w:val="1"/>
                <w:szCs w:val="1"/>
                <w:color w:val="auto"/>
              </w:rPr>
            </w:pPr>
          </w:p>
        </w:tc>
      </w:tr>
      <w:tr>
        <w:trPr>
          <w:trHeight w:val="20"/>
        </w:trPr>
        <w:tc>
          <w:tcPr>
            <w:tcW w:w="6060" w:type="dxa"/>
            <w:vAlign w:val="bottom"/>
            <w:tcBorders>
              <w:top w:val="single" w:sz="8" w:color="CFF2FA"/>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2FA"/>
            </w:tcBorders>
            <w:gridSpan w:val="2"/>
          </w:tcPr>
          <w:p>
            <w:pPr>
              <w:spacing w:after="0" w:line="20" w:lineRule="exact"/>
              <w:rPr>
                <w:sz w:val="1"/>
                <w:szCs w:val="1"/>
                <w:color w:val="auto"/>
              </w:rPr>
            </w:pPr>
          </w:p>
        </w:tc>
        <w:tc>
          <w:tcPr>
            <w:tcW w:w="152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Borders>
              <w:top w:val="single" w:sz="8" w:color="CFF2FA"/>
            </w:tcBorders>
          </w:tcPr>
          <w:p>
            <w:pPr>
              <w:spacing w:after="0" w:line="20" w:lineRule="exact"/>
              <w:rPr>
                <w:sz w:val="1"/>
                <w:szCs w:val="1"/>
                <w:color w:val="auto"/>
              </w:rPr>
            </w:pPr>
          </w:p>
        </w:tc>
        <w:tc>
          <w:tcPr>
            <w:tcW w:w="150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FF2F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60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920" w:type="dxa"/>
            <w:vAlign w:val="bottom"/>
            <w:tcBorders>
              <w:bottom w:val="single" w:sz="8" w:color="auto"/>
            </w:tcBorders>
            <w:gridSpan w:val="8"/>
          </w:tcPr>
          <w:p>
            <w:pPr>
              <w:jc w:val="center"/>
              <w:ind w:right="66"/>
              <w:spacing w:after="0"/>
              <w:rPr>
                <w:sz w:val="20"/>
                <w:szCs w:val="20"/>
                <w:color w:val="auto"/>
              </w:rPr>
            </w:pPr>
            <w:r>
              <w:rPr>
                <w:rFonts w:ascii="Arial" w:cs="Arial" w:eastAsia="Arial" w:hAnsi="Arial"/>
                <w:sz w:val="19"/>
                <w:szCs w:val="19"/>
                <w:color w:val="auto"/>
                <w:w w:val="90"/>
              </w:rPr>
              <w:t>Six Months Ended June 30, 2019</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060" w:type="dxa"/>
            <w:vAlign w:val="bottom"/>
          </w:tcPr>
          <w:p>
            <w:pPr>
              <w:spacing w:after="0"/>
              <w:rPr>
                <w:sz w:val="20"/>
                <w:szCs w:val="20"/>
                <w:color w:val="auto"/>
              </w:rPr>
            </w:pPr>
            <w:r>
              <w:rPr>
                <w:rFonts w:ascii="Arial" w:cs="Arial" w:eastAsia="Arial" w:hAnsi="Arial"/>
                <w:sz w:val="19"/>
                <w:szCs w:val="19"/>
                <w:color w:val="auto"/>
              </w:rPr>
              <w:t>Balance at beginning of period</w:t>
            </w:r>
          </w:p>
        </w:tc>
        <w:tc>
          <w:tcPr>
            <w:tcW w:w="14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1500" w:type="dxa"/>
            <w:vAlign w:val="bottom"/>
            <w:gridSpan w:val="2"/>
          </w:tcPr>
          <w:p>
            <w:pPr>
              <w:jc w:val="right"/>
              <w:ind w:right="80"/>
              <w:spacing w:after="0"/>
              <w:rPr>
                <w:sz w:val="20"/>
                <w:szCs w:val="20"/>
                <w:color w:val="auto"/>
              </w:rPr>
            </w:pPr>
            <w:r>
              <w:rPr>
                <w:rFonts w:ascii="Arial" w:cs="Arial" w:eastAsia="Arial" w:hAnsi="Arial"/>
                <w:sz w:val="19"/>
                <w:szCs w:val="19"/>
                <w:color w:val="auto"/>
              </w:rPr>
              <w:t>(141.5)</w:t>
            </w:r>
          </w:p>
        </w:tc>
        <w:tc>
          <w:tcPr>
            <w:tcW w:w="780" w:type="dxa"/>
            <w:vAlign w:val="bottom"/>
            <w:gridSpan w:val="2"/>
          </w:tcPr>
          <w:p>
            <w:pPr>
              <w:jc w:val="right"/>
              <w:ind w:right="466"/>
              <w:spacing w:after="0"/>
              <w:rPr>
                <w:sz w:val="20"/>
                <w:szCs w:val="20"/>
                <w:color w:val="auto"/>
              </w:rPr>
            </w:pPr>
            <w:r>
              <w:rPr>
                <w:rFonts w:ascii="Arial" w:cs="Arial" w:eastAsia="Arial" w:hAnsi="Arial"/>
                <w:sz w:val="19"/>
                <w:szCs w:val="19"/>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9"/>
                <w:szCs w:val="19"/>
                <w:color w:val="auto"/>
              </w:rPr>
              <w:t>(2.1)</w:t>
            </w:r>
          </w:p>
        </w:tc>
        <w:tc>
          <w:tcPr>
            <w:tcW w:w="12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1500" w:type="dxa"/>
            <w:vAlign w:val="bottom"/>
            <w:gridSpan w:val="2"/>
          </w:tcPr>
          <w:p>
            <w:pPr>
              <w:jc w:val="right"/>
              <w:ind w:right="60"/>
              <w:spacing w:after="0"/>
              <w:rPr>
                <w:sz w:val="20"/>
                <w:szCs w:val="20"/>
                <w:color w:val="auto"/>
              </w:rPr>
            </w:pPr>
            <w:r>
              <w:rPr>
                <w:rFonts w:ascii="Arial" w:cs="Arial" w:eastAsia="Arial" w:hAnsi="Arial"/>
                <w:sz w:val="19"/>
                <w:szCs w:val="19"/>
                <w:color w:val="auto"/>
              </w:rPr>
              <w:t>(143.6)</w:t>
            </w:r>
          </w:p>
        </w:tc>
        <w:tc>
          <w:tcPr>
            <w:tcW w:w="0" w:type="dxa"/>
            <w:vAlign w:val="bottom"/>
          </w:tcPr>
          <w:p>
            <w:pPr>
              <w:spacing w:after="0"/>
              <w:rPr>
                <w:sz w:val="1"/>
                <w:szCs w:val="1"/>
                <w:color w:val="auto"/>
              </w:rPr>
            </w:pPr>
          </w:p>
        </w:tc>
      </w:tr>
      <w:tr>
        <w:trPr>
          <w:trHeight w:val="207"/>
        </w:trPr>
        <w:tc>
          <w:tcPr>
            <w:tcW w:w="6060" w:type="dxa"/>
            <w:vAlign w:val="bottom"/>
            <w:shd w:val="clear" w:color="auto" w:fill="CFF2FA"/>
          </w:tcPr>
          <w:p>
            <w:pPr>
              <w:spacing w:after="0" w:line="207" w:lineRule="exact"/>
              <w:rPr>
                <w:sz w:val="20"/>
                <w:szCs w:val="20"/>
                <w:color w:val="auto"/>
              </w:rPr>
            </w:pPr>
            <w:r>
              <w:rPr>
                <w:rFonts w:ascii="Arial" w:cs="Arial" w:eastAsia="Arial" w:hAnsi="Arial"/>
                <w:sz w:val="19"/>
                <w:szCs w:val="19"/>
                <w:color w:val="auto"/>
              </w:rPr>
              <w:t>Other comprehensive earnings before</w:t>
            </w:r>
          </w:p>
        </w:tc>
        <w:tc>
          <w:tcPr>
            <w:tcW w:w="140" w:type="dxa"/>
            <w:vAlign w:val="bottom"/>
            <w:shd w:val="clear" w:color="auto" w:fill="CFF2FA"/>
          </w:tcPr>
          <w:p>
            <w:pPr>
              <w:spacing w:after="0"/>
              <w:rPr>
                <w:sz w:val="18"/>
                <w:szCs w:val="18"/>
                <w:color w:val="auto"/>
              </w:rPr>
            </w:pPr>
          </w:p>
        </w:tc>
        <w:tc>
          <w:tcPr>
            <w:tcW w:w="1360" w:type="dxa"/>
            <w:vAlign w:val="bottom"/>
            <w:shd w:val="clear" w:color="auto" w:fill="CFF2FA"/>
          </w:tcPr>
          <w:p>
            <w:pPr>
              <w:spacing w:after="0"/>
              <w:rPr>
                <w:sz w:val="18"/>
                <w:szCs w:val="18"/>
                <w:color w:val="auto"/>
              </w:rPr>
            </w:pPr>
          </w:p>
        </w:tc>
        <w:tc>
          <w:tcPr>
            <w:tcW w:w="140" w:type="dxa"/>
            <w:vAlign w:val="bottom"/>
            <w:shd w:val="clear" w:color="auto" w:fill="CFF2FA"/>
          </w:tcPr>
          <w:p>
            <w:pPr>
              <w:spacing w:after="0"/>
              <w:rPr>
                <w:sz w:val="18"/>
                <w:szCs w:val="18"/>
                <w:color w:val="auto"/>
              </w:rPr>
            </w:pPr>
          </w:p>
        </w:tc>
        <w:tc>
          <w:tcPr>
            <w:tcW w:w="120" w:type="dxa"/>
            <w:vAlign w:val="bottom"/>
            <w:shd w:val="clear" w:color="auto" w:fill="CFF2FA"/>
          </w:tcPr>
          <w:p>
            <w:pPr>
              <w:spacing w:after="0"/>
              <w:rPr>
                <w:sz w:val="18"/>
                <w:szCs w:val="18"/>
                <w:color w:val="auto"/>
              </w:rPr>
            </w:pPr>
          </w:p>
        </w:tc>
        <w:tc>
          <w:tcPr>
            <w:tcW w:w="660" w:type="dxa"/>
            <w:vAlign w:val="bottom"/>
            <w:shd w:val="clear" w:color="auto" w:fill="CFF2FA"/>
          </w:tcPr>
          <w:p>
            <w:pPr>
              <w:spacing w:after="0"/>
              <w:rPr>
                <w:sz w:val="18"/>
                <w:szCs w:val="18"/>
                <w:color w:val="auto"/>
              </w:rPr>
            </w:pPr>
          </w:p>
        </w:tc>
        <w:tc>
          <w:tcPr>
            <w:tcW w:w="860" w:type="dxa"/>
            <w:vAlign w:val="bottom"/>
            <w:shd w:val="clear" w:color="auto" w:fill="CFF2FA"/>
          </w:tcPr>
          <w:p>
            <w:pPr>
              <w:spacing w:after="0"/>
              <w:rPr>
                <w:sz w:val="18"/>
                <w:szCs w:val="18"/>
                <w:color w:val="auto"/>
              </w:rPr>
            </w:pPr>
          </w:p>
        </w:tc>
        <w:tc>
          <w:tcPr>
            <w:tcW w:w="280" w:type="dxa"/>
            <w:vAlign w:val="bottom"/>
            <w:shd w:val="clear" w:color="auto" w:fill="CFF2FA"/>
          </w:tcPr>
          <w:p>
            <w:pPr>
              <w:spacing w:after="0"/>
              <w:rPr>
                <w:sz w:val="18"/>
                <w:szCs w:val="18"/>
                <w:color w:val="auto"/>
              </w:rPr>
            </w:pPr>
          </w:p>
        </w:tc>
        <w:tc>
          <w:tcPr>
            <w:tcW w:w="120" w:type="dxa"/>
            <w:vAlign w:val="bottom"/>
            <w:shd w:val="clear" w:color="auto" w:fill="CFF2FA"/>
          </w:tcPr>
          <w:p>
            <w:pPr>
              <w:spacing w:after="0"/>
              <w:rPr>
                <w:sz w:val="18"/>
                <w:szCs w:val="18"/>
                <w:color w:val="auto"/>
              </w:rPr>
            </w:pPr>
          </w:p>
        </w:tc>
        <w:tc>
          <w:tcPr>
            <w:tcW w:w="1380" w:type="dxa"/>
            <w:vAlign w:val="bottom"/>
            <w:shd w:val="clear" w:color="auto" w:fill="CFF2FA"/>
          </w:tcPr>
          <w:p>
            <w:pPr>
              <w:spacing w:after="0"/>
              <w:rPr>
                <w:sz w:val="18"/>
                <w:szCs w:val="18"/>
                <w:color w:val="auto"/>
              </w:rPr>
            </w:pPr>
          </w:p>
        </w:tc>
        <w:tc>
          <w:tcPr>
            <w:tcW w:w="120" w:type="dxa"/>
            <w:vAlign w:val="bottom"/>
            <w:shd w:val="clear" w:color="auto" w:fill="CFF2FA"/>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060" w:type="dxa"/>
            <w:vAlign w:val="bottom"/>
            <w:shd w:val="clear" w:color="auto" w:fill="CFF2FA"/>
          </w:tcPr>
          <w:p>
            <w:pPr>
              <w:ind w:left="140"/>
              <w:spacing w:after="0"/>
              <w:rPr>
                <w:sz w:val="20"/>
                <w:szCs w:val="20"/>
                <w:color w:val="auto"/>
              </w:rPr>
            </w:pPr>
            <w:r>
              <w:rPr>
                <w:rFonts w:ascii="Arial" w:cs="Arial" w:eastAsia="Arial" w:hAnsi="Arial"/>
                <w:sz w:val="19"/>
                <w:szCs w:val="19"/>
                <w:color w:val="auto"/>
              </w:rPr>
              <w:t>reclassifications, net of tax</w:t>
            </w:r>
          </w:p>
        </w:tc>
        <w:tc>
          <w:tcPr>
            <w:tcW w:w="140" w:type="dxa"/>
            <w:vAlign w:val="bottom"/>
            <w:shd w:val="clear" w:color="auto" w:fill="CFF2FA"/>
          </w:tcPr>
          <w:p>
            <w:pPr>
              <w:spacing w:after="0"/>
              <w:rPr>
                <w:sz w:val="20"/>
                <w:szCs w:val="20"/>
                <w:color w:val="auto"/>
              </w:rPr>
            </w:pPr>
          </w:p>
        </w:tc>
        <w:tc>
          <w:tcPr>
            <w:tcW w:w="1500" w:type="dxa"/>
            <w:vAlign w:val="bottom"/>
            <w:gridSpan w:val="2"/>
            <w:shd w:val="clear" w:color="auto" w:fill="CFF2FA"/>
          </w:tcPr>
          <w:p>
            <w:pPr>
              <w:jc w:val="right"/>
              <w:ind w:right="160"/>
              <w:spacing w:after="0"/>
              <w:rPr>
                <w:sz w:val="20"/>
                <w:szCs w:val="20"/>
                <w:color w:val="auto"/>
              </w:rPr>
            </w:pPr>
            <w:r>
              <w:rPr>
                <w:rFonts w:ascii="Arial" w:cs="Arial" w:eastAsia="Arial" w:hAnsi="Arial"/>
                <w:sz w:val="19"/>
                <w:szCs w:val="19"/>
                <w:color w:val="auto"/>
              </w:rPr>
              <w:t>—</w:t>
            </w:r>
          </w:p>
        </w:tc>
        <w:tc>
          <w:tcPr>
            <w:tcW w:w="120" w:type="dxa"/>
            <w:vAlign w:val="bottom"/>
            <w:shd w:val="clear" w:color="auto" w:fill="CFF2FA"/>
          </w:tcPr>
          <w:p>
            <w:pPr>
              <w:spacing w:after="0"/>
              <w:rPr>
                <w:sz w:val="20"/>
                <w:szCs w:val="20"/>
                <w:color w:val="auto"/>
              </w:rPr>
            </w:pPr>
          </w:p>
        </w:tc>
        <w:tc>
          <w:tcPr>
            <w:tcW w:w="660" w:type="dxa"/>
            <w:vAlign w:val="bottom"/>
            <w:shd w:val="clear" w:color="auto" w:fill="CFF2FA"/>
          </w:tcPr>
          <w:p>
            <w:pPr>
              <w:spacing w:after="0"/>
              <w:rPr>
                <w:sz w:val="20"/>
                <w:szCs w:val="20"/>
                <w:color w:val="auto"/>
              </w:rPr>
            </w:pPr>
          </w:p>
        </w:tc>
        <w:tc>
          <w:tcPr>
            <w:tcW w:w="860" w:type="dxa"/>
            <w:vAlign w:val="bottom"/>
            <w:shd w:val="clear" w:color="auto" w:fill="CFF2FA"/>
          </w:tcPr>
          <w:p>
            <w:pPr>
              <w:jc w:val="right"/>
              <w:spacing w:after="0"/>
              <w:rPr>
                <w:sz w:val="20"/>
                <w:szCs w:val="20"/>
                <w:color w:val="auto"/>
              </w:rPr>
            </w:pPr>
            <w:r>
              <w:rPr>
                <w:rFonts w:ascii="Arial" w:cs="Arial" w:eastAsia="Arial" w:hAnsi="Arial"/>
                <w:sz w:val="19"/>
                <w:szCs w:val="19"/>
                <w:color w:val="auto"/>
              </w:rPr>
              <w:t>0.8</w:t>
            </w:r>
          </w:p>
        </w:tc>
        <w:tc>
          <w:tcPr>
            <w:tcW w:w="280" w:type="dxa"/>
            <w:vAlign w:val="bottom"/>
            <w:shd w:val="clear" w:color="auto" w:fill="CFF2FA"/>
          </w:tcPr>
          <w:p>
            <w:pPr>
              <w:spacing w:after="0"/>
              <w:rPr>
                <w:sz w:val="20"/>
                <w:szCs w:val="20"/>
                <w:color w:val="auto"/>
              </w:rPr>
            </w:pPr>
          </w:p>
        </w:tc>
        <w:tc>
          <w:tcPr>
            <w:tcW w:w="120" w:type="dxa"/>
            <w:vAlign w:val="bottom"/>
            <w:shd w:val="clear" w:color="auto" w:fill="CFF2FA"/>
          </w:tcPr>
          <w:p>
            <w:pPr>
              <w:spacing w:after="0"/>
              <w:rPr>
                <w:sz w:val="20"/>
                <w:szCs w:val="20"/>
                <w:color w:val="auto"/>
              </w:rPr>
            </w:pPr>
          </w:p>
        </w:tc>
        <w:tc>
          <w:tcPr>
            <w:tcW w:w="1380" w:type="dxa"/>
            <w:vAlign w:val="bottom"/>
            <w:shd w:val="clear" w:color="auto" w:fill="CFF2FA"/>
          </w:tcPr>
          <w:p>
            <w:pPr>
              <w:jc w:val="right"/>
              <w:spacing w:after="0"/>
              <w:rPr>
                <w:sz w:val="20"/>
                <w:szCs w:val="20"/>
                <w:color w:val="auto"/>
              </w:rPr>
            </w:pPr>
            <w:r>
              <w:rPr>
                <w:rFonts w:ascii="Arial" w:cs="Arial" w:eastAsia="Arial" w:hAnsi="Arial"/>
                <w:sz w:val="19"/>
                <w:szCs w:val="19"/>
                <w:color w:val="auto"/>
              </w:rPr>
              <w:t>0.8</w:t>
            </w:r>
          </w:p>
        </w:tc>
        <w:tc>
          <w:tcPr>
            <w:tcW w:w="120" w:type="dxa"/>
            <w:vAlign w:val="bottom"/>
            <w:shd w:val="clear" w:color="auto" w:fill="CFF2FA"/>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6060" w:type="dxa"/>
            <w:vAlign w:val="bottom"/>
          </w:tcPr>
          <w:p>
            <w:pPr>
              <w:spacing w:after="0" w:line="207" w:lineRule="exact"/>
              <w:rPr>
                <w:sz w:val="20"/>
                <w:szCs w:val="20"/>
                <w:color w:val="auto"/>
              </w:rPr>
            </w:pPr>
            <w:r>
              <w:rPr>
                <w:rFonts w:ascii="Arial" w:cs="Arial" w:eastAsia="Arial" w:hAnsi="Arial"/>
                <w:sz w:val="19"/>
                <w:szCs w:val="19"/>
                <w:color w:val="auto"/>
              </w:rPr>
              <w:t>Amounts reclassified from accumulated</w:t>
            </w: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060" w:type="dxa"/>
            <w:vAlign w:val="bottom"/>
          </w:tcPr>
          <w:p>
            <w:pPr>
              <w:ind w:left="140"/>
              <w:spacing w:after="0"/>
              <w:rPr>
                <w:sz w:val="20"/>
                <w:szCs w:val="20"/>
                <w:color w:val="auto"/>
              </w:rPr>
            </w:pPr>
            <w:r>
              <w:rPr>
                <w:rFonts w:ascii="Arial" w:cs="Arial" w:eastAsia="Arial" w:hAnsi="Arial"/>
                <w:sz w:val="19"/>
                <w:szCs w:val="19"/>
                <w:color w:val="auto"/>
              </w:rPr>
              <w:t>other comprehensive loss, net of tax</w:t>
            </w: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9"/>
                <w:szCs w:val="19"/>
                <w:color w:val="auto"/>
              </w:rPr>
              <w:t>5.5</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9"/>
                <w:szCs w:val="19"/>
                <w:color w:val="auto"/>
              </w:rPr>
              <w:t>—</w:t>
            </w: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9"/>
                <w:szCs w:val="19"/>
                <w:color w:val="auto"/>
              </w:rPr>
              <w:t>5.5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060" w:type="dxa"/>
            <w:vAlign w:val="bottom"/>
            <w:tcBorders>
              <w:top w:val="single" w:sz="8" w:color="CFF2FA"/>
            </w:tcBorders>
            <w:shd w:val="clear" w:color="auto" w:fill="CFF2FA"/>
          </w:tcPr>
          <w:p>
            <w:pPr>
              <w:spacing w:after="0"/>
              <w:rPr>
                <w:sz w:val="20"/>
                <w:szCs w:val="20"/>
                <w:color w:val="auto"/>
              </w:rPr>
            </w:pPr>
            <w:r>
              <w:rPr>
                <w:rFonts w:ascii="Arial" w:cs="Arial" w:eastAsia="Arial" w:hAnsi="Arial"/>
                <w:sz w:val="19"/>
                <w:szCs w:val="19"/>
                <w:color w:val="auto"/>
              </w:rPr>
              <w:t>Other comprehensive earnings, net of tax</w:t>
            </w:r>
          </w:p>
        </w:tc>
        <w:tc>
          <w:tcPr>
            <w:tcW w:w="140" w:type="dxa"/>
            <w:vAlign w:val="bottom"/>
            <w:tcBorders>
              <w:top w:val="single" w:sz="8" w:color="auto"/>
              <w:bottom w:val="single" w:sz="8" w:color="auto"/>
            </w:tcBorders>
            <w:shd w:val="clear" w:color="auto" w:fill="CFF2FA"/>
          </w:tcPr>
          <w:p>
            <w:pPr>
              <w:spacing w:after="0"/>
              <w:rPr>
                <w:sz w:val="19"/>
                <w:szCs w:val="19"/>
                <w:color w:val="auto"/>
              </w:rPr>
            </w:pPr>
          </w:p>
        </w:tc>
        <w:tc>
          <w:tcPr>
            <w:tcW w:w="1360" w:type="dxa"/>
            <w:vAlign w:val="bottom"/>
            <w:tcBorders>
              <w:top w:val="single" w:sz="8" w:color="auto"/>
              <w:bottom w:val="single" w:sz="8" w:color="auto"/>
            </w:tcBorders>
            <w:shd w:val="clear" w:color="auto" w:fill="CFF2FA"/>
          </w:tcPr>
          <w:p>
            <w:pPr>
              <w:jc w:val="right"/>
              <w:spacing w:after="0"/>
              <w:rPr>
                <w:sz w:val="20"/>
                <w:szCs w:val="20"/>
                <w:color w:val="auto"/>
              </w:rPr>
            </w:pPr>
            <w:r>
              <w:rPr>
                <w:rFonts w:ascii="Arial" w:cs="Arial" w:eastAsia="Arial" w:hAnsi="Arial"/>
                <w:sz w:val="19"/>
                <w:szCs w:val="19"/>
                <w:color w:val="auto"/>
              </w:rPr>
              <w:t>5.5</w:t>
            </w:r>
          </w:p>
        </w:tc>
        <w:tc>
          <w:tcPr>
            <w:tcW w:w="140" w:type="dxa"/>
            <w:vAlign w:val="bottom"/>
            <w:tcBorders>
              <w:top w:val="single" w:sz="8" w:color="CFF2FA"/>
            </w:tcBorders>
            <w:shd w:val="clear" w:color="auto" w:fill="CFF2FA"/>
          </w:tcPr>
          <w:p>
            <w:pPr>
              <w:spacing w:after="0"/>
              <w:rPr>
                <w:sz w:val="19"/>
                <w:szCs w:val="19"/>
                <w:color w:val="auto"/>
              </w:rPr>
            </w:pPr>
          </w:p>
        </w:tc>
        <w:tc>
          <w:tcPr>
            <w:tcW w:w="120" w:type="dxa"/>
            <w:vAlign w:val="bottom"/>
            <w:tcBorders>
              <w:top w:val="single" w:sz="8" w:color="CFF2FA"/>
            </w:tcBorders>
            <w:shd w:val="clear" w:color="auto" w:fill="CFF2FA"/>
          </w:tcPr>
          <w:p>
            <w:pPr>
              <w:spacing w:after="0"/>
              <w:rPr>
                <w:sz w:val="19"/>
                <w:szCs w:val="19"/>
                <w:color w:val="auto"/>
              </w:rPr>
            </w:pPr>
          </w:p>
        </w:tc>
        <w:tc>
          <w:tcPr>
            <w:tcW w:w="660" w:type="dxa"/>
            <w:vAlign w:val="bottom"/>
            <w:tcBorders>
              <w:top w:val="single" w:sz="8" w:color="auto"/>
              <w:bottom w:val="single" w:sz="8" w:color="auto"/>
            </w:tcBorders>
            <w:shd w:val="clear" w:color="auto" w:fill="CFF2FA"/>
          </w:tcPr>
          <w:p>
            <w:pPr>
              <w:spacing w:after="0"/>
              <w:rPr>
                <w:sz w:val="19"/>
                <w:szCs w:val="19"/>
                <w:color w:val="auto"/>
              </w:rPr>
            </w:pPr>
          </w:p>
        </w:tc>
        <w:tc>
          <w:tcPr>
            <w:tcW w:w="860" w:type="dxa"/>
            <w:vAlign w:val="bottom"/>
            <w:tcBorders>
              <w:top w:val="single" w:sz="8" w:color="auto"/>
              <w:bottom w:val="single" w:sz="8" w:color="auto"/>
            </w:tcBorders>
            <w:shd w:val="clear" w:color="auto" w:fill="CFF2FA"/>
          </w:tcPr>
          <w:p>
            <w:pPr>
              <w:jc w:val="right"/>
              <w:spacing w:after="0"/>
              <w:rPr>
                <w:sz w:val="20"/>
                <w:szCs w:val="20"/>
                <w:color w:val="auto"/>
              </w:rPr>
            </w:pPr>
            <w:r>
              <w:rPr>
                <w:rFonts w:ascii="Arial" w:cs="Arial" w:eastAsia="Arial" w:hAnsi="Arial"/>
                <w:sz w:val="19"/>
                <w:szCs w:val="19"/>
                <w:color w:val="auto"/>
              </w:rPr>
              <w:t>0.8</w:t>
            </w:r>
          </w:p>
        </w:tc>
        <w:tc>
          <w:tcPr>
            <w:tcW w:w="280" w:type="dxa"/>
            <w:vAlign w:val="bottom"/>
            <w:tcBorders>
              <w:top w:val="single" w:sz="8" w:color="CFF2FA"/>
            </w:tcBorders>
            <w:shd w:val="clear" w:color="auto" w:fill="CFF2FA"/>
          </w:tcPr>
          <w:p>
            <w:pPr>
              <w:spacing w:after="0"/>
              <w:rPr>
                <w:sz w:val="19"/>
                <w:szCs w:val="19"/>
                <w:color w:val="auto"/>
              </w:rPr>
            </w:pPr>
          </w:p>
        </w:tc>
        <w:tc>
          <w:tcPr>
            <w:tcW w:w="120" w:type="dxa"/>
            <w:vAlign w:val="bottom"/>
            <w:tcBorders>
              <w:top w:val="single" w:sz="8" w:color="auto"/>
              <w:bottom w:val="single" w:sz="8" w:color="auto"/>
            </w:tcBorders>
            <w:shd w:val="clear" w:color="auto" w:fill="CFF2FA"/>
          </w:tcPr>
          <w:p>
            <w:pPr>
              <w:spacing w:after="0"/>
              <w:rPr>
                <w:sz w:val="19"/>
                <w:szCs w:val="19"/>
                <w:color w:val="auto"/>
              </w:rPr>
            </w:pPr>
          </w:p>
        </w:tc>
        <w:tc>
          <w:tcPr>
            <w:tcW w:w="1380" w:type="dxa"/>
            <w:vAlign w:val="bottom"/>
            <w:tcBorders>
              <w:top w:val="single" w:sz="8" w:color="auto"/>
              <w:bottom w:val="single" w:sz="8" w:color="auto"/>
            </w:tcBorders>
            <w:shd w:val="clear" w:color="auto" w:fill="CFF2FA"/>
          </w:tcPr>
          <w:p>
            <w:pPr>
              <w:jc w:val="right"/>
              <w:spacing w:after="0"/>
              <w:rPr>
                <w:sz w:val="20"/>
                <w:szCs w:val="20"/>
                <w:color w:val="auto"/>
              </w:rPr>
            </w:pPr>
            <w:r>
              <w:rPr>
                <w:rFonts w:ascii="Arial" w:cs="Arial" w:eastAsia="Arial" w:hAnsi="Arial"/>
                <w:sz w:val="19"/>
                <w:szCs w:val="19"/>
                <w:color w:val="auto"/>
              </w:rPr>
              <w:t>6.3</w:t>
            </w:r>
          </w:p>
        </w:tc>
        <w:tc>
          <w:tcPr>
            <w:tcW w:w="120" w:type="dxa"/>
            <w:vAlign w:val="bottom"/>
            <w:tcBorders>
              <w:top w:val="single" w:sz="8" w:color="CFF2FA"/>
            </w:tcBorders>
            <w:shd w:val="clear" w:color="auto" w:fill="CFF2FA"/>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60" w:type="dxa"/>
            <w:vAlign w:val="bottom"/>
          </w:tcPr>
          <w:p>
            <w:pPr>
              <w:spacing w:after="0"/>
              <w:rPr>
                <w:sz w:val="20"/>
                <w:szCs w:val="20"/>
                <w:color w:val="auto"/>
              </w:rPr>
            </w:pPr>
            <w:r>
              <w:rPr>
                <w:rFonts w:ascii="Arial" w:cs="Arial" w:eastAsia="Arial" w:hAnsi="Arial"/>
                <w:sz w:val="19"/>
                <w:szCs w:val="19"/>
                <w:color w:val="auto"/>
              </w:rPr>
              <w:t>Balance at end of period</w:t>
            </w:r>
          </w:p>
        </w:tc>
        <w:tc>
          <w:tcPr>
            <w:tcW w:w="14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1500" w:type="dxa"/>
            <w:vAlign w:val="bottom"/>
            <w:gridSpan w:val="2"/>
          </w:tcPr>
          <w:p>
            <w:pPr>
              <w:jc w:val="right"/>
              <w:ind w:right="80"/>
              <w:spacing w:after="0"/>
              <w:rPr>
                <w:sz w:val="20"/>
                <w:szCs w:val="20"/>
                <w:color w:val="auto"/>
              </w:rPr>
            </w:pPr>
            <w:r>
              <w:rPr>
                <w:rFonts w:ascii="Arial" w:cs="Arial" w:eastAsia="Arial" w:hAnsi="Arial"/>
                <w:sz w:val="19"/>
                <w:szCs w:val="19"/>
                <w:color w:val="auto"/>
              </w:rPr>
              <w:t>(136.0)</w:t>
            </w:r>
          </w:p>
        </w:tc>
        <w:tc>
          <w:tcPr>
            <w:tcW w:w="120" w:type="dxa"/>
            <w:vAlign w:val="bottom"/>
          </w:tcPr>
          <w:p>
            <w:pPr>
              <w:spacing w:after="0"/>
              <w:rPr>
                <w:sz w:val="19"/>
                <w:szCs w:val="19"/>
                <w:color w:val="auto"/>
              </w:rPr>
            </w:pPr>
          </w:p>
        </w:tc>
        <w:tc>
          <w:tcPr>
            <w:tcW w:w="660" w:type="dxa"/>
            <w:vAlign w:val="bottom"/>
          </w:tcPr>
          <w:p>
            <w:pPr>
              <w:jc w:val="right"/>
              <w:ind w:right="466"/>
              <w:spacing w:after="0"/>
              <w:rPr>
                <w:sz w:val="20"/>
                <w:szCs w:val="20"/>
                <w:color w:val="auto"/>
              </w:rPr>
            </w:pPr>
            <w:r>
              <w:rPr>
                <w:rFonts w:ascii="Arial" w:cs="Arial" w:eastAsia="Arial" w:hAnsi="Arial"/>
                <w:sz w:val="19"/>
                <w:szCs w:val="19"/>
                <w:color w:val="auto"/>
                <w:w w:val="75"/>
              </w:rPr>
              <w:t>$</w:t>
            </w:r>
          </w:p>
        </w:tc>
        <w:tc>
          <w:tcPr>
            <w:tcW w:w="1140" w:type="dxa"/>
            <w:vAlign w:val="bottom"/>
            <w:gridSpan w:val="2"/>
          </w:tcPr>
          <w:p>
            <w:pPr>
              <w:jc w:val="right"/>
              <w:ind w:right="200"/>
              <w:spacing w:after="0"/>
              <w:rPr>
                <w:sz w:val="20"/>
                <w:szCs w:val="20"/>
                <w:color w:val="auto"/>
              </w:rPr>
            </w:pPr>
            <w:r>
              <w:rPr>
                <w:rFonts w:ascii="Arial" w:cs="Arial" w:eastAsia="Arial" w:hAnsi="Arial"/>
                <w:sz w:val="19"/>
                <w:szCs w:val="19"/>
                <w:color w:val="auto"/>
              </w:rPr>
              <w:t>(1.3)</w:t>
            </w:r>
          </w:p>
        </w:tc>
        <w:tc>
          <w:tcPr>
            <w:tcW w:w="12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1500" w:type="dxa"/>
            <w:vAlign w:val="bottom"/>
            <w:gridSpan w:val="2"/>
          </w:tcPr>
          <w:p>
            <w:pPr>
              <w:jc w:val="right"/>
              <w:ind w:right="60"/>
              <w:spacing w:after="0"/>
              <w:rPr>
                <w:sz w:val="20"/>
                <w:szCs w:val="20"/>
                <w:color w:val="auto"/>
              </w:rPr>
            </w:pPr>
            <w:r>
              <w:rPr>
                <w:rFonts w:ascii="Arial" w:cs="Arial" w:eastAsia="Arial" w:hAnsi="Arial"/>
                <w:sz w:val="19"/>
                <w:szCs w:val="19"/>
                <w:color w:val="auto"/>
              </w:rPr>
              <w:t>(137.3)</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10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June 30, 2020</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9720" w:type="dxa"/>
            <w:vAlign w:val="bottom"/>
            <w:gridSpan w:val="24"/>
          </w:tcPr>
          <w:p>
            <w:pPr>
              <w:ind w:left="380"/>
              <w:spacing w:after="0"/>
              <w:rPr>
                <w:sz w:val="20"/>
                <w:szCs w:val="20"/>
                <w:color w:val="auto"/>
              </w:rPr>
            </w:pPr>
            <w:r>
              <w:rPr>
                <w:rFonts w:ascii="Arial" w:cs="Arial" w:eastAsia="Arial" w:hAnsi="Arial"/>
                <w:sz w:val="20"/>
                <w:szCs w:val="20"/>
                <w:color w:val="auto"/>
                <w:w w:val="94"/>
              </w:rPr>
              <w:t>Changes in net noncurrent deferred tax assets related to accumulated other comprehensive loss are as follows:</w:t>
            </w:r>
          </w:p>
        </w:tc>
        <w:tc>
          <w:tcPr>
            <w:tcW w:w="3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3"/>
        </w:trPr>
        <w:tc>
          <w:tcPr>
            <w:tcW w:w="2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gridSpan w:val="12"/>
          </w:tcPr>
          <w:p>
            <w:pPr>
              <w:jc w:val="right"/>
              <w:ind w:right="120"/>
              <w:spacing w:after="0"/>
              <w:rPr>
                <w:sz w:val="20"/>
                <w:szCs w:val="20"/>
                <w:color w:val="auto"/>
              </w:rPr>
            </w:pPr>
            <w:r>
              <w:rPr>
                <w:rFonts w:ascii="Arial" w:cs="Arial" w:eastAsia="Arial" w:hAnsi="Arial"/>
                <w:sz w:val="20"/>
                <w:szCs w:val="20"/>
                <w:color w:val="auto"/>
                <w:w w:val="91"/>
              </w:rPr>
              <w:t>Pension and Postretirement Benefit Plans</w:t>
            </w:r>
          </w:p>
        </w:tc>
        <w:tc>
          <w:tcPr>
            <w:tcW w:w="3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2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20" w:type="dxa"/>
            <w:vAlign w:val="bottom"/>
            <w:gridSpan w:val="7"/>
          </w:tcPr>
          <w:p>
            <w:pPr>
              <w:jc w:val="right"/>
              <w:ind w:right="104"/>
              <w:spacing w:after="0"/>
              <w:rPr>
                <w:sz w:val="20"/>
                <w:szCs w:val="20"/>
                <w:color w:val="auto"/>
              </w:rPr>
            </w:pPr>
            <w:r>
              <w:rPr>
                <w:rFonts w:ascii="Arial" w:cs="Arial" w:eastAsia="Arial" w:hAnsi="Arial"/>
                <w:sz w:val="20"/>
                <w:szCs w:val="20"/>
                <w:color w:val="auto"/>
                <w:w w:val="91"/>
              </w:rPr>
              <w:t>Three Months Ended</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760" w:type="dxa"/>
            <w:vAlign w:val="bottom"/>
            <w:gridSpan w:val="4"/>
          </w:tcPr>
          <w:p>
            <w:pPr>
              <w:jc w:val="right"/>
              <w:ind w:right="701"/>
              <w:spacing w:after="0"/>
              <w:rPr>
                <w:sz w:val="20"/>
                <w:szCs w:val="20"/>
                <w:color w:val="auto"/>
              </w:rPr>
            </w:pPr>
            <w:r>
              <w:rPr>
                <w:rFonts w:ascii="Arial" w:cs="Arial" w:eastAsia="Arial" w:hAnsi="Arial"/>
                <w:sz w:val="20"/>
                <w:szCs w:val="20"/>
                <w:color w:val="auto"/>
              </w:rPr>
              <w:t>Six Months Ended</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2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gridSpan w:val="4"/>
          </w:tcPr>
          <w:p>
            <w:pPr>
              <w:jc w:val="right"/>
              <w:spacing w:after="0"/>
              <w:rPr>
                <w:sz w:val="20"/>
                <w:szCs w:val="20"/>
                <w:color w:val="auto"/>
              </w:rPr>
            </w:pPr>
            <w:r>
              <w:rPr>
                <w:rFonts w:ascii="Arial" w:cs="Arial" w:eastAsia="Arial" w:hAnsi="Arial"/>
                <w:sz w:val="20"/>
                <w:szCs w:val="20"/>
                <w:color w:val="auto"/>
              </w:rPr>
              <w:t>June 30,</w:t>
            </w:r>
          </w:p>
        </w:tc>
        <w:tc>
          <w:tcPr>
            <w:tcW w:w="24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gridSpan w:val="3"/>
          </w:tcPr>
          <w:p>
            <w:pPr>
              <w:jc w:val="right"/>
              <w:ind w:right="61"/>
              <w:spacing w:after="0"/>
              <w:rPr>
                <w:sz w:val="20"/>
                <w:szCs w:val="20"/>
                <w:color w:val="auto"/>
              </w:rPr>
            </w:pPr>
            <w:r>
              <w:rPr>
                <w:rFonts w:ascii="Arial" w:cs="Arial" w:eastAsia="Arial" w:hAnsi="Arial"/>
                <w:sz w:val="20"/>
                <w:szCs w:val="20"/>
                <w:color w:val="auto"/>
              </w:rPr>
              <w:t>June 30,</w:t>
            </w:r>
          </w:p>
        </w:tc>
        <w:tc>
          <w:tcPr>
            <w:tcW w:w="104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w w:val="89"/>
              </w:rPr>
              <w:t>2020</w:t>
            </w:r>
          </w:p>
        </w:tc>
        <w:tc>
          <w:tcPr>
            <w:tcW w:w="4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4"/>
              </w:rPr>
              <w:t>2019</w:t>
            </w:r>
          </w:p>
        </w:tc>
        <w:tc>
          <w:tcPr>
            <w:tcW w:w="2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22"/>
              <w:spacing w:after="0"/>
              <w:rPr>
                <w:sz w:val="20"/>
                <w:szCs w:val="20"/>
                <w:color w:val="auto"/>
              </w:rPr>
            </w:pPr>
            <w:r>
              <w:rPr>
                <w:rFonts w:ascii="Arial" w:cs="Arial" w:eastAsia="Arial" w:hAnsi="Arial"/>
                <w:sz w:val="20"/>
                <w:szCs w:val="20"/>
                <w:color w:val="auto"/>
              </w:rPr>
              <w:t>2020</w:t>
            </w:r>
          </w:p>
        </w:tc>
        <w:tc>
          <w:tcPr>
            <w:tcW w:w="2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01"/>
              <w:spacing w:after="0"/>
              <w:rPr>
                <w:sz w:val="20"/>
                <w:szCs w:val="20"/>
                <w:color w:val="auto"/>
              </w:rPr>
            </w:pPr>
            <w:r>
              <w:rPr>
                <w:rFonts w:ascii="Arial" w:cs="Arial" w:eastAsia="Arial" w:hAnsi="Arial"/>
                <w:sz w:val="20"/>
                <w:szCs w:val="20"/>
                <w:color w:val="auto"/>
              </w:rPr>
              <w:t>2019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2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40" w:type="dxa"/>
            <w:vAlign w:val="bottom"/>
            <w:gridSpan w:val="8"/>
          </w:tcPr>
          <w:p>
            <w:pPr>
              <w:jc w:val="right"/>
              <w:ind w:right="920"/>
              <w:spacing w:after="0"/>
              <w:rPr>
                <w:sz w:val="20"/>
                <w:szCs w:val="20"/>
                <w:color w:val="auto"/>
              </w:rPr>
            </w:pPr>
            <w:r>
              <w:rPr>
                <w:rFonts w:ascii="Arial" w:cs="Arial" w:eastAsia="Arial" w:hAnsi="Arial"/>
                <w:sz w:val="20"/>
                <w:szCs w:val="20"/>
                <w:i w:val="1"/>
                <w:iCs w:val="1"/>
                <w:color w:val="auto"/>
              </w:rPr>
              <w:t>(Dollars in Millions)</w:t>
            </w: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2740" w:type="dxa"/>
            <w:vAlign w:val="bottom"/>
          </w:tcPr>
          <w:p>
            <w:pPr>
              <w:spacing w:after="0"/>
              <w:rPr>
                <w:sz w:val="20"/>
                <w:szCs w:val="20"/>
                <w:color w:val="auto"/>
              </w:rPr>
            </w:pPr>
            <w:r>
              <w:rPr>
                <w:rFonts w:ascii="Arial" w:cs="Arial" w:eastAsia="Arial" w:hAnsi="Arial"/>
                <w:sz w:val="20"/>
                <w:szCs w:val="20"/>
                <w:color w:val="auto"/>
              </w:rPr>
              <w:t>Balance at beginning of period</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gridSpan w:val="2"/>
          </w:tcPr>
          <w:p>
            <w:pPr>
              <w:jc w:val="right"/>
              <w:ind w:right="181"/>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20"/>
                <w:szCs w:val="20"/>
                <w:color w:val="auto"/>
              </w:rPr>
              <w:t>84.4</w:t>
            </w:r>
          </w:p>
        </w:tc>
        <w:tc>
          <w:tcPr>
            <w:tcW w:w="220" w:type="dxa"/>
            <w:vAlign w:val="bottom"/>
          </w:tcPr>
          <w:p>
            <w:pPr>
              <w:spacing w:after="0"/>
              <w:rPr>
                <w:sz w:val="21"/>
                <w:szCs w:val="21"/>
                <w:color w:val="auto"/>
              </w:rPr>
            </w:pPr>
          </w:p>
        </w:tc>
        <w:tc>
          <w:tcPr>
            <w:tcW w:w="220" w:type="dxa"/>
            <w:vAlign w:val="bottom"/>
            <w:gridSpan w:val="2"/>
          </w:tcPr>
          <w:p>
            <w:pPr>
              <w:jc w:val="right"/>
              <w:ind w:right="1"/>
              <w:spacing w:after="0"/>
              <w:rPr>
                <w:sz w:val="20"/>
                <w:szCs w:val="20"/>
                <w:color w:val="auto"/>
              </w:rPr>
            </w:pPr>
            <w:r>
              <w:rPr>
                <w:rFonts w:ascii="Arial" w:cs="Arial" w:eastAsia="Arial" w:hAnsi="Arial"/>
                <w:sz w:val="20"/>
                <w:szCs w:val="20"/>
                <w:color w:val="auto"/>
                <w:w w:val="89"/>
              </w:rPr>
              <w:t>$</w:t>
            </w: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60" w:type="dxa"/>
            <w:vAlign w:val="bottom"/>
            <w:gridSpan w:val="3"/>
          </w:tcPr>
          <w:p>
            <w:pPr>
              <w:jc w:val="right"/>
              <w:spacing w:after="0"/>
              <w:rPr>
                <w:sz w:val="20"/>
                <w:szCs w:val="20"/>
                <w:color w:val="auto"/>
              </w:rPr>
            </w:pPr>
            <w:r>
              <w:rPr>
                <w:rFonts w:ascii="Arial" w:cs="Arial" w:eastAsia="Arial" w:hAnsi="Arial"/>
                <w:sz w:val="20"/>
                <w:szCs w:val="20"/>
                <w:color w:val="auto"/>
              </w:rPr>
              <w:t>83.3</w:t>
            </w:r>
          </w:p>
        </w:tc>
        <w:tc>
          <w:tcPr>
            <w:tcW w:w="540" w:type="dxa"/>
            <w:vAlign w:val="bottom"/>
            <w:gridSpan w:val="2"/>
          </w:tcPr>
          <w:p>
            <w:pPr>
              <w:ind w:left="260"/>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85.2</w:t>
            </w:r>
          </w:p>
        </w:tc>
        <w:tc>
          <w:tcPr>
            <w:tcW w:w="240" w:type="dxa"/>
            <w:vAlign w:val="bottom"/>
          </w:tcPr>
          <w:p>
            <w:pPr>
              <w:spacing w:after="0"/>
              <w:rPr>
                <w:sz w:val="21"/>
                <w:szCs w:val="21"/>
                <w:color w:val="auto"/>
              </w:rPr>
            </w:pPr>
          </w:p>
        </w:tc>
        <w:tc>
          <w:tcPr>
            <w:tcW w:w="360" w:type="dxa"/>
            <w:vAlign w:val="bottom"/>
          </w:tcPr>
          <w:p>
            <w:pPr>
              <w:jc w:val="right"/>
              <w:ind w:right="161"/>
              <w:spacing w:after="0"/>
              <w:rPr>
                <w:sz w:val="20"/>
                <w:szCs w:val="20"/>
                <w:color w:val="auto"/>
              </w:rPr>
            </w:pPr>
            <w:r>
              <w:rPr>
                <w:rFonts w:ascii="Arial" w:cs="Arial" w:eastAsia="Arial" w:hAnsi="Arial"/>
                <w:sz w:val="20"/>
                <w:szCs w:val="20"/>
                <w:color w:val="auto"/>
                <w:w w:val="71"/>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84.2</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20" w:type="dxa"/>
            <w:vAlign w:val="bottom"/>
            <w:gridSpan w:val="5"/>
            <w:shd w:val="clear" w:color="auto" w:fill="CFF0FC"/>
          </w:tcPr>
          <w:p>
            <w:pPr>
              <w:spacing w:after="0"/>
              <w:rPr>
                <w:sz w:val="20"/>
                <w:szCs w:val="20"/>
                <w:color w:val="auto"/>
              </w:rPr>
            </w:pPr>
            <w:r>
              <w:rPr>
                <w:rFonts w:ascii="Arial" w:cs="Arial" w:eastAsia="Arial" w:hAnsi="Arial"/>
                <w:sz w:val="20"/>
                <w:szCs w:val="20"/>
                <w:color w:val="auto"/>
              </w:rPr>
              <w:t>Tax effect of other comprehensive earnings</w:t>
            </w: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43"/>
              <w:spacing w:after="0"/>
              <w:rPr>
                <w:sz w:val="20"/>
                <w:szCs w:val="20"/>
                <w:color w:val="auto"/>
              </w:rPr>
            </w:pPr>
            <w:r>
              <w:rPr>
                <w:rFonts w:ascii="Arial" w:cs="Arial" w:eastAsia="Arial" w:hAnsi="Arial"/>
                <w:sz w:val="20"/>
                <w:szCs w:val="20"/>
                <w:color w:val="auto"/>
              </w:rPr>
              <w:t>(0.8)</w:t>
            </w: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720" w:type="dxa"/>
            <w:vAlign w:val="bottom"/>
            <w:gridSpan w:val="4"/>
            <w:shd w:val="clear" w:color="auto" w:fill="CFF0FC"/>
          </w:tcPr>
          <w:p>
            <w:pPr>
              <w:jc w:val="right"/>
              <w:ind w:right="84"/>
              <w:spacing w:after="0"/>
              <w:rPr>
                <w:sz w:val="20"/>
                <w:szCs w:val="20"/>
                <w:color w:val="auto"/>
              </w:rPr>
            </w:pPr>
            <w:r>
              <w:rPr>
                <w:rFonts w:ascii="Arial" w:cs="Arial" w:eastAsia="Arial" w:hAnsi="Arial"/>
                <w:sz w:val="20"/>
                <w:szCs w:val="20"/>
                <w:color w:val="auto"/>
              </w:rPr>
              <w:t>(0.9)</w:t>
            </w:r>
          </w:p>
        </w:tc>
        <w:tc>
          <w:tcPr>
            <w:tcW w:w="28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20"/>
                <w:szCs w:val="20"/>
                <w:color w:val="auto"/>
              </w:rPr>
              <w:t>(1.6)</w:t>
            </w:r>
          </w:p>
        </w:tc>
        <w:tc>
          <w:tcPr>
            <w:tcW w:w="36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20"/>
                <w:szCs w:val="20"/>
                <w:color w:val="auto"/>
              </w:rPr>
              <w:t>(1.8)</w:t>
            </w:r>
          </w:p>
        </w:tc>
        <w:tc>
          <w:tcPr>
            <w:tcW w:w="0" w:type="dxa"/>
            <w:vAlign w:val="bottom"/>
          </w:tcPr>
          <w:p>
            <w:pPr>
              <w:spacing w:after="0"/>
              <w:rPr>
                <w:sz w:val="1"/>
                <w:szCs w:val="1"/>
                <w:color w:val="auto"/>
              </w:rPr>
            </w:pPr>
          </w:p>
        </w:tc>
      </w:tr>
      <w:tr>
        <w:trPr>
          <w:trHeight w:val="237"/>
        </w:trPr>
        <w:tc>
          <w:tcPr>
            <w:tcW w:w="2740" w:type="dxa"/>
            <w:vAlign w:val="bottom"/>
          </w:tcPr>
          <w:p>
            <w:pPr>
              <w:spacing w:after="0"/>
              <w:rPr>
                <w:sz w:val="20"/>
                <w:szCs w:val="20"/>
                <w:color w:val="auto"/>
              </w:rPr>
            </w:pPr>
            <w:r>
              <w:rPr>
                <w:rFonts w:ascii="Arial" w:cs="Arial" w:eastAsia="Arial" w:hAnsi="Arial"/>
                <w:sz w:val="20"/>
                <w:szCs w:val="20"/>
                <w:color w:val="auto"/>
              </w:rPr>
              <w:t>Balance at end of period</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Borders>
              <w:top w:val="single" w:sz="8" w:color="auto"/>
              <w:bottom w:val="single" w:sz="8" w:color="auto"/>
            </w:tcBorders>
          </w:tcPr>
          <w:p>
            <w:pPr>
              <w:jc w:val="right"/>
              <w:ind w:right="181"/>
              <w:spacing w:after="0"/>
              <w:rPr>
                <w:sz w:val="20"/>
                <w:szCs w:val="20"/>
                <w:color w:val="auto"/>
              </w:rPr>
            </w:pPr>
            <w:r>
              <w:rPr>
                <w:rFonts w:ascii="Arial" w:cs="Arial" w:eastAsia="Arial" w:hAnsi="Arial"/>
                <w:sz w:val="20"/>
                <w:szCs w:val="20"/>
                <w:color w:val="auto"/>
                <w:w w:val="71"/>
              </w:rPr>
              <w:t>$</w:t>
            </w:r>
          </w:p>
        </w:tc>
        <w:tc>
          <w:tcPr>
            <w:tcW w:w="80" w:type="dxa"/>
            <w:vAlign w:val="bottom"/>
            <w:tcBorders>
              <w:top w:val="single" w:sz="8" w:color="auto"/>
              <w:bottom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83.6</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20"/>
                <w:szCs w:val="20"/>
                <w:color w:val="auto"/>
                <w:w w:val="71"/>
              </w:rPr>
              <w:t>$</w:t>
            </w:r>
          </w:p>
        </w:tc>
        <w:tc>
          <w:tcPr>
            <w:tcW w:w="24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20"/>
                <w:szCs w:val="20"/>
                <w:color w:val="auto"/>
              </w:rPr>
              <w:t>82.4</w:t>
            </w:r>
          </w:p>
        </w:tc>
        <w:tc>
          <w:tcPr>
            <w:tcW w:w="26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20"/>
                <w:szCs w:val="20"/>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83.6</w:t>
            </w:r>
          </w:p>
        </w:tc>
        <w:tc>
          <w:tcPr>
            <w:tcW w:w="240" w:type="dxa"/>
            <w:vAlign w:val="bottom"/>
          </w:tcPr>
          <w:p>
            <w:pPr>
              <w:spacing w:after="0"/>
              <w:rPr>
                <w:sz w:val="20"/>
                <w:szCs w:val="20"/>
                <w:color w:val="auto"/>
              </w:rPr>
            </w:pPr>
          </w:p>
        </w:tc>
        <w:tc>
          <w:tcPr>
            <w:tcW w:w="360" w:type="dxa"/>
            <w:vAlign w:val="bottom"/>
            <w:tcBorders>
              <w:top w:val="single" w:sz="8" w:color="auto"/>
              <w:bottom w:val="single" w:sz="8" w:color="auto"/>
            </w:tcBorders>
          </w:tcPr>
          <w:p>
            <w:pPr>
              <w:jc w:val="right"/>
              <w:ind w:right="161"/>
              <w:spacing w:after="0"/>
              <w:rPr>
                <w:sz w:val="20"/>
                <w:szCs w:val="20"/>
                <w:color w:val="auto"/>
              </w:rPr>
            </w:pPr>
            <w:r>
              <w:rPr>
                <w:rFonts w:ascii="Arial" w:cs="Arial" w:eastAsia="Arial" w:hAnsi="Arial"/>
                <w:sz w:val="20"/>
                <w:szCs w:val="20"/>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82.4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20" w:type="dxa"/>
            <w:vAlign w:val="bottom"/>
            <w:gridSpan w:val="7"/>
            <w:vMerge w:val="restart"/>
          </w:tcPr>
          <w:p>
            <w:pPr>
              <w:ind w:left="380"/>
              <w:spacing w:after="0"/>
              <w:rPr>
                <w:sz w:val="20"/>
                <w:szCs w:val="20"/>
                <w:color w:val="auto"/>
              </w:rPr>
            </w:pPr>
            <w:r>
              <w:rPr>
                <w:rFonts w:ascii="Arial" w:cs="Arial" w:eastAsia="Arial" w:hAnsi="Arial"/>
                <w:sz w:val="20"/>
                <w:szCs w:val="20"/>
                <w:color w:val="auto"/>
                <w:w w:val="85"/>
              </w:rPr>
              <w:t>Reclassifications out of accumulated other comprehensive</w:t>
            </w: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gridSpan w:val="2"/>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4820" w:type="dxa"/>
            <w:vAlign w:val="bottom"/>
            <w:gridSpan w:val="7"/>
            <w:vMerge w:val="continue"/>
          </w:tcPr>
          <w:p>
            <w:pPr>
              <w:spacing w:after="0"/>
              <w:rPr>
                <w:sz w:val="20"/>
                <w:szCs w:val="20"/>
                <w:color w:val="auto"/>
              </w:rPr>
            </w:pPr>
          </w:p>
        </w:tc>
        <w:tc>
          <w:tcPr>
            <w:tcW w:w="1620" w:type="dxa"/>
            <w:vAlign w:val="bottom"/>
            <w:gridSpan w:val="7"/>
          </w:tcPr>
          <w:p>
            <w:pPr>
              <w:ind w:left="220"/>
              <w:spacing w:after="0"/>
              <w:rPr>
                <w:sz w:val="20"/>
                <w:szCs w:val="20"/>
                <w:color w:val="auto"/>
              </w:rPr>
            </w:pPr>
            <w:r>
              <w:rPr>
                <w:rFonts w:ascii="Arial" w:cs="Arial" w:eastAsia="Arial" w:hAnsi="Arial"/>
                <w:sz w:val="20"/>
                <w:szCs w:val="20"/>
                <w:color w:val="auto"/>
                <w:w w:val="81"/>
              </w:rPr>
              <w:t>loss are as follows:</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6"/>
        </w:trPr>
        <w:tc>
          <w:tcPr>
            <w:tcW w:w="2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80" w:type="dxa"/>
            <w:vAlign w:val="bottom"/>
            <w:gridSpan w:val="6"/>
          </w:tcPr>
          <w:p>
            <w:pPr>
              <w:jc w:val="right"/>
              <w:ind w:right="340"/>
              <w:spacing w:after="0"/>
              <w:rPr>
                <w:sz w:val="20"/>
                <w:szCs w:val="20"/>
                <w:color w:val="auto"/>
              </w:rPr>
            </w:pPr>
            <w:r>
              <w:rPr>
                <w:rFonts w:ascii="Arial" w:cs="Arial" w:eastAsia="Arial" w:hAnsi="Arial"/>
                <w:sz w:val="20"/>
                <w:szCs w:val="20"/>
                <w:color w:val="auto"/>
                <w:w w:val="92"/>
              </w:rPr>
              <w:t>Three Months Ended</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40" w:type="dxa"/>
            <w:vAlign w:val="bottom"/>
            <w:gridSpan w:val="6"/>
          </w:tcPr>
          <w:p>
            <w:pPr>
              <w:jc w:val="right"/>
              <w:ind w:right="24"/>
              <w:spacing w:after="0"/>
              <w:rPr>
                <w:sz w:val="20"/>
                <w:szCs w:val="20"/>
                <w:color w:val="auto"/>
              </w:rPr>
            </w:pPr>
            <w:r>
              <w:rPr>
                <w:rFonts w:ascii="Arial" w:cs="Arial" w:eastAsia="Arial" w:hAnsi="Arial"/>
                <w:sz w:val="19"/>
                <w:szCs w:val="19"/>
                <w:color w:val="auto"/>
                <w:w w:val="97"/>
              </w:rPr>
              <w:t>Six Months Ended</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160" w:type="dxa"/>
            <w:vAlign w:val="bottom"/>
            <w:gridSpan w:val="6"/>
          </w:tcPr>
          <w:p>
            <w:pPr>
              <w:spacing w:after="0"/>
              <w:rPr>
                <w:sz w:val="20"/>
                <w:szCs w:val="20"/>
                <w:color w:val="auto"/>
              </w:rPr>
            </w:pPr>
            <w:r>
              <w:rPr>
                <w:rFonts w:ascii="Arial" w:cs="Arial" w:eastAsia="Arial" w:hAnsi="Arial"/>
                <w:sz w:val="19"/>
                <w:szCs w:val="19"/>
                <w:color w:val="auto"/>
                <w:w w:val="98"/>
              </w:rPr>
              <w:t>Affected line items in the consolidated</w:t>
            </w:r>
          </w:p>
        </w:tc>
        <w:tc>
          <w:tcPr>
            <w:tcW w:w="0" w:type="dxa"/>
            <w:vAlign w:val="bottom"/>
          </w:tcPr>
          <w:p>
            <w:pPr>
              <w:spacing w:after="0"/>
              <w:rPr>
                <w:sz w:val="1"/>
                <w:szCs w:val="1"/>
                <w:color w:val="auto"/>
              </w:rPr>
            </w:pPr>
          </w:p>
        </w:tc>
      </w:tr>
      <w:tr>
        <w:trPr>
          <w:trHeight w:val="238"/>
        </w:trPr>
        <w:tc>
          <w:tcPr>
            <w:tcW w:w="2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9"/>
                <w:szCs w:val="19"/>
                <w:color w:val="auto"/>
              </w:rPr>
              <w:t>June 30,</w:t>
            </w:r>
          </w:p>
        </w:tc>
        <w:tc>
          <w:tcPr>
            <w:tcW w:w="3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gridSpan w:val="4"/>
          </w:tcPr>
          <w:p>
            <w:pPr>
              <w:jc w:val="right"/>
              <w:spacing w:after="0"/>
              <w:rPr>
                <w:sz w:val="20"/>
                <w:szCs w:val="20"/>
                <w:color w:val="auto"/>
              </w:rPr>
            </w:pPr>
            <w:r>
              <w:rPr>
                <w:rFonts w:ascii="Arial" w:cs="Arial" w:eastAsia="Arial" w:hAnsi="Arial"/>
                <w:sz w:val="19"/>
                <w:szCs w:val="19"/>
                <w:color w:val="auto"/>
                <w:w w:val="85"/>
              </w:rPr>
              <w:t>June 30,</w:t>
            </w:r>
          </w:p>
        </w:tc>
        <w:tc>
          <w:tcPr>
            <w:tcW w:w="4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80" w:type="dxa"/>
            <w:vAlign w:val="bottom"/>
            <w:gridSpan w:val="5"/>
          </w:tcPr>
          <w:p>
            <w:pPr>
              <w:jc w:val="right"/>
              <w:ind w:right="680"/>
              <w:spacing w:after="0"/>
              <w:rPr>
                <w:sz w:val="20"/>
                <w:szCs w:val="20"/>
                <w:color w:val="auto"/>
              </w:rPr>
            </w:pPr>
            <w:r>
              <w:rPr>
                <w:rFonts w:ascii="Arial" w:cs="Arial" w:eastAsia="Arial" w:hAnsi="Arial"/>
                <w:sz w:val="19"/>
                <w:szCs w:val="19"/>
                <w:color w:val="auto"/>
                <w:w w:val="95"/>
              </w:rPr>
              <w:t>statements of earnings and</w:t>
            </w:r>
          </w:p>
        </w:tc>
        <w:tc>
          <w:tcPr>
            <w:tcW w:w="0" w:type="dxa"/>
            <w:vAlign w:val="bottom"/>
          </w:tcPr>
          <w:p>
            <w:pPr>
              <w:spacing w:after="0"/>
              <w:rPr>
                <w:sz w:val="1"/>
                <w:szCs w:val="1"/>
                <w:color w:val="auto"/>
              </w:rPr>
            </w:pPr>
          </w:p>
        </w:tc>
      </w:tr>
      <w:tr>
        <w:trPr>
          <w:trHeight w:val="223"/>
        </w:trPr>
        <w:tc>
          <w:tcPr>
            <w:tcW w:w="2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25"/>
              <w:spacing w:after="0"/>
              <w:rPr>
                <w:sz w:val="20"/>
                <w:szCs w:val="20"/>
                <w:color w:val="auto"/>
              </w:rPr>
            </w:pPr>
            <w:r>
              <w:rPr>
                <w:rFonts w:ascii="Arial" w:cs="Arial" w:eastAsia="Arial" w:hAnsi="Arial"/>
                <w:sz w:val="19"/>
                <w:szCs w:val="19"/>
                <w:color w:val="auto"/>
              </w:rPr>
              <w:t>2020</w:t>
            </w:r>
          </w:p>
        </w:tc>
        <w:tc>
          <w:tcPr>
            <w:tcW w:w="2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ind w:right="201"/>
              <w:spacing w:after="0"/>
              <w:rPr>
                <w:sz w:val="20"/>
                <w:szCs w:val="20"/>
                <w:color w:val="auto"/>
              </w:rPr>
            </w:pPr>
            <w:r>
              <w:rPr>
                <w:rFonts w:ascii="Arial" w:cs="Arial" w:eastAsia="Arial" w:hAnsi="Arial"/>
                <w:sz w:val="19"/>
                <w:szCs w:val="19"/>
                <w:color w:val="auto"/>
                <w:w w:val="99"/>
              </w:rPr>
              <w:t>2019</w:t>
            </w: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89"/>
              </w:rPr>
              <w:t>2020</w:t>
            </w:r>
          </w:p>
        </w:tc>
        <w:tc>
          <w:tcPr>
            <w:tcW w:w="2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99"/>
              </w:rPr>
              <w:t>2019</w:t>
            </w:r>
          </w:p>
        </w:tc>
        <w:tc>
          <w:tcPr>
            <w:tcW w:w="2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880" w:type="dxa"/>
            <w:vAlign w:val="bottom"/>
            <w:tcBorders>
              <w:bottom w:val="single" w:sz="8" w:color="auto"/>
            </w:tcBorders>
            <w:gridSpan w:val="5"/>
          </w:tcPr>
          <w:p>
            <w:pPr>
              <w:jc w:val="right"/>
              <w:ind w:right="780"/>
              <w:spacing w:after="0"/>
              <w:rPr>
                <w:sz w:val="20"/>
                <w:szCs w:val="20"/>
                <w:color w:val="auto"/>
              </w:rPr>
            </w:pPr>
            <w:r>
              <w:rPr>
                <w:rFonts w:ascii="Arial" w:cs="Arial" w:eastAsia="Arial" w:hAnsi="Arial"/>
                <w:sz w:val="19"/>
                <w:szCs w:val="19"/>
                <w:color w:val="auto"/>
              </w:rPr>
              <w:t>comprehensive earnings</w:t>
            </w:r>
          </w:p>
        </w:tc>
        <w:tc>
          <w:tcPr>
            <w:tcW w:w="0" w:type="dxa"/>
            <w:vAlign w:val="bottom"/>
          </w:tcPr>
          <w:p>
            <w:pPr>
              <w:spacing w:after="0"/>
              <w:rPr>
                <w:sz w:val="1"/>
                <w:szCs w:val="1"/>
                <w:color w:val="auto"/>
              </w:rPr>
            </w:pPr>
          </w:p>
        </w:tc>
      </w:tr>
      <w:tr>
        <w:trPr>
          <w:trHeight w:val="223"/>
        </w:trPr>
        <w:tc>
          <w:tcPr>
            <w:tcW w:w="2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60" w:type="dxa"/>
            <w:vAlign w:val="bottom"/>
            <w:gridSpan w:val="7"/>
          </w:tcPr>
          <w:p>
            <w:pPr>
              <w:jc w:val="right"/>
              <w:ind w:right="223"/>
              <w:spacing w:after="0"/>
              <w:rPr>
                <w:sz w:val="20"/>
                <w:szCs w:val="20"/>
                <w:color w:val="auto"/>
              </w:rPr>
            </w:pPr>
            <w:r>
              <w:rPr>
                <w:rFonts w:ascii="Arial" w:cs="Arial" w:eastAsia="Arial" w:hAnsi="Arial"/>
                <w:sz w:val="19"/>
                <w:szCs w:val="19"/>
                <w:i w:val="1"/>
                <w:iCs w:val="1"/>
                <w:color w:val="auto"/>
              </w:rPr>
              <w:t>(Dollars in Millions)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740" w:type="dxa"/>
            <w:vAlign w:val="bottom"/>
            <w:shd w:val="clear" w:color="auto" w:fill="CFF0FC"/>
          </w:tcPr>
          <w:p>
            <w:pPr>
              <w:spacing w:after="0" w:line="207" w:lineRule="exact"/>
              <w:rPr>
                <w:sz w:val="20"/>
                <w:szCs w:val="20"/>
                <w:color w:val="auto"/>
              </w:rPr>
            </w:pPr>
            <w:r>
              <w:rPr>
                <w:rFonts w:ascii="Arial" w:cs="Arial" w:eastAsia="Arial" w:hAnsi="Arial"/>
                <w:sz w:val="19"/>
                <w:szCs w:val="19"/>
                <w:color w:val="auto"/>
              </w:rPr>
              <w:t>Pension and postretirement</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740" w:type="dxa"/>
            <w:vAlign w:val="bottom"/>
            <w:shd w:val="clear" w:color="auto" w:fill="CFF0FC"/>
          </w:tcPr>
          <w:p>
            <w:pPr>
              <w:ind w:left="140"/>
              <w:spacing w:after="0"/>
              <w:rPr>
                <w:sz w:val="20"/>
                <w:szCs w:val="20"/>
                <w:color w:val="auto"/>
              </w:rPr>
            </w:pPr>
            <w:r>
              <w:rPr>
                <w:rFonts w:ascii="Arial" w:cs="Arial" w:eastAsia="Arial" w:hAnsi="Arial"/>
                <w:sz w:val="19"/>
                <w:szCs w:val="19"/>
                <w:color w:val="auto"/>
              </w:rPr>
              <w:t>benefit plans</w:t>
            </w:r>
          </w:p>
        </w:tc>
        <w:tc>
          <w:tcPr>
            <w:tcW w:w="2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740" w:type="dxa"/>
            <w:vAlign w:val="bottom"/>
          </w:tcPr>
          <w:p>
            <w:pPr>
              <w:ind w:left="260"/>
              <w:spacing w:after="0"/>
              <w:rPr>
                <w:sz w:val="20"/>
                <w:szCs w:val="20"/>
                <w:color w:val="auto"/>
              </w:rPr>
            </w:pPr>
            <w:r>
              <w:rPr>
                <w:rFonts w:ascii="Arial" w:cs="Arial" w:eastAsia="Arial" w:hAnsi="Arial"/>
                <w:sz w:val="19"/>
                <w:szCs w:val="19"/>
                <w:color w:val="auto"/>
              </w:rPr>
              <w:t>Amortization of:</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740" w:type="dxa"/>
            <w:vAlign w:val="bottom"/>
            <w:shd w:val="clear" w:color="auto" w:fill="CFF0FC"/>
          </w:tcPr>
          <w:p>
            <w:pPr>
              <w:ind w:left="500"/>
              <w:spacing w:after="0"/>
              <w:rPr>
                <w:sz w:val="20"/>
                <w:szCs w:val="20"/>
                <w:color w:val="auto"/>
              </w:rPr>
            </w:pPr>
            <w:r>
              <w:rPr>
                <w:rFonts w:ascii="Arial" w:cs="Arial" w:eastAsia="Arial" w:hAnsi="Arial"/>
                <w:sz w:val="19"/>
                <w:szCs w:val="19"/>
                <w:color w:val="auto"/>
              </w:rPr>
              <w:t>Prior service credit</w:t>
            </w:r>
          </w:p>
        </w:tc>
        <w:tc>
          <w:tcPr>
            <w:tcW w:w="460" w:type="dxa"/>
            <w:vAlign w:val="bottom"/>
            <w:gridSpan w:val="2"/>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9"/>
                <w:szCs w:val="19"/>
                <w:color w:val="auto"/>
              </w:rPr>
              <w:t>—</w:t>
            </w:r>
          </w:p>
        </w:tc>
        <w:tc>
          <w:tcPr>
            <w:tcW w:w="240" w:type="dxa"/>
            <w:vAlign w:val="bottom"/>
            <w:shd w:val="clear" w:color="auto" w:fill="CFF0FC"/>
          </w:tcPr>
          <w:p>
            <w:pPr>
              <w:jc w:val="right"/>
              <w:ind w:right="46"/>
              <w:spacing w:after="0"/>
              <w:rPr>
                <w:sz w:val="20"/>
                <w:szCs w:val="20"/>
                <w:color w:val="auto"/>
              </w:rPr>
            </w:pPr>
            <w:r>
              <w:rPr>
                <w:rFonts w:ascii="Arial" w:cs="Arial" w:eastAsia="Arial" w:hAnsi="Arial"/>
                <w:sz w:val="19"/>
                <w:szCs w:val="19"/>
                <w:color w:val="auto"/>
                <w:w w:val="75"/>
              </w:rPr>
              <w:t>$</w:t>
            </w:r>
          </w:p>
        </w:tc>
        <w:tc>
          <w:tcPr>
            <w:tcW w:w="820" w:type="dxa"/>
            <w:vAlign w:val="bottom"/>
            <w:gridSpan w:val="3"/>
            <w:shd w:val="clear" w:color="auto" w:fill="CFF0FC"/>
          </w:tcPr>
          <w:p>
            <w:pPr>
              <w:jc w:val="right"/>
              <w:ind w:right="20"/>
              <w:spacing w:after="0"/>
              <w:rPr>
                <w:sz w:val="20"/>
                <w:szCs w:val="20"/>
                <w:color w:val="auto"/>
              </w:rPr>
            </w:pPr>
            <w:r>
              <w:rPr>
                <w:rFonts w:ascii="Arial" w:cs="Arial" w:eastAsia="Arial" w:hAnsi="Arial"/>
                <w:sz w:val="19"/>
                <w:szCs w:val="19"/>
                <w:color w:val="auto"/>
              </w:rPr>
              <w:t>(0.2)</w:t>
            </w:r>
          </w:p>
        </w:tc>
        <w:tc>
          <w:tcPr>
            <w:tcW w:w="440" w:type="dxa"/>
            <w:vAlign w:val="bottom"/>
            <w:gridSpan w:val="2"/>
            <w:shd w:val="clear" w:color="auto" w:fill="CFF0FC"/>
          </w:tcPr>
          <w:p>
            <w:pPr>
              <w:jc w:val="right"/>
              <w:ind w:right="114"/>
              <w:spacing w:after="0"/>
              <w:rPr>
                <w:sz w:val="20"/>
                <w:szCs w:val="20"/>
                <w:color w:val="auto"/>
              </w:rPr>
            </w:pPr>
            <w:r>
              <w:rPr>
                <w:rFonts w:ascii="Arial" w:cs="Arial" w:eastAsia="Arial" w:hAnsi="Arial"/>
                <w:sz w:val="19"/>
                <w:szCs w:val="19"/>
                <w:color w:val="auto"/>
              </w:rPr>
              <w:t>$</w:t>
            </w:r>
          </w:p>
        </w:tc>
        <w:tc>
          <w:tcPr>
            <w:tcW w:w="920" w:type="dxa"/>
            <w:vAlign w:val="bottom"/>
            <w:gridSpan w:val="4"/>
            <w:shd w:val="clear" w:color="auto" w:fill="CFF0FC"/>
          </w:tcPr>
          <w:p>
            <w:pPr>
              <w:jc w:val="right"/>
              <w:ind w:right="61"/>
              <w:spacing w:after="0"/>
              <w:rPr>
                <w:sz w:val="20"/>
                <w:szCs w:val="20"/>
                <w:color w:val="auto"/>
              </w:rPr>
            </w:pPr>
            <w:r>
              <w:rPr>
                <w:rFonts w:ascii="Arial" w:cs="Arial" w:eastAsia="Arial" w:hAnsi="Arial"/>
                <w:sz w:val="19"/>
                <w:szCs w:val="19"/>
                <w:color w:val="auto"/>
              </w:rPr>
              <w:t>(0.1)</w:t>
            </w:r>
          </w:p>
        </w:tc>
        <w:tc>
          <w:tcPr>
            <w:tcW w:w="240" w:type="dxa"/>
            <w:vAlign w:val="bottom"/>
            <w:shd w:val="clear" w:color="auto" w:fill="CFF0FC"/>
          </w:tcPr>
          <w:p>
            <w:pPr>
              <w:jc w:val="right"/>
              <w:ind w:right="46"/>
              <w:spacing w:after="0"/>
              <w:rPr>
                <w:sz w:val="20"/>
                <w:szCs w:val="20"/>
                <w:color w:val="auto"/>
              </w:rPr>
            </w:pPr>
            <w:r>
              <w:rPr>
                <w:rFonts w:ascii="Arial" w:cs="Arial" w:eastAsia="Arial" w:hAnsi="Arial"/>
                <w:sz w:val="19"/>
                <w:szCs w:val="19"/>
                <w:color w:val="auto"/>
                <w:w w:val="75"/>
              </w:rPr>
              <w:t>$</w:t>
            </w:r>
          </w:p>
        </w:tc>
        <w:tc>
          <w:tcPr>
            <w:tcW w:w="860" w:type="dxa"/>
            <w:vAlign w:val="bottom"/>
            <w:gridSpan w:val="3"/>
            <w:shd w:val="clear" w:color="auto" w:fill="CFF0FC"/>
          </w:tcPr>
          <w:p>
            <w:pPr>
              <w:jc w:val="right"/>
              <w:ind w:right="40"/>
              <w:spacing w:after="0"/>
              <w:rPr>
                <w:sz w:val="20"/>
                <w:szCs w:val="20"/>
                <w:color w:val="auto"/>
              </w:rPr>
            </w:pPr>
            <w:r>
              <w:rPr>
                <w:rFonts w:ascii="Arial" w:cs="Arial" w:eastAsia="Arial" w:hAnsi="Arial"/>
                <w:sz w:val="19"/>
                <w:szCs w:val="19"/>
                <w:color w:val="auto"/>
              </w:rPr>
              <w:t>(0.4)</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740" w:type="dxa"/>
            <w:vAlign w:val="bottom"/>
            <w:tcBorders>
              <w:bottom w:val="single" w:sz="8" w:color="CFF0FC"/>
            </w:tcBorders>
          </w:tcPr>
          <w:p>
            <w:pPr>
              <w:ind w:left="500"/>
              <w:spacing w:after="0"/>
              <w:rPr>
                <w:sz w:val="20"/>
                <w:szCs w:val="20"/>
                <w:color w:val="auto"/>
              </w:rPr>
            </w:pPr>
            <w:r>
              <w:rPr>
                <w:rFonts w:ascii="Arial" w:cs="Arial" w:eastAsia="Arial" w:hAnsi="Arial"/>
                <w:sz w:val="19"/>
                <w:szCs w:val="19"/>
                <w:color w:val="auto"/>
              </w:rPr>
              <w:t>Actuarial loss</w:t>
            </w:r>
          </w:p>
        </w:tc>
        <w:tc>
          <w:tcPr>
            <w:tcW w:w="2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3.2</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9"/>
                <w:szCs w:val="19"/>
                <w:color w:val="auto"/>
              </w:rPr>
              <w:t>3.8</w:t>
            </w: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9"/>
                <w:szCs w:val="19"/>
                <w:color w:val="auto"/>
              </w:rPr>
              <w:t>6.6</w:t>
            </w: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90"/>
              </w:rPr>
              <w:t>7.7</w:t>
            </w:r>
          </w:p>
        </w:tc>
        <w:tc>
          <w:tcPr>
            <w:tcW w:w="10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112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360" w:type="dxa"/>
            <w:vAlign w:val="bottom"/>
            <w:tcBorders>
              <w:bottom w:val="single" w:sz="8" w:color="CFF0FC"/>
            </w:tcBorders>
          </w:tcPr>
          <w:p>
            <w:pPr>
              <w:spacing w:after="0"/>
              <w:rPr>
                <w:sz w:val="19"/>
                <w:szCs w:val="19"/>
                <w:color w:val="auto"/>
              </w:rPr>
            </w:pPr>
          </w:p>
        </w:tc>
        <w:tc>
          <w:tcPr>
            <w:tcW w:w="104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7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420" w:type="dxa"/>
            <w:vAlign w:val="bottom"/>
            <w:gridSpan w:val="7"/>
            <w:shd w:val="clear" w:color="auto" w:fill="CFF0FC"/>
          </w:tcPr>
          <w:p>
            <w:pPr>
              <w:ind w:left="40"/>
              <w:spacing w:after="0" w:line="201" w:lineRule="exact"/>
              <w:rPr>
                <w:sz w:val="20"/>
                <w:szCs w:val="20"/>
                <w:color w:val="auto"/>
              </w:rPr>
            </w:pPr>
            <w:r>
              <w:rPr>
                <w:rFonts w:ascii="Arial" w:cs="Arial" w:eastAsia="Arial" w:hAnsi="Arial"/>
                <w:sz w:val="19"/>
                <w:szCs w:val="19"/>
                <w:color w:val="auto"/>
                <w:w w:val="90"/>
              </w:rPr>
              <w:t>Other nonoperating (income) and expenses,</w:t>
            </w:r>
          </w:p>
        </w:tc>
        <w:tc>
          <w:tcPr>
            <w:tcW w:w="0" w:type="dxa"/>
            <w:vAlign w:val="bottom"/>
          </w:tcPr>
          <w:p>
            <w:pPr>
              <w:spacing w:after="0"/>
              <w:rPr>
                <w:sz w:val="1"/>
                <w:szCs w:val="1"/>
                <w:color w:val="auto"/>
              </w:rPr>
            </w:pPr>
          </w:p>
        </w:tc>
      </w:tr>
      <w:tr>
        <w:trPr>
          <w:trHeight w:val="238"/>
        </w:trPr>
        <w:tc>
          <w:tcPr>
            <w:tcW w:w="27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9"/>
                <w:szCs w:val="19"/>
                <w:color w:val="auto"/>
              </w:rPr>
              <w:t>3.2</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9"/>
                <w:szCs w:val="19"/>
                <w:color w:val="auto"/>
              </w:rPr>
              <w:t>3.6</w:t>
            </w: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9"/>
                <w:szCs w:val="19"/>
                <w:color w:val="auto"/>
              </w:rPr>
              <w:t>6.5</w:t>
            </w: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9"/>
                <w:szCs w:val="19"/>
                <w:color w:val="auto"/>
                <w:w w:val="90"/>
              </w:rPr>
              <w:t>7.3</w:t>
            </w:r>
          </w:p>
        </w:tc>
        <w:tc>
          <w:tcPr>
            <w:tcW w:w="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540" w:type="dxa"/>
            <w:vAlign w:val="bottom"/>
            <w:gridSpan w:val="2"/>
            <w:shd w:val="clear" w:color="auto" w:fill="CFF0FC"/>
          </w:tcPr>
          <w:p>
            <w:pPr>
              <w:ind w:left="40"/>
              <w:spacing w:after="0"/>
              <w:rPr>
                <w:sz w:val="20"/>
                <w:szCs w:val="20"/>
                <w:color w:val="auto"/>
              </w:rPr>
            </w:pPr>
            <w:r>
              <w:rPr>
                <w:rFonts w:ascii="Arial" w:cs="Arial" w:eastAsia="Arial" w:hAnsi="Arial"/>
                <w:sz w:val="19"/>
                <w:szCs w:val="19"/>
                <w:color w:val="auto"/>
              </w:rPr>
              <w:t>net</w:t>
            </w:r>
          </w:p>
        </w:tc>
        <w:tc>
          <w:tcPr>
            <w:tcW w:w="1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740" w:type="dxa"/>
            <w:vAlign w:val="bottom"/>
          </w:tcPr>
          <w:p>
            <w:pPr>
              <w:ind w:left="260"/>
              <w:spacing w:after="0"/>
              <w:rPr>
                <w:sz w:val="20"/>
                <w:szCs w:val="20"/>
                <w:color w:val="auto"/>
              </w:rPr>
            </w:pPr>
            <w:r>
              <w:rPr>
                <w:rFonts w:ascii="Arial" w:cs="Arial" w:eastAsia="Arial" w:hAnsi="Arial"/>
                <w:sz w:val="19"/>
                <w:szCs w:val="19"/>
                <w:color w:val="auto"/>
              </w:rPr>
              <w:t>Tax benefit</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9"/>
                <w:szCs w:val="19"/>
                <w:color w:val="auto"/>
              </w:rPr>
              <w:t>(0.8)</w:t>
            </w:r>
          </w:p>
        </w:tc>
        <w:tc>
          <w:tcPr>
            <w:tcW w:w="240" w:type="dxa"/>
            <w:vAlign w:val="bottom"/>
          </w:tcPr>
          <w:p>
            <w:pPr>
              <w:spacing w:after="0"/>
              <w:rPr>
                <w:sz w:val="19"/>
                <w:szCs w:val="19"/>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9"/>
                <w:szCs w:val="19"/>
                <w:color w:val="auto"/>
              </w:rPr>
              <w:t>(0.9)</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gridSpan w:val="4"/>
          </w:tcPr>
          <w:p>
            <w:pPr>
              <w:jc w:val="right"/>
              <w:ind w:right="61"/>
              <w:spacing w:after="0"/>
              <w:rPr>
                <w:sz w:val="20"/>
                <w:szCs w:val="20"/>
                <w:color w:val="auto"/>
              </w:rPr>
            </w:pPr>
            <w:r>
              <w:rPr>
                <w:rFonts w:ascii="Arial" w:cs="Arial" w:eastAsia="Arial" w:hAnsi="Arial"/>
                <w:sz w:val="19"/>
                <w:szCs w:val="19"/>
                <w:color w:val="auto"/>
              </w:rPr>
              <w:t>(1.6)</w:t>
            </w:r>
          </w:p>
        </w:tc>
        <w:tc>
          <w:tcPr>
            <w:tcW w:w="240" w:type="dxa"/>
            <w:vAlign w:val="bottom"/>
          </w:tcPr>
          <w:p>
            <w:pPr>
              <w:spacing w:after="0"/>
              <w:rPr>
                <w:sz w:val="19"/>
                <w:szCs w:val="19"/>
                <w:color w:val="auto"/>
              </w:rPr>
            </w:pPr>
          </w:p>
        </w:tc>
        <w:tc>
          <w:tcPr>
            <w:tcW w:w="860" w:type="dxa"/>
            <w:vAlign w:val="bottom"/>
            <w:gridSpan w:val="3"/>
          </w:tcPr>
          <w:p>
            <w:pPr>
              <w:jc w:val="right"/>
              <w:ind w:right="40"/>
              <w:spacing w:after="0"/>
              <w:rPr>
                <w:sz w:val="20"/>
                <w:szCs w:val="20"/>
                <w:color w:val="auto"/>
              </w:rPr>
            </w:pPr>
            <w:r>
              <w:rPr>
                <w:rFonts w:ascii="Arial" w:cs="Arial" w:eastAsia="Arial" w:hAnsi="Arial"/>
                <w:sz w:val="19"/>
                <w:szCs w:val="19"/>
                <w:color w:val="auto"/>
              </w:rPr>
              <w:t>(1.8)</w:t>
            </w:r>
          </w:p>
        </w:tc>
        <w:tc>
          <w:tcPr>
            <w:tcW w:w="80" w:type="dxa"/>
            <w:vAlign w:val="bottom"/>
          </w:tcPr>
          <w:p>
            <w:pPr>
              <w:spacing w:after="0"/>
              <w:rPr>
                <w:sz w:val="19"/>
                <w:szCs w:val="19"/>
                <w:color w:val="auto"/>
              </w:rPr>
            </w:pPr>
          </w:p>
        </w:tc>
        <w:tc>
          <w:tcPr>
            <w:tcW w:w="1900" w:type="dxa"/>
            <w:vAlign w:val="bottom"/>
            <w:gridSpan w:val="4"/>
          </w:tcPr>
          <w:p>
            <w:pPr>
              <w:ind w:left="40"/>
              <w:spacing w:after="0"/>
              <w:rPr>
                <w:sz w:val="20"/>
                <w:szCs w:val="20"/>
                <w:color w:val="auto"/>
              </w:rPr>
            </w:pPr>
            <w:r>
              <w:rPr>
                <w:rFonts w:ascii="Arial" w:cs="Arial" w:eastAsia="Arial" w:hAnsi="Arial"/>
                <w:sz w:val="19"/>
                <w:szCs w:val="19"/>
                <w:color w:val="auto"/>
              </w:rPr>
              <w:t>Income tax expense</w:t>
            </w: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4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w w:val="75"/>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2.4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46"/>
              <w:spacing w:after="0"/>
              <w:rPr>
                <w:sz w:val="20"/>
                <w:szCs w:val="20"/>
                <w:color w:val="auto"/>
              </w:rPr>
            </w:pPr>
            <w:r>
              <w:rPr>
                <w:rFonts w:ascii="Arial" w:cs="Arial" w:eastAsia="Arial" w:hAnsi="Arial"/>
                <w:sz w:val="19"/>
                <w:szCs w:val="19"/>
                <w:color w:val="auto"/>
                <w:w w:val="75"/>
              </w:rPr>
              <w:t>$</w:t>
            </w:r>
          </w:p>
        </w:tc>
        <w:tc>
          <w:tcPr>
            <w:tcW w:w="7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9"/>
                <w:szCs w:val="19"/>
                <w:color w:val="auto"/>
              </w:rPr>
              <w:t>2.7</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14"/>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9"/>
                <w:szCs w:val="19"/>
                <w:color w:val="auto"/>
              </w:rPr>
              <w:t>4.9</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46"/>
              <w:spacing w:after="0"/>
              <w:rPr>
                <w:sz w:val="20"/>
                <w:szCs w:val="20"/>
                <w:color w:val="auto"/>
              </w:rPr>
            </w:pPr>
            <w:r>
              <w:rPr>
                <w:rFonts w:ascii="Arial" w:cs="Arial" w:eastAsia="Arial" w:hAnsi="Arial"/>
                <w:sz w:val="19"/>
                <w:szCs w:val="19"/>
                <w:color w:val="auto"/>
                <w:w w:val="75"/>
              </w:rPr>
              <w:t>$</w:t>
            </w:r>
          </w:p>
        </w:tc>
        <w:tc>
          <w:tcPr>
            <w:tcW w:w="480" w:type="dxa"/>
            <w:vAlign w:val="bottom"/>
            <w:tcBorders>
              <w:top w:val="single" w:sz="8" w:color="auto"/>
              <w:bottom w:val="single" w:sz="8" w:color="auto"/>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w w:val="90"/>
              </w:rPr>
              <w:t>5.5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1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left="380"/>
        <w:spacing w:after="0"/>
        <w:rPr>
          <w:sz w:val="20"/>
          <w:szCs w:val="20"/>
          <w:color w:val="auto"/>
        </w:rPr>
      </w:pPr>
      <w:r>
        <w:rPr>
          <w:rFonts w:ascii="Arial" w:cs="Arial" w:eastAsia="Arial" w:hAnsi="Arial"/>
          <w:sz w:val="20"/>
          <w:szCs w:val="20"/>
          <w:b w:val="1"/>
          <w:bCs w:val="1"/>
          <w:color w:val="auto"/>
        </w:rPr>
        <w:t>Earnings per Common Share</w:t>
      </w:r>
    </w:p>
    <w:p>
      <w:pPr>
        <w:spacing w:after="0" w:line="114" w:lineRule="exact"/>
        <w:rPr>
          <w:sz w:val="20"/>
          <w:szCs w:val="20"/>
          <w:color w:val="auto"/>
        </w:rPr>
      </w:pPr>
    </w:p>
    <w:p>
      <w:pPr>
        <w:jc w:val="both"/>
        <w:ind w:left="380"/>
        <w:spacing w:after="0" w:line="256" w:lineRule="auto"/>
        <w:rPr>
          <w:sz w:val="20"/>
          <w:szCs w:val="20"/>
          <w:color w:val="auto"/>
        </w:rPr>
      </w:pPr>
      <w:r>
        <w:rPr>
          <w:rFonts w:ascii="Arial" w:cs="Arial" w:eastAsia="Arial" w:hAnsi="Arial"/>
          <w:sz w:val="19"/>
          <w:szCs w:val="19"/>
          <w:color w:val="auto"/>
        </w:rPr>
        <w:t>The numerator for basic and diluted earnings per common share is net earnings attributable to Martin Marietta reduced by dividends and undistributed earnings attributable to certain of the Company’s stock-based compensation. If there is a net loss, no amount of the undistributed loss is attributed to unvested participating securities. The denominator for basic earnings per common share is the weighted-average number of common shares outstanding during the period. Diluted earnings per common share are computed assuming that the weighted-average number of common shares is increased by the conversion, using the treasury stock method, of awards to be issued to employees and nonemployee members of the Company’s Board of Directors under certain stock-based compensation arrangements if the conversion is dilutive. For the three and six months ended June 30, 2020 and 2019, the diluted per-share computations reflect the number of common shares outstanding to include the number of additional shares that would have been outstanding if the potentially dilutive common shares had been issued.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11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June 30, 2020</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335" w:lineRule="exact"/>
        <w:rPr>
          <w:sz w:val="20"/>
          <w:szCs w:val="20"/>
          <w:color w:val="auto"/>
        </w:rPr>
      </w:pPr>
    </w:p>
    <w:p>
      <w:pPr>
        <w:ind w:left="380"/>
        <w:spacing w:after="0"/>
        <w:rPr>
          <w:sz w:val="20"/>
          <w:szCs w:val="20"/>
          <w:color w:val="auto"/>
        </w:rPr>
      </w:pPr>
      <w:r>
        <w:rPr>
          <w:rFonts w:ascii="Arial" w:cs="Arial" w:eastAsia="Arial" w:hAnsi="Arial"/>
          <w:sz w:val="20"/>
          <w:szCs w:val="20"/>
          <w:color w:val="auto"/>
        </w:rPr>
        <w:t>The following table reconciles the numerator and denominator for basic and diluted earnings per common share:</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560" w:type="dxa"/>
            <w:vAlign w:val="bottom"/>
            <w:gridSpan w:val="4"/>
          </w:tcPr>
          <w:p>
            <w:pPr>
              <w:jc w:val="right"/>
              <w:ind w:right="481"/>
              <w:spacing w:after="0"/>
              <w:rPr>
                <w:sz w:val="20"/>
                <w:szCs w:val="20"/>
                <w:color w:val="auto"/>
              </w:rPr>
            </w:pPr>
            <w:r>
              <w:rPr>
                <w:rFonts w:ascii="Arial" w:cs="Arial" w:eastAsia="Arial" w:hAnsi="Arial"/>
                <w:sz w:val="20"/>
                <w:szCs w:val="20"/>
                <w:color w:val="auto"/>
              </w:rPr>
              <w:t>Three Months Ended</w:t>
            </w:r>
          </w:p>
        </w:tc>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540" w:type="dxa"/>
            <w:vAlign w:val="bottom"/>
            <w:gridSpan w:val="5"/>
          </w:tcPr>
          <w:p>
            <w:pPr>
              <w:ind w:left="260"/>
              <w:spacing w:after="0"/>
              <w:rPr>
                <w:sz w:val="20"/>
                <w:szCs w:val="20"/>
                <w:color w:val="auto"/>
              </w:rPr>
            </w:pPr>
            <w:r>
              <w:rPr>
                <w:rFonts w:ascii="Arial" w:cs="Arial" w:eastAsia="Arial" w:hAnsi="Arial"/>
                <w:sz w:val="20"/>
                <w:szCs w:val="20"/>
                <w:color w:val="auto"/>
              </w:rPr>
              <w:t>Six Months Ended</w:t>
            </w:r>
          </w:p>
        </w:tc>
      </w:tr>
      <w:tr>
        <w:trPr>
          <w:trHeight w:val="246"/>
        </w:trPr>
        <w:tc>
          <w:tcPr>
            <w:tcW w:w="52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20"/>
                <w:szCs w:val="20"/>
                <w:color w:val="auto"/>
              </w:rPr>
              <w:t>June 30,</w:t>
            </w:r>
          </w:p>
        </w:tc>
        <w:tc>
          <w:tcPr>
            <w:tcW w:w="96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20"/>
                <w:szCs w:val="20"/>
                <w:color w:val="auto"/>
              </w:rPr>
              <w:t>June 30,</w:t>
            </w:r>
          </w:p>
        </w:tc>
        <w:tc>
          <w:tcPr>
            <w:tcW w:w="9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r>
      <w:tr>
        <w:trPr>
          <w:trHeight w:val="237"/>
        </w:trPr>
        <w:tc>
          <w:tcPr>
            <w:tcW w:w="5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41"/>
              <w:spacing w:after="0"/>
              <w:rPr>
                <w:sz w:val="20"/>
                <w:szCs w:val="20"/>
                <w:color w:val="auto"/>
              </w:rPr>
            </w:pPr>
            <w:r>
              <w:rPr>
                <w:rFonts w:ascii="Arial" w:cs="Arial" w:eastAsia="Arial" w:hAnsi="Arial"/>
                <w:sz w:val="20"/>
                <w:szCs w:val="20"/>
                <w:color w:val="auto"/>
              </w:rPr>
              <w:t>2020</w:t>
            </w:r>
          </w:p>
        </w:tc>
        <w:tc>
          <w:tcPr>
            <w:tcW w:w="2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61"/>
              <w:spacing w:after="0"/>
              <w:rPr>
                <w:sz w:val="20"/>
                <w:szCs w:val="20"/>
                <w:color w:val="auto"/>
              </w:rPr>
            </w:pPr>
            <w:r>
              <w:rPr>
                <w:rFonts w:ascii="Arial" w:cs="Arial" w:eastAsia="Arial" w:hAnsi="Arial"/>
                <w:sz w:val="20"/>
                <w:szCs w:val="20"/>
                <w:color w:val="auto"/>
              </w:rPr>
              <w:t>2019</w:t>
            </w:r>
          </w:p>
        </w:tc>
        <w:tc>
          <w:tcPr>
            <w:tcW w:w="2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61"/>
              <w:spacing w:after="0"/>
              <w:rPr>
                <w:sz w:val="20"/>
                <w:szCs w:val="20"/>
                <w:color w:val="auto"/>
              </w:rPr>
            </w:pPr>
            <w:r>
              <w:rPr>
                <w:rFonts w:ascii="Arial" w:cs="Arial" w:eastAsia="Arial" w:hAnsi="Arial"/>
                <w:sz w:val="20"/>
                <w:szCs w:val="20"/>
                <w:color w:val="auto"/>
                <w:w w:val="89"/>
              </w:rPr>
              <w:t>2020</w:t>
            </w:r>
          </w:p>
        </w:tc>
        <w:tc>
          <w:tcPr>
            <w:tcW w:w="2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61"/>
              <w:spacing w:after="0"/>
              <w:rPr>
                <w:sz w:val="20"/>
                <w:szCs w:val="20"/>
                <w:color w:val="auto"/>
              </w:rPr>
            </w:pPr>
            <w:r>
              <w:rPr>
                <w:rFonts w:ascii="Arial" w:cs="Arial" w:eastAsia="Arial" w:hAnsi="Arial"/>
                <w:sz w:val="20"/>
                <w:szCs w:val="20"/>
                <w:color w:val="auto"/>
              </w:rPr>
              <w:t>2019</w:t>
            </w:r>
          </w:p>
        </w:tc>
        <w:tc>
          <w:tcPr>
            <w:tcW w:w="120" w:type="dxa"/>
            <w:vAlign w:val="bottom"/>
          </w:tcPr>
          <w:p>
            <w:pPr>
              <w:spacing w:after="0"/>
              <w:rPr>
                <w:sz w:val="20"/>
                <w:szCs w:val="20"/>
                <w:color w:val="auto"/>
              </w:rPr>
            </w:pPr>
          </w:p>
        </w:tc>
      </w:tr>
      <w:tr>
        <w:trPr>
          <w:trHeight w:val="237"/>
        </w:trPr>
        <w:tc>
          <w:tcPr>
            <w:tcW w:w="5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20" w:type="dxa"/>
            <w:vAlign w:val="bottom"/>
            <w:gridSpan w:val="3"/>
          </w:tcPr>
          <w:p>
            <w:pPr>
              <w:jc w:val="right"/>
              <w:ind w:right="40"/>
              <w:spacing w:after="0"/>
              <w:rPr>
                <w:sz w:val="20"/>
                <w:szCs w:val="20"/>
                <w:color w:val="auto"/>
              </w:rPr>
            </w:pPr>
            <w:r>
              <w:rPr>
                <w:rFonts w:ascii="Arial" w:cs="Arial" w:eastAsia="Arial" w:hAnsi="Arial"/>
                <w:sz w:val="20"/>
                <w:szCs w:val="20"/>
                <w:i w:val="1"/>
                <w:iCs w:val="1"/>
                <w:color w:val="auto"/>
              </w:rPr>
              <w:t>(In Millions)</w:t>
            </w: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3"/>
        </w:trPr>
        <w:tc>
          <w:tcPr>
            <w:tcW w:w="5220" w:type="dxa"/>
            <w:vAlign w:val="bottom"/>
            <w:shd w:val="clear" w:color="auto" w:fill="CFF0FC"/>
          </w:tcPr>
          <w:p>
            <w:pPr>
              <w:spacing w:after="0"/>
              <w:rPr>
                <w:sz w:val="20"/>
                <w:szCs w:val="20"/>
                <w:color w:val="auto"/>
              </w:rPr>
            </w:pPr>
            <w:r>
              <w:rPr>
                <w:rFonts w:ascii="Arial" w:cs="Arial" w:eastAsia="Arial" w:hAnsi="Arial"/>
                <w:sz w:val="20"/>
                <w:szCs w:val="20"/>
                <w:color w:val="auto"/>
              </w:rPr>
              <w:t>Net earnings attributable to Martin Marietta</w:t>
            </w:r>
          </w:p>
        </w:tc>
        <w:tc>
          <w:tcPr>
            <w:tcW w:w="2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217.6</w:t>
            </w:r>
          </w:p>
        </w:tc>
        <w:tc>
          <w:tcPr>
            <w:tcW w:w="580" w:type="dxa"/>
            <w:vAlign w:val="bottom"/>
            <w:gridSpan w:val="2"/>
            <w:shd w:val="clear" w:color="auto" w:fill="CFF0FC"/>
          </w:tcPr>
          <w:p>
            <w:pPr>
              <w:jc w:val="right"/>
              <w:ind w:right="240"/>
              <w:spacing w:after="0"/>
              <w:rPr>
                <w:sz w:val="20"/>
                <w:szCs w:val="20"/>
                <w:color w:val="auto"/>
              </w:rPr>
            </w:pPr>
            <w:r>
              <w:rPr>
                <w:rFonts w:ascii="Arial" w:cs="Arial" w:eastAsia="Arial" w:hAnsi="Arial"/>
                <w:sz w:val="20"/>
                <w:szCs w:val="20"/>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189.5</w:t>
            </w:r>
          </w:p>
        </w:tc>
        <w:tc>
          <w:tcPr>
            <w:tcW w:w="660" w:type="dxa"/>
            <w:vAlign w:val="bottom"/>
            <w:gridSpan w:val="2"/>
            <w:shd w:val="clear" w:color="auto" w:fill="CFF0FC"/>
          </w:tcPr>
          <w:p>
            <w:pPr>
              <w:jc w:val="right"/>
              <w:ind w:right="320"/>
              <w:spacing w:after="0"/>
              <w:rPr>
                <w:sz w:val="20"/>
                <w:szCs w:val="20"/>
                <w:color w:val="auto"/>
              </w:rPr>
            </w:pPr>
            <w:r>
              <w:rPr>
                <w:rFonts w:ascii="Arial" w:cs="Arial" w:eastAsia="Arial" w:hAnsi="Arial"/>
                <w:sz w:val="20"/>
                <w:szCs w:val="20"/>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243.5</w:t>
            </w:r>
          </w:p>
        </w:tc>
        <w:tc>
          <w:tcPr>
            <w:tcW w:w="560" w:type="dxa"/>
            <w:vAlign w:val="bottom"/>
            <w:gridSpan w:val="2"/>
            <w:shd w:val="clear" w:color="auto" w:fill="CFF0FC"/>
          </w:tcPr>
          <w:p>
            <w:pPr>
              <w:jc w:val="right"/>
              <w:ind w:right="220"/>
              <w:spacing w:after="0"/>
              <w:rPr>
                <w:sz w:val="20"/>
                <w:szCs w:val="20"/>
                <w:color w:val="auto"/>
              </w:rPr>
            </w:pPr>
            <w:r>
              <w:rPr>
                <w:rFonts w:ascii="Arial" w:cs="Arial" w:eastAsia="Arial" w:hAnsi="Arial"/>
                <w:sz w:val="20"/>
                <w:szCs w:val="20"/>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232.3</w:t>
            </w:r>
          </w:p>
        </w:tc>
        <w:tc>
          <w:tcPr>
            <w:tcW w:w="120" w:type="dxa"/>
            <w:vAlign w:val="bottom"/>
            <w:shd w:val="clear" w:color="auto" w:fill="CFF0FC"/>
          </w:tcPr>
          <w:p>
            <w:pPr>
              <w:spacing w:after="0"/>
              <w:rPr>
                <w:sz w:val="21"/>
                <w:szCs w:val="21"/>
                <w:color w:val="auto"/>
              </w:rPr>
            </w:pPr>
          </w:p>
        </w:tc>
      </w:tr>
      <w:tr>
        <w:trPr>
          <w:trHeight w:val="226"/>
        </w:trPr>
        <w:tc>
          <w:tcPr>
            <w:tcW w:w="5220" w:type="dxa"/>
            <w:vAlign w:val="bottom"/>
          </w:tcPr>
          <w:p>
            <w:pPr>
              <w:spacing w:after="0" w:line="227" w:lineRule="exact"/>
              <w:rPr>
                <w:sz w:val="20"/>
                <w:szCs w:val="20"/>
                <w:color w:val="auto"/>
              </w:rPr>
            </w:pPr>
            <w:r>
              <w:rPr>
                <w:rFonts w:ascii="Arial" w:cs="Arial" w:eastAsia="Arial" w:hAnsi="Arial"/>
                <w:sz w:val="20"/>
                <w:szCs w:val="20"/>
                <w:color w:val="auto"/>
              </w:rPr>
              <w:t>Less: Distributed and undistributed earnings</w:t>
            </w: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46"/>
        </w:trPr>
        <w:tc>
          <w:tcPr>
            <w:tcW w:w="5220" w:type="dxa"/>
            <w:vAlign w:val="bottom"/>
            <w:tcBorders>
              <w:bottom w:val="single" w:sz="8" w:color="CFF0FC"/>
            </w:tcBorders>
          </w:tcPr>
          <w:p>
            <w:pPr>
              <w:ind w:left="160"/>
              <w:spacing w:after="0"/>
              <w:rPr>
                <w:sz w:val="20"/>
                <w:szCs w:val="20"/>
                <w:color w:val="auto"/>
              </w:rPr>
            </w:pPr>
            <w:r>
              <w:rPr>
                <w:rFonts w:ascii="Arial" w:cs="Arial" w:eastAsia="Arial" w:hAnsi="Arial"/>
                <w:sz w:val="20"/>
                <w:szCs w:val="20"/>
                <w:color w:val="auto"/>
              </w:rPr>
              <w:t>attributable to unvested awards</w:t>
            </w:r>
          </w:p>
        </w:tc>
        <w:tc>
          <w:tcPr>
            <w:tcW w:w="2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0.2</w:t>
            </w:r>
          </w:p>
        </w:tc>
        <w:tc>
          <w:tcPr>
            <w:tcW w:w="240" w:type="dxa"/>
            <w:vAlign w:val="bottom"/>
            <w:tcBorders>
              <w:bottom w:val="single" w:sz="8" w:color="CFF0FC"/>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0.4</w:t>
            </w:r>
          </w:p>
        </w:tc>
        <w:tc>
          <w:tcPr>
            <w:tcW w:w="240" w:type="dxa"/>
            <w:vAlign w:val="bottom"/>
            <w:tcBorders>
              <w:bottom w:val="single" w:sz="8" w:color="CFF0FC"/>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0.2</w:t>
            </w:r>
          </w:p>
        </w:tc>
        <w:tc>
          <w:tcPr>
            <w:tcW w:w="240" w:type="dxa"/>
            <w:vAlign w:val="bottom"/>
            <w:tcBorders>
              <w:bottom w:val="single" w:sz="8" w:color="CFF0FC"/>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0.5</w:t>
            </w:r>
          </w:p>
        </w:tc>
        <w:tc>
          <w:tcPr>
            <w:tcW w:w="120" w:type="dxa"/>
            <w:vAlign w:val="bottom"/>
            <w:tcBorders>
              <w:bottom w:val="single" w:sz="8" w:color="CFF0FC"/>
            </w:tcBorders>
          </w:tcPr>
          <w:p>
            <w:pPr>
              <w:spacing w:after="0"/>
              <w:rPr>
                <w:sz w:val="21"/>
                <w:szCs w:val="21"/>
                <w:color w:val="auto"/>
              </w:rPr>
            </w:pPr>
          </w:p>
        </w:tc>
      </w:tr>
      <w:tr>
        <w:trPr>
          <w:trHeight w:val="220"/>
        </w:trPr>
        <w:tc>
          <w:tcPr>
            <w:tcW w:w="5220" w:type="dxa"/>
            <w:vAlign w:val="bottom"/>
            <w:shd w:val="clear" w:color="auto" w:fill="CFF0FC"/>
          </w:tcPr>
          <w:p>
            <w:pPr>
              <w:spacing w:after="0" w:line="220" w:lineRule="exact"/>
              <w:rPr>
                <w:sz w:val="20"/>
                <w:szCs w:val="20"/>
                <w:color w:val="auto"/>
              </w:rPr>
            </w:pPr>
            <w:r>
              <w:rPr>
                <w:rFonts w:ascii="Arial" w:cs="Arial" w:eastAsia="Arial" w:hAnsi="Arial"/>
                <w:sz w:val="20"/>
                <w:szCs w:val="20"/>
                <w:color w:val="auto"/>
              </w:rPr>
              <w:t>Basic and diluted net earnings available to common</w:t>
            </w: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46"/>
        </w:trPr>
        <w:tc>
          <w:tcPr>
            <w:tcW w:w="5220" w:type="dxa"/>
            <w:vAlign w:val="bottom"/>
            <w:shd w:val="clear" w:color="auto" w:fill="CFF0FC"/>
          </w:tcPr>
          <w:p>
            <w:pPr>
              <w:ind w:left="160"/>
              <w:spacing w:after="0"/>
              <w:rPr>
                <w:sz w:val="20"/>
                <w:szCs w:val="20"/>
                <w:color w:val="auto"/>
              </w:rPr>
            </w:pPr>
            <w:r>
              <w:rPr>
                <w:rFonts w:ascii="Arial" w:cs="Arial" w:eastAsia="Arial" w:hAnsi="Arial"/>
                <w:sz w:val="20"/>
                <w:szCs w:val="20"/>
                <w:color w:val="auto"/>
              </w:rPr>
              <w:t>shareholders attributable to Martin Marietta</w:t>
            </w:r>
          </w:p>
        </w:tc>
        <w:tc>
          <w:tcPr>
            <w:tcW w:w="2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217.4</w:t>
            </w:r>
          </w:p>
        </w:tc>
        <w:tc>
          <w:tcPr>
            <w:tcW w:w="580" w:type="dxa"/>
            <w:vAlign w:val="bottom"/>
            <w:gridSpan w:val="2"/>
            <w:shd w:val="clear" w:color="auto" w:fill="CFF0FC"/>
          </w:tcPr>
          <w:p>
            <w:pPr>
              <w:jc w:val="right"/>
              <w:ind w:right="240"/>
              <w:spacing w:after="0"/>
              <w:rPr>
                <w:sz w:val="20"/>
                <w:szCs w:val="20"/>
                <w:color w:val="auto"/>
              </w:rPr>
            </w:pPr>
            <w:r>
              <w:rPr>
                <w:rFonts w:ascii="Arial" w:cs="Arial" w:eastAsia="Arial" w:hAnsi="Arial"/>
                <w:sz w:val="20"/>
                <w:szCs w:val="20"/>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189.1</w:t>
            </w:r>
          </w:p>
        </w:tc>
        <w:tc>
          <w:tcPr>
            <w:tcW w:w="660" w:type="dxa"/>
            <w:vAlign w:val="bottom"/>
            <w:gridSpan w:val="2"/>
            <w:shd w:val="clear" w:color="auto" w:fill="CFF0FC"/>
          </w:tcPr>
          <w:p>
            <w:pPr>
              <w:jc w:val="right"/>
              <w:ind w:right="320"/>
              <w:spacing w:after="0"/>
              <w:rPr>
                <w:sz w:val="20"/>
                <w:szCs w:val="20"/>
                <w:color w:val="auto"/>
              </w:rPr>
            </w:pPr>
            <w:r>
              <w:rPr>
                <w:rFonts w:ascii="Arial" w:cs="Arial" w:eastAsia="Arial" w:hAnsi="Arial"/>
                <w:sz w:val="20"/>
                <w:szCs w:val="20"/>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243.3</w:t>
            </w:r>
          </w:p>
        </w:tc>
        <w:tc>
          <w:tcPr>
            <w:tcW w:w="560" w:type="dxa"/>
            <w:vAlign w:val="bottom"/>
            <w:gridSpan w:val="2"/>
            <w:shd w:val="clear" w:color="auto" w:fill="CFF0FC"/>
          </w:tcPr>
          <w:p>
            <w:pPr>
              <w:jc w:val="right"/>
              <w:ind w:right="220"/>
              <w:spacing w:after="0"/>
              <w:rPr>
                <w:sz w:val="20"/>
                <w:szCs w:val="20"/>
                <w:color w:val="auto"/>
              </w:rPr>
            </w:pPr>
            <w:r>
              <w:rPr>
                <w:rFonts w:ascii="Arial" w:cs="Arial" w:eastAsia="Arial" w:hAnsi="Arial"/>
                <w:sz w:val="20"/>
                <w:szCs w:val="20"/>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231.8</w:t>
            </w:r>
          </w:p>
        </w:tc>
        <w:tc>
          <w:tcPr>
            <w:tcW w:w="120" w:type="dxa"/>
            <w:vAlign w:val="bottom"/>
            <w:shd w:val="clear" w:color="auto" w:fill="CFF0FC"/>
          </w:tcPr>
          <w:p>
            <w:pPr>
              <w:spacing w:after="0"/>
              <w:rPr>
                <w:sz w:val="21"/>
                <w:szCs w:val="21"/>
                <w:color w:val="auto"/>
              </w:rPr>
            </w:pPr>
          </w:p>
        </w:tc>
      </w:tr>
      <w:tr>
        <w:trPr>
          <w:trHeight w:val="20"/>
        </w:trPr>
        <w:tc>
          <w:tcPr>
            <w:tcW w:w="52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r>
        <w:trPr>
          <w:trHeight w:val="223"/>
        </w:trPr>
        <w:tc>
          <w:tcPr>
            <w:tcW w:w="5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43"/>
        </w:trPr>
        <w:tc>
          <w:tcPr>
            <w:tcW w:w="5220" w:type="dxa"/>
            <w:vAlign w:val="bottom"/>
            <w:shd w:val="clear" w:color="auto" w:fill="CFF0FC"/>
          </w:tcPr>
          <w:p>
            <w:pPr>
              <w:spacing w:after="0"/>
              <w:rPr>
                <w:sz w:val="20"/>
                <w:szCs w:val="20"/>
                <w:color w:val="auto"/>
              </w:rPr>
            </w:pPr>
            <w:r>
              <w:rPr>
                <w:rFonts w:ascii="Arial" w:cs="Arial" w:eastAsia="Arial" w:hAnsi="Arial"/>
                <w:sz w:val="20"/>
                <w:szCs w:val="20"/>
                <w:color w:val="auto"/>
              </w:rPr>
              <w:t>Basic weighted-average common shares outstanding</w:t>
            </w:r>
          </w:p>
        </w:tc>
        <w:tc>
          <w:tcPr>
            <w:tcW w:w="26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62.3</w:t>
            </w: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62.6</w:t>
            </w:r>
          </w:p>
        </w:tc>
        <w:tc>
          <w:tcPr>
            <w:tcW w:w="24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62.3</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62.6</w:t>
            </w:r>
          </w:p>
        </w:tc>
        <w:tc>
          <w:tcPr>
            <w:tcW w:w="120" w:type="dxa"/>
            <w:vAlign w:val="bottom"/>
            <w:shd w:val="clear" w:color="auto" w:fill="CFF0FC"/>
          </w:tcPr>
          <w:p>
            <w:pPr>
              <w:spacing w:after="0"/>
              <w:rPr>
                <w:sz w:val="21"/>
                <w:szCs w:val="21"/>
                <w:color w:val="auto"/>
              </w:rPr>
            </w:pPr>
          </w:p>
        </w:tc>
      </w:tr>
      <w:tr>
        <w:trPr>
          <w:trHeight w:val="243"/>
        </w:trPr>
        <w:tc>
          <w:tcPr>
            <w:tcW w:w="5220" w:type="dxa"/>
            <w:vAlign w:val="bottom"/>
            <w:tcBorders>
              <w:bottom w:val="single" w:sz="8" w:color="CFF0FC"/>
            </w:tcBorders>
          </w:tcPr>
          <w:p>
            <w:pPr>
              <w:spacing w:after="0"/>
              <w:rPr>
                <w:sz w:val="20"/>
                <w:szCs w:val="20"/>
                <w:color w:val="auto"/>
              </w:rPr>
            </w:pPr>
            <w:r>
              <w:rPr>
                <w:rFonts w:ascii="Arial" w:cs="Arial" w:eastAsia="Arial" w:hAnsi="Arial"/>
                <w:sz w:val="20"/>
                <w:szCs w:val="20"/>
                <w:color w:val="auto"/>
              </w:rPr>
              <w:t>Effect of dilutive employee and director awards</w:t>
            </w:r>
          </w:p>
        </w:tc>
        <w:tc>
          <w:tcPr>
            <w:tcW w:w="2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240" w:type="dxa"/>
            <w:vAlign w:val="bottom"/>
            <w:tcBorders>
              <w:bottom w:val="single" w:sz="8" w:color="CFF0FC"/>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0.1</w:t>
            </w:r>
          </w:p>
        </w:tc>
        <w:tc>
          <w:tcPr>
            <w:tcW w:w="240" w:type="dxa"/>
            <w:vAlign w:val="bottom"/>
            <w:tcBorders>
              <w:bottom w:val="single" w:sz="8" w:color="CFF0FC"/>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0.1</w:t>
            </w:r>
          </w:p>
        </w:tc>
        <w:tc>
          <w:tcPr>
            <w:tcW w:w="240" w:type="dxa"/>
            <w:vAlign w:val="bottom"/>
            <w:tcBorders>
              <w:bottom w:val="single" w:sz="8" w:color="CFF0FC"/>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0.1</w:t>
            </w:r>
          </w:p>
        </w:tc>
        <w:tc>
          <w:tcPr>
            <w:tcW w:w="120" w:type="dxa"/>
            <w:vAlign w:val="bottom"/>
            <w:tcBorders>
              <w:bottom w:val="single" w:sz="8" w:color="CFF0FC"/>
            </w:tcBorders>
          </w:tcPr>
          <w:p>
            <w:pPr>
              <w:spacing w:after="0"/>
              <w:rPr>
                <w:sz w:val="21"/>
                <w:szCs w:val="21"/>
                <w:color w:val="auto"/>
              </w:rPr>
            </w:pPr>
          </w:p>
        </w:tc>
      </w:tr>
      <w:tr>
        <w:trPr>
          <w:trHeight w:val="220"/>
        </w:trPr>
        <w:tc>
          <w:tcPr>
            <w:tcW w:w="5220" w:type="dxa"/>
            <w:vAlign w:val="bottom"/>
            <w:shd w:val="clear" w:color="auto" w:fill="CFF0FC"/>
          </w:tcPr>
          <w:p>
            <w:pPr>
              <w:spacing w:after="0" w:line="220" w:lineRule="exact"/>
              <w:rPr>
                <w:sz w:val="20"/>
                <w:szCs w:val="20"/>
                <w:color w:val="auto"/>
              </w:rPr>
            </w:pPr>
            <w:r>
              <w:rPr>
                <w:rFonts w:ascii="Arial" w:cs="Arial" w:eastAsia="Arial" w:hAnsi="Arial"/>
                <w:sz w:val="20"/>
                <w:szCs w:val="20"/>
                <w:color w:val="auto"/>
              </w:rPr>
              <w:t>Diluted weighted-average common shares</w:t>
            </w: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46"/>
        </w:trPr>
        <w:tc>
          <w:tcPr>
            <w:tcW w:w="522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20"/>
                <w:szCs w:val="20"/>
                <w:color w:val="auto"/>
              </w:rPr>
              <w:t>outstanding</w:t>
            </w:r>
          </w:p>
        </w:tc>
        <w:tc>
          <w:tcPr>
            <w:tcW w:w="26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62.3</w:t>
            </w:r>
          </w:p>
        </w:tc>
        <w:tc>
          <w:tcPr>
            <w:tcW w:w="24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62.7</w:t>
            </w:r>
          </w:p>
        </w:tc>
        <w:tc>
          <w:tcPr>
            <w:tcW w:w="24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62.4</w:t>
            </w:r>
          </w:p>
        </w:tc>
        <w:tc>
          <w:tcPr>
            <w:tcW w:w="2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62.7</w:t>
            </w:r>
          </w:p>
        </w:tc>
        <w:tc>
          <w:tcPr>
            <w:tcW w:w="120" w:type="dxa"/>
            <w:vAlign w:val="bottom"/>
            <w:tcBorders>
              <w:bottom w:val="single" w:sz="8" w:color="CFF0FC"/>
            </w:tcBorders>
            <w:shd w:val="clear" w:color="auto" w:fill="CFF0FC"/>
          </w:tcPr>
          <w:p>
            <w:pPr>
              <w:spacing w:after="0"/>
              <w:rPr>
                <w:sz w:val="21"/>
                <w:szCs w:val="21"/>
                <w:color w:val="auto"/>
              </w:rPr>
            </w:pPr>
          </w:p>
        </w:tc>
      </w:tr>
      <w:tr>
        <w:trPr>
          <w:trHeight w:val="20"/>
        </w:trPr>
        <w:tc>
          <w:tcPr>
            <w:tcW w:w="5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ind w:left="380" w:hanging="372"/>
        <w:spacing w:after="0"/>
        <w:tabs>
          <w:tab w:leader="none" w:pos="380" w:val="left"/>
        </w:tabs>
        <w:numPr>
          <w:ilvl w:val="0"/>
          <w:numId w:val="4"/>
        </w:numPr>
        <w:rPr>
          <w:rFonts w:ascii="Arial" w:cs="Arial" w:eastAsia="Arial" w:hAnsi="Arial"/>
          <w:sz w:val="20"/>
          <w:szCs w:val="20"/>
          <w:b w:val="1"/>
          <w:bCs w:val="1"/>
          <w:color w:val="auto"/>
        </w:rPr>
      </w:pPr>
      <w:r>
        <w:rPr>
          <w:rFonts w:ascii="Arial" w:cs="Arial" w:eastAsia="Arial" w:hAnsi="Arial"/>
          <w:sz w:val="20"/>
          <w:szCs w:val="20"/>
          <w:b w:val="1"/>
          <w:bCs w:val="1"/>
          <w:color w:val="auto"/>
        </w:rPr>
        <w:t>Revenue Recognition</w:t>
      </w:r>
    </w:p>
    <w:p>
      <w:pPr>
        <w:spacing w:after="0" w:line="113" w:lineRule="exact"/>
        <w:rPr>
          <w:rFonts w:ascii="Arial" w:cs="Arial" w:eastAsia="Arial" w:hAnsi="Arial"/>
          <w:sz w:val="20"/>
          <w:szCs w:val="20"/>
          <w:b w:val="1"/>
          <w:bCs w:val="1"/>
          <w:color w:val="auto"/>
        </w:rPr>
      </w:pPr>
    </w:p>
    <w:p>
      <w:pPr>
        <w:jc w:val="both"/>
        <w:ind w:left="380"/>
        <w:spacing w:after="0" w:line="278" w:lineRule="auto"/>
        <w:rPr>
          <w:rFonts w:ascii="Arial" w:cs="Arial" w:eastAsia="Arial" w:hAnsi="Arial"/>
          <w:sz w:val="20"/>
          <w:szCs w:val="20"/>
          <w:b w:val="1"/>
          <w:bCs w:val="1"/>
          <w:color w:val="auto"/>
        </w:rPr>
      </w:pPr>
      <w:r>
        <w:rPr>
          <w:rFonts w:ascii="Arial" w:cs="Arial" w:eastAsia="Arial" w:hAnsi="Arial"/>
          <w:sz w:val="18"/>
          <w:szCs w:val="18"/>
          <w:color w:val="auto"/>
        </w:rPr>
        <w:t>Total revenues include sales of products and services to customers, net of any discounts or allowances, and freight revenues. Product revenues are recognized when control of the promised good is transferred to the customer, typically when finished products are shipped. Intersegment and interproduct revenues are eliminated in consolidation. Service revenues are derived from the paving business and recognized using the percentage-of-completion method under the cost-to-cost approach. Freight revenues reflect delivery arranged by the Company using a third party on behalf of the customer and are recognized consistently with the timing of the product revenues.</w:t>
      </w:r>
    </w:p>
    <w:p>
      <w:pPr>
        <w:spacing w:after="0" w:line="56" w:lineRule="exact"/>
        <w:rPr>
          <w:rFonts w:ascii="Arial" w:cs="Arial" w:eastAsia="Arial" w:hAnsi="Arial"/>
          <w:sz w:val="20"/>
          <w:szCs w:val="20"/>
          <w:b w:val="1"/>
          <w:bCs w:val="1"/>
          <w:color w:val="auto"/>
        </w:rPr>
      </w:pPr>
    </w:p>
    <w:p>
      <w:pPr>
        <w:jc w:val="both"/>
        <w:ind w:left="380"/>
        <w:spacing w:after="0" w:line="260" w:lineRule="auto"/>
        <w:rPr>
          <w:rFonts w:ascii="Arial" w:cs="Arial" w:eastAsia="Arial" w:hAnsi="Arial"/>
          <w:sz w:val="20"/>
          <w:szCs w:val="20"/>
          <w:b w:val="1"/>
          <w:bCs w:val="1"/>
          <w:color w:val="auto"/>
        </w:rPr>
      </w:pPr>
      <w:r>
        <w:rPr>
          <w:rFonts w:ascii="Arial" w:cs="Arial" w:eastAsia="Arial" w:hAnsi="Arial"/>
          <w:sz w:val="19"/>
          <w:szCs w:val="19"/>
          <w:b w:val="1"/>
          <w:bCs w:val="1"/>
          <w:i w:val="1"/>
          <w:iCs w:val="1"/>
          <w:color w:val="auto"/>
        </w:rPr>
        <w:t xml:space="preserve">Performance Obligations. </w:t>
      </w:r>
      <w:r>
        <w:rPr>
          <w:rFonts w:ascii="Arial" w:cs="Arial" w:eastAsia="Arial" w:hAnsi="Arial"/>
          <w:sz w:val="19"/>
          <w:szCs w:val="19"/>
          <w:color w:val="auto"/>
        </w:rPr>
        <w:t>Performance obligations are contractual promises to transfer or provide a distinct good or service for a stated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price. The Company’s product sales agreements are single-performance obligations that are satisfied at a point in time. Performance obligations within paving service agreements are satisfied over time, primarily ranging from one day to 21 months. For product revenues and freight revenues, customer payment terms are generally 30 days from invoice date. Customer payments for the paving operations are based on a contractual billing schedule and are due 30 days from invoice date.</w:t>
      </w:r>
    </w:p>
    <w:p>
      <w:pPr>
        <w:spacing w:after="0" w:line="72" w:lineRule="exact"/>
        <w:rPr>
          <w:rFonts w:ascii="Arial" w:cs="Arial" w:eastAsia="Arial" w:hAnsi="Arial"/>
          <w:sz w:val="20"/>
          <w:szCs w:val="20"/>
          <w:b w:val="1"/>
          <w:bCs w:val="1"/>
          <w:color w:val="auto"/>
        </w:rPr>
      </w:pPr>
    </w:p>
    <w:p>
      <w:pPr>
        <w:jc w:val="both"/>
        <w:ind w:left="380"/>
        <w:spacing w:after="0" w:line="250" w:lineRule="auto"/>
        <w:rPr>
          <w:rFonts w:ascii="Arial" w:cs="Arial" w:eastAsia="Arial" w:hAnsi="Arial"/>
          <w:sz w:val="20"/>
          <w:szCs w:val="20"/>
          <w:b w:val="1"/>
          <w:bCs w:val="1"/>
          <w:color w:val="auto"/>
        </w:rPr>
      </w:pPr>
      <w:r>
        <w:rPr>
          <w:rFonts w:ascii="Arial" w:cs="Arial" w:eastAsia="Arial" w:hAnsi="Arial"/>
          <w:sz w:val="20"/>
          <w:szCs w:val="20"/>
          <w:color w:val="auto"/>
        </w:rPr>
        <w:t>Future revenues from unsatisfied performance obligations at June 30, 2020 and 2019 were $202.7 million and $177.9 million, respectively, where the remaining periods to complete these obligations ranged from one month to 14 months and one month to 18 months, respectively.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12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June 30, 2020</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335" w:lineRule="exact"/>
        <w:rPr>
          <w:sz w:val="20"/>
          <w:szCs w:val="20"/>
          <w:color w:val="auto"/>
        </w:rPr>
      </w:pPr>
    </w:p>
    <w:p>
      <w:pPr>
        <w:ind w:left="380"/>
        <w:spacing w:after="0" w:line="287" w:lineRule="auto"/>
        <w:rPr>
          <w:sz w:val="20"/>
          <w:szCs w:val="20"/>
          <w:color w:val="auto"/>
        </w:rPr>
      </w:pPr>
      <w:r>
        <w:rPr>
          <w:rFonts w:ascii="Arial" w:cs="Arial" w:eastAsia="Arial" w:hAnsi="Arial"/>
          <w:sz w:val="19"/>
          <w:szCs w:val="19"/>
          <w:b w:val="1"/>
          <w:bCs w:val="1"/>
          <w:i w:val="1"/>
          <w:iCs w:val="1"/>
          <w:color w:val="auto"/>
        </w:rPr>
        <w:t xml:space="preserve">Revenue by Category. </w:t>
      </w:r>
      <w:r>
        <w:rPr>
          <w:rFonts w:ascii="Arial" w:cs="Arial" w:eastAsia="Arial" w:hAnsi="Arial"/>
          <w:sz w:val="19"/>
          <w:szCs w:val="19"/>
          <w:color w:val="auto"/>
        </w:rPr>
        <w:t>The following table presents the Company’s total revenues by category for each reportable segment. Prior-year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segment information has been reclassified to conform to the reporting structure change described in Note 1.</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3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60" w:type="dxa"/>
            <w:vAlign w:val="bottom"/>
            <w:gridSpan w:val="4"/>
          </w:tcPr>
          <w:p>
            <w:pPr>
              <w:jc w:val="center"/>
              <w:spacing w:after="0"/>
              <w:rPr>
                <w:sz w:val="20"/>
                <w:szCs w:val="20"/>
                <w:color w:val="auto"/>
              </w:rPr>
            </w:pPr>
            <w:r>
              <w:rPr>
                <w:rFonts w:ascii="Arial" w:cs="Arial" w:eastAsia="Arial" w:hAnsi="Arial"/>
                <w:sz w:val="20"/>
                <w:szCs w:val="20"/>
                <w:color w:val="auto"/>
                <w:w w:val="88"/>
              </w:rPr>
              <w:t>Three Months Ended</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6"/>
        </w:trPr>
        <w:tc>
          <w:tcPr>
            <w:tcW w:w="43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20"/>
                <w:szCs w:val="20"/>
                <w:color w:val="auto"/>
                <w:w w:val="86"/>
              </w:rPr>
              <w:t>June 30, 2020</w:t>
            </w:r>
          </w:p>
        </w:tc>
        <w:tc>
          <w:tcPr>
            <w:tcW w:w="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r>
      <w:tr>
        <w:trPr>
          <w:trHeight w:val="220"/>
        </w:trPr>
        <w:tc>
          <w:tcPr>
            <w:tcW w:w="43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center"/>
              <w:ind w:right="61"/>
              <w:spacing w:after="0" w:line="220" w:lineRule="exact"/>
              <w:rPr>
                <w:sz w:val="20"/>
                <w:szCs w:val="20"/>
                <w:color w:val="auto"/>
              </w:rPr>
            </w:pPr>
            <w:r>
              <w:rPr>
                <w:rFonts w:ascii="Arial" w:cs="Arial" w:eastAsia="Arial" w:hAnsi="Arial"/>
                <w:sz w:val="20"/>
                <w:szCs w:val="20"/>
                <w:color w:val="auto"/>
                <w:w w:val="86"/>
              </w:rPr>
              <w:t>Products and</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46"/>
        </w:trPr>
        <w:tc>
          <w:tcPr>
            <w:tcW w:w="43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center"/>
              <w:ind w:right="81"/>
              <w:spacing w:after="0"/>
              <w:rPr>
                <w:sz w:val="20"/>
                <w:szCs w:val="20"/>
                <w:color w:val="auto"/>
              </w:rPr>
            </w:pPr>
            <w:r>
              <w:rPr>
                <w:rFonts w:ascii="Arial" w:cs="Arial" w:eastAsia="Arial" w:hAnsi="Arial"/>
                <w:sz w:val="20"/>
                <w:szCs w:val="20"/>
                <w:color w:val="auto"/>
                <w:w w:val="88"/>
              </w:rPr>
              <w:t>Services</w:t>
            </w: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20" w:type="dxa"/>
            <w:vAlign w:val="bottom"/>
            <w:gridSpan w:val="2"/>
          </w:tcPr>
          <w:p>
            <w:pPr>
              <w:jc w:val="center"/>
              <w:ind w:right="440"/>
              <w:spacing w:after="0"/>
              <w:rPr>
                <w:sz w:val="20"/>
                <w:szCs w:val="20"/>
                <w:color w:val="auto"/>
              </w:rPr>
            </w:pPr>
            <w:r>
              <w:rPr>
                <w:rFonts w:ascii="Arial" w:cs="Arial" w:eastAsia="Arial" w:hAnsi="Arial"/>
                <w:sz w:val="20"/>
                <w:szCs w:val="20"/>
                <w:color w:val="auto"/>
                <w:w w:val="93"/>
              </w:rPr>
              <w:t>Freight</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20" w:type="dxa"/>
            <w:vAlign w:val="bottom"/>
            <w:gridSpan w:val="2"/>
          </w:tcPr>
          <w:p>
            <w:pPr>
              <w:ind w:left="240"/>
              <w:spacing w:after="0"/>
              <w:rPr>
                <w:sz w:val="20"/>
                <w:szCs w:val="20"/>
                <w:color w:val="auto"/>
              </w:rPr>
            </w:pPr>
            <w:r>
              <w:rPr>
                <w:rFonts w:ascii="Arial" w:cs="Arial" w:eastAsia="Arial" w:hAnsi="Arial"/>
                <w:sz w:val="20"/>
                <w:szCs w:val="20"/>
                <w:color w:val="auto"/>
              </w:rPr>
              <w:t>Total</w:t>
            </w:r>
          </w:p>
        </w:tc>
      </w:tr>
      <w:tr>
        <w:trPr>
          <w:trHeight w:val="233"/>
        </w:trPr>
        <w:tc>
          <w:tcPr>
            <w:tcW w:w="43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2060" w:type="dxa"/>
            <w:vAlign w:val="bottom"/>
            <w:tcBorders>
              <w:top w:val="single" w:sz="8" w:color="auto"/>
            </w:tcBorders>
            <w:gridSpan w:val="4"/>
          </w:tcPr>
          <w:p>
            <w:pPr>
              <w:jc w:val="center"/>
              <w:spacing w:after="0"/>
              <w:rPr>
                <w:sz w:val="20"/>
                <w:szCs w:val="20"/>
                <w:color w:val="auto"/>
              </w:rPr>
            </w:pPr>
            <w:r>
              <w:rPr>
                <w:rFonts w:ascii="Arial" w:cs="Arial" w:eastAsia="Arial" w:hAnsi="Arial"/>
                <w:sz w:val="20"/>
                <w:szCs w:val="20"/>
                <w:i w:val="1"/>
                <w:iCs w:val="1"/>
                <w:color w:val="auto"/>
                <w:w w:val="98"/>
              </w:rPr>
              <w:t>(Dollars in Millions)</w:t>
            </w: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46"/>
        </w:trPr>
        <w:tc>
          <w:tcPr>
            <w:tcW w:w="4380" w:type="dxa"/>
            <w:vAlign w:val="bottom"/>
          </w:tcPr>
          <w:p>
            <w:pPr>
              <w:spacing w:after="0"/>
              <w:rPr>
                <w:sz w:val="20"/>
                <w:szCs w:val="20"/>
                <w:color w:val="auto"/>
              </w:rPr>
            </w:pPr>
            <w:r>
              <w:rPr>
                <w:rFonts w:ascii="Arial" w:cs="Arial" w:eastAsia="Arial" w:hAnsi="Arial"/>
                <w:sz w:val="20"/>
                <w:szCs w:val="20"/>
                <w:color w:val="auto"/>
              </w:rPr>
              <w:t>Mid-America Group</w:t>
            </w:r>
          </w:p>
        </w:tc>
        <w:tc>
          <w:tcPr>
            <w:tcW w:w="182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1340" w:type="dxa"/>
            <w:vAlign w:val="bottom"/>
          </w:tcPr>
          <w:p>
            <w:pPr>
              <w:jc w:val="right"/>
              <w:spacing w:after="0"/>
              <w:rPr>
                <w:sz w:val="20"/>
                <w:szCs w:val="20"/>
                <w:color w:val="auto"/>
              </w:rPr>
            </w:pPr>
            <w:r>
              <w:rPr>
                <w:rFonts w:ascii="Arial" w:cs="Arial" w:eastAsia="Arial" w:hAnsi="Arial"/>
                <w:sz w:val="20"/>
                <w:szCs w:val="20"/>
                <w:color w:val="auto"/>
              </w:rPr>
              <w:t>362.9</w:t>
            </w:r>
          </w:p>
        </w:tc>
        <w:tc>
          <w:tcPr>
            <w:tcW w:w="4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340" w:type="dxa"/>
            <w:vAlign w:val="bottom"/>
          </w:tcPr>
          <w:p>
            <w:pPr>
              <w:jc w:val="right"/>
              <w:spacing w:after="0"/>
              <w:rPr>
                <w:sz w:val="20"/>
                <w:szCs w:val="20"/>
                <w:color w:val="auto"/>
              </w:rPr>
            </w:pPr>
            <w:r>
              <w:rPr>
                <w:rFonts w:ascii="Arial" w:cs="Arial" w:eastAsia="Arial" w:hAnsi="Arial"/>
                <w:sz w:val="20"/>
                <w:szCs w:val="20"/>
                <w:color w:val="auto"/>
              </w:rPr>
              <w:t>29.4</w:t>
            </w:r>
          </w:p>
        </w:tc>
        <w:tc>
          <w:tcPr>
            <w:tcW w:w="280" w:type="dxa"/>
            <w:vAlign w:val="bottom"/>
          </w:tcPr>
          <w:p>
            <w:pPr>
              <w:spacing w:after="0"/>
              <w:rPr>
                <w:sz w:val="21"/>
                <w:szCs w:val="21"/>
                <w:color w:val="auto"/>
              </w:rPr>
            </w:pPr>
          </w:p>
        </w:tc>
        <w:tc>
          <w:tcPr>
            <w:tcW w:w="320" w:type="dxa"/>
            <w:vAlign w:val="bottom"/>
            <w:gridSpan w:val="2"/>
          </w:tcPr>
          <w:p>
            <w:pPr>
              <w:jc w:val="right"/>
              <w:ind w:right="143"/>
              <w:spacing w:after="0"/>
              <w:rPr>
                <w:sz w:val="20"/>
                <w:szCs w:val="20"/>
                <w:color w:val="auto"/>
              </w:rPr>
            </w:pPr>
            <w:r>
              <w:rPr>
                <w:rFonts w:ascii="Arial" w:cs="Arial" w:eastAsia="Arial" w:hAnsi="Arial"/>
                <w:sz w:val="20"/>
                <w:szCs w:val="20"/>
                <w:color w:val="auto"/>
                <w:w w:val="71"/>
              </w:rPr>
              <w:t>$</w:t>
            </w:r>
          </w:p>
        </w:tc>
        <w:tc>
          <w:tcPr>
            <w:tcW w:w="1200" w:type="dxa"/>
            <w:vAlign w:val="bottom"/>
          </w:tcPr>
          <w:p>
            <w:pPr>
              <w:jc w:val="right"/>
              <w:spacing w:after="0"/>
              <w:rPr>
                <w:sz w:val="20"/>
                <w:szCs w:val="20"/>
                <w:color w:val="auto"/>
              </w:rPr>
            </w:pPr>
            <w:r>
              <w:rPr>
                <w:rFonts w:ascii="Arial" w:cs="Arial" w:eastAsia="Arial" w:hAnsi="Arial"/>
                <w:sz w:val="20"/>
                <w:szCs w:val="20"/>
                <w:color w:val="auto"/>
              </w:rPr>
              <w:t>392.3</w:t>
            </w:r>
          </w:p>
        </w:tc>
        <w:tc>
          <w:tcPr>
            <w:tcW w:w="120" w:type="dxa"/>
            <w:vAlign w:val="bottom"/>
          </w:tcPr>
          <w:p>
            <w:pPr>
              <w:spacing w:after="0"/>
              <w:rPr>
                <w:sz w:val="21"/>
                <w:szCs w:val="21"/>
                <w:color w:val="auto"/>
              </w:rPr>
            </w:pPr>
          </w:p>
        </w:tc>
      </w:tr>
      <w:tr>
        <w:trPr>
          <w:trHeight w:val="243"/>
        </w:trPr>
        <w:tc>
          <w:tcPr>
            <w:tcW w:w="4380" w:type="dxa"/>
            <w:vAlign w:val="bottom"/>
            <w:shd w:val="clear" w:color="auto" w:fill="CFF0FC"/>
          </w:tcPr>
          <w:p>
            <w:pPr>
              <w:spacing w:after="0"/>
              <w:rPr>
                <w:sz w:val="20"/>
                <w:szCs w:val="20"/>
                <w:color w:val="auto"/>
              </w:rPr>
            </w:pPr>
            <w:r>
              <w:rPr>
                <w:rFonts w:ascii="Arial" w:cs="Arial" w:eastAsia="Arial" w:hAnsi="Arial"/>
                <w:sz w:val="20"/>
                <w:szCs w:val="20"/>
                <w:color w:val="auto"/>
              </w:rPr>
              <w:t>Southeast Group</w:t>
            </w:r>
          </w:p>
        </w:tc>
        <w:tc>
          <w:tcPr>
            <w:tcW w:w="16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136.8</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5.4</w:t>
            </w:r>
          </w:p>
        </w:tc>
        <w:tc>
          <w:tcPr>
            <w:tcW w:w="2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142.2</w:t>
            </w:r>
          </w:p>
        </w:tc>
        <w:tc>
          <w:tcPr>
            <w:tcW w:w="120" w:type="dxa"/>
            <w:vAlign w:val="bottom"/>
            <w:shd w:val="clear" w:color="auto" w:fill="CFF0FC"/>
          </w:tcPr>
          <w:p>
            <w:pPr>
              <w:spacing w:after="0"/>
              <w:rPr>
                <w:sz w:val="21"/>
                <w:szCs w:val="21"/>
                <w:color w:val="auto"/>
              </w:rPr>
            </w:pPr>
          </w:p>
        </w:tc>
      </w:tr>
      <w:tr>
        <w:trPr>
          <w:trHeight w:val="243"/>
        </w:trPr>
        <w:tc>
          <w:tcPr>
            <w:tcW w:w="438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West Group</w:t>
            </w:r>
          </w:p>
        </w:tc>
        <w:tc>
          <w:tcPr>
            <w:tcW w:w="16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640.9</w:t>
            </w:r>
          </w:p>
        </w:tc>
        <w:tc>
          <w:tcPr>
            <w:tcW w:w="28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41.6</w:t>
            </w:r>
          </w:p>
        </w:tc>
        <w:tc>
          <w:tcPr>
            <w:tcW w:w="28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682.5</w:t>
            </w:r>
          </w:p>
        </w:tc>
        <w:tc>
          <w:tcPr>
            <w:tcW w:w="120" w:type="dxa"/>
            <w:vAlign w:val="bottom"/>
            <w:tcBorders>
              <w:bottom w:val="single" w:sz="8" w:color="CFF0FC"/>
            </w:tcBorders>
          </w:tcPr>
          <w:p>
            <w:pPr>
              <w:spacing w:after="0"/>
              <w:rPr>
                <w:sz w:val="21"/>
                <w:szCs w:val="21"/>
                <w:color w:val="auto"/>
              </w:rPr>
            </w:pPr>
          </w:p>
        </w:tc>
      </w:tr>
      <w:tr>
        <w:trPr>
          <w:trHeight w:val="237"/>
        </w:trPr>
        <w:tc>
          <w:tcPr>
            <w:tcW w:w="4380" w:type="dxa"/>
            <w:vAlign w:val="bottom"/>
            <w:shd w:val="clear" w:color="auto" w:fill="CFF0FC"/>
          </w:tcPr>
          <w:p>
            <w:pPr>
              <w:spacing w:after="0"/>
              <w:rPr>
                <w:sz w:val="20"/>
                <w:szCs w:val="20"/>
                <w:color w:val="auto"/>
              </w:rPr>
            </w:pPr>
            <w:r>
              <w:rPr>
                <w:rFonts w:ascii="Arial" w:cs="Arial" w:eastAsia="Arial" w:hAnsi="Arial"/>
                <w:sz w:val="20"/>
                <w:szCs w:val="20"/>
                <w:color w:val="auto"/>
              </w:rPr>
              <w:t>Total Building Materials Business</w:t>
            </w:r>
          </w:p>
        </w:tc>
        <w:tc>
          <w:tcPr>
            <w:tcW w:w="16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1,140.6</w:t>
            </w:r>
          </w:p>
        </w:tc>
        <w:tc>
          <w:tcPr>
            <w:tcW w:w="2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76.4</w:t>
            </w: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1,217.0</w:t>
            </w:r>
          </w:p>
        </w:tc>
        <w:tc>
          <w:tcPr>
            <w:tcW w:w="120" w:type="dxa"/>
            <w:vAlign w:val="bottom"/>
            <w:shd w:val="clear" w:color="auto" w:fill="CFF0FC"/>
          </w:tcPr>
          <w:p>
            <w:pPr>
              <w:spacing w:after="0"/>
              <w:rPr>
                <w:sz w:val="20"/>
                <w:szCs w:val="20"/>
                <w:color w:val="auto"/>
              </w:rPr>
            </w:pPr>
          </w:p>
        </w:tc>
      </w:tr>
      <w:tr>
        <w:trPr>
          <w:trHeight w:val="243"/>
        </w:trPr>
        <w:tc>
          <w:tcPr>
            <w:tcW w:w="438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Magnesia Specialties</w:t>
            </w:r>
          </w:p>
        </w:tc>
        <w:tc>
          <w:tcPr>
            <w:tcW w:w="16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48.9</w:t>
            </w:r>
          </w:p>
        </w:tc>
        <w:tc>
          <w:tcPr>
            <w:tcW w:w="28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4.7</w:t>
            </w:r>
          </w:p>
        </w:tc>
        <w:tc>
          <w:tcPr>
            <w:tcW w:w="28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53.6</w:t>
            </w:r>
          </w:p>
        </w:tc>
        <w:tc>
          <w:tcPr>
            <w:tcW w:w="120" w:type="dxa"/>
            <w:vAlign w:val="bottom"/>
            <w:tcBorders>
              <w:bottom w:val="single" w:sz="8" w:color="CFF0FC"/>
            </w:tcBorders>
          </w:tcPr>
          <w:p>
            <w:pPr>
              <w:spacing w:after="0"/>
              <w:rPr>
                <w:sz w:val="21"/>
                <w:szCs w:val="21"/>
                <w:color w:val="auto"/>
              </w:rPr>
            </w:pPr>
          </w:p>
        </w:tc>
      </w:tr>
      <w:tr>
        <w:trPr>
          <w:trHeight w:val="237"/>
        </w:trPr>
        <w:tc>
          <w:tcPr>
            <w:tcW w:w="43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20"/>
                <w:szCs w:val="20"/>
                <w:color w:val="auto"/>
              </w:rPr>
              <w:t>Total</w:t>
            </w:r>
          </w:p>
        </w:tc>
        <w:tc>
          <w:tcPr>
            <w:tcW w:w="1820" w:type="dxa"/>
            <w:vAlign w:val="bottom"/>
            <w:tcBorders>
              <w:bottom w:val="single" w:sz="8" w:color="auto"/>
            </w:tcBorders>
            <w:gridSpan w:val="2"/>
            <w:shd w:val="clear" w:color="auto" w:fill="CFF0FC"/>
          </w:tcPr>
          <w:p>
            <w:pPr>
              <w:jc w:val="right"/>
              <w:ind w:right="60"/>
              <w:spacing w:after="0"/>
              <w:rPr>
                <w:sz w:val="20"/>
                <w:szCs w:val="20"/>
                <w:color w:val="auto"/>
              </w:rPr>
            </w:pPr>
            <w:r>
              <w:rPr>
                <w:rFonts w:ascii="Arial" w:cs="Arial" w:eastAsia="Arial" w:hAnsi="Arial"/>
                <w:sz w:val="20"/>
                <w:szCs w:val="20"/>
                <w:color w:val="auto"/>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1,189.5</w:t>
            </w:r>
          </w:p>
        </w:tc>
        <w:tc>
          <w:tcPr>
            <w:tcW w:w="2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81.1</w:t>
            </w:r>
          </w:p>
        </w:tc>
        <w:tc>
          <w:tcPr>
            <w:tcW w:w="28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143"/>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1,270.6</w:t>
            </w:r>
          </w:p>
        </w:tc>
        <w:tc>
          <w:tcPr>
            <w:tcW w:w="120" w:type="dxa"/>
            <w:vAlign w:val="bottom"/>
            <w:tcBorders>
              <w:bottom w:val="single" w:sz="8" w:color="CFF0FC"/>
            </w:tcBorders>
            <w:shd w:val="clear" w:color="auto" w:fill="CFF0FC"/>
          </w:tcPr>
          <w:p>
            <w:pPr>
              <w:spacing w:after="0"/>
              <w:rPr>
                <w:sz w:val="20"/>
                <w:szCs w:val="20"/>
                <w:color w:val="auto"/>
              </w:rPr>
            </w:pPr>
          </w:p>
        </w:tc>
      </w:tr>
      <w:tr>
        <w:trPr>
          <w:trHeight w:val="20"/>
        </w:trPr>
        <w:tc>
          <w:tcPr>
            <w:tcW w:w="43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63"/>
        </w:trPr>
        <w:tc>
          <w:tcPr>
            <w:tcW w:w="43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60" w:type="dxa"/>
            <w:vAlign w:val="bottom"/>
            <w:gridSpan w:val="4"/>
          </w:tcPr>
          <w:p>
            <w:pPr>
              <w:jc w:val="center"/>
              <w:spacing w:after="0"/>
              <w:rPr>
                <w:sz w:val="20"/>
                <w:szCs w:val="20"/>
                <w:color w:val="auto"/>
              </w:rPr>
            </w:pPr>
            <w:r>
              <w:rPr>
                <w:rFonts w:ascii="Arial" w:cs="Arial" w:eastAsia="Arial" w:hAnsi="Arial"/>
                <w:sz w:val="20"/>
                <w:szCs w:val="20"/>
                <w:color w:val="auto"/>
                <w:w w:val="88"/>
              </w:rPr>
              <w:t>Three Months Ended</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46"/>
        </w:trPr>
        <w:tc>
          <w:tcPr>
            <w:tcW w:w="43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20"/>
                <w:szCs w:val="20"/>
                <w:color w:val="auto"/>
                <w:w w:val="86"/>
              </w:rPr>
              <w:t>June 30, 2019</w:t>
            </w:r>
          </w:p>
        </w:tc>
        <w:tc>
          <w:tcPr>
            <w:tcW w:w="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r>
      <w:tr>
        <w:trPr>
          <w:trHeight w:val="220"/>
        </w:trPr>
        <w:tc>
          <w:tcPr>
            <w:tcW w:w="43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center"/>
              <w:ind w:right="61"/>
              <w:spacing w:after="0" w:line="220" w:lineRule="exact"/>
              <w:rPr>
                <w:sz w:val="20"/>
                <w:szCs w:val="20"/>
                <w:color w:val="auto"/>
              </w:rPr>
            </w:pPr>
            <w:r>
              <w:rPr>
                <w:rFonts w:ascii="Arial" w:cs="Arial" w:eastAsia="Arial" w:hAnsi="Arial"/>
                <w:sz w:val="20"/>
                <w:szCs w:val="20"/>
                <w:color w:val="auto"/>
                <w:w w:val="86"/>
              </w:rPr>
              <w:t>Products and</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46"/>
        </w:trPr>
        <w:tc>
          <w:tcPr>
            <w:tcW w:w="43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center"/>
              <w:ind w:right="81"/>
              <w:spacing w:after="0"/>
              <w:rPr>
                <w:sz w:val="20"/>
                <w:szCs w:val="20"/>
                <w:color w:val="auto"/>
              </w:rPr>
            </w:pPr>
            <w:r>
              <w:rPr>
                <w:rFonts w:ascii="Arial" w:cs="Arial" w:eastAsia="Arial" w:hAnsi="Arial"/>
                <w:sz w:val="20"/>
                <w:szCs w:val="20"/>
                <w:color w:val="auto"/>
                <w:w w:val="88"/>
              </w:rPr>
              <w:t>Services</w:t>
            </w: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20" w:type="dxa"/>
            <w:vAlign w:val="bottom"/>
            <w:gridSpan w:val="2"/>
          </w:tcPr>
          <w:p>
            <w:pPr>
              <w:jc w:val="center"/>
              <w:ind w:right="440"/>
              <w:spacing w:after="0"/>
              <w:rPr>
                <w:sz w:val="20"/>
                <w:szCs w:val="20"/>
                <w:color w:val="auto"/>
              </w:rPr>
            </w:pPr>
            <w:r>
              <w:rPr>
                <w:rFonts w:ascii="Arial" w:cs="Arial" w:eastAsia="Arial" w:hAnsi="Arial"/>
                <w:sz w:val="20"/>
                <w:szCs w:val="20"/>
                <w:color w:val="auto"/>
                <w:w w:val="93"/>
              </w:rPr>
              <w:t>Freight</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20" w:type="dxa"/>
            <w:vAlign w:val="bottom"/>
            <w:gridSpan w:val="2"/>
          </w:tcPr>
          <w:p>
            <w:pPr>
              <w:ind w:left="240"/>
              <w:spacing w:after="0"/>
              <w:rPr>
                <w:sz w:val="20"/>
                <w:szCs w:val="20"/>
                <w:color w:val="auto"/>
              </w:rPr>
            </w:pPr>
            <w:r>
              <w:rPr>
                <w:rFonts w:ascii="Arial" w:cs="Arial" w:eastAsia="Arial" w:hAnsi="Arial"/>
                <w:sz w:val="20"/>
                <w:szCs w:val="20"/>
                <w:color w:val="auto"/>
              </w:rPr>
              <w:t>Total</w:t>
            </w:r>
          </w:p>
        </w:tc>
      </w:tr>
      <w:tr>
        <w:trPr>
          <w:trHeight w:val="236"/>
        </w:trPr>
        <w:tc>
          <w:tcPr>
            <w:tcW w:w="43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2060" w:type="dxa"/>
            <w:vAlign w:val="bottom"/>
            <w:tcBorders>
              <w:top w:val="single" w:sz="8" w:color="auto"/>
            </w:tcBorders>
            <w:gridSpan w:val="4"/>
          </w:tcPr>
          <w:p>
            <w:pPr>
              <w:jc w:val="center"/>
              <w:spacing w:after="0"/>
              <w:rPr>
                <w:sz w:val="20"/>
                <w:szCs w:val="20"/>
                <w:color w:val="auto"/>
              </w:rPr>
            </w:pPr>
            <w:r>
              <w:rPr>
                <w:rFonts w:ascii="Arial" w:cs="Arial" w:eastAsia="Arial" w:hAnsi="Arial"/>
                <w:sz w:val="20"/>
                <w:szCs w:val="20"/>
                <w:i w:val="1"/>
                <w:iCs w:val="1"/>
                <w:color w:val="auto"/>
                <w:w w:val="98"/>
              </w:rPr>
              <w:t>(Dollars in Millions)</w:t>
            </w: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43"/>
        </w:trPr>
        <w:tc>
          <w:tcPr>
            <w:tcW w:w="4380" w:type="dxa"/>
            <w:vAlign w:val="bottom"/>
            <w:shd w:val="clear" w:color="auto" w:fill="CFF0FC"/>
          </w:tcPr>
          <w:p>
            <w:pPr>
              <w:spacing w:after="0"/>
              <w:rPr>
                <w:sz w:val="20"/>
                <w:szCs w:val="20"/>
                <w:color w:val="auto"/>
              </w:rPr>
            </w:pPr>
            <w:r>
              <w:rPr>
                <w:rFonts w:ascii="Arial" w:cs="Arial" w:eastAsia="Arial" w:hAnsi="Arial"/>
                <w:sz w:val="20"/>
                <w:szCs w:val="20"/>
                <w:color w:val="auto"/>
              </w:rPr>
              <w:t>Mid-America Group</w:t>
            </w:r>
          </w:p>
        </w:tc>
        <w:tc>
          <w:tcPr>
            <w:tcW w:w="1820" w:type="dxa"/>
            <w:vAlign w:val="bottom"/>
            <w:gridSpan w:val="2"/>
            <w:shd w:val="clear" w:color="auto" w:fill="CFF0FC"/>
          </w:tcPr>
          <w:p>
            <w:pPr>
              <w:jc w:val="right"/>
              <w:ind w:right="60"/>
              <w:spacing w:after="0"/>
              <w:rPr>
                <w:sz w:val="20"/>
                <w:szCs w:val="20"/>
                <w:color w:val="auto"/>
              </w:rPr>
            </w:pPr>
            <w:r>
              <w:rPr>
                <w:rFonts w:ascii="Arial" w:cs="Arial" w:eastAsia="Arial" w:hAnsi="Arial"/>
                <w:sz w:val="20"/>
                <w:szCs w:val="20"/>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381.9</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32.6</w:t>
            </w:r>
          </w:p>
        </w:tc>
        <w:tc>
          <w:tcPr>
            <w:tcW w:w="280" w:type="dxa"/>
            <w:vAlign w:val="bottom"/>
            <w:shd w:val="clear" w:color="auto" w:fill="CFF0FC"/>
          </w:tcPr>
          <w:p>
            <w:pPr>
              <w:spacing w:after="0"/>
              <w:rPr>
                <w:sz w:val="21"/>
                <w:szCs w:val="21"/>
                <w:color w:val="auto"/>
              </w:rPr>
            </w:pPr>
          </w:p>
        </w:tc>
        <w:tc>
          <w:tcPr>
            <w:tcW w:w="320" w:type="dxa"/>
            <w:vAlign w:val="bottom"/>
            <w:gridSpan w:val="2"/>
            <w:shd w:val="clear" w:color="auto" w:fill="CFF0FC"/>
          </w:tcPr>
          <w:p>
            <w:pPr>
              <w:jc w:val="right"/>
              <w:ind w:right="143"/>
              <w:spacing w:after="0"/>
              <w:rPr>
                <w:sz w:val="20"/>
                <w:szCs w:val="20"/>
                <w:color w:val="auto"/>
              </w:rPr>
            </w:pPr>
            <w:r>
              <w:rPr>
                <w:rFonts w:ascii="Arial" w:cs="Arial" w:eastAsia="Arial" w:hAnsi="Arial"/>
                <w:sz w:val="20"/>
                <w:szCs w:val="20"/>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414.5</w:t>
            </w:r>
          </w:p>
        </w:tc>
        <w:tc>
          <w:tcPr>
            <w:tcW w:w="120" w:type="dxa"/>
            <w:vAlign w:val="bottom"/>
            <w:shd w:val="clear" w:color="auto" w:fill="CFF0FC"/>
          </w:tcPr>
          <w:p>
            <w:pPr>
              <w:spacing w:after="0"/>
              <w:rPr>
                <w:sz w:val="21"/>
                <w:szCs w:val="21"/>
                <w:color w:val="auto"/>
              </w:rPr>
            </w:pPr>
          </w:p>
        </w:tc>
      </w:tr>
      <w:tr>
        <w:trPr>
          <w:trHeight w:val="243"/>
        </w:trPr>
        <w:tc>
          <w:tcPr>
            <w:tcW w:w="4380" w:type="dxa"/>
            <w:vAlign w:val="bottom"/>
          </w:tcPr>
          <w:p>
            <w:pPr>
              <w:spacing w:after="0"/>
              <w:rPr>
                <w:sz w:val="20"/>
                <w:szCs w:val="20"/>
                <w:color w:val="auto"/>
              </w:rPr>
            </w:pPr>
            <w:r>
              <w:rPr>
                <w:rFonts w:ascii="Arial" w:cs="Arial" w:eastAsia="Arial" w:hAnsi="Arial"/>
                <w:sz w:val="20"/>
                <w:szCs w:val="20"/>
                <w:color w:val="auto"/>
              </w:rPr>
              <w:t>Southeast Group</w:t>
            </w:r>
          </w:p>
        </w:tc>
        <w:tc>
          <w:tcPr>
            <w:tcW w:w="1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132.0</w:t>
            </w: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5.0</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137.0</w:t>
            </w:r>
          </w:p>
        </w:tc>
        <w:tc>
          <w:tcPr>
            <w:tcW w:w="120" w:type="dxa"/>
            <w:vAlign w:val="bottom"/>
          </w:tcPr>
          <w:p>
            <w:pPr>
              <w:spacing w:after="0"/>
              <w:rPr>
                <w:sz w:val="21"/>
                <w:szCs w:val="21"/>
                <w:color w:val="auto"/>
              </w:rPr>
            </w:pPr>
          </w:p>
        </w:tc>
      </w:tr>
      <w:tr>
        <w:trPr>
          <w:trHeight w:val="243"/>
        </w:trPr>
        <w:tc>
          <w:tcPr>
            <w:tcW w:w="43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20"/>
                <w:szCs w:val="20"/>
                <w:color w:val="auto"/>
              </w:rPr>
              <w:t>West Group</w:t>
            </w:r>
          </w:p>
        </w:tc>
        <w:tc>
          <w:tcPr>
            <w:tcW w:w="1660" w:type="dxa"/>
            <w:vAlign w:val="bottom"/>
            <w:tcBorders>
              <w:bottom w:val="single" w:sz="8" w:color="auto"/>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611.8</w:t>
            </w:r>
          </w:p>
        </w:tc>
        <w:tc>
          <w:tcPr>
            <w:tcW w:w="280" w:type="dxa"/>
            <w:vAlign w:val="bottom"/>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39.9</w:t>
            </w:r>
          </w:p>
        </w:tc>
        <w:tc>
          <w:tcPr>
            <w:tcW w:w="2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651.7</w:t>
            </w:r>
          </w:p>
        </w:tc>
        <w:tc>
          <w:tcPr>
            <w:tcW w:w="120" w:type="dxa"/>
            <w:vAlign w:val="bottom"/>
            <w:shd w:val="clear" w:color="auto" w:fill="CFF0FC"/>
          </w:tcPr>
          <w:p>
            <w:pPr>
              <w:spacing w:after="0"/>
              <w:rPr>
                <w:sz w:val="21"/>
                <w:szCs w:val="21"/>
                <w:color w:val="auto"/>
              </w:rPr>
            </w:pPr>
          </w:p>
        </w:tc>
      </w:tr>
      <w:tr>
        <w:trPr>
          <w:trHeight w:val="237"/>
        </w:trPr>
        <w:tc>
          <w:tcPr>
            <w:tcW w:w="4380" w:type="dxa"/>
            <w:vAlign w:val="bottom"/>
          </w:tcPr>
          <w:p>
            <w:pPr>
              <w:spacing w:after="0"/>
              <w:rPr>
                <w:sz w:val="20"/>
                <w:szCs w:val="20"/>
                <w:color w:val="auto"/>
              </w:rPr>
            </w:pPr>
            <w:r>
              <w:rPr>
                <w:rFonts w:ascii="Arial" w:cs="Arial" w:eastAsia="Arial" w:hAnsi="Arial"/>
                <w:sz w:val="20"/>
                <w:szCs w:val="20"/>
                <w:color w:val="auto"/>
              </w:rPr>
              <w:t>Total Building Materials Business</w:t>
            </w:r>
          </w:p>
        </w:tc>
        <w:tc>
          <w:tcPr>
            <w:tcW w:w="1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1,125.7</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77.5</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1,203.2</w:t>
            </w:r>
          </w:p>
        </w:tc>
        <w:tc>
          <w:tcPr>
            <w:tcW w:w="120" w:type="dxa"/>
            <w:vAlign w:val="bottom"/>
          </w:tcPr>
          <w:p>
            <w:pPr>
              <w:spacing w:after="0"/>
              <w:rPr>
                <w:sz w:val="20"/>
                <w:szCs w:val="20"/>
                <w:color w:val="auto"/>
              </w:rPr>
            </w:pPr>
          </w:p>
        </w:tc>
      </w:tr>
      <w:tr>
        <w:trPr>
          <w:trHeight w:val="243"/>
        </w:trPr>
        <w:tc>
          <w:tcPr>
            <w:tcW w:w="43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20"/>
                <w:szCs w:val="20"/>
                <w:color w:val="auto"/>
              </w:rPr>
              <w:t>Magnesia Specialties</w:t>
            </w:r>
          </w:p>
        </w:tc>
        <w:tc>
          <w:tcPr>
            <w:tcW w:w="1660" w:type="dxa"/>
            <w:vAlign w:val="bottom"/>
            <w:tcBorders>
              <w:bottom w:val="single" w:sz="8" w:color="auto"/>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70.4</w:t>
            </w:r>
          </w:p>
        </w:tc>
        <w:tc>
          <w:tcPr>
            <w:tcW w:w="280" w:type="dxa"/>
            <w:vAlign w:val="bottom"/>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5.9</w:t>
            </w:r>
          </w:p>
        </w:tc>
        <w:tc>
          <w:tcPr>
            <w:tcW w:w="2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76.3</w:t>
            </w:r>
          </w:p>
        </w:tc>
        <w:tc>
          <w:tcPr>
            <w:tcW w:w="120" w:type="dxa"/>
            <w:vAlign w:val="bottom"/>
            <w:shd w:val="clear" w:color="auto" w:fill="CFF0FC"/>
          </w:tcPr>
          <w:p>
            <w:pPr>
              <w:spacing w:after="0"/>
              <w:rPr>
                <w:sz w:val="21"/>
                <w:szCs w:val="21"/>
                <w:color w:val="auto"/>
              </w:rPr>
            </w:pPr>
          </w:p>
        </w:tc>
      </w:tr>
      <w:tr>
        <w:trPr>
          <w:trHeight w:val="237"/>
        </w:trPr>
        <w:tc>
          <w:tcPr>
            <w:tcW w:w="438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Total</w:t>
            </w:r>
          </w:p>
        </w:tc>
        <w:tc>
          <w:tcPr>
            <w:tcW w:w="18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20"/>
                <w:szCs w:val="20"/>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1,196.1</w:t>
            </w:r>
          </w:p>
        </w:tc>
        <w:tc>
          <w:tcPr>
            <w:tcW w:w="28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83.4</w:t>
            </w:r>
          </w:p>
        </w:tc>
        <w:tc>
          <w:tcPr>
            <w:tcW w:w="2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1,279.5</w:t>
            </w:r>
          </w:p>
        </w:tc>
        <w:tc>
          <w:tcPr>
            <w:tcW w:w="120" w:type="dxa"/>
            <w:vAlign w:val="bottom"/>
          </w:tcPr>
          <w:p>
            <w:pPr>
              <w:spacing w:after="0"/>
              <w:rPr>
                <w:sz w:val="20"/>
                <w:szCs w:val="20"/>
                <w:color w:val="auto"/>
              </w:rPr>
            </w:pPr>
          </w:p>
        </w:tc>
      </w:tr>
      <w:tr>
        <w:trPr>
          <w:trHeight w:val="20"/>
        </w:trPr>
        <w:tc>
          <w:tcPr>
            <w:tcW w:w="43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78" w:lineRule="exact"/>
        <w:rPr>
          <w:sz w:val="20"/>
          <w:szCs w:val="20"/>
          <w:color w:val="auto"/>
        </w:rPr>
      </w:pPr>
    </w:p>
    <w:p>
      <w:pPr>
        <w:ind w:left="380"/>
        <w:spacing w:after="0" w:line="260" w:lineRule="auto"/>
        <w:rPr>
          <w:sz w:val="20"/>
          <w:szCs w:val="20"/>
          <w:color w:val="auto"/>
        </w:rPr>
      </w:pPr>
      <w:r>
        <w:rPr>
          <w:rFonts w:ascii="Arial" w:cs="Arial" w:eastAsia="Arial" w:hAnsi="Arial"/>
          <w:sz w:val="20"/>
          <w:szCs w:val="20"/>
          <w:color w:val="auto"/>
        </w:rPr>
        <w:t>Service revenues, which include paving operations located in Colorado, were $94.0 million and $71.0 million for the three months ended June 30, 2020 and 2019, respectively.</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13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June 30, 2020</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80" w:type="dxa"/>
            <w:vAlign w:val="bottom"/>
            <w:gridSpan w:val="3"/>
          </w:tcPr>
          <w:p>
            <w:pPr>
              <w:ind w:left="180"/>
              <w:spacing w:after="0"/>
              <w:rPr>
                <w:sz w:val="20"/>
                <w:szCs w:val="20"/>
                <w:color w:val="auto"/>
              </w:rPr>
            </w:pPr>
            <w:r>
              <w:rPr>
                <w:rFonts w:ascii="Arial" w:cs="Arial" w:eastAsia="Arial" w:hAnsi="Arial"/>
                <w:sz w:val="20"/>
                <w:szCs w:val="20"/>
                <w:color w:val="auto"/>
                <w:w w:val="97"/>
              </w:rPr>
              <w:t>Six Months Ended</w:t>
            </w:r>
          </w:p>
        </w:tc>
        <w:tc>
          <w:tcPr>
            <w:tcW w:w="4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6"/>
        </w:trPr>
        <w:tc>
          <w:tcPr>
            <w:tcW w:w="60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20"/>
                <w:szCs w:val="20"/>
                <w:color w:val="auto"/>
                <w:w w:val="86"/>
              </w:rPr>
              <w:t>June 30, 2020</w:t>
            </w:r>
          </w:p>
        </w:tc>
        <w:tc>
          <w:tcPr>
            <w:tcW w:w="4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0"/>
        </w:trPr>
        <w:tc>
          <w:tcPr>
            <w:tcW w:w="6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center"/>
              <w:ind w:right="280"/>
              <w:spacing w:after="0" w:line="220" w:lineRule="exact"/>
              <w:rPr>
                <w:sz w:val="20"/>
                <w:szCs w:val="20"/>
                <w:color w:val="auto"/>
              </w:rPr>
            </w:pPr>
            <w:r>
              <w:rPr>
                <w:rFonts w:ascii="Arial" w:cs="Arial" w:eastAsia="Arial" w:hAnsi="Arial"/>
                <w:sz w:val="20"/>
                <w:szCs w:val="20"/>
                <w:color w:val="auto"/>
                <w:w w:val="86"/>
              </w:rPr>
              <w:t>Products and</w:t>
            </w:r>
          </w:p>
        </w:tc>
        <w:tc>
          <w:tcPr>
            <w:tcW w:w="3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6"/>
        </w:trPr>
        <w:tc>
          <w:tcPr>
            <w:tcW w:w="6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20"/>
                <w:szCs w:val="20"/>
                <w:color w:val="auto"/>
                <w:w w:val="86"/>
              </w:rPr>
              <w:t>Services</w:t>
            </w:r>
          </w:p>
        </w:tc>
        <w:tc>
          <w:tcPr>
            <w:tcW w:w="320" w:type="dxa"/>
            <w:vAlign w:val="bottom"/>
          </w:tcPr>
          <w:p>
            <w:pPr>
              <w:spacing w:after="0"/>
              <w:rPr>
                <w:sz w:val="21"/>
                <w:szCs w:val="21"/>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20"/>
                <w:szCs w:val="20"/>
                <w:color w:val="auto"/>
                <w:w w:val="93"/>
              </w:rPr>
              <w:t>Freight</w:t>
            </w:r>
          </w:p>
        </w:tc>
        <w:tc>
          <w:tcPr>
            <w:tcW w:w="480" w:type="dxa"/>
            <w:vAlign w:val="bottom"/>
          </w:tcPr>
          <w:p>
            <w:pPr>
              <w:spacing w:after="0"/>
              <w:rPr>
                <w:sz w:val="21"/>
                <w:szCs w:val="21"/>
                <w:color w:val="auto"/>
              </w:rPr>
            </w:pPr>
          </w:p>
        </w:tc>
        <w:tc>
          <w:tcPr>
            <w:tcW w:w="1300" w:type="dxa"/>
            <w:vAlign w:val="bottom"/>
            <w:gridSpan w:val="2"/>
          </w:tcPr>
          <w:p>
            <w:pPr>
              <w:ind w:left="220"/>
              <w:spacing w:after="0"/>
              <w:rPr>
                <w:sz w:val="20"/>
                <w:szCs w:val="20"/>
                <w:color w:val="auto"/>
              </w:rPr>
            </w:pPr>
            <w:r>
              <w:rPr>
                <w:rFonts w:ascii="Arial" w:cs="Arial" w:eastAsia="Arial" w:hAnsi="Arial"/>
                <w:sz w:val="20"/>
                <w:szCs w:val="20"/>
                <w:color w:val="auto"/>
              </w:rPr>
              <w:t>Total</w:t>
            </w:r>
          </w:p>
        </w:tc>
      </w:tr>
      <w:tr>
        <w:trPr>
          <w:trHeight w:val="236"/>
        </w:trPr>
        <w:tc>
          <w:tcPr>
            <w:tcW w:w="60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gridSpan w:val="3"/>
          </w:tcPr>
          <w:p>
            <w:pPr>
              <w:jc w:val="center"/>
              <w:spacing w:after="0"/>
              <w:rPr>
                <w:sz w:val="20"/>
                <w:szCs w:val="20"/>
                <w:color w:val="auto"/>
              </w:rPr>
            </w:pPr>
            <w:r>
              <w:rPr>
                <w:rFonts w:ascii="Arial" w:cs="Arial" w:eastAsia="Arial" w:hAnsi="Arial"/>
                <w:sz w:val="20"/>
                <w:szCs w:val="20"/>
                <w:i w:val="1"/>
                <w:iCs w:val="1"/>
                <w:color w:val="auto"/>
                <w:w w:val="98"/>
              </w:rPr>
              <w:t>(Dollars in Millions)</w:t>
            </w:r>
          </w:p>
        </w:tc>
        <w:tc>
          <w:tcPr>
            <w:tcW w:w="4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6060" w:type="dxa"/>
            <w:vAlign w:val="bottom"/>
            <w:shd w:val="clear" w:color="auto" w:fill="CFF0FC"/>
          </w:tcPr>
          <w:p>
            <w:pPr>
              <w:spacing w:after="0"/>
              <w:rPr>
                <w:sz w:val="20"/>
                <w:szCs w:val="20"/>
                <w:color w:val="auto"/>
              </w:rPr>
            </w:pPr>
            <w:r>
              <w:rPr>
                <w:rFonts w:ascii="Arial" w:cs="Arial" w:eastAsia="Arial" w:hAnsi="Arial"/>
                <w:sz w:val="20"/>
                <w:szCs w:val="20"/>
                <w:color w:val="auto"/>
              </w:rPr>
              <w:t>Mid-America Group</w:t>
            </w:r>
          </w:p>
        </w:tc>
        <w:tc>
          <w:tcPr>
            <w:tcW w:w="16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603.9</w:t>
            </w:r>
          </w:p>
        </w:tc>
        <w:tc>
          <w:tcPr>
            <w:tcW w:w="120" w:type="dxa"/>
            <w:vAlign w:val="bottom"/>
            <w:shd w:val="clear" w:color="auto" w:fill="CFF0FC"/>
          </w:tcPr>
          <w:p>
            <w:pPr>
              <w:spacing w:after="0"/>
              <w:rPr>
                <w:sz w:val="21"/>
                <w:szCs w:val="21"/>
                <w:color w:val="auto"/>
              </w:rPr>
            </w:pPr>
          </w:p>
        </w:tc>
        <w:tc>
          <w:tcPr>
            <w:tcW w:w="320" w:type="dxa"/>
            <w:vAlign w:val="bottom"/>
            <w:shd w:val="clear" w:color="auto" w:fill="CFF0FC"/>
          </w:tcPr>
          <w:p>
            <w:pPr>
              <w:ind w:left="160"/>
              <w:spacing w:after="0"/>
              <w:rPr>
                <w:sz w:val="20"/>
                <w:szCs w:val="20"/>
                <w:color w:val="auto"/>
              </w:rPr>
            </w:pPr>
            <w:r>
              <w:rPr>
                <w:rFonts w:ascii="Arial" w:cs="Arial" w:eastAsia="Arial" w:hAnsi="Arial"/>
                <w:sz w:val="20"/>
                <w:szCs w:val="20"/>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49.2</w:t>
            </w:r>
          </w:p>
        </w:tc>
        <w:tc>
          <w:tcPr>
            <w:tcW w:w="120" w:type="dxa"/>
            <w:vAlign w:val="bottom"/>
            <w:shd w:val="clear" w:color="auto" w:fill="CFF0FC"/>
          </w:tcPr>
          <w:p>
            <w:pPr>
              <w:spacing w:after="0"/>
              <w:rPr>
                <w:sz w:val="21"/>
                <w:szCs w:val="21"/>
                <w:color w:val="auto"/>
              </w:rPr>
            </w:pPr>
          </w:p>
        </w:tc>
        <w:tc>
          <w:tcPr>
            <w:tcW w:w="4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653.1</w:t>
            </w:r>
          </w:p>
        </w:tc>
        <w:tc>
          <w:tcPr>
            <w:tcW w:w="100" w:type="dxa"/>
            <w:vAlign w:val="bottom"/>
            <w:shd w:val="clear" w:color="auto" w:fill="CFF0FC"/>
          </w:tcPr>
          <w:p>
            <w:pPr>
              <w:spacing w:after="0"/>
              <w:rPr>
                <w:sz w:val="21"/>
                <w:szCs w:val="21"/>
                <w:color w:val="auto"/>
              </w:rPr>
            </w:pPr>
          </w:p>
        </w:tc>
      </w:tr>
      <w:tr>
        <w:trPr>
          <w:trHeight w:val="243"/>
        </w:trPr>
        <w:tc>
          <w:tcPr>
            <w:tcW w:w="6060" w:type="dxa"/>
            <w:vAlign w:val="bottom"/>
          </w:tcPr>
          <w:p>
            <w:pPr>
              <w:spacing w:after="0"/>
              <w:rPr>
                <w:sz w:val="20"/>
                <w:szCs w:val="20"/>
                <w:color w:val="auto"/>
              </w:rPr>
            </w:pPr>
            <w:r>
              <w:rPr>
                <w:rFonts w:ascii="Arial" w:cs="Arial" w:eastAsia="Arial" w:hAnsi="Arial"/>
                <w:sz w:val="20"/>
                <w:szCs w:val="20"/>
                <w:color w:val="auto"/>
              </w:rPr>
              <w:t>Southeast Group</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253.7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9.7</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263.4</w:t>
            </w:r>
          </w:p>
        </w:tc>
        <w:tc>
          <w:tcPr>
            <w:tcW w:w="100" w:type="dxa"/>
            <w:vAlign w:val="bottom"/>
          </w:tcPr>
          <w:p>
            <w:pPr>
              <w:spacing w:after="0"/>
              <w:rPr>
                <w:sz w:val="21"/>
                <w:szCs w:val="21"/>
                <w:color w:val="auto"/>
              </w:rPr>
            </w:pPr>
          </w:p>
        </w:tc>
      </w:tr>
      <w:tr>
        <w:trPr>
          <w:trHeight w:val="243"/>
        </w:trPr>
        <w:tc>
          <w:tcPr>
            <w:tcW w:w="60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20"/>
                <w:szCs w:val="20"/>
                <w:color w:val="auto"/>
              </w:rPr>
              <w:t>West Group</w:t>
            </w:r>
          </w:p>
        </w:tc>
        <w:tc>
          <w:tcPr>
            <w:tcW w:w="16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1,114.1</w:t>
            </w:r>
          </w:p>
        </w:tc>
        <w:tc>
          <w:tcPr>
            <w:tcW w:w="120" w:type="dxa"/>
            <w:vAlign w:val="bottom"/>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79.0</w:t>
            </w:r>
          </w:p>
        </w:tc>
        <w:tc>
          <w:tcPr>
            <w:tcW w:w="120" w:type="dxa"/>
            <w:vAlign w:val="bottom"/>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1,193.1</w:t>
            </w:r>
          </w:p>
        </w:tc>
        <w:tc>
          <w:tcPr>
            <w:tcW w:w="100" w:type="dxa"/>
            <w:vAlign w:val="bottom"/>
            <w:shd w:val="clear" w:color="auto" w:fill="CFF0FC"/>
          </w:tcPr>
          <w:p>
            <w:pPr>
              <w:spacing w:after="0"/>
              <w:rPr>
                <w:sz w:val="21"/>
                <w:szCs w:val="21"/>
                <w:color w:val="auto"/>
              </w:rPr>
            </w:pPr>
          </w:p>
        </w:tc>
      </w:tr>
      <w:tr>
        <w:trPr>
          <w:trHeight w:val="237"/>
        </w:trPr>
        <w:tc>
          <w:tcPr>
            <w:tcW w:w="6060" w:type="dxa"/>
            <w:vAlign w:val="bottom"/>
          </w:tcPr>
          <w:p>
            <w:pPr>
              <w:spacing w:after="0"/>
              <w:rPr>
                <w:sz w:val="20"/>
                <w:szCs w:val="20"/>
                <w:color w:val="auto"/>
              </w:rPr>
            </w:pPr>
            <w:r>
              <w:rPr>
                <w:rFonts w:ascii="Arial" w:cs="Arial" w:eastAsia="Arial" w:hAnsi="Arial"/>
                <w:sz w:val="20"/>
                <w:szCs w:val="20"/>
                <w:color w:val="auto"/>
              </w:rPr>
              <w:t>Total Building Materials Business</w:t>
            </w: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1,971.7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137.9</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2,109.6</w:t>
            </w:r>
          </w:p>
        </w:tc>
        <w:tc>
          <w:tcPr>
            <w:tcW w:w="100" w:type="dxa"/>
            <w:vAlign w:val="bottom"/>
          </w:tcPr>
          <w:p>
            <w:pPr>
              <w:spacing w:after="0"/>
              <w:rPr>
                <w:sz w:val="20"/>
                <w:szCs w:val="20"/>
                <w:color w:val="auto"/>
              </w:rPr>
            </w:pPr>
          </w:p>
        </w:tc>
      </w:tr>
      <w:tr>
        <w:trPr>
          <w:trHeight w:val="243"/>
        </w:trPr>
        <w:tc>
          <w:tcPr>
            <w:tcW w:w="60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20"/>
                <w:szCs w:val="20"/>
                <w:color w:val="auto"/>
              </w:rPr>
              <w:t>Magnesia Specialties</w:t>
            </w:r>
          </w:p>
        </w:tc>
        <w:tc>
          <w:tcPr>
            <w:tcW w:w="16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108.8</w:t>
            </w:r>
          </w:p>
        </w:tc>
        <w:tc>
          <w:tcPr>
            <w:tcW w:w="120" w:type="dxa"/>
            <w:vAlign w:val="bottom"/>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10.5</w:t>
            </w:r>
          </w:p>
        </w:tc>
        <w:tc>
          <w:tcPr>
            <w:tcW w:w="120" w:type="dxa"/>
            <w:vAlign w:val="bottom"/>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119.3</w:t>
            </w:r>
          </w:p>
        </w:tc>
        <w:tc>
          <w:tcPr>
            <w:tcW w:w="100" w:type="dxa"/>
            <w:vAlign w:val="bottom"/>
            <w:shd w:val="clear" w:color="auto" w:fill="CFF0FC"/>
          </w:tcPr>
          <w:p>
            <w:pPr>
              <w:spacing w:after="0"/>
              <w:rPr>
                <w:sz w:val="21"/>
                <w:szCs w:val="21"/>
                <w:color w:val="auto"/>
              </w:rPr>
            </w:pPr>
          </w:p>
        </w:tc>
      </w:tr>
      <w:tr>
        <w:trPr>
          <w:trHeight w:val="237"/>
        </w:trPr>
        <w:tc>
          <w:tcPr>
            <w:tcW w:w="60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2,080.5</w:t>
            </w:r>
          </w:p>
        </w:tc>
        <w:tc>
          <w:tcPr>
            <w:tcW w:w="120" w:type="dxa"/>
            <w:vAlign w:val="bottom"/>
          </w:tcPr>
          <w:p>
            <w:pPr>
              <w:spacing w:after="0"/>
              <w:rPr>
                <w:sz w:val="20"/>
                <w:szCs w:val="20"/>
                <w:color w:val="auto"/>
              </w:rPr>
            </w:pPr>
          </w:p>
        </w:tc>
        <w:tc>
          <w:tcPr>
            <w:tcW w:w="320" w:type="dxa"/>
            <w:vAlign w:val="bottom"/>
            <w:tcBorders>
              <w:bottom w:val="single" w:sz="8" w:color="auto"/>
            </w:tcBorders>
          </w:tcPr>
          <w:p>
            <w:pPr>
              <w:ind w:left="160"/>
              <w:spacing w:after="0"/>
              <w:rPr>
                <w:sz w:val="20"/>
                <w:szCs w:val="20"/>
                <w:color w:val="auto"/>
              </w:rPr>
            </w:pPr>
            <w:r>
              <w:rPr>
                <w:rFonts w:ascii="Arial" w:cs="Arial" w:eastAsia="Arial" w:hAnsi="Arial"/>
                <w:sz w:val="20"/>
                <w:szCs w:val="20"/>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148.4</w:t>
            </w:r>
          </w:p>
        </w:tc>
        <w:tc>
          <w:tcPr>
            <w:tcW w:w="120" w:type="dxa"/>
            <w:vAlign w:val="bottom"/>
          </w:tcPr>
          <w:p>
            <w:pPr>
              <w:spacing w:after="0"/>
              <w:rPr>
                <w:sz w:val="20"/>
                <w:szCs w:val="20"/>
                <w:color w:val="auto"/>
              </w:rPr>
            </w:pPr>
          </w:p>
        </w:tc>
        <w:tc>
          <w:tcPr>
            <w:tcW w:w="480" w:type="dxa"/>
            <w:vAlign w:val="bottom"/>
            <w:tcBorders>
              <w:bottom w:val="single" w:sz="8" w:color="auto"/>
            </w:tcBorders>
          </w:tcPr>
          <w:p>
            <w:pPr>
              <w:jc w:val="right"/>
              <w:ind w:right="121"/>
              <w:spacing w:after="0"/>
              <w:rPr>
                <w:sz w:val="20"/>
                <w:szCs w:val="20"/>
                <w:color w:val="auto"/>
              </w:rPr>
            </w:pPr>
            <w:r>
              <w:rPr>
                <w:rFonts w:ascii="Arial" w:cs="Arial" w:eastAsia="Arial" w:hAnsi="Arial"/>
                <w:sz w:val="20"/>
                <w:szCs w:val="20"/>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2,228.9</w:t>
            </w:r>
          </w:p>
        </w:tc>
        <w:tc>
          <w:tcPr>
            <w:tcW w:w="100" w:type="dxa"/>
            <w:vAlign w:val="bottom"/>
          </w:tcPr>
          <w:p>
            <w:pPr>
              <w:spacing w:after="0"/>
              <w:rPr>
                <w:sz w:val="20"/>
                <w:szCs w:val="20"/>
                <w:color w:val="auto"/>
              </w:rPr>
            </w:pPr>
          </w:p>
        </w:tc>
      </w:tr>
      <w:tr>
        <w:trPr>
          <w:trHeight w:val="20"/>
        </w:trPr>
        <w:tc>
          <w:tcPr>
            <w:tcW w:w="60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63"/>
        </w:trPr>
        <w:tc>
          <w:tcPr>
            <w:tcW w:w="6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80" w:type="dxa"/>
            <w:vAlign w:val="bottom"/>
            <w:gridSpan w:val="3"/>
          </w:tcPr>
          <w:p>
            <w:pPr>
              <w:jc w:val="center"/>
              <w:spacing w:after="0"/>
              <w:rPr>
                <w:sz w:val="20"/>
                <w:szCs w:val="20"/>
                <w:color w:val="auto"/>
              </w:rPr>
            </w:pPr>
            <w:r>
              <w:rPr>
                <w:rFonts w:ascii="Arial" w:cs="Arial" w:eastAsia="Arial" w:hAnsi="Arial"/>
                <w:sz w:val="20"/>
                <w:szCs w:val="20"/>
                <w:color w:val="auto"/>
                <w:w w:val="89"/>
              </w:rPr>
              <w:t>Six Months Ended</w:t>
            </w:r>
          </w:p>
        </w:tc>
        <w:tc>
          <w:tcPr>
            <w:tcW w:w="4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6"/>
        </w:trPr>
        <w:tc>
          <w:tcPr>
            <w:tcW w:w="60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20"/>
                <w:szCs w:val="20"/>
                <w:color w:val="auto"/>
                <w:w w:val="86"/>
              </w:rPr>
              <w:t>June 30, 2019</w:t>
            </w:r>
          </w:p>
        </w:tc>
        <w:tc>
          <w:tcPr>
            <w:tcW w:w="4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0"/>
        </w:trPr>
        <w:tc>
          <w:tcPr>
            <w:tcW w:w="6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center"/>
              <w:ind w:right="280"/>
              <w:spacing w:after="0" w:line="220" w:lineRule="exact"/>
              <w:rPr>
                <w:sz w:val="20"/>
                <w:szCs w:val="20"/>
                <w:color w:val="auto"/>
              </w:rPr>
            </w:pPr>
            <w:r>
              <w:rPr>
                <w:rFonts w:ascii="Arial" w:cs="Arial" w:eastAsia="Arial" w:hAnsi="Arial"/>
                <w:sz w:val="20"/>
                <w:szCs w:val="20"/>
                <w:color w:val="auto"/>
                <w:w w:val="86"/>
              </w:rPr>
              <w:t>Products and</w:t>
            </w:r>
          </w:p>
        </w:tc>
        <w:tc>
          <w:tcPr>
            <w:tcW w:w="3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6"/>
        </w:trPr>
        <w:tc>
          <w:tcPr>
            <w:tcW w:w="6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20"/>
                <w:szCs w:val="20"/>
                <w:color w:val="auto"/>
                <w:w w:val="86"/>
              </w:rPr>
              <w:t>Services</w:t>
            </w:r>
          </w:p>
        </w:tc>
        <w:tc>
          <w:tcPr>
            <w:tcW w:w="320" w:type="dxa"/>
            <w:vAlign w:val="bottom"/>
          </w:tcPr>
          <w:p>
            <w:pPr>
              <w:spacing w:after="0"/>
              <w:rPr>
                <w:sz w:val="21"/>
                <w:szCs w:val="21"/>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20"/>
                <w:szCs w:val="20"/>
                <w:color w:val="auto"/>
                <w:w w:val="93"/>
              </w:rPr>
              <w:t>Freight</w:t>
            </w:r>
          </w:p>
        </w:tc>
        <w:tc>
          <w:tcPr>
            <w:tcW w:w="480" w:type="dxa"/>
            <w:vAlign w:val="bottom"/>
          </w:tcPr>
          <w:p>
            <w:pPr>
              <w:spacing w:after="0"/>
              <w:rPr>
                <w:sz w:val="21"/>
                <w:szCs w:val="21"/>
                <w:color w:val="auto"/>
              </w:rPr>
            </w:pPr>
          </w:p>
        </w:tc>
        <w:tc>
          <w:tcPr>
            <w:tcW w:w="1300" w:type="dxa"/>
            <w:vAlign w:val="bottom"/>
            <w:gridSpan w:val="2"/>
          </w:tcPr>
          <w:p>
            <w:pPr>
              <w:ind w:left="220"/>
              <w:spacing w:after="0"/>
              <w:rPr>
                <w:sz w:val="20"/>
                <w:szCs w:val="20"/>
                <w:color w:val="auto"/>
              </w:rPr>
            </w:pPr>
            <w:r>
              <w:rPr>
                <w:rFonts w:ascii="Arial" w:cs="Arial" w:eastAsia="Arial" w:hAnsi="Arial"/>
                <w:sz w:val="20"/>
                <w:szCs w:val="20"/>
                <w:color w:val="auto"/>
              </w:rPr>
              <w:t>Total</w:t>
            </w:r>
          </w:p>
        </w:tc>
      </w:tr>
      <w:tr>
        <w:trPr>
          <w:trHeight w:val="233"/>
        </w:trPr>
        <w:tc>
          <w:tcPr>
            <w:tcW w:w="60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gridSpan w:val="3"/>
          </w:tcPr>
          <w:p>
            <w:pPr>
              <w:jc w:val="center"/>
              <w:spacing w:after="0"/>
              <w:rPr>
                <w:sz w:val="20"/>
                <w:szCs w:val="20"/>
                <w:color w:val="auto"/>
              </w:rPr>
            </w:pPr>
            <w:r>
              <w:rPr>
                <w:rFonts w:ascii="Arial" w:cs="Arial" w:eastAsia="Arial" w:hAnsi="Arial"/>
                <w:sz w:val="20"/>
                <w:szCs w:val="20"/>
                <w:i w:val="1"/>
                <w:iCs w:val="1"/>
                <w:color w:val="auto"/>
                <w:w w:val="98"/>
              </w:rPr>
              <w:t>(Dollars in Millions)</w:t>
            </w:r>
          </w:p>
        </w:tc>
        <w:tc>
          <w:tcPr>
            <w:tcW w:w="4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46"/>
        </w:trPr>
        <w:tc>
          <w:tcPr>
            <w:tcW w:w="6060" w:type="dxa"/>
            <w:vAlign w:val="bottom"/>
          </w:tcPr>
          <w:p>
            <w:pPr>
              <w:spacing w:after="0"/>
              <w:rPr>
                <w:sz w:val="20"/>
                <w:szCs w:val="20"/>
                <w:color w:val="auto"/>
              </w:rPr>
            </w:pPr>
            <w:r>
              <w:rPr>
                <w:rFonts w:ascii="Arial" w:cs="Arial" w:eastAsia="Arial" w:hAnsi="Arial"/>
                <w:sz w:val="20"/>
                <w:szCs w:val="20"/>
                <w:color w:val="auto"/>
              </w:rPr>
              <w:t>Mid-America Group</w:t>
            </w:r>
          </w:p>
        </w:tc>
        <w:tc>
          <w:tcPr>
            <w:tcW w:w="16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340" w:type="dxa"/>
            <w:vAlign w:val="bottom"/>
          </w:tcPr>
          <w:p>
            <w:pPr>
              <w:jc w:val="right"/>
              <w:spacing w:after="0"/>
              <w:rPr>
                <w:sz w:val="20"/>
                <w:szCs w:val="20"/>
                <w:color w:val="auto"/>
              </w:rPr>
            </w:pPr>
            <w:r>
              <w:rPr>
                <w:rFonts w:ascii="Arial" w:cs="Arial" w:eastAsia="Arial" w:hAnsi="Arial"/>
                <w:sz w:val="20"/>
                <w:szCs w:val="20"/>
                <w:color w:val="auto"/>
              </w:rPr>
              <w:t>611.5</w:t>
            </w:r>
          </w:p>
        </w:tc>
        <w:tc>
          <w:tcPr>
            <w:tcW w:w="120" w:type="dxa"/>
            <w:vAlign w:val="bottom"/>
          </w:tcPr>
          <w:p>
            <w:pPr>
              <w:spacing w:after="0"/>
              <w:rPr>
                <w:sz w:val="21"/>
                <w:szCs w:val="21"/>
                <w:color w:val="auto"/>
              </w:rPr>
            </w:pPr>
          </w:p>
        </w:tc>
        <w:tc>
          <w:tcPr>
            <w:tcW w:w="320" w:type="dxa"/>
            <w:vAlign w:val="bottom"/>
          </w:tcPr>
          <w:p>
            <w:pPr>
              <w:ind w:left="160"/>
              <w:spacing w:after="0"/>
              <w:rPr>
                <w:sz w:val="20"/>
                <w:szCs w:val="20"/>
                <w:color w:val="auto"/>
              </w:rPr>
            </w:pPr>
            <w:r>
              <w:rPr>
                <w:rFonts w:ascii="Arial" w:cs="Arial" w:eastAsia="Arial" w:hAnsi="Arial"/>
                <w:sz w:val="20"/>
                <w:szCs w:val="20"/>
                <w:color w:val="auto"/>
              </w:rPr>
              <w:t>$</w:t>
            </w:r>
          </w:p>
        </w:tc>
        <w:tc>
          <w:tcPr>
            <w:tcW w:w="1340" w:type="dxa"/>
            <w:vAlign w:val="bottom"/>
          </w:tcPr>
          <w:p>
            <w:pPr>
              <w:jc w:val="right"/>
              <w:spacing w:after="0"/>
              <w:rPr>
                <w:sz w:val="20"/>
                <w:szCs w:val="20"/>
                <w:color w:val="auto"/>
              </w:rPr>
            </w:pPr>
            <w:r>
              <w:rPr>
                <w:rFonts w:ascii="Arial" w:cs="Arial" w:eastAsia="Arial" w:hAnsi="Arial"/>
                <w:sz w:val="20"/>
                <w:szCs w:val="20"/>
                <w:color w:val="auto"/>
              </w:rPr>
              <w:t>51.1</w:t>
            </w:r>
          </w:p>
        </w:tc>
        <w:tc>
          <w:tcPr>
            <w:tcW w:w="120" w:type="dxa"/>
            <w:vAlign w:val="bottom"/>
          </w:tcPr>
          <w:p>
            <w:pPr>
              <w:spacing w:after="0"/>
              <w:rPr>
                <w:sz w:val="21"/>
                <w:szCs w:val="21"/>
                <w:color w:val="auto"/>
              </w:rPr>
            </w:pP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1200" w:type="dxa"/>
            <w:vAlign w:val="bottom"/>
          </w:tcPr>
          <w:p>
            <w:pPr>
              <w:jc w:val="right"/>
              <w:spacing w:after="0"/>
              <w:rPr>
                <w:sz w:val="20"/>
                <w:szCs w:val="20"/>
                <w:color w:val="auto"/>
              </w:rPr>
            </w:pPr>
            <w:r>
              <w:rPr>
                <w:rFonts w:ascii="Arial" w:cs="Arial" w:eastAsia="Arial" w:hAnsi="Arial"/>
                <w:sz w:val="20"/>
                <w:szCs w:val="20"/>
                <w:color w:val="auto"/>
              </w:rPr>
              <w:t>662.6</w:t>
            </w:r>
          </w:p>
        </w:tc>
        <w:tc>
          <w:tcPr>
            <w:tcW w:w="100" w:type="dxa"/>
            <w:vAlign w:val="bottom"/>
          </w:tcPr>
          <w:p>
            <w:pPr>
              <w:spacing w:after="0"/>
              <w:rPr>
                <w:sz w:val="21"/>
                <w:szCs w:val="21"/>
                <w:color w:val="auto"/>
              </w:rPr>
            </w:pPr>
          </w:p>
        </w:tc>
      </w:tr>
      <w:tr>
        <w:trPr>
          <w:trHeight w:val="243"/>
        </w:trPr>
        <w:tc>
          <w:tcPr>
            <w:tcW w:w="6060" w:type="dxa"/>
            <w:vAlign w:val="bottom"/>
            <w:shd w:val="clear" w:color="auto" w:fill="CFF0FC"/>
          </w:tcPr>
          <w:p>
            <w:pPr>
              <w:spacing w:after="0"/>
              <w:rPr>
                <w:sz w:val="20"/>
                <w:szCs w:val="20"/>
                <w:color w:val="auto"/>
              </w:rPr>
            </w:pPr>
            <w:r>
              <w:rPr>
                <w:rFonts w:ascii="Arial" w:cs="Arial" w:eastAsia="Arial" w:hAnsi="Arial"/>
                <w:sz w:val="20"/>
                <w:szCs w:val="20"/>
                <w:color w:val="auto"/>
              </w:rPr>
              <w:t>Southeast Group</w:t>
            </w:r>
          </w:p>
        </w:tc>
        <w:tc>
          <w:tcPr>
            <w:tcW w:w="16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247.4</w:t>
            </w:r>
          </w:p>
        </w:tc>
        <w:tc>
          <w:tcPr>
            <w:tcW w:w="1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8.9</w:t>
            </w:r>
          </w:p>
        </w:tc>
        <w:tc>
          <w:tcPr>
            <w:tcW w:w="12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256.3</w:t>
            </w:r>
          </w:p>
        </w:tc>
        <w:tc>
          <w:tcPr>
            <w:tcW w:w="100" w:type="dxa"/>
            <w:vAlign w:val="bottom"/>
            <w:shd w:val="clear" w:color="auto" w:fill="CFF0FC"/>
          </w:tcPr>
          <w:p>
            <w:pPr>
              <w:spacing w:after="0"/>
              <w:rPr>
                <w:sz w:val="21"/>
                <w:szCs w:val="21"/>
                <w:color w:val="auto"/>
              </w:rPr>
            </w:pPr>
          </w:p>
        </w:tc>
      </w:tr>
      <w:tr>
        <w:trPr>
          <w:trHeight w:val="243"/>
        </w:trPr>
        <w:tc>
          <w:tcPr>
            <w:tcW w:w="60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West Group</w:t>
            </w: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1,076.0</w:t>
            </w:r>
          </w:p>
        </w:tc>
        <w:tc>
          <w:tcPr>
            <w:tcW w:w="120" w:type="dxa"/>
            <w:vAlign w:val="bottom"/>
            <w:tcBorders>
              <w:bottom w:val="single" w:sz="8" w:color="CFF0FC"/>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73.2</w:t>
            </w:r>
          </w:p>
        </w:tc>
        <w:tc>
          <w:tcPr>
            <w:tcW w:w="120" w:type="dxa"/>
            <w:vAlign w:val="bottom"/>
            <w:tcBorders>
              <w:bottom w:val="single" w:sz="8" w:color="CFF0FC"/>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1,149.2</w:t>
            </w:r>
          </w:p>
        </w:tc>
        <w:tc>
          <w:tcPr>
            <w:tcW w:w="100" w:type="dxa"/>
            <w:vAlign w:val="bottom"/>
            <w:tcBorders>
              <w:bottom w:val="single" w:sz="8" w:color="CFF0FC"/>
            </w:tcBorders>
          </w:tcPr>
          <w:p>
            <w:pPr>
              <w:spacing w:after="0"/>
              <w:rPr>
                <w:sz w:val="21"/>
                <w:szCs w:val="21"/>
                <w:color w:val="auto"/>
              </w:rPr>
            </w:pPr>
          </w:p>
        </w:tc>
      </w:tr>
      <w:tr>
        <w:trPr>
          <w:trHeight w:val="236"/>
        </w:trPr>
        <w:tc>
          <w:tcPr>
            <w:tcW w:w="6060" w:type="dxa"/>
            <w:vAlign w:val="bottom"/>
            <w:shd w:val="clear" w:color="auto" w:fill="CFF0FC"/>
          </w:tcPr>
          <w:p>
            <w:pPr>
              <w:spacing w:after="0"/>
              <w:rPr>
                <w:sz w:val="20"/>
                <w:szCs w:val="20"/>
                <w:color w:val="auto"/>
              </w:rPr>
            </w:pPr>
            <w:r>
              <w:rPr>
                <w:rFonts w:ascii="Arial" w:cs="Arial" w:eastAsia="Arial" w:hAnsi="Arial"/>
                <w:sz w:val="20"/>
                <w:szCs w:val="20"/>
                <w:color w:val="auto"/>
              </w:rPr>
              <w:t>Total Building Materials Business</w:t>
            </w:r>
          </w:p>
        </w:tc>
        <w:tc>
          <w:tcPr>
            <w:tcW w:w="16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1,934.9</w:t>
            </w:r>
          </w:p>
        </w:tc>
        <w:tc>
          <w:tcPr>
            <w:tcW w:w="1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133.2</w:t>
            </w:r>
          </w:p>
        </w:tc>
        <w:tc>
          <w:tcPr>
            <w:tcW w:w="12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2,068.1</w:t>
            </w:r>
          </w:p>
        </w:tc>
        <w:tc>
          <w:tcPr>
            <w:tcW w:w="100" w:type="dxa"/>
            <w:vAlign w:val="bottom"/>
            <w:shd w:val="clear" w:color="auto" w:fill="CFF0FC"/>
          </w:tcPr>
          <w:p>
            <w:pPr>
              <w:spacing w:after="0"/>
              <w:rPr>
                <w:sz w:val="20"/>
                <w:szCs w:val="20"/>
                <w:color w:val="auto"/>
              </w:rPr>
            </w:pPr>
          </w:p>
        </w:tc>
      </w:tr>
      <w:tr>
        <w:trPr>
          <w:trHeight w:val="243"/>
        </w:trPr>
        <w:tc>
          <w:tcPr>
            <w:tcW w:w="60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Magnesia Specialties</w:t>
            </w: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139.5</w:t>
            </w:r>
          </w:p>
        </w:tc>
        <w:tc>
          <w:tcPr>
            <w:tcW w:w="120" w:type="dxa"/>
            <w:vAlign w:val="bottom"/>
            <w:tcBorders>
              <w:bottom w:val="single" w:sz="8" w:color="CFF0FC"/>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10.8</w:t>
            </w:r>
          </w:p>
        </w:tc>
        <w:tc>
          <w:tcPr>
            <w:tcW w:w="120" w:type="dxa"/>
            <w:vAlign w:val="bottom"/>
            <w:tcBorders>
              <w:bottom w:val="single" w:sz="8" w:color="CFF0FC"/>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150.3</w:t>
            </w:r>
          </w:p>
        </w:tc>
        <w:tc>
          <w:tcPr>
            <w:tcW w:w="100" w:type="dxa"/>
            <w:vAlign w:val="bottom"/>
            <w:tcBorders>
              <w:bottom w:val="single" w:sz="8" w:color="CFF0FC"/>
            </w:tcBorders>
          </w:tcPr>
          <w:p>
            <w:pPr>
              <w:spacing w:after="0"/>
              <w:rPr>
                <w:sz w:val="21"/>
                <w:szCs w:val="21"/>
                <w:color w:val="auto"/>
              </w:rPr>
            </w:pPr>
          </w:p>
        </w:tc>
      </w:tr>
      <w:tr>
        <w:trPr>
          <w:trHeight w:val="237"/>
        </w:trPr>
        <w:tc>
          <w:tcPr>
            <w:tcW w:w="60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20"/>
                <w:szCs w:val="20"/>
                <w:color w:val="auto"/>
              </w:rPr>
              <w:t>Total</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2,074.4</w:t>
            </w:r>
          </w:p>
        </w:tc>
        <w:tc>
          <w:tcPr>
            <w:tcW w:w="12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ind w:left="160"/>
              <w:spacing w:after="0"/>
              <w:rPr>
                <w:sz w:val="20"/>
                <w:szCs w:val="20"/>
                <w:color w:val="auto"/>
              </w:rPr>
            </w:pPr>
            <w:r>
              <w:rPr>
                <w:rFonts w:ascii="Arial" w:cs="Arial" w:eastAsia="Arial" w:hAnsi="Arial"/>
                <w:sz w:val="20"/>
                <w:szCs w:val="20"/>
                <w:color w:val="auto"/>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144.0</w:t>
            </w:r>
          </w:p>
        </w:tc>
        <w:tc>
          <w:tcPr>
            <w:tcW w:w="120" w:type="dxa"/>
            <w:vAlign w:val="bottom"/>
            <w:tcBorders>
              <w:bottom w:val="single" w:sz="8" w:color="CFF0FC"/>
            </w:tcBorders>
            <w:shd w:val="clear" w:color="auto" w:fill="CFF0FC"/>
          </w:tcPr>
          <w:p>
            <w:pPr>
              <w:spacing w:after="0"/>
              <w:rPr>
                <w:sz w:val="20"/>
                <w:szCs w:val="20"/>
                <w:color w:val="auto"/>
              </w:rPr>
            </w:pPr>
          </w:p>
        </w:tc>
        <w:tc>
          <w:tcPr>
            <w:tcW w:w="480" w:type="dxa"/>
            <w:vAlign w:val="bottom"/>
            <w:tcBorders>
              <w:bottom w:val="single" w:sz="8" w:color="auto"/>
            </w:tcBorders>
            <w:shd w:val="clear" w:color="auto" w:fill="CFF0FC"/>
          </w:tcPr>
          <w:p>
            <w:pPr>
              <w:jc w:val="right"/>
              <w:ind w:right="121"/>
              <w:spacing w:after="0"/>
              <w:rPr>
                <w:sz w:val="20"/>
                <w:szCs w:val="20"/>
                <w:color w:val="auto"/>
              </w:rPr>
            </w:pPr>
            <w:r>
              <w:rPr>
                <w:rFonts w:ascii="Arial" w:cs="Arial" w:eastAsia="Arial" w:hAnsi="Arial"/>
                <w:sz w:val="20"/>
                <w:szCs w:val="20"/>
                <w:color w:val="auto"/>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2,218.4</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0"/>
        </w:trPr>
        <w:tc>
          <w:tcPr>
            <w:tcW w:w="60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78" w:lineRule="exact"/>
        <w:rPr>
          <w:sz w:val="20"/>
          <w:szCs w:val="20"/>
          <w:color w:val="auto"/>
        </w:rPr>
      </w:pPr>
    </w:p>
    <w:p>
      <w:pPr>
        <w:ind w:left="380"/>
        <w:spacing w:after="0"/>
        <w:rPr>
          <w:sz w:val="20"/>
          <w:szCs w:val="20"/>
          <w:color w:val="auto"/>
        </w:rPr>
      </w:pPr>
      <w:r>
        <w:rPr>
          <w:rFonts w:ascii="Arial" w:cs="Arial" w:eastAsia="Arial" w:hAnsi="Arial"/>
          <w:sz w:val="20"/>
          <w:szCs w:val="20"/>
          <w:color w:val="auto"/>
        </w:rPr>
        <w:t>Service revenues for the six months ended June 30, 2020 and 2019 were $108.5 million and $81.0 million, respectively.</w:t>
      </w:r>
    </w:p>
    <w:p>
      <w:pPr>
        <w:spacing w:after="0" w:line="108" w:lineRule="exact"/>
        <w:rPr>
          <w:sz w:val="20"/>
          <w:szCs w:val="20"/>
          <w:color w:val="auto"/>
        </w:rPr>
      </w:pPr>
    </w:p>
    <w:p>
      <w:pPr>
        <w:jc w:val="both"/>
        <w:ind w:left="380"/>
        <w:spacing w:after="0" w:line="244" w:lineRule="auto"/>
        <w:rPr>
          <w:sz w:val="20"/>
          <w:szCs w:val="20"/>
          <w:color w:val="auto"/>
        </w:rPr>
      </w:pPr>
      <w:r>
        <w:rPr>
          <w:rFonts w:ascii="Arial" w:cs="Arial" w:eastAsia="Arial" w:hAnsi="Arial"/>
          <w:sz w:val="20"/>
          <w:szCs w:val="20"/>
          <w:b w:val="1"/>
          <w:bCs w:val="1"/>
          <w:i w:val="1"/>
          <w:iCs w:val="1"/>
          <w:color w:val="auto"/>
        </w:rPr>
        <w:t xml:space="preserve">Contract Balances. </w:t>
      </w:r>
      <w:r>
        <w:rPr>
          <w:rFonts w:ascii="Arial" w:cs="Arial" w:eastAsia="Arial" w:hAnsi="Arial"/>
          <w:sz w:val="20"/>
          <w:szCs w:val="20"/>
          <w:color w:val="auto"/>
        </w:rPr>
        <w:t>Costs in excess of billings relate to the conditional right to consideration for completed contractual performance and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are contract assets on the consolidated balance sheets. Costs in excess of billings are reclassified to accounts receivable when the right to consideration becomes unconditional. Billings in excess of costs relate to customers invoiced in advance of contractual performance and are contract liabilities on the consolidated balance sheets. The following table presents information about the Company’s contract balances: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620" w:type="dxa"/>
            <w:vAlign w:val="bottom"/>
          </w:tcPr>
          <w:p>
            <w:pPr>
              <w:spacing w:after="0"/>
              <w:rPr>
                <w:sz w:val="20"/>
                <w:szCs w:val="20"/>
                <w:color w:val="auto"/>
              </w:rPr>
            </w:pPr>
            <w:r>
              <w:rPr>
                <w:rFonts w:ascii="Arial" w:cs="Arial" w:eastAsia="Arial" w:hAnsi="Arial"/>
                <w:sz w:val="20"/>
                <w:szCs w:val="20"/>
                <w:i w:val="1"/>
                <w:iCs w:val="1"/>
                <w:color w:val="auto"/>
              </w:rPr>
              <w:t>(Dollars in Millions)</w:t>
            </w:r>
          </w:p>
        </w:tc>
        <w:tc>
          <w:tcPr>
            <w:tcW w:w="2780" w:type="dxa"/>
            <w:vAlign w:val="bottom"/>
          </w:tcPr>
          <w:p>
            <w:pPr>
              <w:spacing w:after="0"/>
              <w:rPr>
                <w:sz w:val="21"/>
                <w:szCs w:val="21"/>
                <w:color w:val="auto"/>
              </w:rPr>
            </w:pPr>
          </w:p>
        </w:tc>
        <w:tc>
          <w:tcPr>
            <w:tcW w:w="1700" w:type="dxa"/>
            <w:vAlign w:val="bottom"/>
            <w:gridSpan w:val="2"/>
          </w:tcPr>
          <w:p>
            <w:pPr>
              <w:ind w:left="120"/>
              <w:spacing w:after="0"/>
              <w:rPr>
                <w:sz w:val="20"/>
                <w:szCs w:val="20"/>
                <w:color w:val="auto"/>
              </w:rPr>
            </w:pPr>
            <w:r>
              <w:rPr>
                <w:rFonts w:ascii="Arial" w:cs="Arial" w:eastAsia="Arial" w:hAnsi="Arial"/>
                <w:sz w:val="20"/>
                <w:szCs w:val="20"/>
                <w:color w:val="auto"/>
              </w:rPr>
              <w:t>June 30, 2020</w:t>
            </w:r>
          </w:p>
        </w:tc>
        <w:tc>
          <w:tcPr>
            <w:tcW w:w="300" w:type="dxa"/>
            <w:vAlign w:val="bottom"/>
          </w:tcPr>
          <w:p>
            <w:pPr>
              <w:spacing w:after="0"/>
              <w:rPr>
                <w:sz w:val="21"/>
                <w:szCs w:val="21"/>
                <w:color w:val="auto"/>
              </w:rPr>
            </w:pPr>
          </w:p>
        </w:tc>
        <w:tc>
          <w:tcPr>
            <w:tcW w:w="1840" w:type="dxa"/>
            <w:vAlign w:val="bottom"/>
            <w:gridSpan w:val="2"/>
          </w:tcPr>
          <w:p>
            <w:pPr>
              <w:ind w:left="20"/>
              <w:spacing w:after="0"/>
              <w:rPr>
                <w:sz w:val="20"/>
                <w:szCs w:val="20"/>
                <w:color w:val="auto"/>
              </w:rPr>
            </w:pPr>
            <w:r>
              <w:rPr>
                <w:rFonts w:ascii="Arial" w:cs="Arial" w:eastAsia="Arial" w:hAnsi="Arial"/>
                <w:sz w:val="20"/>
                <w:szCs w:val="20"/>
                <w:color w:val="auto"/>
              </w:rPr>
              <w:t>December 31, 2019</w:t>
            </w:r>
          </w:p>
        </w:tc>
      </w:tr>
      <w:tr>
        <w:trPr>
          <w:trHeight w:val="237"/>
        </w:trPr>
        <w:tc>
          <w:tcPr>
            <w:tcW w:w="46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20"/>
                <w:szCs w:val="20"/>
                <w:color w:val="auto"/>
              </w:rPr>
              <w:t>Costs in excess of billings</w:t>
            </w:r>
          </w:p>
        </w:tc>
        <w:tc>
          <w:tcPr>
            <w:tcW w:w="2780" w:type="dxa"/>
            <w:vAlign w:val="bottom"/>
            <w:tcBorders>
              <w:top w:val="single" w:sz="8" w:color="auto"/>
            </w:tcBorders>
            <w:shd w:val="clear" w:color="auto" w:fill="CFF0FC"/>
          </w:tcPr>
          <w:p>
            <w:pPr>
              <w:jc w:val="right"/>
              <w:ind w:right="21"/>
              <w:spacing w:after="0"/>
              <w:rPr>
                <w:sz w:val="20"/>
                <w:szCs w:val="20"/>
                <w:color w:val="auto"/>
              </w:rPr>
            </w:pPr>
            <w:r>
              <w:rPr>
                <w:rFonts w:ascii="Arial" w:cs="Arial" w:eastAsia="Arial" w:hAnsi="Arial"/>
                <w:sz w:val="20"/>
                <w:szCs w:val="20"/>
                <w:color w:val="auto"/>
              </w:rPr>
              <w:t>$</w:t>
            </w: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7.2</w:t>
            </w:r>
          </w:p>
        </w:tc>
        <w:tc>
          <w:tcPr>
            <w:tcW w:w="120" w:type="dxa"/>
            <w:vAlign w:val="bottom"/>
            <w:tcBorders>
              <w:top w:val="single" w:sz="8" w:color="CFF0FC"/>
            </w:tcBorders>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2.8</w:t>
            </w:r>
          </w:p>
        </w:tc>
        <w:tc>
          <w:tcPr>
            <w:tcW w:w="120" w:type="dxa"/>
            <w:vAlign w:val="bottom"/>
            <w:tcBorders>
              <w:top w:val="single" w:sz="8" w:color="CFF0FC"/>
            </w:tcBorders>
            <w:shd w:val="clear" w:color="auto" w:fill="CFF0FC"/>
          </w:tcPr>
          <w:p>
            <w:pPr>
              <w:spacing w:after="0"/>
              <w:rPr>
                <w:sz w:val="20"/>
                <w:szCs w:val="20"/>
                <w:color w:val="auto"/>
              </w:rPr>
            </w:pPr>
          </w:p>
        </w:tc>
      </w:tr>
      <w:tr>
        <w:trPr>
          <w:trHeight w:val="250"/>
        </w:trPr>
        <w:tc>
          <w:tcPr>
            <w:tcW w:w="4620" w:type="dxa"/>
            <w:vAlign w:val="bottom"/>
          </w:tcPr>
          <w:p>
            <w:pPr>
              <w:spacing w:after="0"/>
              <w:rPr>
                <w:sz w:val="20"/>
                <w:szCs w:val="20"/>
                <w:color w:val="auto"/>
              </w:rPr>
            </w:pPr>
            <w:r>
              <w:rPr>
                <w:rFonts w:ascii="Arial" w:cs="Arial" w:eastAsia="Arial" w:hAnsi="Arial"/>
                <w:sz w:val="20"/>
                <w:szCs w:val="20"/>
                <w:color w:val="auto"/>
              </w:rPr>
              <w:t>Billings in excess of costs</w:t>
            </w:r>
          </w:p>
        </w:tc>
        <w:tc>
          <w:tcPr>
            <w:tcW w:w="278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1580" w:type="dxa"/>
            <w:vAlign w:val="bottom"/>
          </w:tcPr>
          <w:p>
            <w:pPr>
              <w:jc w:val="right"/>
              <w:spacing w:after="0"/>
              <w:rPr>
                <w:sz w:val="20"/>
                <w:szCs w:val="20"/>
                <w:color w:val="auto"/>
              </w:rPr>
            </w:pPr>
            <w:r>
              <w:rPr>
                <w:rFonts w:ascii="Arial" w:cs="Arial" w:eastAsia="Arial" w:hAnsi="Arial"/>
                <w:sz w:val="20"/>
                <w:szCs w:val="20"/>
                <w:color w:val="auto"/>
              </w:rPr>
              <w:t>9.9</w:t>
            </w:r>
          </w:p>
        </w:tc>
        <w:tc>
          <w:tcPr>
            <w:tcW w:w="12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1720" w:type="dxa"/>
            <w:vAlign w:val="bottom"/>
          </w:tcPr>
          <w:p>
            <w:pPr>
              <w:jc w:val="right"/>
              <w:spacing w:after="0"/>
              <w:rPr>
                <w:sz w:val="20"/>
                <w:szCs w:val="20"/>
                <w:color w:val="auto"/>
              </w:rPr>
            </w:pPr>
            <w:r>
              <w:rPr>
                <w:rFonts w:ascii="Arial" w:cs="Arial" w:eastAsia="Arial" w:hAnsi="Arial"/>
                <w:sz w:val="20"/>
                <w:szCs w:val="20"/>
                <w:color w:val="auto"/>
              </w:rPr>
              <w:t>7.8</w:t>
            </w:r>
          </w:p>
        </w:tc>
        <w:tc>
          <w:tcPr>
            <w:tcW w:w="120" w:type="dxa"/>
            <w:vAlign w:val="bottom"/>
          </w:tcPr>
          <w:p>
            <w:pPr>
              <w:spacing w:after="0"/>
              <w:rPr>
                <w:sz w:val="21"/>
                <w:szCs w:val="21"/>
                <w:color w:val="auto"/>
              </w:rPr>
            </w:pPr>
          </w:p>
        </w:tc>
      </w:tr>
    </w:tbl>
    <w:p>
      <w:pPr>
        <w:spacing w:after="0" w:line="205" w:lineRule="exact"/>
        <w:rPr>
          <w:sz w:val="20"/>
          <w:szCs w:val="20"/>
          <w:color w:val="auto"/>
        </w:rPr>
      </w:pPr>
    </w:p>
    <w:p>
      <w:pPr>
        <w:jc w:val="both"/>
        <w:ind w:left="380"/>
        <w:spacing w:after="0" w:line="250" w:lineRule="auto"/>
        <w:rPr>
          <w:sz w:val="20"/>
          <w:szCs w:val="20"/>
          <w:color w:val="auto"/>
        </w:rPr>
      </w:pPr>
      <w:r>
        <w:rPr>
          <w:rFonts w:ascii="Arial" w:cs="Arial" w:eastAsia="Arial" w:hAnsi="Arial"/>
          <w:sz w:val="20"/>
          <w:szCs w:val="20"/>
          <w:color w:val="auto"/>
        </w:rPr>
        <w:t>Revenues recognized from the beginning balance of contract liabilities for the three months ended June 30, 2020 and 2019 were $4.1 million and $4.8 million, respectively, and for the six months ended June 30, 2020 and 2019 were $6.6 million and $5.8 million, respectively.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14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June 30, 2020</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335" w:lineRule="exact"/>
        <w:rPr>
          <w:sz w:val="20"/>
          <w:szCs w:val="20"/>
          <w:color w:val="auto"/>
        </w:rPr>
      </w:pPr>
    </w:p>
    <w:p>
      <w:pPr>
        <w:jc w:val="both"/>
        <w:ind w:left="380"/>
        <w:spacing w:after="0" w:line="291" w:lineRule="auto"/>
        <w:rPr>
          <w:sz w:val="20"/>
          <w:szCs w:val="20"/>
          <w:color w:val="auto"/>
        </w:rPr>
      </w:pPr>
      <w:r>
        <w:rPr>
          <w:rFonts w:ascii="Arial" w:cs="Arial" w:eastAsia="Arial" w:hAnsi="Arial"/>
          <w:sz w:val="18"/>
          <w:szCs w:val="18"/>
          <w:color w:val="auto"/>
        </w:rPr>
        <w:t>Retainage, which primarily relates to the paving services, represents amounts that have been billed to customers but payment withheld until final acceptance by the customer of the performance obligation. Included in other current assets on the Company’s consolidated balance sheets, retainage was $9.5 million and $10.2 million at June 30, 2020 and December 31, 2019, respectively.</w:t>
      </w:r>
    </w:p>
    <w:p>
      <w:pPr>
        <w:spacing w:after="0" w:line="44" w:lineRule="exact"/>
        <w:rPr>
          <w:sz w:val="20"/>
          <w:szCs w:val="20"/>
          <w:color w:val="auto"/>
        </w:rPr>
      </w:pPr>
    </w:p>
    <w:p>
      <w:pPr>
        <w:jc w:val="both"/>
        <w:ind w:left="380" w:right="20"/>
        <w:spacing w:after="0" w:line="246" w:lineRule="auto"/>
        <w:rPr>
          <w:sz w:val="20"/>
          <w:szCs w:val="20"/>
          <w:color w:val="auto"/>
        </w:rPr>
      </w:pPr>
      <w:r>
        <w:rPr>
          <w:rFonts w:ascii="Arial" w:cs="Arial" w:eastAsia="Arial" w:hAnsi="Arial"/>
          <w:sz w:val="20"/>
          <w:szCs w:val="20"/>
          <w:b w:val="1"/>
          <w:bCs w:val="1"/>
          <w:i w:val="1"/>
          <w:iCs w:val="1"/>
          <w:color w:val="auto"/>
        </w:rPr>
        <w:t xml:space="preserve">Policy Elections. </w:t>
      </w:r>
      <w:r>
        <w:rPr>
          <w:rFonts w:ascii="Arial" w:cs="Arial" w:eastAsia="Arial" w:hAnsi="Arial"/>
          <w:sz w:val="20"/>
          <w:szCs w:val="20"/>
          <w:color w:val="auto"/>
        </w:rPr>
        <w:t>When the Company arranges third-party freight to deliver products to customers, the Company has elected the delivery</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to be a fulfillment activity rather than a separate performance obligation. Further, the Company acts as a principal in the delivery arrangements and, as required by the accounting standard, the related revenues and costs are presented gross and are included in the consolidated statements of earnings.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5940" w:type="dxa"/>
            <w:vAlign w:val="bottom"/>
          </w:tcPr>
          <w:p>
            <w:pPr>
              <w:spacing w:after="0"/>
              <w:rPr>
                <w:sz w:val="20"/>
                <w:szCs w:val="20"/>
                <w:color w:val="auto"/>
              </w:rPr>
            </w:pPr>
            <w:r>
              <w:rPr>
                <w:rFonts w:ascii="Arial" w:cs="Arial" w:eastAsia="Arial" w:hAnsi="Arial"/>
                <w:sz w:val="20"/>
                <w:szCs w:val="20"/>
                <w:b w:val="1"/>
                <w:bCs w:val="1"/>
                <w:color w:val="auto"/>
              </w:rPr>
              <w:t>3.  Inventories, Net</w:t>
            </w:r>
          </w:p>
        </w:tc>
        <w:tc>
          <w:tcPr>
            <w:tcW w:w="1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0"/>
        </w:trPr>
        <w:tc>
          <w:tcPr>
            <w:tcW w:w="59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60" w:type="dxa"/>
            <w:vAlign w:val="bottom"/>
            <w:gridSpan w:val="3"/>
          </w:tcPr>
          <w:p>
            <w:pPr>
              <w:jc w:val="right"/>
              <w:ind w:right="780"/>
              <w:spacing w:after="0"/>
              <w:rPr>
                <w:sz w:val="20"/>
                <w:szCs w:val="20"/>
                <w:color w:val="auto"/>
              </w:rPr>
            </w:pPr>
            <w:r>
              <w:rPr>
                <w:rFonts w:ascii="Arial" w:cs="Arial" w:eastAsia="Arial" w:hAnsi="Arial"/>
                <w:sz w:val="20"/>
                <w:szCs w:val="20"/>
                <w:color w:val="auto"/>
              </w:rPr>
              <w:t>June 30,</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00" w:type="dxa"/>
            <w:vAlign w:val="bottom"/>
            <w:gridSpan w:val="3"/>
          </w:tcPr>
          <w:p>
            <w:pPr>
              <w:jc w:val="right"/>
              <w:ind w:right="480"/>
              <w:spacing w:after="0"/>
              <w:rPr>
                <w:sz w:val="20"/>
                <w:szCs w:val="20"/>
                <w:color w:val="auto"/>
              </w:rPr>
            </w:pPr>
            <w:r>
              <w:rPr>
                <w:rFonts w:ascii="Arial" w:cs="Arial" w:eastAsia="Arial" w:hAnsi="Arial"/>
                <w:sz w:val="20"/>
                <w:szCs w:val="20"/>
                <w:color w:val="auto"/>
                <w:w w:val="95"/>
              </w:rPr>
              <w:t>December 31,</w:t>
            </w:r>
          </w:p>
        </w:tc>
        <w:tc>
          <w:tcPr>
            <w:tcW w:w="0" w:type="dxa"/>
            <w:vAlign w:val="bottom"/>
          </w:tcPr>
          <w:p>
            <w:pPr>
              <w:spacing w:after="0"/>
              <w:rPr>
                <w:sz w:val="1"/>
                <w:szCs w:val="1"/>
                <w:color w:val="auto"/>
              </w:rPr>
            </w:pPr>
          </w:p>
        </w:tc>
      </w:tr>
      <w:tr>
        <w:trPr>
          <w:trHeight w:val="246"/>
        </w:trPr>
        <w:tc>
          <w:tcPr>
            <w:tcW w:w="59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624"/>
              <w:spacing w:after="0"/>
              <w:rPr>
                <w:sz w:val="20"/>
                <w:szCs w:val="20"/>
                <w:color w:val="auto"/>
              </w:rPr>
            </w:pPr>
            <w:r>
              <w:rPr>
                <w:rFonts w:ascii="Arial" w:cs="Arial" w:eastAsia="Arial" w:hAnsi="Arial"/>
                <w:sz w:val="20"/>
                <w:szCs w:val="20"/>
                <w:color w:val="auto"/>
              </w:rPr>
              <w:t>2020</w:t>
            </w:r>
          </w:p>
        </w:tc>
        <w:tc>
          <w:tcPr>
            <w:tcW w:w="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ind w:right="604"/>
              <w:spacing w:after="0"/>
              <w:rPr>
                <w:sz w:val="20"/>
                <w:szCs w:val="20"/>
                <w:color w:val="auto"/>
              </w:rPr>
            </w:pPr>
            <w:r>
              <w:rPr>
                <w:rFonts w:ascii="Arial" w:cs="Arial" w:eastAsia="Arial" w:hAnsi="Arial"/>
                <w:sz w:val="20"/>
                <w:szCs w:val="20"/>
                <w:color w:val="auto"/>
              </w:rPr>
              <w:t>2019</w:t>
            </w:r>
          </w:p>
        </w:tc>
        <w:tc>
          <w:tcPr>
            <w:tcW w:w="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9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0" w:type="dxa"/>
            <w:vAlign w:val="bottom"/>
            <w:gridSpan w:val="8"/>
          </w:tcPr>
          <w:p>
            <w:pPr>
              <w:ind w:left="780"/>
              <w:spacing w:after="0"/>
              <w:rPr>
                <w:sz w:val="20"/>
                <w:szCs w:val="20"/>
                <w:color w:val="auto"/>
              </w:rPr>
            </w:pPr>
            <w:r>
              <w:rPr>
                <w:rFonts w:ascii="Arial" w:cs="Arial" w:eastAsia="Arial" w:hAnsi="Arial"/>
                <w:sz w:val="20"/>
                <w:szCs w:val="20"/>
                <w:i w:val="1"/>
                <w:iCs w:val="1"/>
                <w:color w:val="auto"/>
              </w:rPr>
              <w:t>(Dollars in Millions)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940" w:type="dxa"/>
            <w:vAlign w:val="bottom"/>
            <w:shd w:val="clear" w:color="auto" w:fill="CFF0FC"/>
          </w:tcPr>
          <w:p>
            <w:pPr>
              <w:spacing w:after="0"/>
              <w:rPr>
                <w:sz w:val="20"/>
                <w:szCs w:val="20"/>
                <w:color w:val="auto"/>
              </w:rPr>
            </w:pPr>
            <w:r>
              <w:rPr>
                <w:rFonts w:ascii="Arial" w:cs="Arial" w:eastAsia="Arial" w:hAnsi="Arial"/>
                <w:sz w:val="20"/>
                <w:szCs w:val="20"/>
                <w:color w:val="auto"/>
              </w:rPr>
              <w:t>Finished products</w:t>
            </w:r>
          </w:p>
        </w:tc>
        <w:tc>
          <w:tcPr>
            <w:tcW w:w="1600" w:type="dxa"/>
            <w:vAlign w:val="bottom"/>
            <w:gridSpan w:val="3"/>
            <w:shd w:val="clear" w:color="auto" w:fill="CFF0FC"/>
          </w:tcPr>
          <w:p>
            <w:pPr>
              <w:jc w:val="right"/>
              <w:ind w:right="166"/>
              <w:spacing w:after="0"/>
              <w:rPr>
                <w:sz w:val="20"/>
                <w:szCs w:val="20"/>
                <w:color w:val="auto"/>
              </w:rPr>
            </w:pPr>
            <w:r>
              <w:rPr>
                <w:rFonts w:ascii="Arial" w:cs="Arial" w:eastAsia="Arial" w:hAnsi="Arial"/>
                <w:sz w:val="20"/>
                <w:szCs w:val="20"/>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671.5</w:t>
            </w:r>
          </w:p>
        </w:tc>
        <w:tc>
          <w:tcPr>
            <w:tcW w:w="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40" w:type="dxa"/>
            <w:vAlign w:val="bottom"/>
            <w:gridSpan w:val="3"/>
            <w:shd w:val="clear" w:color="auto" w:fill="CFF0FC"/>
          </w:tcPr>
          <w:p>
            <w:pPr>
              <w:jc w:val="right"/>
              <w:ind w:right="46"/>
              <w:spacing w:after="0"/>
              <w:rPr>
                <w:sz w:val="20"/>
                <w:szCs w:val="20"/>
                <w:color w:val="auto"/>
              </w:rPr>
            </w:pPr>
            <w:r>
              <w:rPr>
                <w:rFonts w:ascii="Arial" w:cs="Arial" w:eastAsia="Arial" w:hAnsi="Arial"/>
                <w:sz w:val="20"/>
                <w:szCs w:val="20"/>
                <w:color w:val="auto"/>
              </w:rPr>
              <w:t>$</w:t>
            </w:r>
          </w:p>
        </w:tc>
        <w:tc>
          <w:tcPr>
            <w:tcW w:w="160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643.6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40" w:type="dxa"/>
            <w:vAlign w:val="bottom"/>
          </w:tcPr>
          <w:p>
            <w:pPr>
              <w:spacing w:after="0"/>
              <w:rPr>
                <w:sz w:val="20"/>
                <w:szCs w:val="20"/>
                <w:color w:val="auto"/>
              </w:rPr>
            </w:pPr>
            <w:r>
              <w:rPr>
                <w:rFonts w:ascii="Arial" w:cs="Arial" w:eastAsia="Arial" w:hAnsi="Arial"/>
                <w:sz w:val="20"/>
                <w:szCs w:val="20"/>
                <w:color w:val="auto"/>
              </w:rPr>
              <w:t>Products in process</w:t>
            </w:r>
          </w:p>
        </w:tc>
        <w:tc>
          <w:tcPr>
            <w:tcW w:w="1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37.8</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20"/>
                <w:szCs w:val="20"/>
                <w:color w:val="auto"/>
              </w:rPr>
              <w:t>41.9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40" w:type="dxa"/>
            <w:vAlign w:val="bottom"/>
            <w:shd w:val="clear" w:color="auto" w:fill="CFF0FC"/>
          </w:tcPr>
          <w:p>
            <w:pPr>
              <w:spacing w:after="0"/>
              <w:rPr>
                <w:sz w:val="20"/>
                <w:szCs w:val="20"/>
                <w:color w:val="auto"/>
              </w:rPr>
            </w:pPr>
            <w:r>
              <w:rPr>
                <w:rFonts w:ascii="Arial" w:cs="Arial" w:eastAsia="Arial" w:hAnsi="Arial"/>
                <w:sz w:val="20"/>
                <w:szCs w:val="20"/>
                <w:color w:val="auto"/>
              </w:rPr>
              <w:t>Raw materials</w:t>
            </w:r>
          </w:p>
        </w:tc>
        <w:tc>
          <w:tcPr>
            <w:tcW w:w="12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36.7</w:t>
            </w:r>
          </w:p>
        </w:tc>
        <w:tc>
          <w:tcPr>
            <w:tcW w:w="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60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32.4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40" w:type="dxa"/>
            <w:vAlign w:val="bottom"/>
            <w:tcBorders>
              <w:bottom w:val="single" w:sz="8" w:color="CFF0FC"/>
            </w:tcBorders>
          </w:tcPr>
          <w:p>
            <w:pPr>
              <w:spacing w:after="0"/>
              <w:rPr>
                <w:sz w:val="20"/>
                <w:szCs w:val="20"/>
                <w:color w:val="auto"/>
              </w:rPr>
            </w:pPr>
            <w:r>
              <w:rPr>
                <w:rFonts w:ascii="Arial" w:cs="Arial" w:eastAsia="Arial" w:hAnsi="Arial"/>
                <w:sz w:val="20"/>
                <w:szCs w:val="20"/>
                <w:color w:val="auto"/>
              </w:rPr>
              <w:t>Supplies and expendable parts</w:t>
            </w:r>
          </w:p>
        </w:tc>
        <w:tc>
          <w:tcPr>
            <w:tcW w:w="1240" w:type="dxa"/>
            <w:vAlign w:val="bottom"/>
            <w:tcBorders>
              <w:bottom w:val="single" w:sz="8" w:color="CFF0FC"/>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144.9</w:t>
            </w:r>
          </w:p>
        </w:tc>
        <w:tc>
          <w:tcPr>
            <w:tcW w:w="20" w:type="dxa"/>
            <w:vAlign w:val="bottom"/>
            <w:tcBorders>
              <w:bottom w:val="single" w:sz="8" w:color="CFF0FC"/>
            </w:tcBorders>
          </w:tcPr>
          <w:p>
            <w:pPr>
              <w:spacing w:after="0"/>
              <w:rPr>
                <w:sz w:val="21"/>
                <w:szCs w:val="21"/>
                <w:color w:val="auto"/>
              </w:rPr>
            </w:pPr>
          </w:p>
        </w:tc>
        <w:tc>
          <w:tcPr>
            <w:tcW w:w="18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20"/>
                <w:szCs w:val="20"/>
                <w:color w:val="auto"/>
              </w:rPr>
              <w:t>141.5</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94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890.9</w:t>
            </w:r>
          </w:p>
        </w:tc>
        <w:tc>
          <w:tcPr>
            <w:tcW w:w="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60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859.4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940" w:type="dxa"/>
            <w:vAlign w:val="bottom"/>
          </w:tcPr>
          <w:p>
            <w:pPr>
              <w:spacing w:after="0"/>
              <w:rPr>
                <w:sz w:val="20"/>
                <w:szCs w:val="20"/>
                <w:color w:val="auto"/>
              </w:rPr>
            </w:pPr>
            <w:r>
              <w:rPr>
                <w:rFonts w:ascii="Arial" w:cs="Arial" w:eastAsia="Arial" w:hAnsi="Arial"/>
                <w:sz w:val="20"/>
                <w:szCs w:val="20"/>
                <w:color w:val="auto"/>
              </w:rPr>
              <w:t>Less: Allowances</w:t>
            </w:r>
          </w:p>
        </w:tc>
        <w:tc>
          <w:tcPr>
            <w:tcW w:w="1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60" w:type="dxa"/>
            <w:vAlign w:val="bottom"/>
            <w:gridSpan w:val="3"/>
          </w:tcPr>
          <w:p>
            <w:pPr>
              <w:jc w:val="right"/>
              <w:ind w:right="140"/>
              <w:spacing w:after="0"/>
              <w:rPr>
                <w:sz w:val="20"/>
                <w:szCs w:val="20"/>
                <w:color w:val="auto"/>
              </w:rPr>
            </w:pPr>
            <w:r>
              <w:rPr>
                <w:rFonts w:ascii="Arial" w:cs="Arial" w:eastAsia="Arial" w:hAnsi="Arial"/>
                <w:sz w:val="20"/>
                <w:szCs w:val="20"/>
                <w:color w:val="auto"/>
              </w:rPr>
              <w:t>(178.0)</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00" w:type="dxa"/>
            <w:vAlign w:val="bottom"/>
            <w:gridSpan w:val="3"/>
          </w:tcPr>
          <w:p>
            <w:pPr>
              <w:jc w:val="right"/>
              <w:ind w:right="40"/>
              <w:spacing w:after="0"/>
              <w:rPr>
                <w:sz w:val="20"/>
                <w:szCs w:val="20"/>
                <w:color w:val="auto"/>
              </w:rPr>
            </w:pPr>
            <w:r>
              <w:rPr>
                <w:rFonts w:ascii="Arial" w:cs="Arial" w:eastAsia="Arial" w:hAnsi="Arial"/>
                <w:sz w:val="20"/>
                <w:szCs w:val="20"/>
                <w:color w:val="auto"/>
              </w:rPr>
              <w:t>(168.6)</w:t>
            </w:r>
          </w:p>
        </w:tc>
        <w:tc>
          <w:tcPr>
            <w:tcW w:w="0" w:type="dxa"/>
            <w:vAlign w:val="bottom"/>
          </w:tcPr>
          <w:p>
            <w:pPr>
              <w:spacing w:after="0"/>
              <w:rPr>
                <w:sz w:val="1"/>
                <w:szCs w:val="1"/>
                <w:color w:val="auto"/>
              </w:rPr>
            </w:pPr>
          </w:p>
        </w:tc>
      </w:tr>
      <w:tr>
        <w:trPr>
          <w:trHeight w:val="237"/>
        </w:trPr>
        <w:tc>
          <w:tcPr>
            <w:tcW w:w="59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Total</w:t>
            </w:r>
          </w:p>
        </w:tc>
        <w:tc>
          <w:tcPr>
            <w:tcW w:w="1240" w:type="dxa"/>
            <w:vAlign w:val="bottom"/>
            <w:tcBorders>
              <w:top w:val="single" w:sz="8" w:color="CFF0FC"/>
              <w:bottom w:val="single" w:sz="8" w:color="CFF0FC"/>
            </w:tcBorders>
            <w:shd w:val="clear" w:color="auto" w:fill="CFF0FC"/>
          </w:tcPr>
          <w:p>
            <w:pPr>
              <w:spacing w:after="0"/>
              <w:rPr>
                <w:sz w:val="20"/>
                <w:szCs w:val="20"/>
                <w:color w:val="auto"/>
              </w:rPr>
            </w:pPr>
          </w:p>
        </w:tc>
        <w:tc>
          <w:tcPr>
            <w:tcW w:w="360" w:type="dxa"/>
            <w:vAlign w:val="bottom"/>
            <w:tcBorders>
              <w:top w:val="single" w:sz="8" w:color="auto"/>
              <w:bottom w:val="single" w:sz="8" w:color="auto"/>
            </w:tcBorders>
            <w:gridSpan w:val="2"/>
            <w:shd w:val="clear" w:color="auto" w:fill="CFF0FC"/>
          </w:tcPr>
          <w:p>
            <w:pPr>
              <w:jc w:val="right"/>
              <w:ind w:right="166"/>
              <w:spacing w:after="0"/>
              <w:rPr>
                <w:sz w:val="20"/>
                <w:szCs w:val="20"/>
                <w:color w:val="auto"/>
              </w:rPr>
            </w:pPr>
            <w:r>
              <w:rPr>
                <w:rFonts w:ascii="Arial" w:cs="Arial" w:eastAsia="Arial" w:hAnsi="Arial"/>
                <w:sz w:val="20"/>
                <w:szCs w:val="20"/>
                <w:color w:val="auto"/>
                <w:w w:val="71"/>
              </w:rPr>
              <w:t>$</w:t>
            </w: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712.9</w:t>
            </w:r>
          </w:p>
        </w:tc>
        <w:tc>
          <w:tcPr>
            <w:tcW w:w="20" w:type="dxa"/>
            <w:vAlign w:val="bottom"/>
            <w:tcBorders>
              <w:top w:val="single" w:sz="8" w:color="CFF0FC"/>
              <w:bottom w:val="single" w:sz="8" w:color="CFF0FC"/>
            </w:tcBorders>
            <w:shd w:val="clear" w:color="auto" w:fill="CFF0FC"/>
          </w:tcPr>
          <w:p>
            <w:pPr>
              <w:spacing w:after="0"/>
              <w:rPr>
                <w:sz w:val="20"/>
                <w:szCs w:val="20"/>
                <w:color w:val="auto"/>
              </w:rPr>
            </w:pPr>
          </w:p>
        </w:tc>
        <w:tc>
          <w:tcPr>
            <w:tcW w:w="180" w:type="dxa"/>
            <w:vAlign w:val="bottom"/>
            <w:tcBorders>
              <w:top w:val="single" w:sz="8" w:color="CFF0FC"/>
              <w:bottom w:val="single" w:sz="8" w:color="CFF0FC"/>
            </w:tcBorders>
            <w:shd w:val="clear" w:color="auto" w:fill="CFF0FC"/>
          </w:tcPr>
          <w:p>
            <w:pPr>
              <w:spacing w:after="0"/>
              <w:rPr>
                <w:sz w:val="20"/>
                <w:szCs w:val="20"/>
                <w:color w:val="auto"/>
              </w:rPr>
            </w:pP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gridSpan w:val="2"/>
            <w:shd w:val="clear" w:color="auto" w:fill="CFF0FC"/>
          </w:tcPr>
          <w:p>
            <w:pPr>
              <w:jc w:val="right"/>
              <w:ind w:right="46"/>
              <w:spacing w:after="0"/>
              <w:rPr>
                <w:sz w:val="20"/>
                <w:szCs w:val="20"/>
                <w:color w:val="auto"/>
              </w:rPr>
            </w:pPr>
            <w:r>
              <w:rPr>
                <w:rFonts w:ascii="Arial" w:cs="Arial" w:eastAsia="Arial" w:hAnsi="Arial"/>
                <w:sz w:val="20"/>
                <w:szCs w:val="20"/>
                <w:color w:val="auto"/>
                <w:w w:val="71"/>
              </w:rPr>
              <w:t>$</w:t>
            </w:r>
          </w:p>
        </w:tc>
        <w:tc>
          <w:tcPr>
            <w:tcW w:w="160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690.8</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940" w:type="dxa"/>
            <w:vAlign w:val="bottom"/>
            <w:vMerge w:val="restart"/>
          </w:tcPr>
          <w:p>
            <w:pPr>
              <w:spacing w:after="0"/>
              <w:rPr>
                <w:sz w:val="20"/>
                <w:szCs w:val="20"/>
                <w:color w:val="auto"/>
              </w:rPr>
            </w:pPr>
            <w:r>
              <w:rPr>
                <w:rFonts w:ascii="Arial" w:cs="Arial" w:eastAsia="Arial" w:hAnsi="Arial"/>
                <w:sz w:val="20"/>
                <w:szCs w:val="20"/>
                <w:b w:val="1"/>
                <w:bCs w:val="1"/>
                <w:color w:val="auto"/>
              </w:rPr>
              <w:t>4.  Long-Term Debt</w:t>
            </w:r>
          </w:p>
        </w:tc>
        <w:tc>
          <w:tcPr>
            <w:tcW w:w="12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2"/>
        </w:trPr>
        <w:tc>
          <w:tcPr>
            <w:tcW w:w="594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59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60" w:type="dxa"/>
            <w:vAlign w:val="bottom"/>
            <w:gridSpan w:val="3"/>
          </w:tcPr>
          <w:p>
            <w:pPr>
              <w:jc w:val="right"/>
              <w:ind w:right="760"/>
              <w:spacing w:after="0"/>
              <w:rPr>
                <w:sz w:val="20"/>
                <w:szCs w:val="20"/>
                <w:color w:val="auto"/>
              </w:rPr>
            </w:pPr>
            <w:r>
              <w:rPr>
                <w:rFonts w:ascii="Arial" w:cs="Arial" w:eastAsia="Arial" w:hAnsi="Arial"/>
                <w:sz w:val="19"/>
                <w:szCs w:val="19"/>
                <w:color w:val="auto"/>
              </w:rPr>
              <w:t>June 30,</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00" w:type="dxa"/>
            <w:vAlign w:val="bottom"/>
            <w:gridSpan w:val="3"/>
          </w:tcPr>
          <w:p>
            <w:pPr>
              <w:jc w:val="right"/>
              <w:ind w:right="480"/>
              <w:spacing w:after="0"/>
              <w:rPr>
                <w:sz w:val="20"/>
                <w:szCs w:val="20"/>
                <w:color w:val="auto"/>
              </w:rPr>
            </w:pPr>
            <w:r>
              <w:rPr>
                <w:rFonts w:ascii="Arial" w:cs="Arial" w:eastAsia="Arial" w:hAnsi="Arial"/>
                <w:sz w:val="19"/>
                <w:szCs w:val="19"/>
                <w:color w:val="auto"/>
              </w:rPr>
              <w:t>December 31,</w:t>
            </w:r>
          </w:p>
        </w:tc>
        <w:tc>
          <w:tcPr>
            <w:tcW w:w="0" w:type="dxa"/>
            <w:vAlign w:val="bottom"/>
          </w:tcPr>
          <w:p>
            <w:pPr>
              <w:spacing w:after="0"/>
              <w:rPr>
                <w:sz w:val="1"/>
                <w:szCs w:val="1"/>
                <w:color w:val="auto"/>
              </w:rPr>
            </w:pPr>
          </w:p>
        </w:tc>
      </w:tr>
      <w:tr>
        <w:trPr>
          <w:trHeight w:val="238"/>
        </w:trPr>
        <w:tc>
          <w:tcPr>
            <w:tcW w:w="59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84"/>
              <w:spacing w:after="0"/>
              <w:rPr>
                <w:sz w:val="20"/>
                <w:szCs w:val="20"/>
                <w:color w:val="auto"/>
              </w:rPr>
            </w:pPr>
            <w:r>
              <w:rPr>
                <w:rFonts w:ascii="Arial" w:cs="Arial" w:eastAsia="Arial" w:hAnsi="Arial"/>
                <w:sz w:val="19"/>
                <w:szCs w:val="19"/>
                <w:color w:val="auto"/>
              </w:rPr>
              <w:t>2020</w:t>
            </w: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624"/>
              <w:spacing w:after="0"/>
              <w:rPr>
                <w:sz w:val="20"/>
                <w:szCs w:val="20"/>
                <w:color w:val="auto"/>
              </w:rPr>
            </w:pPr>
            <w:r>
              <w:rPr>
                <w:rFonts w:ascii="Arial" w:cs="Arial" w:eastAsia="Arial" w:hAnsi="Arial"/>
                <w:sz w:val="19"/>
                <w:szCs w:val="19"/>
                <w:color w:val="auto"/>
              </w:rPr>
              <w:t>2019</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9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580" w:type="dxa"/>
            <w:vAlign w:val="bottom"/>
            <w:gridSpan w:val="7"/>
          </w:tcPr>
          <w:p>
            <w:pPr>
              <w:jc w:val="right"/>
              <w:ind w:right="1064"/>
              <w:spacing w:after="0"/>
              <w:rPr>
                <w:sz w:val="20"/>
                <w:szCs w:val="20"/>
                <w:color w:val="auto"/>
              </w:rPr>
            </w:pPr>
            <w:r>
              <w:rPr>
                <w:rFonts w:ascii="Arial" w:cs="Arial" w:eastAsia="Arial" w:hAnsi="Arial"/>
                <w:sz w:val="19"/>
                <w:szCs w:val="19"/>
                <w:i w:val="1"/>
                <w:iCs w:val="1"/>
                <w:color w:val="auto"/>
              </w:rPr>
              <w:t>(Dollars in Millions)</w:t>
            </w:r>
          </w:p>
        </w:tc>
        <w:tc>
          <w:tcPr>
            <w:tcW w:w="12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shd w:val="clear" w:color="auto" w:fill="CFF0FC"/>
          </w:tcPr>
          <w:p>
            <w:pPr>
              <w:spacing w:after="0"/>
              <w:rPr>
                <w:sz w:val="20"/>
                <w:szCs w:val="20"/>
                <w:color w:val="auto"/>
              </w:rPr>
            </w:pPr>
            <w:r>
              <w:rPr>
                <w:rFonts w:ascii="Arial" w:cs="Arial" w:eastAsia="Arial" w:hAnsi="Arial"/>
                <w:sz w:val="19"/>
                <w:szCs w:val="19"/>
                <w:color w:val="auto"/>
              </w:rPr>
              <w:t>4.250% Senior Notes, due 2024</w:t>
            </w:r>
          </w:p>
        </w:tc>
        <w:tc>
          <w:tcPr>
            <w:tcW w:w="1600" w:type="dxa"/>
            <w:vAlign w:val="bottom"/>
            <w:gridSpan w:val="3"/>
            <w:shd w:val="clear" w:color="auto" w:fill="CFF0FC"/>
          </w:tcPr>
          <w:p>
            <w:pPr>
              <w:jc w:val="right"/>
              <w:ind w:right="106"/>
              <w:spacing w:after="0"/>
              <w:rPr>
                <w:sz w:val="20"/>
                <w:szCs w:val="20"/>
                <w:color w:val="auto"/>
              </w:rPr>
            </w:pPr>
            <w:r>
              <w:rPr>
                <w:rFonts w:ascii="Arial" w:cs="Arial" w:eastAsia="Arial" w:hAnsi="Arial"/>
                <w:sz w:val="19"/>
                <w:szCs w:val="19"/>
                <w:color w:val="auto"/>
              </w:rPr>
              <w:t>$</w:t>
            </w:r>
          </w:p>
        </w:tc>
        <w:tc>
          <w:tcPr>
            <w:tcW w:w="1480" w:type="dxa"/>
            <w:vAlign w:val="bottom"/>
            <w:gridSpan w:val="2"/>
            <w:shd w:val="clear" w:color="auto" w:fill="CFF0FC"/>
          </w:tcPr>
          <w:p>
            <w:pPr>
              <w:jc w:val="right"/>
              <w:spacing w:after="0"/>
              <w:rPr>
                <w:sz w:val="20"/>
                <w:szCs w:val="20"/>
                <w:color w:val="auto"/>
              </w:rPr>
            </w:pPr>
            <w:r>
              <w:rPr>
                <w:rFonts w:ascii="Arial" w:cs="Arial" w:eastAsia="Arial" w:hAnsi="Arial"/>
                <w:sz w:val="19"/>
                <w:szCs w:val="19"/>
                <w:color w:val="auto"/>
              </w:rPr>
              <w:t>397.3</w:t>
            </w:r>
          </w:p>
        </w:tc>
        <w:tc>
          <w:tcPr>
            <w:tcW w:w="180" w:type="dxa"/>
            <w:vAlign w:val="bottom"/>
            <w:shd w:val="clear" w:color="auto" w:fill="CFF0FC"/>
          </w:tcPr>
          <w:p>
            <w:pPr>
              <w:spacing w:after="0"/>
              <w:rPr>
                <w:sz w:val="19"/>
                <w:szCs w:val="19"/>
                <w:color w:val="auto"/>
              </w:rPr>
            </w:pPr>
          </w:p>
        </w:tc>
        <w:tc>
          <w:tcPr>
            <w:tcW w:w="340" w:type="dxa"/>
            <w:vAlign w:val="bottom"/>
            <w:gridSpan w:val="3"/>
            <w:shd w:val="clear" w:color="auto" w:fill="CFF0FC"/>
          </w:tcPr>
          <w:p>
            <w:pPr>
              <w:jc w:val="right"/>
              <w:ind w:right="6"/>
              <w:spacing w:after="0"/>
              <w:rPr>
                <w:sz w:val="20"/>
                <w:szCs w:val="20"/>
                <w:color w:val="auto"/>
              </w:rPr>
            </w:pPr>
            <w:r>
              <w:rPr>
                <w:rFonts w:ascii="Arial" w:cs="Arial" w:eastAsia="Arial" w:hAnsi="Arial"/>
                <w:sz w:val="19"/>
                <w:szCs w:val="19"/>
                <w:color w:val="auto"/>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9"/>
                <w:szCs w:val="19"/>
                <w:color w:val="auto"/>
              </w:rPr>
              <w:t>397.0</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tcPr>
          <w:p>
            <w:pPr>
              <w:spacing w:after="0"/>
              <w:rPr>
                <w:sz w:val="20"/>
                <w:szCs w:val="20"/>
                <w:color w:val="auto"/>
              </w:rPr>
            </w:pPr>
            <w:r>
              <w:rPr>
                <w:rFonts w:ascii="Arial" w:cs="Arial" w:eastAsia="Arial" w:hAnsi="Arial"/>
                <w:sz w:val="19"/>
                <w:szCs w:val="19"/>
                <w:color w:val="auto"/>
              </w:rPr>
              <w:t>7% Debentures, due 2025</w:t>
            </w:r>
          </w:p>
        </w:tc>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80" w:type="dxa"/>
            <w:vAlign w:val="bottom"/>
            <w:gridSpan w:val="2"/>
          </w:tcPr>
          <w:p>
            <w:pPr>
              <w:jc w:val="right"/>
              <w:spacing w:after="0"/>
              <w:rPr>
                <w:sz w:val="20"/>
                <w:szCs w:val="20"/>
                <w:color w:val="auto"/>
              </w:rPr>
            </w:pPr>
            <w:r>
              <w:rPr>
                <w:rFonts w:ascii="Arial" w:cs="Arial" w:eastAsia="Arial" w:hAnsi="Arial"/>
                <w:sz w:val="19"/>
                <w:szCs w:val="19"/>
                <w:color w:val="auto"/>
              </w:rPr>
              <w:t>124.4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9"/>
                <w:szCs w:val="19"/>
                <w:color w:val="auto"/>
              </w:rPr>
              <w:t>124.4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shd w:val="clear" w:color="auto" w:fill="CFF0FC"/>
          </w:tcPr>
          <w:p>
            <w:pPr>
              <w:spacing w:after="0"/>
              <w:rPr>
                <w:sz w:val="20"/>
                <w:szCs w:val="20"/>
                <w:color w:val="auto"/>
              </w:rPr>
            </w:pPr>
            <w:r>
              <w:rPr>
                <w:rFonts w:ascii="Arial" w:cs="Arial" w:eastAsia="Arial" w:hAnsi="Arial"/>
                <w:sz w:val="19"/>
                <w:szCs w:val="19"/>
                <w:color w:val="auto"/>
              </w:rPr>
              <w:t>3.450% Senior Notes, due 2027</w:t>
            </w:r>
          </w:p>
        </w:tc>
        <w:tc>
          <w:tcPr>
            <w:tcW w:w="1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spacing w:after="0"/>
              <w:rPr>
                <w:sz w:val="20"/>
                <w:szCs w:val="20"/>
                <w:color w:val="auto"/>
              </w:rPr>
            </w:pPr>
            <w:r>
              <w:rPr>
                <w:rFonts w:ascii="Arial" w:cs="Arial" w:eastAsia="Arial" w:hAnsi="Arial"/>
                <w:sz w:val="19"/>
                <w:szCs w:val="19"/>
                <w:color w:val="auto"/>
              </w:rPr>
              <w:t>297.4</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9"/>
                <w:szCs w:val="19"/>
                <w:color w:val="auto"/>
              </w:rPr>
              <w:t>297.3</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tcPr>
          <w:p>
            <w:pPr>
              <w:spacing w:after="0"/>
              <w:rPr>
                <w:sz w:val="20"/>
                <w:szCs w:val="20"/>
                <w:color w:val="auto"/>
              </w:rPr>
            </w:pPr>
            <w:r>
              <w:rPr>
                <w:rFonts w:ascii="Arial" w:cs="Arial" w:eastAsia="Arial" w:hAnsi="Arial"/>
                <w:sz w:val="19"/>
                <w:szCs w:val="19"/>
                <w:color w:val="auto"/>
              </w:rPr>
              <w:t>3.500% Senior Notes, due 2027</w:t>
            </w:r>
          </w:p>
        </w:tc>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80" w:type="dxa"/>
            <w:vAlign w:val="bottom"/>
            <w:gridSpan w:val="2"/>
          </w:tcPr>
          <w:p>
            <w:pPr>
              <w:jc w:val="right"/>
              <w:spacing w:after="0"/>
              <w:rPr>
                <w:sz w:val="20"/>
                <w:szCs w:val="20"/>
                <w:color w:val="auto"/>
              </w:rPr>
            </w:pPr>
            <w:r>
              <w:rPr>
                <w:rFonts w:ascii="Arial" w:cs="Arial" w:eastAsia="Arial" w:hAnsi="Arial"/>
                <w:sz w:val="19"/>
                <w:szCs w:val="19"/>
                <w:color w:val="auto"/>
              </w:rPr>
              <w:t>495.6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9"/>
                <w:szCs w:val="19"/>
                <w:color w:val="auto"/>
              </w:rPr>
              <w:t>495.3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shd w:val="clear" w:color="auto" w:fill="CFF0FC"/>
          </w:tcPr>
          <w:p>
            <w:pPr>
              <w:spacing w:after="0"/>
              <w:rPr>
                <w:sz w:val="20"/>
                <w:szCs w:val="20"/>
                <w:color w:val="auto"/>
              </w:rPr>
            </w:pPr>
            <w:r>
              <w:rPr>
                <w:rFonts w:ascii="Arial" w:cs="Arial" w:eastAsia="Arial" w:hAnsi="Arial"/>
                <w:sz w:val="19"/>
                <w:szCs w:val="19"/>
                <w:color w:val="auto"/>
              </w:rPr>
              <w:t>2.500% Senior Notes, due 2030</w:t>
            </w:r>
          </w:p>
        </w:tc>
        <w:tc>
          <w:tcPr>
            <w:tcW w:w="1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spacing w:after="0"/>
              <w:rPr>
                <w:sz w:val="20"/>
                <w:szCs w:val="20"/>
                <w:color w:val="auto"/>
              </w:rPr>
            </w:pPr>
            <w:r>
              <w:rPr>
                <w:rFonts w:ascii="Arial" w:cs="Arial" w:eastAsia="Arial" w:hAnsi="Arial"/>
                <w:sz w:val="19"/>
                <w:szCs w:val="19"/>
                <w:color w:val="auto"/>
              </w:rPr>
              <w:t>489.6</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700" w:type="dxa"/>
            <w:vAlign w:val="bottom"/>
            <w:gridSpan w:val="3"/>
            <w:shd w:val="clear" w:color="auto" w:fill="CFF0FC"/>
          </w:tcPr>
          <w:p>
            <w:pPr>
              <w:jc w:val="right"/>
              <w:ind w:right="140"/>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30"/>
        </w:trPr>
        <w:tc>
          <w:tcPr>
            <w:tcW w:w="5940" w:type="dxa"/>
            <w:vAlign w:val="bottom"/>
          </w:tcPr>
          <w:p>
            <w:pPr>
              <w:spacing w:after="0"/>
              <w:rPr>
                <w:sz w:val="20"/>
                <w:szCs w:val="20"/>
                <w:color w:val="auto"/>
              </w:rPr>
            </w:pPr>
            <w:r>
              <w:rPr>
                <w:rFonts w:ascii="Arial" w:cs="Arial" w:eastAsia="Arial" w:hAnsi="Arial"/>
                <w:sz w:val="19"/>
                <w:szCs w:val="19"/>
                <w:color w:val="auto"/>
              </w:rPr>
              <w:t>6.25% Senior Notes, due 2037</w:t>
            </w:r>
          </w:p>
        </w:tc>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80" w:type="dxa"/>
            <w:vAlign w:val="bottom"/>
            <w:gridSpan w:val="2"/>
          </w:tcPr>
          <w:p>
            <w:pPr>
              <w:jc w:val="right"/>
              <w:spacing w:after="0"/>
              <w:rPr>
                <w:sz w:val="20"/>
                <w:szCs w:val="20"/>
                <w:color w:val="auto"/>
              </w:rPr>
            </w:pPr>
            <w:r>
              <w:rPr>
                <w:rFonts w:ascii="Arial" w:cs="Arial" w:eastAsia="Arial" w:hAnsi="Arial"/>
                <w:sz w:val="19"/>
                <w:szCs w:val="19"/>
                <w:color w:val="auto"/>
              </w:rPr>
              <w:t>228.2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9"/>
                <w:szCs w:val="19"/>
                <w:color w:val="auto"/>
              </w:rPr>
              <w:t>228.1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shd w:val="clear" w:color="auto" w:fill="CFF0FC"/>
          </w:tcPr>
          <w:p>
            <w:pPr>
              <w:spacing w:after="0"/>
              <w:rPr>
                <w:sz w:val="20"/>
                <w:szCs w:val="20"/>
                <w:color w:val="auto"/>
              </w:rPr>
            </w:pPr>
            <w:r>
              <w:rPr>
                <w:rFonts w:ascii="Arial" w:cs="Arial" w:eastAsia="Arial" w:hAnsi="Arial"/>
                <w:sz w:val="19"/>
                <w:szCs w:val="19"/>
                <w:color w:val="auto"/>
              </w:rPr>
              <w:t>4.250% Senior Notes, due 2047</w:t>
            </w:r>
          </w:p>
        </w:tc>
        <w:tc>
          <w:tcPr>
            <w:tcW w:w="1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spacing w:after="0"/>
              <w:rPr>
                <w:sz w:val="20"/>
                <w:szCs w:val="20"/>
                <w:color w:val="auto"/>
              </w:rPr>
            </w:pPr>
            <w:r>
              <w:rPr>
                <w:rFonts w:ascii="Arial" w:cs="Arial" w:eastAsia="Arial" w:hAnsi="Arial"/>
                <w:sz w:val="19"/>
                <w:szCs w:val="19"/>
                <w:color w:val="auto"/>
              </w:rPr>
              <w:t>591.8</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9"/>
                <w:szCs w:val="19"/>
                <w:color w:val="auto"/>
              </w:rPr>
              <w:t>591.7</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5940" w:type="dxa"/>
            <w:vAlign w:val="bottom"/>
          </w:tcPr>
          <w:p>
            <w:pPr>
              <w:spacing w:after="0" w:line="207" w:lineRule="exact"/>
              <w:rPr>
                <w:sz w:val="20"/>
                <w:szCs w:val="20"/>
                <w:color w:val="auto"/>
              </w:rPr>
            </w:pPr>
            <w:r>
              <w:rPr>
                <w:rFonts w:ascii="Arial" w:cs="Arial" w:eastAsia="Arial" w:hAnsi="Arial"/>
                <w:sz w:val="19"/>
                <w:szCs w:val="19"/>
                <w:color w:val="auto"/>
              </w:rPr>
              <w:t>Floating Rate Senior Notes, due 2020, interest rate of 2.55%</w:t>
            </w: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940" w:type="dxa"/>
            <w:vAlign w:val="bottom"/>
          </w:tcPr>
          <w:p>
            <w:pPr>
              <w:ind w:left="140"/>
              <w:spacing w:after="0"/>
              <w:rPr>
                <w:sz w:val="20"/>
                <w:szCs w:val="20"/>
                <w:color w:val="auto"/>
              </w:rPr>
            </w:pPr>
            <w:r>
              <w:rPr>
                <w:rFonts w:ascii="Arial" w:cs="Arial" w:eastAsia="Arial" w:hAnsi="Arial"/>
                <w:sz w:val="19"/>
                <w:szCs w:val="19"/>
                <w:color w:val="auto"/>
              </w:rPr>
              <w:t>at December 31, 2019</w:t>
            </w:r>
          </w:p>
        </w:tc>
        <w:tc>
          <w:tcPr>
            <w:tcW w:w="1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60" w:type="dxa"/>
            <w:vAlign w:val="bottom"/>
            <w:gridSpan w:val="3"/>
          </w:tcPr>
          <w:p>
            <w:pPr>
              <w:jc w:val="right"/>
              <w:ind w:right="180"/>
              <w:spacing w:after="0"/>
              <w:rPr>
                <w:sz w:val="20"/>
                <w:szCs w:val="20"/>
                <w:color w:val="auto"/>
              </w:rPr>
            </w:pPr>
            <w:r>
              <w:rPr>
                <w:rFonts w:ascii="Arial" w:cs="Arial" w:eastAsia="Arial" w:hAnsi="Arial"/>
                <w:sz w:val="19"/>
                <w:szCs w:val="19"/>
                <w:color w:val="auto"/>
              </w:rPr>
              <w:t>—</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9"/>
                <w:szCs w:val="19"/>
                <w:color w:val="auto"/>
              </w:rPr>
              <w:t>299.7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5940" w:type="dxa"/>
            <w:vAlign w:val="bottom"/>
            <w:shd w:val="clear" w:color="auto" w:fill="CFF0FC"/>
          </w:tcPr>
          <w:p>
            <w:pPr>
              <w:spacing w:after="0" w:line="207" w:lineRule="exact"/>
              <w:rPr>
                <w:sz w:val="20"/>
                <w:szCs w:val="20"/>
                <w:color w:val="auto"/>
              </w:rPr>
            </w:pPr>
            <w:r>
              <w:rPr>
                <w:rFonts w:ascii="Arial" w:cs="Arial" w:eastAsia="Arial" w:hAnsi="Arial"/>
                <w:sz w:val="19"/>
                <w:szCs w:val="19"/>
                <w:color w:val="auto"/>
              </w:rPr>
              <w:t>Trade Receivable Facility, interest rate of 0.89% and 2.42% at</w:t>
            </w:r>
          </w:p>
        </w:tc>
        <w:tc>
          <w:tcPr>
            <w:tcW w:w="12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940" w:type="dxa"/>
            <w:vAlign w:val="bottom"/>
            <w:shd w:val="clear" w:color="auto" w:fill="CFF0FC"/>
          </w:tcPr>
          <w:p>
            <w:pPr>
              <w:ind w:left="140"/>
              <w:spacing w:after="0"/>
              <w:rPr>
                <w:sz w:val="20"/>
                <w:szCs w:val="20"/>
                <w:color w:val="auto"/>
              </w:rPr>
            </w:pPr>
            <w:r>
              <w:rPr>
                <w:rFonts w:ascii="Arial" w:cs="Arial" w:eastAsia="Arial" w:hAnsi="Arial"/>
                <w:sz w:val="19"/>
                <w:szCs w:val="19"/>
                <w:color w:val="auto"/>
              </w:rPr>
              <w:t>June 30, 2020 and December 31, 2019, respectively</w:t>
            </w:r>
          </w:p>
        </w:tc>
        <w:tc>
          <w:tcPr>
            <w:tcW w:w="12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spacing w:after="0"/>
              <w:rPr>
                <w:sz w:val="20"/>
                <w:szCs w:val="20"/>
                <w:color w:val="auto"/>
              </w:rPr>
            </w:pPr>
            <w:r>
              <w:rPr>
                <w:rFonts w:ascii="Arial" w:cs="Arial" w:eastAsia="Arial" w:hAnsi="Arial"/>
                <w:sz w:val="19"/>
                <w:szCs w:val="19"/>
                <w:color w:val="auto"/>
              </w:rPr>
              <w:t>130.0</w:t>
            </w: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9"/>
                <w:szCs w:val="19"/>
                <w:color w:val="auto"/>
              </w:rPr>
              <w:t>340.0</w:t>
            </w: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940" w:type="dxa"/>
            <w:vAlign w:val="bottom"/>
            <w:tcBorders>
              <w:bottom w:val="single" w:sz="8" w:color="CFF0FC"/>
            </w:tcBorders>
          </w:tcPr>
          <w:p>
            <w:pPr>
              <w:spacing w:after="0"/>
              <w:rPr>
                <w:sz w:val="20"/>
                <w:szCs w:val="20"/>
                <w:color w:val="auto"/>
              </w:rPr>
            </w:pPr>
            <w:r>
              <w:rPr>
                <w:rFonts w:ascii="Arial" w:cs="Arial" w:eastAsia="Arial" w:hAnsi="Arial"/>
                <w:sz w:val="19"/>
                <w:szCs w:val="19"/>
                <w:color w:val="auto"/>
              </w:rPr>
              <w:t>Other notes</w:t>
            </w:r>
          </w:p>
        </w:tc>
        <w:tc>
          <w:tcPr>
            <w:tcW w:w="12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9"/>
                <w:szCs w:val="19"/>
                <w:color w:val="auto"/>
              </w:rPr>
              <w:t>0.2</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0.1</w:t>
            </w: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40" w:type="dxa"/>
            <w:vAlign w:val="bottom"/>
            <w:shd w:val="clear" w:color="auto" w:fill="CFF0FC"/>
          </w:tcPr>
          <w:p>
            <w:pPr>
              <w:spacing w:after="0"/>
              <w:rPr>
                <w:sz w:val="20"/>
                <w:szCs w:val="20"/>
                <w:color w:val="auto"/>
              </w:rPr>
            </w:pPr>
            <w:r>
              <w:rPr>
                <w:rFonts w:ascii="Arial" w:cs="Arial" w:eastAsia="Arial" w:hAnsi="Arial"/>
                <w:sz w:val="19"/>
                <w:szCs w:val="19"/>
                <w:color w:val="auto"/>
              </w:rPr>
              <w:t>Total debt</w:t>
            </w:r>
          </w:p>
        </w:tc>
        <w:tc>
          <w:tcPr>
            <w:tcW w:w="1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spacing w:after="0"/>
              <w:rPr>
                <w:sz w:val="20"/>
                <w:szCs w:val="20"/>
                <w:color w:val="auto"/>
              </w:rPr>
            </w:pPr>
            <w:r>
              <w:rPr>
                <w:rFonts w:ascii="Arial" w:cs="Arial" w:eastAsia="Arial" w:hAnsi="Arial"/>
                <w:sz w:val="19"/>
                <w:szCs w:val="19"/>
                <w:color w:val="auto"/>
              </w:rPr>
              <w:t>2,754.5</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9"/>
                <w:szCs w:val="19"/>
                <w:color w:val="auto"/>
              </w:rPr>
              <w:t>2,773.6</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5940" w:type="dxa"/>
            <w:vAlign w:val="bottom"/>
          </w:tcPr>
          <w:p>
            <w:pPr>
              <w:spacing w:after="0" w:line="207" w:lineRule="exact"/>
              <w:rPr>
                <w:sz w:val="20"/>
                <w:szCs w:val="20"/>
                <w:color w:val="auto"/>
              </w:rPr>
            </w:pPr>
            <w:r>
              <w:rPr>
                <w:rFonts w:ascii="Arial" w:cs="Arial" w:eastAsia="Arial" w:hAnsi="Arial"/>
                <w:sz w:val="19"/>
                <w:szCs w:val="19"/>
                <w:color w:val="auto"/>
              </w:rPr>
              <w:t>Less: Current maturities of long-term debt and short-term</w:t>
            </w: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940" w:type="dxa"/>
            <w:vAlign w:val="bottom"/>
          </w:tcPr>
          <w:p>
            <w:pPr>
              <w:ind w:left="140"/>
              <w:spacing w:after="0"/>
              <w:rPr>
                <w:sz w:val="20"/>
                <w:szCs w:val="20"/>
                <w:color w:val="auto"/>
              </w:rPr>
            </w:pPr>
            <w:r>
              <w:rPr>
                <w:rFonts w:ascii="Arial" w:cs="Arial" w:eastAsia="Arial" w:hAnsi="Arial"/>
                <w:sz w:val="19"/>
                <w:szCs w:val="19"/>
                <w:color w:val="auto"/>
              </w:rPr>
              <w:t>facilities</w:t>
            </w:r>
          </w:p>
        </w:tc>
        <w:tc>
          <w:tcPr>
            <w:tcW w:w="1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60" w:type="dxa"/>
            <w:vAlign w:val="bottom"/>
            <w:gridSpan w:val="3"/>
          </w:tcPr>
          <w:p>
            <w:pPr>
              <w:jc w:val="right"/>
              <w:ind w:right="120"/>
              <w:spacing w:after="0"/>
              <w:rPr>
                <w:sz w:val="20"/>
                <w:szCs w:val="20"/>
                <w:color w:val="auto"/>
              </w:rPr>
            </w:pPr>
            <w:r>
              <w:rPr>
                <w:rFonts w:ascii="Arial" w:cs="Arial" w:eastAsia="Arial" w:hAnsi="Arial"/>
                <w:sz w:val="19"/>
                <w:szCs w:val="19"/>
                <w:color w:val="auto"/>
              </w:rPr>
              <w:t>(130.0)</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gridSpan w:val="3"/>
          </w:tcPr>
          <w:p>
            <w:pPr>
              <w:jc w:val="right"/>
              <w:ind w:right="60"/>
              <w:spacing w:after="0"/>
              <w:rPr>
                <w:sz w:val="20"/>
                <w:szCs w:val="20"/>
                <w:color w:val="auto"/>
              </w:rPr>
            </w:pPr>
            <w:r>
              <w:rPr>
                <w:rFonts w:ascii="Arial" w:cs="Arial" w:eastAsia="Arial" w:hAnsi="Arial"/>
                <w:sz w:val="19"/>
                <w:szCs w:val="19"/>
                <w:color w:val="auto"/>
              </w:rPr>
              <w:t>(340.0)</w:t>
            </w:r>
          </w:p>
        </w:tc>
        <w:tc>
          <w:tcPr>
            <w:tcW w:w="0" w:type="dxa"/>
            <w:vAlign w:val="bottom"/>
          </w:tcPr>
          <w:p>
            <w:pPr>
              <w:spacing w:after="0"/>
              <w:rPr>
                <w:sz w:val="1"/>
                <w:szCs w:val="1"/>
                <w:color w:val="auto"/>
              </w:rPr>
            </w:pPr>
          </w:p>
        </w:tc>
      </w:tr>
      <w:tr>
        <w:trPr>
          <w:trHeight w:val="223"/>
        </w:trPr>
        <w:tc>
          <w:tcPr>
            <w:tcW w:w="59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9"/>
                <w:szCs w:val="19"/>
                <w:color w:val="auto"/>
              </w:rPr>
              <w:t>Long-term debt</w:t>
            </w:r>
          </w:p>
        </w:tc>
        <w:tc>
          <w:tcPr>
            <w:tcW w:w="1300" w:type="dxa"/>
            <w:vAlign w:val="bottom"/>
            <w:tcBorders>
              <w:top w:val="single" w:sz="8" w:color="CFF0FC"/>
              <w:bottom w:val="single" w:sz="8" w:color="CFF0FC"/>
            </w:tcBorders>
            <w:gridSpan w:val="2"/>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06"/>
              <w:spacing w:after="0"/>
              <w:rPr>
                <w:sz w:val="20"/>
                <w:szCs w:val="20"/>
                <w:color w:val="auto"/>
              </w:rPr>
            </w:pPr>
            <w:r>
              <w:rPr>
                <w:rFonts w:ascii="Arial" w:cs="Arial" w:eastAsia="Arial" w:hAnsi="Arial"/>
                <w:sz w:val="19"/>
                <w:szCs w:val="19"/>
                <w:color w:val="auto"/>
                <w:w w:val="75"/>
              </w:rPr>
              <w:t>$</w:t>
            </w:r>
          </w:p>
        </w:tc>
        <w:tc>
          <w:tcPr>
            <w:tcW w:w="14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9"/>
                <w:szCs w:val="19"/>
                <w:color w:val="auto"/>
              </w:rPr>
              <w:t>2,624.5</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gridSpan w:val="2"/>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6"/>
              <w:spacing w:after="0"/>
              <w:rPr>
                <w:sz w:val="20"/>
                <w:szCs w:val="20"/>
                <w:color w:val="auto"/>
              </w:rPr>
            </w:pPr>
            <w:r>
              <w:rPr>
                <w:rFonts w:ascii="Arial" w:cs="Arial" w:eastAsia="Arial" w:hAnsi="Arial"/>
                <w:sz w:val="19"/>
                <w:szCs w:val="19"/>
                <w:color w:val="auto"/>
                <w:w w:val="75"/>
              </w:rPr>
              <w:t>$</w:t>
            </w: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2,433.6</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15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jc w:val="center"/>
        <w:ind w:right="380"/>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ind w:right="380"/>
        <w:spacing w:after="0"/>
        <w:rPr>
          <w:sz w:val="20"/>
          <w:szCs w:val="20"/>
          <w:color w:val="auto"/>
        </w:rPr>
      </w:pPr>
      <w:r>
        <w:rPr>
          <w:rFonts w:ascii="Arial" w:cs="Arial" w:eastAsia="Arial" w:hAnsi="Arial"/>
          <w:sz w:val="20"/>
          <w:szCs w:val="20"/>
          <w:color w:val="auto"/>
        </w:rPr>
        <w:t>FORM 10-Q</w:t>
      </w:r>
    </w:p>
    <w:p>
      <w:pPr>
        <w:jc w:val="center"/>
        <w:ind w:right="380"/>
        <w:spacing w:after="0"/>
        <w:rPr>
          <w:sz w:val="20"/>
          <w:szCs w:val="20"/>
          <w:color w:val="auto"/>
        </w:rPr>
      </w:pPr>
      <w:r>
        <w:rPr>
          <w:rFonts w:ascii="Arial" w:cs="Arial" w:eastAsia="Arial" w:hAnsi="Arial"/>
          <w:sz w:val="20"/>
          <w:szCs w:val="20"/>
          <w:color w:val="auto"/>
        </w:rPr>
        <w:t>For the Quarter Ended June 30, 2020</w:t>
      </w:r>
    </w:p>
    <w:p>
      <w:pPr>
        <w:spacing w:after="0" w:line="51" w:lineRule="exact"/>
        <w:rPr>
          <w:sz w:val="20"/>
          <w:szCs w:val="20"/>
          <w:color w:val="auto"/>
        </w:rPr>
      </w:pPr>
    </w:p>
    <w:p>
      <w:pPr>
        <w:jc w:val="center"/>
        <w:ind w:right="380"/>
        <w:spacing w:after="0"/>
        <w:rPr>
          <w:sz w:val="20"/>
          <w:szCs w:val="20"/>
          <w:color w:val="auto"/>
        </w:rPr>
      </w:pPr>
      <w:r>
        <w:rPr>
          <w:rFonts w:ascii="Arial" w:cs="Arial" w:eastAsia="Arial" w:hAnsi="Arial"/>
          <w:sz w:val="20"/>
          <w:szCs w:val="20"/>
          <w:color w:val="auto"/>
        </w:rPr>
        <w:t>(UNAUDITED) NOTES TO CONSOLIDATED FINANCIAL STATEMENTS</w:t>
      </w:r>
    </w:p>
    <w:p>
      <w:pPr>
        <w:spacing w:after="0" w:line="16" w:lineRule="exact"/>
        <w:rPr>
          <w:sz w:val="20"/>
          <w:szCs w:val="20"/>
          <w:color w:val="auto"/>
        </w:rPr>
      </w:pPr>
    </w:p>
    <w:p>
      <w:pPr>
        <w:jc w:val="center"/>
        <w:ind w:right="380"/>
        <w:spacing w:after="0"/>
        <w:rPr>
          <w:sz w:val="20"/>
          <w:szCs w:val="20"/>
          <w:color w:val="auto"/>
        </w:rPr>
      </w:pPr>
      <w:r>
        <w:rPr>
          <w:rFonts w:ascii="Arial" w:cs="Arial" w:eastAsia="Arial" w:hAnsi="Arial"/>
          <w:sz w:val="20"/>
          <w:szCs w:val="20"/>
          <w:color w:val="auto"/>
        </w:rPr>
        <w:t>(Continued)</w:t>
      </w:r>
    </w:p>
    <w:p>
      <w:pPr>
        <w:spacing w:after="0" w:line="227"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On March 5, 2020, the Company issued $500 million aggregate principal amount of 2.500% Senior Notes due 2030 (the 2.500% Senior Notes). The 2.500% Senior Notes are carried net of original issue discount, which is being amortized by the effective interest method over the life of the issue. The 2.500% Senior Notes are redeemable prior to December 15, 2029 at their make-whole redemption price at a discount rate of the U.S. Treasury Rate plus 30 basis points, or on or after December 15, 2029 at a redemption price equal to 100% of the principal amount plus accrued and unpaid interest to the date of redemption. The Company used the net proceeds for general corporate purposes, including the repayment of $300 million of Floating Rate Senior Notes at maturity in May 2020. At December 31, 2019, the Floating Rate Senior Notes due May 2020 were classified as noncurrent long-term debt on the consolidated balance sheet as the Company had the intent and ability to refinance the notes on a long-term basis.</w:t>
      </w:r>
    </w:p>
    <w:p>
      <w:pPr>
        <w:spacing w:after="0" w:line="60"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The Company, through a wholly-owned special-purpose subsidiary, has a $400 million trade receivable securitization facility (the Trade Receivable Facility) which matures on September 23, 2020. The Trade Receivable Facility, with Truist Bank, Regions Bank, PNC Bank, N.A., The Bank of Tokyo-Mitsubishi UFJ, LTD. (New York Branch), and certain other lenders that may become a party to the facility from time to time, is backed by eligible trade receivables, as defined, and is limited to the lesser of the facility limit or the borrowing base, as defined. These receivables are originated by the Company and then sold to the wholly-owned special-purpose subsidiary by the Company. The Company continues to be responsible for the servicing and administration of the receivables purchased by the wholly-owned special-purpose subsidiary. Borrowings under the Trade Receivable Facility bear interest at a rate equal to one-month London Interbank Offered Rate, or LIBOR, plus 0.725%, subject to change in the event that this rate no longer reflects the lender’s cost of lending. The Trade Receivable Facility contains a cross-default provision to the Company’s other debt agreements.</w:t>
      </w:r>
    </w:p>
    <w:p>
      <w:pPr>
        <w:spacing w:after="0" w:line="62"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The Company has a $700 million five-year senior unsecured revolving facility (the Revolving Facility) with JPMorgan Chase Bank, N.A., as Administrative Agent, Truist Bank, Deutsche Bank Securities, Inc., and Wells Fargo Bank, N.A., as Co-Syndication Agents, and the lenders party thereto. Borrowings under the Revolving Facility bear interest, at the Company’s option, at rates based upon LIBOR or a base rate, plus, for each rate, a margin determined in accordance with a ratings-based pricing grid. There were no borrowings outstanding under the Revolving Facility at June 30, 2020 or December 31, 2019. The Revolving Facility requires the Company’s ratio of consolidated debt-to-consolidated earnings before interest, taxes, depreciation and amortization (EBITDA), as defined by the Revolving Facility, for the trailing-twelve months (the Ratio) to not exceed 3.50x as of the end of any fiscal quarter, provided that the Company may exclude from the Ratio debt incurred in connection with certain acquisitions during such quarter or the three preceding quarters so long as the Ratio calculated without such exclusion does not exceed 3.75x. Additionally, if there are no amounts outstanding under the Revolving Facility and the Trade Receivable Facility, consolidated debt, including debt for which the Company is a co-borrower, may be reduced by the Company’s unrestricted cash and cash equivalents in excess of $50 million, such reduction not to exceed $200 million, for purposes of the covenant calculation. The Company was in compliance with this covenant at June 30, 2020.</w:t>
      </w:r>
    </w:p>
    <w:p>
      <w:pPr>
        <w:spacing w:after="0" w:line="74"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Revolving Facility expires on December 5, 2024, with any outstanding principal amounts, together with interest accrued thereon, due in full on that date. Available borrowings under the Revolving Facility are reduced by any outstanding letters of credit issued by the Company under the Revolving Facility. The Company had $2.3 million of outstanding letters of credit issued under the Revolving Facility at June 30, 2020 and December 31, 2019.</w:t>
      </w:r>
    </w:p>
    <w:p>
      <w:pPr>
        <w:spacing w:after="0" w:line="191" w:lineRule="exact"/>
        <w:rPr>
          <w:sz w:val="20"/>
          <w:szCs w:val="20"/>
          <w:color w:val="auto"/>
        </w:rPr>
      </w:pPr>
    </w:p>
    <w:p>
      <w:pPr>
        <w:jc w:val="center"/>
        <w:ind w:right="380"/>
        <w:spacing w:after="0"/>
        <w:rPr>
          <w:sz w:val="20"/>
          <w:szCs w:val="20"/>
          <w:color w:val="auto"/>
        </w:rPr>
      </w:pPr>
      <w:r>
        <w:rPr>
          <w:rFonts w:ascii="Arial" w:cs="Arial" w:eastAsia="Arial" w:hAnsi="Arial"/>
          <w:sz w:val="20"/>
          <w:szCs w:val="20"/>
          <w:color w:val="auto"/>
        </w:rPr>
        <w:t>Page 16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78740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60"/>
          </w:cols>
          <w:pgMar w:left="700" w:top="122"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June 30, 2020</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221" w:lineRule="exact"/>
        <w:rPr>
          <w:sz w:val="20"/>
          <w:szCs w:val="20"/>
          <w:color w:val="auto"/>
        </w:rPr>
      </w:pPr>
    </w:p>
    <w:p>
      <w:pPr>
        <w:ind w:left="380" w:hanging="372"/>
        <w:spacing w:after="0"/>
        <w:tabs>
          <w:tab w:leader="none" w:pos="380" w:val="left"/>
        </w:tabs>
        <w:numPr>
          <w:ilvl w:val="0"/>
          <w:numId w:val="5"/>
        </w:numPr>
        <w:rPr>
          <w:rFonts w:ascii="Arial" w:cs="Arial" w:eastAsia="Arial" w:hAnsi="Arial"/>
          <w:sz w:val="20"/>
          <w:szCs w:val="20"/>
          <w:b w:val="1"/>
          <w:bCs w:val="1"/>
          <w:color w:val="auto"/>
        </w:rPr>
      </w:pPr>
      <w:r>
        <w:rPr>
          <w:rFonts w:ascii="Arial" w:cs="Arial" w:eastAsia="Arial" w:hAnsi="Arial"/>
          <w:sz w:val="20"/>
          <w:szCs w:val="20"/>
          <w:b w:val="1"/>
          <w:bCs w:val="1"/>
          <w:color w:val="auto"/>
        </w:rPr>
        <w:t>Financial Instruments</w:t>
      </w:r>
    </w:p>
    <w:p>
      <w:pPr>
        <w:spacing w:after="0" w:line="113" w:lineRule="exact"/>
        <w:rPr>
          <w:rFonts w:ascii="Arial" w:cs="Arial" w:eastAsia="Arial" w:hAnsi="Arial"/>
          <w:sz w:val="20"/>
          <w:szCs w:val="20"/>
          <w:b w:val="1"/>
          <w:bCs w:val="1"/>
          <w:color w:val="auto"/>
        </w:rPr>
      </w:pPr>
    </w:p>
    <w:p>
      <w:pPr>
        <w:ind w:left="380"/>
        <w:spacing w:after="0" w:line="260" w:lineRule="auto"/>
        <w:rPr>
          <w:rFonts w:ascii="Arial" w:cs="Arial" w:eastAsia="Arial" w:hAnsi="Arial"/>
          <w:sz w:val="20"/>
          <w:szCs w:val="20"/>
          <w:b w:val="1"/>
          <w:bCs w:val="1"/>
          <w:color w:val="auto"/>
        </w:rPr>
      </w:pPr>
      <w:r>
        <w:rPr>
          <w:rFonts w:ascii="Arial" w:cs="Arial" w:eastAsia="Arial" w:hAnsi="Arial"/>
          <w:sz w:val="20"/>
          <w:szCs w:val="20"/>
          <w:color w:val="auto"/>
        </w:rPr>
        <w:t>The Company’s financial instruments include cash equivalents, accounts receivable, notes receivable, accounts payable, publicly-registered long-term notes, debentures and other long-term debt.</w:t>
      </w:r>
    </w:p>
    <w:p>
      <w:pPr>
        <w:spacing w:after="0" w:line="68" w:lineRule="exact"/>
        <w:rPr>
          <w:rFonts w:ascii="Arial" w:cs="Arial" w:eastAsia="Arial" w:hAnsi="Arial"/>
          <w:sz w:val="20"/>
          <w:szCs w:val="20"/>
          <w:b w:val="1"/>
          <w:bCs w:val="1"/>
          <w:color w:val="auto"/>
        </w:rPr>
      </w:pPr>
    </w:p>
    <w:p>
      <w:pPr>
        <w:jc w:val="both"/>
        <w:ind w:left="380"/>
        <w:spacing w:after="0" w:line="250" w:lineRule="auto"/>
        <w:rPr>
          <w:rFonts w:ascii="Arial" w:cs="Arial" w:eastAsia="Arial" w:hAnsi="Arial"/>
          <w:sz w:val="20"/>
          <w:szCs w:val="20"/>
          <w:b w:val="1"/>
          <w:bCs w:val="1"/>
          <w:color w:val="auto"/>
        </w:rPr>
      </w:pPr>
      <w:r>
        <w:rPr>
          <w:rFonts w:ascii="Arial" w:cs="Arial" w:eastAsia="Arial" w:hAnsi="Arial"/>
          <w:sz w:val="20"/>
          <w:szCs w:val="20"/>
          <w:color w:val="auto"/>
        </w:rPr>
        <w:t>Cash equivalents are placed primarily in money market funds, money market demand deposit accounts and Eurodollar time deposits. The Company’s cash equivalents have original maturities of less than three months. Due to the short maturity of these investments, they are carried on the consolidated balance sheets at cost, which approximates fair value.</w:t>
      </w:r>
    </w:p>
    <w:p>
      <w:pPr>
        <w:spacing w:after="0" w:line="77" w:lineRule="exact"/>
        <w:rPr>
          <w:rFonts w:ascii="Arial" w:cs="Arial" w:eastAsia="Arial" w:hAnsi="Arial"/>
          <w:sz w:val="20"/>
          <w:szCs w:val="20"/>
          <w:b w:val="1"/>
          <w:bCs w:val="1"/>
          <w:color w:val="auto"/>
        </w:rPr>
      </w:pPr>
    </w:p>
    <w:p>
      <w:pPr>
        <w:jc w:val="both"/>
        <w:ind w:left="380"/>
        <w:spacing w:after="0" w:line="269" w:lineRule="auto"/>
        <w:rPr>
          <w:rFonts w:ascii="Arial" w:cs="Arial" w:eastAsia="Arial" w:hAnsi="Arial"/>
          <w:sz w:val="20"/>
          <w:szCs w:val="20"/>
          <w:b w:val="1"/>
          <w:bCs w:val="1"/>
          <w:color w:val="auto"/>
        </w:rPr>
      </w:pPr>
      <w:r>
        <w:rPr>
          <w:rFonts w:ascii="Arial" w:cs="Arial" w:eastAsia="Arial" w:hAnsi="Arial"/>
          <w:sz w:val="19"/>
          <w:szCs w:val="19"/>
          <w:color w:val="auto"/>
        </w:rPr>
        <w:t>Accounts receivable are due from a large number of customers, primarily in the construction industry, and are dispersed across wide geographic and economic regions. No single customer accounted for 10% or more of consolidated total revenues. The estimated fair values of accounts receivable approximate their carrying amounts due to the periodic reset of interest rates.</w:t>
      </w:r>
    </w:p>
    <w:p>
      <w:pPr>
        <w:spacing w:after="0" w:line="61" w:lineRule="exact"/>
        <w:rPr>
          <w:rFonts w:ascii="Arial" w:cs="Arial" w:eastAsia="Arial" w:hAnsi="Arial"/>
          <w:sz w:val="20"/>
          <w:szCs w:val="20"/>
          <w:b w:val="1"/>
          <w:bCs w:val="1"/>
          <w:color w:val="auto"/>
        </w:rPr>
      </w:pPr>
    </w:p>
    <w:p>
      <w:pPr>
        <w:ind w:left="380"/>
        <w:spacing w:after="0" w:line="260" w:lineRule="auto"/>
        <w:rPr>
          <w:rFonts w:ascii="Arial" w:cs="Arial" w:eastAsia="Arial" w:hAnsi="Arial"/>
          <w:sz w:val="20"/>
          <w:szCs w:val="20"/>
          <w:b w:val="1"/>
          <w:bCs w:val="1"/>
          <w:color w:val="auto"/>
        </w:rPr>
      </w:pPr>
      <w:r>
        <w:rPr>
          <w:rFonts w:ascii="Arial" w:cs="Arial" w:eastAsia="Arial" w:hAnsi="Arial"/>
          <w:sz w:val="20"/>
          <w:szCs w:val="20"/>
          <w:color w:val="auto"/>
        </w:rPr>
        <w:t>Accounts payable represent amounts owed to suppliers and vendors. The estimated fair value of accounts payable approximates the carrying amount due to the short-term nature of the payables.</w:t>
      </w:r>
    </w:p>
    <w:p>
      <w:pPr>
        <w:spacing w:after="0" w:line="68" w:lineRule="exact"/>
        <w:rPr>
          <w:rFonts w:ascii="Arial" w:cs="Arial" w:eastAsia="Arial" w:hAnsi="Arial"/>
          <w:sz w:val="20"/>
          <w:szCs w:val="20"/>
          <w:b w:val="1"/>
          <w:bCs w:val="1"/>
          <w:color w:val="auto"/>
        </w:rPr>
      </w:pPr>
    </w:p>
    <w:p>
      <w:pPr>
        <w:jc w:val="both"/>
        <w:ind w:left="380"/>
        <w:spacing w:after="0" w:line="246" w:lineRule="auto"/>
        <w:rPr>
          <w:rFonts w:ascii="Arial" w:cs="Arial" w:eastAsia="Arial" w:hAnsi="Arial"/>
          <w:sz w:val="20"/>
          <w:szCs w:val="20"/>
          <w:b w:val="1"/>
          <w:bCs w:val="1"/>
          <w:color w:val="auto"/>
        </w:rPr>
      </w:pPr>
      <w:r>
        <w:rPr>
          <w:rFonts w:ascii="Arial" w:cs="Arial" w:eastAsia="Arial" w:hAnsi="Arial"/>
          <w:sz w:val="20"/>
          <w:szCs w:val="20"/>
          <w:color w:val="auto"/>
        </w:rPr>
        <w:t>The carrying values and fair values of the Company’s long-term debt were $2.75 billion and $3.05 billion, respectively, at June 30, 2020 and $2.77 billion and $2.94 billion, respectively, at December 31, 2019. The estimated fair value of the publicly-registered long-term notes was estimated based on Level 2 of the fair value hierarchy using quoted market prices. The estimated fair value of other borrowings approximate their carrying amounts as the interest rates reset periodically.</w:t>
      </w:r>
    </w:p>
    <w:p>
      <w:pPr>
        <w:spacing w:after="0" w:line="293" w:lineRule="exact"/>
        <w:rPr>
          <w:rFonts w:ascii="Arial" w:cs="Arial" w:eastAsia="Arial" w:hAnsi="Arial"/>
          <w:sz w:val="20"/>
          <w:szCs w:val="20"/>
          <w:b w:val="1"/>
          <w:bCs w:val="1"/>
          <w:color w:val="auto"/>
        </w:rPr>
      </w:pPr>
    </w:p>
    <w:p>
      <w:pPr>
        <w:ind w:left="380" w:hanging="372"/>
        <w:spacing w:after="0"/>
        <w:tabs>
          <w:tab w:leader="none" w:pos="380" w:val="left"/>
        </w:tabs>
        <w:numPr>
          <w:ilvl w:val="0"/>
          <w:numId w:val="5"/>
        </w:numPr>
        <w:rPr>
          <w:rFonts w:ascii="Arial" w:cs="Arial" w:eastAsia="Arial" w:hAnsi="Arial"/>
          <w:sz w:val="20"/>
          <w:szCs w:val="20"/>
          <w:b w:val="1"/>
          <w:bCs w:val="1"/>
          <w:color w:val="auto"/>
        </w:rPr>
      </w:pPr>
      <w:r>
        <w:rPr>
          <w:rFonts w:ascii="Arial" w:cs="Arial" w:eastAsia="Arial" w:hAnsi="Arial"/>
          <w:sz w:val="20"/>
          <w:szCs w:val="20"/>
          <w:b w:val="1"/>
          <w:bCs w:val="1"/>
          <w:color w:val="auto"/>
        </w:rPr>
        <w:t>Income Taxes</w:t>
      </w:r>
    </w:p>
    <w:p>
      <w:pPr>
        <w:spacing w:after="0" w:line="113" w:lineRule="exact"/>
        <w:rPr>
          <w:rFonts w:ascii="Arial" w:cs="Arial" w:eastAsia="Arial" w:hAnsi="Arial"/>
          <w:sz w:val="20"/>
          <w:szCs w:val="20"/>
          <w:b w:val="1"/>
          <w:bCs w:val="1"/>
          <w:color w:val="auto"/>
        </w:rPr>
      </w:pPr>
    </w:p>
    <w:p>
      <w:pPr>
        <w:jc w:val="both"/>
        <w:ind w:left="380"/>
        <w:spacing w:after="0" w:line="259" w:lineRule="auto"/>
        <w:rPr>
          <w:rFonts w:ascii="Arial" w:cs="Arial" w:eastAsia="Arial" w:hAnsi="Arial"/>
          <w:sz w:val="20"/>
          <w:szCs w:val="20"/>
          <w:b w:val="1"/>
          <w:bCs w:val="1"/>
          <w:color w:val="auto"/>
        </w:rPr>
      </w:pPr>
      <w:r>
        <w:rPr>
          <w:rFonts w:ascii="Arial" w:cs="Arial" w:eastAsia="Arial" w:hAnsi="Arial"/>
          <w:sz w:val="19"/>
          <w:szCs w:val="19"/>
          <w:color w:val="auto"/>
        </w:rPr>
        <w:t>The effective income tax rate reflects the effect of federal and state income taxes on earnings and the impact of differences in book and tax accounting arising primarily from the permanent tax benefits associated with the statutory depletion deduction for mineral reserves. For the six months ended June 30, 2020, the effective income tax rate of 20.2% reflected a $6.9 million discrete benefit from financing third-party railroad track maintenance. In exchange, the Company received a federal income tax credit and deduction. For the six months ended June 30, 2019, the effective income tax rate of 16.2% reflected a $13.2 million discrete benefit from a change in the tax status of a subsidiary from a partnership to a corporation.</w:t>
      </w:r>
    </w:p>
    <w:p>
      <w:pPr>
        <w:spacing w:after="0" w:line="70" w:lineRule="exact"/>
        <w:rPr>
          <w:rFonts w:ascii="Arial" w:cs="Arial" w:eastAsia="Arial" w:hAnsi="Arial"/>
          <w:sz w:val="20"/>
          <w:szCs w:val="20"/>
          <w:b w:val="1"/>
          <w:bCs w:val="1"/>
          <w:color w:val="auto"/>
        </w:rPr>
      </w:pPr>
    </w:p>
    <w:p>
      <w:pPr>
        <w:ind w:left="380" w:right="20"/>
        <w:spacing w:after="0" w:line="260" w:lineRule="auto"/>
        <w:rPr>
          <w:rFonts w:ascii="Arial" w:cs="Arial" w:eastAsia="Arial" w:hAnsi="Arial"/>
          <w:sz w:val="20"/>
          <w:szCs w:val="20"/>
          <w:b w:val="1"/>
          <w:bCs w:val="1"/>
          <w:color w:val="auto"/>
        </w:rPr>
      </w:pPr>
      <w:r>
        <w:rPr>
          <w:rFonts w:ascii="Arial" w:cs="Arial" w:eastAsia="Arial" w:hAnsi="Arial"/>
          <w:sz w:val="20"/>
          <w:szCs w:val="20"/>
          <w:color w:val="auto"/>
        </w:rPr>
        <w:t>The Company records interest accrued in relation to unrecognized tax benefits as income tax expense. Penalties, if incurred, are recorded as operating expenses in the consolidated statements of earnings and comprehensive earnings.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17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June 30, 2020</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200" w:lineRule="exact"/>
        <w:rPr>
          <w:sz w:val="20"/>
          <w:szCs w:val="20"/>
          <w:color w:val="auto"/>
        </w:rPr>
      </w:pPr>
    </w:p>
    <w:p>
      <w:pPr>
        <w:spacing w:after="0" w:line="291" w:lineRule="exact"/>
        <w:rPr>
          <w:sz w:val="20"/>
          <w:szCs w:val="20"/>
          <w:color w:val="auto"/>
        </w:rPr>
      </w:pPr>
    </w:p>
    <w:p>
      <w:pPr>
        <w:ind w:left="380" w:hanging="372"/>
        <w:spacing w:after="0"/>
        <w:tabs>
          <w:tab w:leader="none" w:pos="380" w:val="left"/>
        </w:tabs>
        <w:numPr>
          <w:ilvl w:val="0"/>
          <w:numId w:val="6"/>
        </w:numPr>
        <w:rPr>
          <w:rFonts w:ascii="Arial" w:cs="Arial" w:eastAsia="Arial" w:hAnsi="Arial"/>
          <w:sz w:val="20"/>
          <w:szCs w:val="20"/>
          <w:b w:val="1"/>
          <w:bCs w:val="1"/>
          <w:color w:val="auto"/>
        </w:rPr>
      </w:pPr>
      <w:r>
        <w:rPr>
          <w:rFonts w:ascii="Arial" w:cs="Arial" w:eastAsia="Arial" w:hAnsi="Arial"/>
          <w:sz w:val="20"/>
          <w:szCs w:val="20"/>
          <w:b w:val="1"/>
          <w:bCs w:val="1"/>
          <w:color w:val="auto"/>
        </w:rPr>
        <w:t>Pension and Postretirement Benefits</w:t>
      </w:r>
    </w:p>
    <w:p>
      <w:pPr>
        <w:spacing w:after="0" w:line="113" w:lineRule="exact"/>
        <w:rPr>
          <w:rFonts w:ascii="Arial" w:cs="Arial" w:eastAsia="Arial" w:hAnsi="Arial"/>
          <w:sz w:val="20"/>
          <w:szCs w:val="20"/>
          <w:b w:val="1"/>
          <w:bCs w:val="1"/>
          <w:color w:val="auto"/>
        </w:rPr>
      </w:pPr>
    </w:p>
    <w:p>
      <w:pPr>
        <w:ind w:left="380"/>
        <w:spacing w:after="0"/>
        <w:rPr>
          <w:rFonts w:ascii="Arial" w:cs="Arial" w:eastAsia="Arial" w:hAnsi="Arial"/>
          <w:sz w:val="20"/>
          <w:szCs w:val="20"/>
          <w:b w:val="1"/>
          <w:bCs w:val="1"/>
          <w:color w:val="auto"/>
        </w:rPr>
      </w:pPr>
      <w:r>
        <w:rPr>
          <w:rFonts w:ascii="Arial" w:cs="Arial" w:eastAsia="Arial" w:hAnsi="Arial"/>
          <w:sz w:val="18"/>
          <w:szCs w:val="18"/>
          <w:color w:val="auto"/>
        </w:rPr>
        <w:t>The estimated components of the recorded net periodic benefit cost (credit) for pension and postretirement benefits are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80" w:type="dxa"/>
            <w:vAlign w:val="bottom"/>
            <w:gridSpan w:val="3"/>
          </w:tcPr>
          <w:p>
            <w:pPr>
              <w:jc w:val="right"/>
              <w:ind w:right="81"/>
              <w:spacing w:after="0"/>
              <w:rPr>
                <w:sz w:val="20"/>
                <w:szCs w:val="20"/>
                <w:color w:val="auto"/>
              </w:rPr>
            </w:pPr>
            <w:r>
              <w:rPr>
                <w:rFonts w:ascii="Arial" w:cs="Arial" w:eastAsia="Arial" w:hAnsi="Arial"/>
                <w:sz w:val="20"/>
                <w:szCs w:val="20"/>
                <w:color w:val="auto"/>
              </w:rPr>
              <w:t>Pension</w:t>
            </w:r>
          </w:p>
        </w:tc>
        <w:tc>
          <w:tcPr>
            <w:tcW w:w="1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40" w:type="dxa"/>
            <w:vAlign w:val="bottom"/>
            <w:gridSpan w:val="5"/>
          </w:tcPr>
          <w:p>
            <w:pPr>
              <w:jc w:val="right"/>
              <w:ind w:right="940"/>
              <w:spacing w:after="0"/>
              <w:rPr>
                <w:sz w:val="20"/>
                <w:szCs w:val="20"/>
                <w:color w:val="auto"/>
              </w:rPr>
            </w:pPr>
            <w:r>
              <w:rPr>
                <w:rFonts w:ascii="Arial" w:cs="Arial" w:eastAsia="Arial" w:hAnsi="Arial"/>
                <w:sz w:val="20"/>
                <w:szCs w:val="20"/>
                <w:color w:val="auto"/>
              </w:rPr>
              <w:t>Postretirement Benefits</w:t>
            </w:r>
          </w:p>
        </w:tc>
        <w:tc>
          <w:tcPr>
            <w:tcW w:w="0" w:type="dxa"/>
            <w:vAlign w:val="bottom"/>
          </w:tcPr>
          <w:p>
            <w:pPr>
              <w:spacing w:after="0"/>
              <w:rPr>
                <w:sz w:val="1"/>
                <w:szCs w:val="1"/>
                <w:color w:val="auto"/>
              </w:rPr>
            </w:pPr>
          </w:p>
        </w:tc>
      </w:tr>
      <w:tr>
        <w:trPr>
          <w:trHeight w:val="237"/>
        </w:trPr>
        <w:tc>
          <w:tcPr>
            <w:tcW w:w="3920" w:type="dxa"/>
            <w:vAlign w:val="bottom"/>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3400" w:type="dxa"/>
            <w:vAlign w:val="bottom"/>
            <w:tcBorders>
              <w:top w:val="single" w:sz="8" w:color="auto"/>
              <w:bottom w:val="single" w:sz="8" w:color="auto"/>
            </w:tcBorders>
            <w:gridSpan w:val="5"/>
          </w:tcPr>
          <w:p>
            <w:pPr>
              <w:jc w:val="center"/>
              <w:ind w:right="660"/>
              <w:spacing w:after="0"/>
              <w:rPr>
                <w:sz w:val="20"/>
                <w:szCs w:val="20"/>
                <w:color w:val="auto"/>
              </w:rPr>
            </w:pPr>
            <w:r>
              <w:rPr>
                <w:rFonts w:ascii="Arial" w:cs="Arial" w:eastAsia="Arial" w:hAnsi="Arial"/>
                <w:sz w:val="20"/>
                <w:szCs w:val="20"/>
                <w:color w:val="auto"/>
                <w:w w:val="88"/>
              </w:rPr>
              <w:t>Three Months Ended June 30,</w:t>
            </w:r>
          </w:p>
        </w:tc>
        <w:tc>
          <w:tcPr>
            <w:tcW w:w="34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9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01"/>
              <w:spacing w:after="0"/>
              <w:rPr>
                <w:sz w:val="20"/>
                <w:szCs w:val="20"/>
                <w:color w:val="auto"/>
              </w:rPr>
            </w:pPr>
            <w:r>
              <w:rPr>
                <w:rFonts w:ascii="Arial" w:cs="Arial" w:eastAsia="Arial" w:hAnsi="Arial"/>
                <w:sz w:val="20"/>
                <w:szCs w:val="20"/>
                <w:color w:val="auto"/>
              </w:rPr>
              <w:t>2020</w:t>
            </w:r>
          </w:p>
        </w:tc>
        <w:tc>
          <w:tcPr>
            <w:tcW w:w="2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01"/>
              <w:spacing w:after="0"/>
              <w:rPr>
                <w:sz w:val="20"/>
                <w:szCs w:val="20"/>
                <w:color w:val="auto"/>
              </w:rPr>
            </w:pPr>
            <w:r>
              <w:rPr>
                <w:rFonts w:ascii="Arial" w:cs="Arial" w:eastAsia="Arial" w:hAnsi="Arial"/>
                <w:sz w:val="20"/>
                <w:szCs w:val="20"/>
                <w:color w:val="auto"/>
              </w:rPr>
              <w:t>2019</w:t>
            </w:r>
          </w:p>
        </w:tc>
        <w:tc>
          <w:tcPr>
            <w:tcW w:w="2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01"/>
              <w:spacing w:after="0"/>
              <w:rPr>
                <w:sz w:val="20"/>
                <w:szCs w:val="20"/>
                <w:color w:val="auto"/>
              </w:rPr>
            </w:pPr>
            <w:r>
              <w:rPr>
                <w:rFonts w:ascii="Arial" w:cs="Arial" w:eastAsia="Arial" w:hAnsi="Arial"/>
                <w:sz w:val="20"/>
                <w:szCs w:val="20"/>
                <w:color w:val="auto"/>
              </w:rPr>
              <w:t>2020</w:t>
            </w:r>
          </w:p>
        </w:tc>
        <w:tc>
          <w:tcPr>
            <w:tcW w:w="3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01"/>
              <w:spacing w:after="0"/>
              <w:rPr>
                <w:sz w:val="20"/>
                <w:szCs w:val="20"/>
                <w:color w:val="auto"/>
              </w:rPr>
            </w:pPr>
            <w:r>
              <w:rPr>
                <w:rFonts w:ascii="Arial" w:cs="Arial" w:eastAsia="Arial" w:hAnsi="Arial"/>
                <w:sz w:val="20"/>
                <w:szCs w:val="20"/>
                <w:color w:val="auto"/>
              </w:rPr>
              <w:t>2019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0" w:type="dxa"/>
            <w:vAlign w:val="bottom"/>
            <w:gridSpan w:val="5"/>
          </w:tcPr>
          <w:p>
            <w:pPr>
              <w:jc w:val="center"/>
              <w:ind w:right="660"/>
              <w:spacing w:after="0"/>
              <w:rPr>
                <w:sz w:val="20"/>
                <w:szCs w:val="20"/>
                <w:color w:val="auto"/>
              </w:rPr>
            </w:pPr>
            <w:r>
              <w:rPr>
                <w:rFonts w:ascii="Arial" w:cs="Arial" w:eastAsia="Arial" w:hAnsi="Arial"/>
                <w:sz w:val="20"/>
                <w:szCs w:val="20"/>
                <w:i w:val="1"/>
                <w:iCs w:val="1"/>
                <w:color w:val="auto"/>
                <w:w w:val="98"/>
              </w:rPr>
              <w:t>(Dollars in Millions)</w:t>
            </w: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3920" w:type="dxa"/>
            <w:vAlign w:val="bottom"/>
          </w:tcPr>
          <w:p>
            <w:pPr>
              <w:spacing w:after="0"/>
              <w:rPr>
                <w:sz w:val="20"/>
                <w:szCs w:val="20"/>
                <w:color w:val="auto"/>
              </w:rPr>
            </w:pPr>
            <w:r>
              <w:rPr>
                <w:rFonts w:ascii="Arial" w:cs="Arial" w:eastAsia="Arial" w:hAnsi="Arial"/>
                <w:sz w:val="20"/>
                <w:szCs w:val="20"/>
                <w:color w:val="auto"/>
              </w:rPr>
              <w:t>Service cost</w:t>
            </w:r>
          </w:p>
        </w:tc>
        <w:tc>
          <w:tcPr>
            <w:tcW w:w="340" w:type="dxa"/>
            <w:vAlign w:val="bottom"/>
          </w:tcPr>
          <w:p>
            <w:pPr>
              <w:jc w:val="right"/>
              <w:ind w:right="141"/>
              <w:spacing w:after="0"/>
              <w:rPr>
                <w:sz w:val="20"/>
                <w:szCs w:val="20"/>
                <w:color w:val="auto"/>
              </w:rPr>
            </w:pPr>
            <w:r>
              <w:rPr>
                <w:rFonts w:ascii="Arial" w:cs="Arial" w:eastAsia="Arial" w:hAnsi="Arial"/>
                <w:sz w:val="20"/>
                <w:szCs w:val="20"/>
                <w:color w:val="auto"/>
                <w:w w:val="71"/>
              </w:rPr>
              <w:t>$</w:t>
            </w:r>
          </w:p>
        </w:tc>
        <w:tc>
          <w:tcPr>
            <w:tcW w:w="1240" w:type="dxa"/>
            <w:vAlign w:val="bottom"/>
          </w:tcPr>
          <w:p>
            <w:pPr>
              <w:jc w:val="right"/>
              <w:spacing w:after="0"/>
              <w:rPr>
                <w:sz w:val="20"/>
                <w:szCs w:val="20"/>
                <w:color w:val="auto"/>
              </w:rPr>
            </w:pPr>
            <w:r>
              <w:rPr>
                <w:rFonts w:ascii="Arial" w:cs="Arial" w:eastAsia="Arial" w:hAnsi="Arial"/>
                <w:sz w:val="20"/>
                <w:szCs w:val="20"/>
                <w:color w:val="auto"/>
              </w:rPr>
              <w:t>10.4</w:t>
            </w:r>
          </w:p>
        </w:tc>
        <w:tc>
          <w:tcPr>
            <w:tcW w:w="280" w:type="dxa"/>
            <w:vAlign w:val="bottom"/>
          </w:tcPr>
          <w:p>
            <w:pPr>
              <w:spacing w:after="0"/>
              <w:rPr>
                <w:sz w:val="21"/>
                <w:szCs w:val="21"/>
                <w:color w:val="auto"/>
              </w:rPr>
            </w:pPr>
          </w:p>
        </w:tc>
        <w:tc>
          <w:tcPr>
            <w:tcW w:w="360" w:type="dxa"/>
            <w:vAlign w:val="bottom"/>
          </w:tcPr>
          <w:p>
            <w:pPr>
              <w:jc w:val="right"/>
              <w:ind w:right="161"/>
              <w:spacing w:after="0"/>
              <w:rPr>
                <w:sz w:val="20"/>
                <w:szCs w:val="20"/>
                <w:color w:val="auto"/>
              </w:rPr>
            </w:pPr>
            <w:r>
              <w:rPr>
                <w:rFonts w:ascii="Arial" w:cs="Arial" w:eastAsia="Arial" w:hAnsi="Arial"/>
                <w:sz w:val="20"/>
                <w:szCs w:val="20"/>
                <w:color w:val="auto"/>
                <w:w w:val="71"/>
              </w:rPr>
              <w:t>$</w:t>
            </w:r>
          </w:p>
        </w:tc>
        <w:tc>
          <w:tcPr>
            <w:tcW w:w="1220" w:type="dxa"/>
            <w:vAlign w:val="bottom"/>
          </w:tcPr>
          <w:p>
            <w:pPr>
              <w:jc w:val="right"/>
              <w:spacing w:after="0"/>
              <w:rPr>
                <w:sz w:val="20"/>
                <w:szCs w:val="20"/>
                <w:color w:val="auto"/>
              </w:rPr>
            </w:pPr>
            <w:r>
              <w:rPr>
                <w:rFonts w:ascii="Arial" w:cs="Arial" w:eastAsia="Arial" w:hAnsi="Arial"/>
                <w:sz w:val="20"/>
                <w:szCs w:val="20"/>
                <w:color w:val="auto"/>
              </w:rPr>
              <w:t>7.6</w:t>
            </w:r>
          </w:p>
        </w:tc>
        <w:tc>
          <w:tcPr>
            <w:tcW w:w="280" w:type="dxa"/>
            <w:vAlign w:val="bottom"/>
          </w:tcPr>
          <w:p>
            <w:pPr>
              <w:spacing w:after="0"/>
              <w:rPr>
                <w:sz w:val="21"/>
                <w:szCs w:val="21"/>
                <w:color w:val="auto"/>
              </w:rPr>
            </w:pPr>
          </w:p>
        </w:tc>
        <w:tc>
          <w:tcPr>
            <w:tcW w:w="360" w:type="dxa"/>
            <w:vAlign w:val="bottom"/>
          </w:tcPr>
          <w:p>
            <w:pPr>
              <w:jc w:val="right"/>
              <w:ind w:right="161"/>
              <w:spacing w:after="0"/>
              <w:rPr>
                <w:sz w:val="20"/>
                <w:szCs w:val="20"/>
                <w:color w:val="auto"/>
              </w:rPr>
            </w:pPr>
            <w:r>
              <w:rPr>
                <w:rFonts w:ascii="Arial" w:cs="Arial" w:eastAsia="Arial" w:hAnsi="Arial"/>
                <w:sz w:val="20"/>
                <w:szCs w:val="20"/>
                <w:color w:val="auto"/>
                <w:w w:val="71"/>
              </w:rPr>
              <w:t>$</w:t>
            </w:r>
          </w:p>
        </w:tc>
        <w:tc>
          <w:tcPr>
            <w:tcW w:w="1540" w:type="dxa"/>
            <w:vAlign w:val="bottom"/>
            <w:gridSpan w:val="2"/>
          </w:tcPr>
          <w:p>
            <w:pPr>
              <w:jc w:val="right"/>
              <w:ind w:right="320"/>
              <w:spacing w:after="0"/>
              <w:rPr>
                <w:sz w:val="20"/>
                <w:szCs w:val="20"/>
                <w:color w:val="auto"/>
              </w:rPr>
            </w:pPr>
            <w:r>
              <w:rPr>
                <w:rFonts w:ascii="Arial" w:cs="Arial" w:eastAsia="Arial" w:hAnsi="Arial"/>
                <w:sz w:val="20"/>
                <w:szCs w:val="20"/>
                <w:color w:val="auto"/>
              </w:rPr>
              <w:t>—</w:t>
            </w:r>
          </w:p>
        </w:tc>
        <w:tc>
          <w:tcPr>
            <w:tcW w:w="340" w:type="dxa"/>
            <w:vAlign w:val="bottom"/>
          </w:tcPr>
          <w:p>
            <w:pPr>
              <w:jc w:val="right"/>
              <w:ind w:right="183"/>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3"/>
        </w:trPr>
        <w:tc>
          <w:tcPr>
            <w:tcW w:w="3920" w:type="dxa"/>
            <w:vAlign w:val="bottom"/>
            <w:shd w:val="clear" w:color="auto" w:fill="CFF0FC"/>
          </w:tcPr>
          <w:p>
            <w:pPr>
              <w:spacing w:after="0"/>
              <w:rPr>
                <w:sz w:val="20"/>
                <w:szCs w:val="20"/>
                <w:color w:val="auto"/>
              </w:rPr>
            </w:pPr>
            <w:r>
              <w:rPr>
                <w:rFonts w:ascii="Arial" w:cs="Arial" w:eastAsia="Arial" w:hAnsi="Arial"/>
                <w:sz w:val="20"/>
                <w:szCs w:val="20"/>
                <w:color w:val="auto"/>
              </w:rPr>
              <w:t>Interest cost</w:t>
            </w:r>
          </w:p>
        </w:tc>
        <w:tc>
          <w:tcPr>
            <w:tcW w:w="34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9.8</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9.3</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0.1</w:t>
            </w:r>
          </w:p>
        </w:tc>
        <w:tc>
          <w:tcPr>
            <w:tcW w:w="300" w:type="dxa"/>
            <w:vAlign w:val="bottom"/>
            <w:tcBorders>
              <w:right w:val="single" w:sz="8" w:color="CFF0FC"/>
            </w:tcBorders>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0.1</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20" w:type="dxa"/>
            <w:vAlign w:val="bottom"/>
          </w:tcPr>
          <w:p>
            <w:pPr>
              <w:spacing w:after="0"/>
              <w:rPr>
                <w:sz w:val="20"/>
                <w:szCs w:val="20"/>
                <w:color w:val="auto"/>
              </w:rPr>
            </w:pPr>
            <w:r>
              <w:rPr>
                <w:rFonts w:ascii="Arial" w:cs="Arial" w:eastAsia="Arial" w:hAnsi="Arial"/>
                <w:sz w:val="20"/>
                <w:szCs w:val="20"/>
                <w:color w:val="auto"/>
              </w:rPr>
              <w:t>Expected return on assets</w:t>
            </w:r>
          </w:p>
        </w:tc>
        <w:tc>
          <w:tcPr>
            <w:tcW w:w="34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20"/>
                <w:szCs w:val="20"/>
                <w:color w:val="auto"/>
              </w:rPr>
              <w:t>(14.8)</w:t>
            </w:r>
          </w:p>
        </w:tc>
        <w:tc>
          <w:tcPr>
            <w:tcW w:w="360" w:type="dxa"/>
            <w:vAlign w:val="bottom"/>
          </w:tcPr>
          <w:p>
            <w:pPr>
              <w:spacing w:after="0"/>
              <w:rPr>
                <w:sz w:val="21"/>
                <w:szCs w:val="21"/>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20"/>
                <w:szCs w:val="20"/>
                <w:color w:val="auto"/>
              </w:rPr>
              <w:t>(11.8)</w:t>
            </w:r>
          </w:p>
        </w:tc>
        <w:tc>
          <w:tcPr>
            <w:tcW w:w="360" w:type="dxa"/>
            <w:vAlign w:val="bottom"/>
          </w:tcPr>
          <w:p>
            <w:pPr>
              <w:spacing w:after="0"/>
              <w:rPr>
                <w:sz w:val="21"/>
                <w:szCs w:val="21"/>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1"/>
                <w:szCs w:val="21"/>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3"/>
        </w:trPr>
        <w:tc>
          <w:tcPr>
            <w:tcW w:w="3920" w:type="dxa"/>
            <w:vAlign w:val="bottom"/>
            <w:shd w:val="clear" w:color="auto" w:fill="CFF0FC"/>
          </w:tcPr>
          <w:p>
            <w:pPr>
              <w:spacing w:after="0"/>
              <w:rPr>
                <w:sz w:val="20"/>
                <w:szCs w:val="20"/>
                <w:color w:val="auto"/>
              </w:rPr>
            </w:pPr>
            <w:r>
              <w:rPr>
                <w:rFonts w:ascii="Arial" w:cs="Arial" w:eastAsia="Arial" w:hAnsi="Arial"/>
                <w:sz w:val="20"/>
                <w:szCs w:val="20"/>
                <w:color w:val="auto"/>
              </w:rPr>
              <w:t>Amortization of:</w:t>
            </w:r>
          </w:p>
        </w:tc>
        <w:tc>
          <w:tcPr>
            <w:tcW w:w="34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300" w:type="dxa"/>
            <w:vAlign w:val="bottom"/>
            <w:tcBorders>
              <w:right w:val="single" w:sz="8" w:color="CFF0FC"/>
            </w:tcBorders>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20" w:type="dxa"/>
            <w:vAlign w:val="bottom"/>
          </w:tcPr>
          <w:p>
            <w:pPr>
              <w:ind w:left="260"/>
              <w:spacing w:after="0"/>
              <w:rPr>
                <w:sz w:val="20"/>
                <w:szCs w:val="20"/>
                <w:color w:val="auto"/>
              </w:rPr>
            </w:pPr>
            <w:r>
              <w:rPr>
                <w:rFonts w:ascii="Arial" w:cs="Arial" w:eastAsia="Arial" w:hAnsi="Arial"/>
                <w:sz w:val="20"/>
                <w:szCs w:val="20"/>
                <w:color w:val="auto"/>
              </w:rPr>
              <w:t>Prior service cost (credit)</w:t>
            </w:r>
          </w:p>
        </w:tc>
        <w:tc>
          <w:tcPr>
            <w:tcW w:w="3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0.2</w:t>
            </w: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21"/>
                <w:szCs w:val="21"/>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20"/>
                <w:szCs w:val="20"/>
                <w:color w:val="auto"/>
              </w:rPr>
              <w:t>(0.2)</w:t>
            </w:r>
          </w:p>
        </w:tc>
        <w:tc>
          <w:tcPr>
            <w:tcW w:w="340" w:type="dxa"/>
            <w:vAlign w:val="bottom"/>
          </w:tcPr>
          <w:p>
            <w:pPr>
              <w:spacing w:after="0"/>
              <w:rPr>
                <w:sz w:val="21"/>
                <w:szCs w:val="21"/>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20"/>
                <w:szCs w:val="20"/>
                <w:color w:val="auto"/>
              </w:rPr>
              <w:t>(0.2)</w:t>
            </w:r>
          </w:p>
        </w:tc>
        <w:tc>
          <w:tcPr>
            <w:tcW w:w="0" w:type="dxa"/>
            <w:vAlign w:val="bottom"/>
          </w:tcPr>
          <w:p>
            <w:pPr>
              <w:spacing w:after="0"/>
              <w:rPr>
                <w:sz w:val="1"/>
                <w:szCs w:val="1"/>
                <w:color w:val="auto"/>
              </w:rPr>
            </w:pPr>
          </w:p>
        </w:tc>
      </w:tr>
      <w:tr>
        <w:trPr>
          <w:trHeight w:val="243"/>
        </w:trPr>
        <w:tc>
          <w:tcPr>
            <w:tcW w:w="3920" w:type="dxa"/>
            <w:vAlign w:val="bottom"/>
            <w:shd w:val="clear" w:color="auto" w:fill="CFF0FC"/>
          </w:tcPr>
          <w:p>
            <w:pPr>
              <w:ind w:left="260"/>
              <w:spacing w:after="0"/>
              <w:rPr>
                <w:sz w:val="20"/>
                <w:szCs w:val="20"/>
                <w:color w:val="auto"/>
              </w:rPr>
            </w:pPr>
            <w:r>
              <w:rPr>
                <w:rFonts w:ascii="Arial" w:cs="Arial" w:eastAsia="Arial" w:hAnsi="Arial"/>
                <w:sz w:val="20"/>
                <w:szCs w:val="20"/>
                <w:color w:val="auto"/>
              </w:rPr>
              <w:t>Actuarial loss (gain)</w:t>
            </w:r>
          </w:p>
        </w:tc>
        <w:tc>
          <w:tcPr>
            <w:tcW w:w="34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3.2</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3.9</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300" w:type="dxa"/>
            <w:vAlign w:val="bottom"/>
            <w:tcBorders>
              <w:right w:val="single" w:sz="8" w:color="CFF0FC"/>
            </w:tcBorders>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20"/>
                <w:szCs w:val="20"/>
                <w:color w:val="auto"/>
              </w:rPr>
              <w:t>(0.1)</w:t>
            </w:r>
          </w:p>
        </w:tc>
        <w:tc>
          <w:tcPr>
            <w:tcW w:w="0" w:type="dxa"/>
            <w:vAlign w:val="bottom"/>
          </w:tcPr>
          <w:p>
            <w:pPr>
              <w:spacing w:after="0"/>
              <w:rPr>
                <w:sz w:val="1"/>
                <w:szCs w:val="1"/>
                <w:color w:val="auto"/>
              </w:rPr>
            </w:pPr>
          </w:p>
        </w:tc>
      </w:tr>
      <w:tr>
        <w:trPr>
          <w:trHeight w:val="20"/>
        </w:trPr>
        <w:tc>
          <w:tcPr>
            <w:tcW w:w="3920" w:type="dxa"/>
            <w:vAlign w:val="bottom"/>
            <w:vMerge w:val="restart"/>
          </w:tcPr>
          <w:p>
            <w:pPr>
              <w:spacing w:after="0"/>
              <w:rPr>
                <w:sz w:val="20"/>
                <w:szCs w:val="20"/>
                <w:color w:val="auto"/>
              </w:rPr>
            </w:pPr>
            <w:r>
              <w:rPr>
                <w:rFonts w:ascii="Arial" w:cs="Arial" w:eastAsia="Arial" w:hAnsi="Arial"/>
                <w:sz w:val="20"/>
                <w:szCs w:val="20"/>
                <w:color w:val="auto"/>
              </w:rPr>
              <w:t>Net periodic benefit cost (credit)</w:t>
            </w:r>
          </w:p>
        </w:tc>
        <w:tc>
          <w:tcPr>
            <w:tcW w:w="3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920" w:type="dxa"/>
            <w:vAlign w:val="bottom"/>
            <w:vMerge w:val="continue"/>
          </w:tcPr>
          <w:p>
            <w:pPr>
              <w:spacing w:after="0"/>
              <w:rPr>
                <w:sz w:val="20"/>
                <w:szCs w:val="20"/>
                <w:color w:val="auto"/>
              </w:rPr>
            </w:pPr>
          </w:p>
        </w:tc>
        <w:tc>
          <w:tcPr>
            <w:tcW w:w="340" w:type="dxa"/>
            <w:vAlign w:val="bottom"/>
          </w:tcPr>
          <w:p>
            <w:pPr>
              <w:jc w:val="right"/>
              <w:ind w:right="141"/>
              <w:spacing w:after="0"/>
              <w:rPr>
                <w:sz w:val="20"/>
                <w:szCs w:val="20"/>
                <w:color w:val="auto"/>
              </w:rPr>
            </w:pPr>
            <w:r>
              <w:rPr>
                <w:rFonts w:ascii="Arial" w:cs="Arial" w:eastAsia="Arial" w:hAnsi="Arial"/>
                <w:sz w:val="20"/>
                <w:szCs w:val="20"/>
                <w:color w:val="auto"/>
                <w:w w:val="71"/>
              </w:rPr>
              <w:t>$</w:t>
            </w:r>
          </w:p>
        </w:tc>
        <w:tc>
          <w:tcPr>
            <w:tcW w:w="1240" w:type="dxa"/>
            <w:vAlign w:val="bottom"/>
          </w:tcPr>
          <w:p>
            <w:pPr>
              <w:jc w:val="right"/>
              <w:spacing w:after="0"/>
              <w:rPr>
                <w:sz w:val="20"/>
                <w:szCs w:val="20"/>
                <w:color w:val="auto"/>
              </w:rPr>
            </w:pPr>
            <w:r>
              <w:rPr>
                <w:rFonts w:ascii="Arial" w:cs="Arial" w:eastAsia="Arial" w:hAnsi="Arial"/>
                <w:sz w:val="20"/>
                <w:szCs w:val="20"/>
                <w:color w:val="auto"/>
              </w:rPr>
              <w:t>8.8</w:t>
            </w:r>
          </w:p>
        </w:tc>
        <w:tc>
          <w:tcPr>
            <w:tcW w:w="280" w:type="dxa"/>
            <w:vAlign w:val="bottom"/>
          </w:tcPr>
          <w:p>
            <w:pPr>
              <w:spacing w:after="0"/>
              <w:rPr>
                <w:sz w:val="20"/>
                <w:szCs w:val="20"/>
                <w:color w:val="auto"/>
              </w:rPr>
            </w:pPr>
          </w:p>
        </w:tc>
        <w:tc>
          <w:tcPr>
            <w:tcW w:w="360" w:type="dxa"/>
            <w:vAlign w:val="bottom"/>
          </w:tcPr>
          <w:p>
            <w:pPr>
              <w:jc w:val="right"/>
              <w:ind w:right="161"/>
              <w:spacing w:after="0"/>
              <w:rPr>
                <w:sz w:val="20"/>
                <w:szCs w:val="20"/>
                <w:color w:val="auto"/>
              </w:rPr>
            </w:pPr>
            <w:r>
              <w:rPr>
                <w:rFonts w:ascii="Arial" w:cs="Arial" w:eastAsia="Arial" w:hAnsi="Arial"/>
                <w:sz w:val="20"/>
                <w:szCs w:val="20"/>
                <w:color w:val="auto"/>
                <w:w w:val="71"/>
              </w:rPr>
              <w:t>$</w:t>
            </w:r>
          </w:p>
        </w:tc>
        <w:tc>
          <w:tcPr>
            <w:tcW w:w="1220" w:type="dxa"/>
            <w:vAlign w:val="bottom"/>
          </w:tcPr>
          <w:p>
            <w:pPr>
              <w:jc w:val="right"/>
              <w:spacing w:after="0"/>
              <w:rPr>
                <w:sz w:val="20"/>
                <w:szCs w:val="20"/>
                <w:color w:val="auto"/>
              </w:rPr>
            </w:pPr>
            <w:r>
              <w:rPr>
                <w:rFonts w:ascii="Arial" w:cs="Arial" w:eastAsia="Arial" w:hAnsi="Arial"/>
                <w:sz w:val="20"/>
                <w:szCs w:val="20"/>
                <w:color w:val="auto"/>
              </w:rPr>
              <w:t>9.0</w:t>
            </w:r>
          </w:p>
        </w:tc>
        <w:tc>
          <w:tcPr>
            <w:tcW w:w="280" w:type="dxa"/>
            <w:vAlign w:val="bottom"/>
          </w:tcPr>
          <w:p>
            <w:pPr>
              <w:spacing w:after="0"/>
              <w:rPr>
                <w:sz w:val="20"/>
                <w:szCs w:val="20"/>
                <w:color w:val="auto"/>
              </w:rPr>
            </w:pPr>
          </w:p>
        </w:tc>
        <w:tc>
          <w:tcPr>
            <w:tcW w:w="360" w:type="dxa"/>
            <w:vAlign w:val="bottom"/>
          </w:tcPr>
          <w:p>
            <w:pPr>
              <w:jc w:val="right"/>
              <w:ind w:right="161"/>
              <w:spacing w:after="0"/>
              <w:rPr>
                <w:sz w:val="20"/>
                <w:szCs w:val="20"/>
                <w:color w:val="auto"/>
              </w:rPr>
            </w:pPr>
            <w:r>
              <w:rPr>
                <w:rFonts w:ascii="Arial" w:cs="Arial" w:eastAsia="Arial" w:hAnsi="Arial"/>
                <w:sz w:val="20"/>
                <w:szCs w:val="20"/>
                <w:color w:val="auto"/>
                <w:w w:val="71"/>
              </w:rPr>
              <w:t>$</w:t>
            </w:r>
          </w:p>
        </w:tc>
        <w:tc>
          <w:tcPr>
            <w:tcW w:w="1540" w:type="dxa"/>
            <w:vAlign w:val="bottom"/>
            <w:gridSpan w:val="2"/>
          </w:tcPr>
          <w:p>
            <w:pPr>
              <w:jc w:val="right"/>
              <w:ind w:right="240"/>
              <w:spacing w:after="0"/>
              <w:rPr>
                <w:sz w:val="20"/>
                <w:szCs w:val="20"/>
                <w:color w:val="auto"/>
              </w:rPr>
            </w:pPr>
            <w:r>
              <w:rPr>
                <w:rFonts w:ascii="Arial" w:cs="Arial" w:eastAsia="Arial" w:hAnsi="Arial"/>
                <w:sz w:val="20"/>
                <w:szCs w:val="20"/>
                <w:color w:val="auto"/>
              </w:rPr>
              <w:t>(0.1)</w:t>
            </w:r>
          </w:p>
        </w:tc>
        <w:tc>
          <w:tcPr>
            <w:tcW w:w="340" w:type="dxa"/>
            <w:vAlign w:val="bottom"/>
          </w:tcPr>
          <w:p>
            <w:pPr>
              <w:jc w:val="right"/>
              <w:ind w:right="183"/>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60"/>
              <w:spacing w:after="0"/>
              <w:rPr>
                <w:sz w:val="20"/>
                <w:szCs w:val="20"/>
                <w:color w:val="auto"/>
              </w:rPr>
            </w:pPr>
            <w:r>
              <w:rPr>
                <w:rFonts w:ascii="Arial" w:cs="Arial" w:eastAsia="Arial" w:hAnsi="Arial"/>
                <w:sz w:val="20"/>
                <w:szCs w:val="20"/>
                <w:color w:val="auto"/>
              </w:rPr>
              <w:t>(0.2)</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80" w:type="dxa"/>
            <w:vAlign w:val="bottom"/>
            <w:gridSpan w:val="3"/>
          </w:tcPr>
          <w:p>
            <w:pPr>
              <w:jc w:val="right"/>
              <w:ind w:right="81"/>
              <w:spacing w:after="0"/>
              <w:rPr>
                <w:sz w:val="20"/>
                <w:szCs w:val="20"/>
                <w:color w:val="auto"/>
              </w:rPr>
            </w:pPr>
            <w:r>
              <w:rPr>
                <w:rFonts w:ascii="Arial" w:cs="Arial" w:eastAsia="Arial" w:hAnsi="Arial"/>
                <w:sz w:val="20"/>
                <w:szCs w:val="20"/>
                <w:color w:val="auto"/>
              </w:rPr>
              <w:t>Pension</w:t>
            </w: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40" w:type="dxa"/>
            <w:vAlign w:val="bottom"/>
            <w:gridSpan w:val="5"/>
          </w:tcPr>
          <w:p>
            <w:pPr>
              <w:jc w:val="right"/>
              <w:ind w:right="940"/>
              <w:spacing w:after="0"/>
              <w:rPr>
                <w:sz w:val="20"/>
                <w:szCs w:val="20"/>
                <w:color w:val="auto"/>
              </w:rPr>
            </w:pPr>
            <w:r>
              <w:rPr>
                <w:rFonts w:ascii="Arial" w:cs="Arial" w:eastAsia="Arial" w:hAnsi="Arial"/>
                <w:sz w:val="20"/>
                <w:szCs w:val="20"/>
                <w:color w:val="auto"/>
              </w:rPr>
              <w:t>Postretirement Benefits</w:t>
            </w:r>
          </w:p>
        </w:tc>
        <w:tc>
          <w:tcPr>
            <w:tcW w:w="0" w:type="dxa"/>
            <w:vAlign w:val="bottom"/>
          </w:tcPr>
          <w:p>
            <w:pPr>
              <w:spacing w:after="0"/>
              <w:rPr>
                <w:sz w:val="1"/>
                <w:szCs w:val="1"/>
                <w:color w:val="auto"/>
              </w:rPr>
            </w:pPr>
          </w:p>
        </w:tc>
      </w:tr>
      <w:tr>
        <w:trPr>
          <w:trHeight w:val="237"/>
        </w:trPr>
        <w:tc>
          <w:tcPr>
            <w:tcW w:w="3920" w:type="dxa"/>
            <w:vAlign w:val="bottom"/>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3400" w:type="dxa"/>
            <w:vAlign w:val="bottom"/>
            <w:tcBorders>
              <w:top w:val="single" w:sz="8" w:color="auto"/>
              <w:bottom w:val="single" w:sz="8" w:color="auto"/>
            </w:tcBorders>
            <w:gridSpan w:val="5"/>
          </w:tcPr>
          <w:p>
            <w:pPr>
              <w:jc w:val="center"/>
              <w:ind w:right="660"/>
              <w:spacing w:after="0"/>
              <w:rPr>
                <w:sz w:val="20"/>
                <w:szCs w:val="20"/>
                <w:color w:val="auto"/>
              </w:rPr>
            </w:pPr>
            <w:r>
              <w:rPr>
                <w:rFonts w:ascii="Arial" w:cs="Arial" w:eastAsia="Arial" w:hAnsi="Arial"/>
                <w:sz w:val="20"/>
                <w:szCs w:val="20"/>
                <w:color w:val="auto"/>
                <w:w w:val="89"/>
              </w:rPr>
              <w:t>Six Months Ended June 30,</w:t>
            </w:r>
          </w:p>
        </w:tc>
        <w:tc>
          <w:tcPr>
            <w:tcW w:w="34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9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01"/>
              <w:spacing w:after="0"/>
              <w:rPr>
                <w:sz w:val="20"/>
                <w:szCs w:val="20"/>
                <w:color w:val="auto"/>
              </w:rPr>
            </w:pPr>
            <w:r>
              <w:rPr>
                <w:rFonts w:ascii="Arial" w:cs="Arial" w:eastAsia="Arial" w:hAnsi="Arial"/>
                <w:sz w:val="20"/>
                <w:szCs w:val="20"/>
                <w:color w:val="auto"/>
              </w:rPr>
              <w:t>2020</w:t>
            </w:r>
          </w:p>
        </w:tc>
        <w:tc>
          <w:tcPr>
            <w:tcW w:w="2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01"/>
              <w:spacing w:after="0"/>
              <w:rPr>
                <w:sz w:val="20"/>
                <w:szCs w:val="20"/>
                <w:color w:val="auto"/>
              </w:rPr>
            </w:pPr>
            <w:r>
              <w:rPr>
                <w:rFonts w:ascii="Arial" w:cs="Arial" w:eastAsia="Arial" w:hAnsi="Arial"/>
                <w:sz w:val="20"/>
                <w:szCs w:val="20"/>
                <w:color w:val="auto"/>
              </w:rPr>
              <w:t>2019</w:t>
            </w:r>
          </w:p>
        </w:tc>
        <w:tc>
          <w:tcPr>
            <w:tcW w:w="2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01"/>
              <w:spacing w:after="0"/>
              <w:rPr>
                <w:sz w:val="20"/>
                <w:szCs w:val="20"/>
                <w:color w:val="auto"/>
              </w:rPr>
            </w:pPr>
            <w:r>
              <w:rPr>
                <w:rFonts w:ascii="Arial" w:cs="Arial" w:eastAsia="Arial" w:hAnsi="Arial"/>
                <w:sz w:val="20"/>
                <w:szCs w:val="20"/>
                <w:color w:val="auto"/>
              </w:rPr>
              <w:t>2020</w:t>
            </w:r>
          </w:p>
        </w:tc>
        <w:tc>
          <w:tcPr>
            <w:tcW w:w="3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01"/>
              <w:spacing w:after="0"/>
              <w:rPr>
                <w:sz w:val="20"/>
                <w:szCs w:val="20"/>
                <w:color w:val="auto"/>
              </w:rPr>
            </w:pPr>
            <w:r>
              <w:rPr>
                <w:rFonts w:ascii="Arial" w:cs="Arial" w:eastAsia="Arial" w:hAnsi="Arial"/>
                <w:sz w:val="20"/>
                <w:szCs w:val="20"/>
                <w:color w:val="auto"/>
              </w:rPr>
              <w:t>2019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0" w:type="dxa"/>
            <w:vAlign w:val="bottom"/>
            <w:gridSpan w:val="5"/>
          </w:tcPr>
          <w:p>
            <w:pPr>
              <w:jc w:val="center"/>
              <w:ind w:right="660"/>
              <w:spacing w:after="0"/>
              <w:rPr>
                <w:sz w:val="20"/>
                <w:szCs w:val="20"/>
                <w:color w:val="auto"/>
              </w:rPr>
            </w:pPr>
            <w:r>
              <w:rPr>
                <w:rFonts w:ascii="Arial" w:cs="Arial" w:eastAsia="Arial" w:hAnsi="Arial"/>
                <w:sz w:val="20"/>
                <w:szCs w:val="20"/>
                <w:i w:val="1"/>
                <w:iCs w:val="1"/>
                <w:color w:val="auto"/>
                <w:w w:val="98"/>
              </w:rPr>
              <w:t>(Dollars in Millions)</w:t>
            </w: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920" w:type="dxa"/>
            <w:vAlign w:val="bottom"/>
            <w:shd w:val="clear" w:color="auto" w:fill="CFF0FC"/>
          </w:tcPr>
          <w:p>
            <w:pPr>
              <w:spacing w:after="0"/>
              <w:rPr>
                <w:sz w:val="20"/>
                <w:szCs w:val="20"/>
                <w:color w:val="auto"/>
              </w:rPr>
            </w:pPr>
            <w:r>
              <w:rPr>
                <w:rFonts w:ascii="Arial" w:cs="Arial" w:eastAsia="Arial" w:hAnsi="Arial"/>
                <w:sz w:val="20"/>
                <w:szCs w:val="20"/>
                <w:color w:val="auto"/>
              </w:rPr>
              <w:t>Service cost</w:t>
            </w:r>
          </w:p>
        </w:tc>
        <w:tc>
          <w:tcPr>
            <w:tcW w:w="34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w w:val="71"/>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19.6</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15.4</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w w:val="71"/>
              </w:rPr>
              <w:t>$</w:t>
            </w:r>
          </w:p>
        </w:tc>
        <w:tc>
          <w:tcPr>
            <w:tcW w:w="1540" w:type="dxa"/>
            <w:vAlign w:val="bottom"/>
            <w:tcBorders>
              <w:right w:val="single" w:sz="8" w:color="CFF0FC"/>
            </w:tcBorders>
            <w:gridSpan w:val="2"/>
            <w:shd w:val="clear" w:color="auto" w:fill="CFF0FC"/>
          </w:tcPr>
          <w:p>
            <w:pPr>
              <w:jc w:val="right"/>
              <w:ind w:right="320"/>
              <w:spacing w:after="0"/>
              <w:rPr>
                <w:sz w:val="20"/>
                <w:szCs w:val="20"/>
                <w:color w:val="auto"/>
              </w:rPr>
            </w:pPr>
            <w:r>
              <w:rPr>
                <w:rFonts w:ascii="Arial" w:cs="Arial" w:eastAsia="Arial" w:hAnsi="Arial"/>
                <w:sz w:val="20"/>
                <w:szCs w:val="20"/>
                <w:color w:val="auto"/>
              </w:rPr>
              <w:t>—</w:t>
            </w:r>
          </w:p>
        </w:tc>
        <w:tc>
          <w:tcPr>
            <w:tcW w:w="340" w:type="dxa"/>
            <w:vAlign w:val="bottom"/>
            <w:shd w:val="clear" w:color="auto" w:fill="CFF0FC"/>
          </w:tcPr>
          <w:p>
            <w:pPr>
              <w:jc w:val="right"/>
              <w:ind w:right="183"/>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FF0FC"/>
          </w:tcPr>
          <w:p>
            <w:pPr>
              <w:jc w:val="right"/>
              <w:ind w:right="14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3"/>
        </w:trPr>
        <w:tc>
          <w:tcPr>
            <w:tcW w:w="3920" w:type="dxa"/>
            <w:vAlign w:val="bottom"/>
          </w:tcPr>
          <w:p>
            <w:pPr>
              <w:spacing w:after="0"/>
              <w:rPr>
                <w:sz w:val="20"/>
                <w:szCs w:val="20"/>
                <w:color w:val="auto"/>
              </w:rPr>
            </w:pPr>
            <w:r>
              <w:rPr>
                <w:rFonts w:ascii="Arial" w:cs="Arial" w:eastAsia="Arial" w:hAnsi="Arial"/>
                <w:sz w:val="20"/>
                <w:szCs w:val="20"/>
                <w:color w:val="auto"/>
              </w:rPr>
              <w:t>Interest cost</w:t>
            </w:r>
          </w:p>
        </w:tc>
        <w:tc>
          <w:tcPr>
            <w:tcW w:w="3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18.5</w:t>
            </w: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18.9</w:t>
            </w: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0.2</w:t>
            </w:r>
          </w:p>
        </w:tc>
        <w:tc>
          <w:tcPr>
            <w:tcW w:w="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0.3</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20" w:type="dxa"/>
            <w:vAlign w:val="bottom"/>
            <w:shd w:val="clear" w:color="auto" w:fill="CFF0FC"/>
          </w:tcPr>
          <w:p>
            <w:pPr>
              <w:spacing w:after="0"/>
              <w:rPr>
                <w:sz w:val="20"/>
                <w:szCs w:val="20"/>
                <w:color w:val="auto"/>
              </w:rPr>
            </w:pPr>
            <w:r>
              <w:rPr>
                <w:rFonts w:ascii="Arial" w:cs="Arial" w:eastAsia="Arial" w:hAnsi="Arial"/>
                <w:sz w:val="20"/>
                <w:szCs w:val="20"/>
                <w:color w:val="auto"/>
              </w:rPr>
              <w:t>Expected return on assets</w:t>
            </w:r>
          </w:p>
        </w:tc>
        <w:tc>
          <w:tcPr>
            <w:tcW w:w="34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220"/>
              <w:spacing w:after="0"/>
              <w:rPr>
                <w:sz w:val="20"/>
                <w:szCs w:val="20"/>
                <w:color w:val="auto"/>
              </w:rPr>
            </w:pPr>
            <w:r>
              <w:rPr>
                <w:rFonts w:ascii="Arial" w:cs="Arial" w:eastAsia="Arial" w:hAnsi="Arial"/>
                <w:sz w:val="20"/>
                <w:szCs w:val="20"/>
                <w:color w:val="auto"/>
              </w:rPr>
              <w:t>(28.6)</w:t>
            </w:r>
          </w:p>
        </w:tc>
        <w:tc>
          <w:tcPr>
            <w:tcW w:w="36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200"/>
              <w:spacing w:after="0"/>
              <w:rPr>
                <w:sz w:val="20"/>
                <w:szCs w:val="20"/>
                <w:color w:val="auto"/>
              </w:rPr>
            </w:pPr>
            <w:r>
              <w:rPr>
                <w:rFonts w:ascii="Arial" w:cs="Arial" w:eastAsia="Arial" w:hAnsi="Arial"/>
                <w:sz w:val="20"/>
                <w:szCs w:val="20"/>
                <w:color w:val="auto"/>
              </w:rPr>
              <w:t>(23.9)</w:t>
            </w:r>
          </w:p>
        </w:tc>
        <w:tc>
          <w:tcPr>
            <w:tcW w:w="360" w:type="dxa"/>
            <w:vAlign w:val="bottom"/>
            <w:shd w:val="clear" w:color="auto" w:fill="CFF0FC"/>
          </w:tcPr>
          <w:p>
            <w:pPr>
              <w:spacing w:after="0"/>
              <w:rPr>
                <w:sz w:val="21"/>
                <w:szCs w:val="21"/>
                <w:color w:val="auto"/>
              </w:rPr>
            </w:pPr>
          </w:p>
        </w:tc>
        <w:tc>
          <w:tcPr>
            <w:tcW w:w="1540" w:type="dxa"/>
            <w:vAlign w:val="bottom"/>
            <w:tcBorders>
              <w:right w:val="single" w:sz="8" w:color="CFF0FC"/>
            </w:tcBorders>
            <w:gridSpan w:val="2"/>
            <w:shd w:val="clear" w:color="auto" w:fill="CFF0FC"/>
          </w:tcPr>
          <w:p>
            <w:pPr>
              <w:jc w:val="right"/>
              <w:ind w:right="320"/>
              <w:spacing w:after="0"/>
              <w:rPr>
                <w:sz w:val="20"/>
                <w:szCs w:val="20"/>
                <w:color w:val="auto"/>
              </w:rPr>
            </w:pPr>
            <w:r>
              <w:rPr>
                <w:rFonts w:ascii="Arial" w:cs="Arial" w:eastAsia="Arial" w:hAnsi="Arial"/>
                <w:sz w:val="20"/>
                <w:szCs w:val="20"/>
                <w:color w:val="auto"/>
              </w:rPr>
              <w:t>—</w:t>
            </w:r>
          </w:p>
        </w:tc>
        <w:tc>
          <w:tcPr>
            <w:tcW w:w="34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14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3"/>
        </w:trPr>
        <w:tc>
          <w:tcPr>
            <w:tcW w:w="3920" w:type="dxa"/>
            <w:vAlign w:val="bottom"/>
          </w:tcPr>
          <w:p>
            <w:pPr>
              <w:spacing w:after="0"/>
              <w:rPr>
                <w:sz w:val="20"/>
                <w:szCs w:val="20"/>
                <w:color w:val="auto"/>
              </w:rPr>
            </w:pPr>
            <w:r>
              <w:rPr>
                <w:rFonts w:ascii="Arial" w:cs="Arial" w:eastAsia="Arial" w:hAnsi="Arial"/>
                <w:sz w:val="20"/>
                <w:szCs w:val="20"/>
                <w:color w:val="auto"/>
              </w:rPr>
              <w:t>Amortization of:</w:t>
            </w:r>
          </w:p>
        </w:tc>
        <w:tc>
          <w:tcPr>
            <w:tcW w:w="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20" w:type="dxa"/>
            <w:vAlign w:val="bottom"/>
            <w:shd w:val="clear" w:color="auto" w:fill="CFF0FC"/>
          </w:tcPr>
          <w:p>
            <w:pPr>
              <w:ind w:left="260"/>
              <w:spacing w:after="0"/>
              <w:rPr>
                <w:sz w:val="20"/>
                <w:szCs w:val="20"/>
                <w:color w:val="auto"/>
              </w:rPr>
            </w:pPr>
            <w:r>
              <w:rPr>
                <w:rFonts w:ascii="Arial" w:cs="Arial" w:eastAsia="Arial" w:hAnsi="Arial"/>
                <w:sz w:val="20"/>
                <w:szCs w:val="20"/>
                <w:color w:val="auto"/>
              </w:rPr>
              <w:t>Prior service cost (credit)</w:t>
            </w:r>
          </w:p>
        </w:tc>
        <w:tc>
          <w:tcPr>
            <w:tcW w:w="34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0.3</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280"/>
              <w:spacing w:after="0"/>
              <w:rPr>
                <w:sz w:val="20"/>
                <w:szCs w:val="20"/>
                <w:color w:val="auto"/>
              </w:rPr>
            </w:pPr>
            <w:r>
              <w:rPr>
                <w:rFonts w:ascii="Arial" w:cs="Arial" w:eastAsia="Arial" w:hAnsi="Arial"/>
                <w:sz w:val="20"/>
                <w:szCs w:val="20"/>
                <w:color w:val="auto"/>
              </w:rPr>
              <w:t>—</w:t>
            </w:r>
          </w:p>
        </w:tc>
        <w:tc>
          <w:tcPr>
            <w:tcW w:w="360" w:type="dxa"/>
            <w:vAlign w:val="bottom"/>
            <w:shd w:val="clear" w:color="auto" w:fill="CFF0FC"/>
          </w:tcPr>
          <w:p>
            <w:pPr>
              <w:spacing w:after="0"/>
              <w:rPr>
                <w:sz w:val="21"/>
                <w:szCs w:val="21"/>
                <w:color w:val="auto"/>
              </w:rPr>
            </w:pPr>
          </w:p>
        </w:tc>
        <w:tc>
          <w:tcPr>
            <w:tcW w:w="154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20"/>
                <w:szCs w:val="20"/>
                <w:color w:val="auto"/>
              </w:rPr>
              <w:t>(0.4)</w:t>
            </w:r>
          </w:p>
        </w:tc>
        <w:tc>
          <w:tcPr>
            <w:tcW w:w="34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20"/>
                <w:szCs w:val="20"/>
                <w:color w:val="auto"/>
              </w:rPr>
              <w:t>(0.4)</w:t>
            </w:r>
          </w:p>
        </w:tc>
        <w:tc>
          <w:tcPr>
            <w:tcW w:w="0" w:type="dxa"/>
            <w:vAlign w:val="bottom"/>
          </w:tcPr>
          <w:p>
            <w:pPr>
              <w:spacing w:after="0"/>
              <w:rPr>
                <w:sz w:val="1"/>
                <w:szCs w:val="1"/>
                <w:color w:val="auto"/>
              </w:rPr>
            </w:pPr>
          </w:p>
        </w:tc>
      </w:tr>
      <w:tr>
        <w:trPr>
          <w:trHeight w:val="243"/>
        </w:trPr>
        <w:tc>
          <w:tcPr>
            <w:tcW w:w="3920" w:type="dxa"/>
            <w:vAlign w:val="bottom"/>
          </w:tcPr>
          <w:p>
            <w:pPr>
              <w:ind w:left="260"/>
              <w:spacing w:after="0"/>
              <w:rPr>
                <w:sz w:val="20"/>
                <w:szCs w:val="20"/>
                <w:color w:val="auto"/>
              </w:rPr>
            </w:pPr>
            <w:r>
              <w:rPr>
                <w:rFonts w:ascii="Arial" w:cs="Arial" w:eastAsia="Arial" w:hAnsi="Arial"/>
                <w:sz w:val="20"/>
                <w:szCs w:val="20"/>
                <w:color w:val="auto"/>
              </w:rPr>
              <w:t>Actuarial loss (gain)</w:t>
            </w:r>
          </w:p>
        </w:tc>
        <w:tc>
          <w:tcPr>
            <w:tcW w:w="3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6.7</w:t>
            </w: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7.9</w:t>
            </w: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20"/>
                <w:szCs w:val="20"/>
                <w:color w:val="auto"/>
              </w:rPr>
              <w:t>(0.1)</w:t>
            </w:r>
          </w:p>
        </w:tc>
        <w:tc>
          <w:tcPr>
            <w:tcW w:w="340" w:type="dxa"/>
            <w:vAlign w:val="bottom"/>
          </w:tcPr>
          <w:p>
            <w:pPr>
              <w:spacing w:after="0"/>
              <w:rPr>
                <w:sz w:val="21"/>
                <w:szCs w:val="21"/>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20"/>
                <w:szCs w:val="20"/>
                <w:color w:val="auto"/>
              </w:rPr>
              <w:t>(0.2)</w:t>
            </w:r>
          </w:p>
        </w:tc>
        <w:tc>
          <w:tcPr>
            <w:tcW w:w="0" w:type="dxa"/>
            <w:vAlign w:val="bottom"/>
          </w:tcPr>
          <w:p>
            <w:pPr>
              <w:spacing w:after="0"/>
              <w:rPr>
                <w:sz w:val="1"/>
                <w:szCs w:val="1"/>
                <w:color w:val="auto"/>
              </w:rPr>
            </w:pPr>
          </w:p>
        </w:tc>
      </w:tr>
      <w:tr>
        <w:trPr>
          <w:trHeight w:val="20"/>
        </w:trPr>
        <w:tc>
          <w:tcPr>
            <w:tcW w:w="3920" w:type="dxa"/>
            <w:vAlign w:val="bottom"/>
            <w:vMerge w:val="restart"/>
            <w:shd w:val="clear" w:color="auto" w:fill="CFF0FC"/>
          </w:tcPr>
          <w:p>
            <w:pPr>
              <w:spacing w:after="0"/>
              <w:rPr>
                <w:sz w:val="20"/>
                <w:szCs w:val="20"/>
                <w:color w:val="auto"/>
              </w:rPr>
            </w:pPr>
            <w:r>
              <w:rPr>
                <w:rFonts w:ascii="Arial" w:cs="Arial" w:eastAsia="Arial" w:hAnsi="Arial"/>
                <w:sz w:val="20"/>
                <w:szCs w:val="20"/>
                <w:color w:val="auto"/>
              </w:rPr>
              <w:t>Net periodic benefit cost (credit)</w:t>
            </w:r>
          </w:p>
        </w:tc>
        <w:tc>
          <w:tcPr>
            <w:tcW w:w="3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00" w:type="dxa"/>
            <w:vAlign w:val="bottom"/>
            <w:tcBorders>
              <w:right w:val="single" w:sz="8" w:color="CFF0FC"/>
            </w:tcBorders>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920" w:type="dxa"/>
            <w:vAlign w:val="bottom"/>
            <w:vMerge w:val="continue"/>
            <w:shd w:val="clear" w:color="auto" w:fill="CFF0FC"/>
          </w:tcPr>
          <w:p>
            <w:pPr>
              <w:spacing w:after="0"/>
              <w:rPr>
                <w:sz w:val="20"/>
                <w:szCs w:val="20"/>
                <w:color w:val="auto"/>
              </w:rPr>
            </w:pPr>
          </w:p>
        </w:tc>
        <w:tc>
          <w:tcPr>
            <w:tcW w:w="34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w w:val="71"/>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16.5</w:t>
            </w: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18.3</w:t>
            </w: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w w:val="71"/>
              </w:rPr>
              <w:t>$</w:t>
            </w:r>
          </w:p>
        </w:tc>
        <w:tc>
          <w:tcPr>
            <w:tcW w:w="154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20"/>
                <w:szCs w:val="20"/>
                <w:color w:val="auto"/>
              </w:rPr>
              <w:t>(0.3)</w:t>
            </w:r>
          </w:p>
        </w:tc>
        <w:tc>
          <w:tcPr>
            <w:tcW w:w="340" w:type="dxa"/>
            <w:vAlign w:val="bottom"/>
            <w:shd w:val="clear" w:color="auto" w:fill="CFF0FC"/>
          </w:tcPr>
          <w:p>
            <w:pPr>
              <w:jc w:val="right"/>
              <w:ind w:right="183"/>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20"/>
                <w:szCs w:val="20"/>
                <w:color w:val="auto"/>
              </w:rPr>
              <w:t>(0.3)</w:t>
            </w:r>
          </w:p>
        </w:tc>
        <w:tc>
          <w:tcPr>
            <w:tcW w:w="0" w:type="dxa"/>
            <w:vAlign w:val="bottom"/>
          </w:tcPr>
          <w:p>
            <w:pPr>
              <w:spacing w:after="0"/>
              <w:rPr>
                <w:sz w:val="1"/>
                <w:szCs w:val="1"/>
                <w:color w:val="auto"/>
              </w:rPr>
            </w:pPr>
          </w:p>
        </w:tc>
      </w:tr>
      <w:tr>
        <w:trPr>
          <w:trHeight w:val="20"/>
        </w:trPr>
        <w:tc>
          <w:tcPr>
            <w:tcW w:w="392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jc w:val="both"/>
        <w:ind w:left="380"/>
        <w:spacing w:after="0" w:line="250" w:lineRule="auto"/>
        <w:rPr>
          <w:sz w:val="20"/>
          <w:szCs w:val="20"/>
          <w:color w:val="auto"/>
        </w:rPr>
      </w:pPr>
      <w:r>
        <w:rPr>
          <w:rFonts w:ascii="Arial" w:cs="Arial" w:eastAsia="Arial" w:hAnsi="Arial"/>
          <w:sz w:val="20"/>
          <w:szCs w:val="20"/>
          <w:color w:val="auto"/>
        </w:rPr>
        <w:t>The service cost component of net periodic benefit cost (credit) is included in cost of revenues – products and services and selling, general and administrative expenses. All other components are included in other nonoperating (income) and expenses, net, in the consolidated statements of earnings and comprehensive earnings.</w:t>
      </w:r>
    </w:p>
    <w:p>
      <w:pPr>
        <w:spacing w:after="0" w:line="234" w:lineRule="exact"/>
        <w:rPr>
          <w:sz w:val="20"/>
          <w:szCs w:val="20"/>
          <w:color w:val="auto"/>
        </w:rPr>
      </w:pPr>
    </w:p>
    <w:p>
      <w:pPr>
        <w:ind w:left="380" w:right="7820" w:hanging="372"/>
        <w:spacing w:after="0" w:line="394" w:lineRule="auto"/>
        <w:tabs>
          <w:tab w:leader="none" w:pos="37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u w:val="single" w:color="auto"/>
          <w:color w:val="auto"/>
        </w:rPr>
        <w:t>Legal and Administrative Proceedings</w:t>
      </w:r>
    </w:p>
    <w:p>
      <w:pPr>
        <w:spacing w:after="0" w:line="1" w:lineRule="exact"/>
        <w:rPr>
          <w:rFonts w:ascii="Arial" w:cs="Arial" w:eastAsia="Arial" w:hAnsi="Arial"/>
          <w:sz w:val="18"/>
          <w:szCs w:val="18"/>
          <w:b w:val="1"/>
          <w:bCs w:val="1"/>
          <w:color w:val="auto"/>
        </w:rPr>
      </w:pPr>
    </w:p>
    <w:p>
      <w:pPr>
        <w:jc w:val="both"/>
        <w:ind w:left="380"/>
        <w:spacing w:after="0" w:line="256" w:lineRule="auto"/>
        <w:rPr>
          <w:rFonts w:ascii="Arial" w:cs="Arial" w:eastAsia="Arial" w:hAnsi="Arial"/>
          <w:sz w:val="18"/>
          <w:szCs w:val="18"/>
          <w:b w:val="1"/>
          <w:bCs w:val="1"/>
          <w:color w:val="auto"/>
        </w:rPr>
      </w:pPr>
      <w:r>
        <w:rPr>
          <w:rFonts w:ascii="Arial" w:cs="Arial" w:eastAsia="Arial" w:hAnsi="Arial"/>
          <w:sz w:val="19"/>
          <w:szCs w:val="19"/>
          <w:color w:val="auto"/>
        </w:rPr>
        <w:t>The Company is engaged in certain legal and administrative proceedings incidental to its normal business activities, including matters relating to environmental protection. The Company considers various factors in assessing the probable outcome of each matter, including but not limited to the nature of existing legal proceedings and claims, the asserted or possible damages, the jurisdiction and venue of the case and whether it is a jury trial, the progress of the case, existing law and precedent, the opinions or views of legal counsel and other advisers, the Company’s experience in similar cases and the experience of other companies, the facts available to the Company at the time of assessment, and how the Company intends to respond to the proceeding or claim. The Company’s assessment of these factors may change over time as proceedings or claims progress. The Company believes the probability is remote that the outcome of any currently pending legal or administrative proceeding will result in a material loss to the Company as a whole, based on currently available facts.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18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June 30, 2020</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335" w:lineRule="exact"/>
        <w:rPr>
          <w:sz w:val="20"/>
          <w:szCs w:val="20"/>
          <w:color w:val="auto"/>
        </w:rPr>
      </w:pPr>
    </w:p>
    <w:p>
      <w:pPr>
        <w:ind w:left="380"/>
        <w:spacing w:after="0"/>
        <w:rPr>
          <w:sz w:val="20"/>
          <w:szCs w:val="20"/>
          <w:color w:val="auto"/>
        </w:rPr>
      </w:pPr>
      <w:r>
        <w:rPr>
          <w:rFonts w:ascii="Arial" w:cs="Arial" w:eastAsia="Arial" w:hAnsi="Arial"/>
          <w:sz w:val="20"/>
          <w:szCs w:val="20"/>
          <w:u w:val="single" w:color="auto"/>
          <w:color w:val="auto"/>
        </w:rPr>
        <w:t>Borrowing Arrangements with Affiliate</w:t>
      </w:r>
    </w:p>
    <w:p>
      <w:pPr>
        <w:spacing w:after="0" w:line="108" w:lineRule="exact"/>
        <w:rPr>
          <w:sz w:val="20"/>
          <w:szCs w:val="20"/>
          <w:color w:val="auto"/>
        </w:rPr>
      </w:pPr>
    </w:p>
    <w:p>
      <w:pPr>
        <w:jc w:val="both"/>
        <w:ind w:left="380"/>
        <w:spacing w:after="0" w:line="282" w:lineRule="auto"/>
        <w:rPr>
          <w:sz w:val="20"/>
          <w:szCs w:val="20"/>
          <w:color w:val="auto"/>
        </w:rPr>
      </w:pPr>
      <w:r>
        <w:rPr>
          <w:rFonts w:ascii="Arial" w:cs="Arial" w:eastAsia="Arial" w:hAnsi="Arial"/>
          <w:sz w:val="18"/>
          <w:szCs w:val="18"/>
          <w:color w:val="auto"/>
        </w:rPr>
        <w:t>The Company is a co-borrower with an unconsolidated affiliate for a $12.5 million revolving line of credit agreement with Truist Bank, of which $10.3 million was outstanding as of June 30, 2020 and has a maturity date of March 2022. The affiliate has agreed to reimburse and indemnify the Company for any payments and expenses the Company may incur from this agreement. The Company holds a lien on the affiliate’s membership interest in a joint venture as collateral for payment under the revolving line of credit.</w:t>
      </w:r>
    </w:p>
    <w:p>
      <w:pPr>
        <w:spacing w:after="0" w:line="53" w:lineRule="exact"/>
        <w:rPr>
          <w:sz w:val="20"/>
          <w:szCs w:val="20"/>
          <w:color w:val="auto"/>
        </w:rPr>
      </w:pPr>
    </w:p>
    <w:p>
      <w:pPr>
        <w:jc w:val="both"/>
        <w:ind w:left="380" w:right="20"/>
        <w:spacing w:after="0" w:line="287" w:lineRule="auto"/>
        <w:rPr>
          <w:sz w:val="20"/>
          <w:szCs w:val="20"/>
          <w:color w:val="auto"/>
        </w:rPr>
      </w:pPr>
      <w:r>
        <w:rPr>
          <w:rFonts w:ascii="Arial" w:cs="Arial" w:eastAsia="Arial" w:hAnsi="Arial"/>
          <w:sz w:val="19"/>
          <w:szCs w:val="19"/>
          <w:color w:val="auto"/>
        </w:rPr>
        <w:t>In addition, the Company has a $6.0 million interest-only loan, due December 31, 2022, outstanding from this unconsolidated affiliate as of June 30, 2020 and December 31, 2019. The interest rate is one-month LIBOR plus a current spread of 1.75%.</w:t>
      </w:r>
    </w:p>
    <w:p>
      <w:pPr>
        <w:spacing w:after="0" w:line="44" w:lineRule="exact"/>
        <w:rPr>
          <w:sz w:val="20"/>
          <w:szCs w:val="20"/>
          <w:color w:val="auto"/>
        </w:rPr>
      </w:pPr>
    </w:p>
    <w:p>
      <w:pPr>
        <w:ind w:left="380"/>
        <w:spacing w:after="0"/>
        <w:rPr>
          <w:sz w:val="20"/>
          <w:szCs w:val="20"/>
          <w:color w:val="auto"/>
        </w:rPr>
      </w:pPr>
      <w:r>
        <w:rPr>
          <w:rFonts w:ascii="Arial" w:cs="Arial" w:eastAsia="Arial" w:hAnsi="Arial"/>
          <w:sz w:val="20"/>
          <w:szCs w:val="20"/>
          <w:u w:val="single" w:color="auto"/>
          <w:color w:val="auto"/>
        </w:rPr>
        <w:t>Letters of Credit</w:t>
      </w:r>
    </w:p>
    <w:p>
      <w:pPr>
        <w:spacing w:after="0" w:line="108" w:lineRule="exact"/>
        <w:rPr>
          <w:sz w:val="20"/>
          <w:szCs w:val="20"/>
          <w:color w:val="auto"/>
        </w:rPr>
      </w:pPr>
    </w:p>
    <w:p>
      <w:pPr>
        <w:jc w:val="both"/>
        <w:ind w:left="380"/>
        <w:spacing w:after="0" w:line="291" w:lineRule="auto"/>
        <w:rPr>
          <w:sz w:val="20"/>
          <w:szCs w:val="20"/>
          <w:color w:val="auto"/>
        </w:rPr>
      </w:pPr>
      <w:r>
        <w:rPr>
          <w:rFonts w:ascii="Arial" w:cs="Arial" w:eastAsia="Arial" w:hAnsi="Arial"/>
          <w:sz w:val="18"/>
          <w:szCs w:val="18"/>
          <w:color w:val="auto"/>
        </w:rPr>
        <w:t>In the normal course of business, the Company provides certain third parties with standby letter of credit agreements guaranteeing its payment for certain insurance claims, contract performance and permit requirements. At June 30, 2020, the Company was contingently liable for $31.8 million in letters of credit, of which $2.3 million were issued under the Company’s Revolving Facility.</w:t>
      </w:r>
    </w:p>
    <w:p>
      <w:pPr>
        <w:spacing w:after="0" w:line="254" w:lineRule="exact"/>
        <w:rPr>
          <w:sz w:val="20"/>
          <w:szCs w:val="20"/>
          <w:color w:val="auto"/>
        </w:rPr>
      </w:pPr>
    </w:p>
    <w:p>
      <w:pPr>
        <w:ind w:left="380" w:hanging="372"/>
        <w:spacing w:after="0"/>
        <w:tabs>
          <w:tab w:leader="none" w:pos="380" w:val="left"/>
        </w:tabs>
        <w:numPr>
          <w:ilvl w:val="0"/>
          <w:numId w:val="8"/>
        </w:numPr>
        <w:rPr>
          <w:rFonts w:ascii="Arial" w:cs="Arial" w:eastAsia="Arial" w:hAnsi="Arial"/>
          <w:sz w:val="20"/>
          <w:szCs w:val="20"/>
          <w:b w:val="1"/>
          <w:bCs w:val="1"/>
          <w:color w:val="auto"/>
        </w:rPr>
      </w:pPr>
      <w:r>
        <w:rPr>
          <w:rFonts w:ascii="Arial" w:cs="Arial" w:eastAsia="Arial" w:hAnsi="Arial"/>
          <w:sz w:val="20"/>
          <w:szCs w:val="20"/>
          <w:b w:val="1"/>
          <w:bCs w:val="1"/>
          <w:color w:val="auto"/>
        </w:rPr>
        <w:t>Business Segments</w:t>
      </w:r>
    </w:p>
    <w:p>
      <w:pPr>
        <w:spacing w:after="0" w:line="59" w:lineRule="exact"/>
        <w:rPr>
          <w:rFonts w:ascii="Arial" w:cs="Arial" w:eastAsia="Arial" w:hAnsi="Arial"/>
          <w:sz w:val="20"/>
          <w:szCs w:val="20"/>
          <w:b w:val="1"/>
          <w:bCs w:val="1"/>
          <w:color w:val="auto"/>
        </w:rPr>
      </w:pPr>
    </w:p>
    <w:p>
      <w:pPr>
        <w:jc w:val="both"/>
        <w:ind w:left="380"/>
        <w:spacing w:after="0" w:line="273" w:lineRule="auto"/>
        <w:rPr>
          <w:rFonts w:ascii="Arial" w:cs="Arial" w:eastAsia="Arial" w:hAnsi="Arial"/>
          <w:sz w:val="20"/>
          <w:szCs w:val="20"/>
          <w:b w:val="1"/>
          <w:bCs w:val="1"/>
          <w:color w:val="auto"/>
        </w:rPr>
      </w:pPr>
      <w:r>
        <w:rPr>
          <w:rFonts w:ascii="Arial" w:cs="Arial" w:eastAsia="Arial" w:hAnsi="Arial"/>
          <w:sz w:val="18"/>
          <w:szCs w:val="18"/>
          <w:color w:val="auto"/>
        </w:rPr>
        <w:t>The Building Materials business contains three reportable business segments: Mid-America Group, Southeast Group and West Group. The Company also has a Magnesia Specialties segment. The Company’s evaluation of performance and allocation of resources are based primarily on earnings from operations. Consolidated earnings from operations include total revenues less cost of revenues; selling, general and administrative expenses; acquisition-related expenses, net; other operating income and expenses, net; and exclude interest expense; other nonoperating income and expenses, net; and income taxes. Corporate loss from operations primarily includes depreciation on capitalized interest; unallocated expenses for corporate administrative functions; acquisition-related expenses, net; and other nonrecurring income and expenses excluded from the Company’s evaluation of business segment performance and resource allocation. All debt and related interest expense are held at Corporate.</w:t>
      </w:r>
    </w:p>
    <w:p>
      <w:pPr>
        <w:spacing w:after="0" w:line="60" w:lineRule="exact"/>
        <w:rPr>
          <w:rFonts w:ascii="Arial" w:cs="Arial" w:eastAsia="Arial" w:hAnsi="Arial"/>
          <w:sz w:val="20"/>
          <w:szCs w:val="20"/>
          <w:b w:val="1"/>
          <w:bCs w:val="1"/>
          <w:color w:val="auto"/>
        </w:rPr>
      </w:pPr>
    </w:p>
    <w:p>
      <w:pPr>
        <w:jc w:val="both"/>
        <w:ind w:left="380"/>
        <w:spacing w:after="0" w:line="246" w:lineRule="auto"/>
        <w:rPr>
          <w:rFonts w:ascii="Arial" w:cs="Arial" w:eastAsia="Arial" w:hAnsi="Arial"/>
          <w:sz w:val="20"/>
          <w:szCs w:val="20"/>
          <w:b w:val="1"/>
          <w:bCs w:val="1"/>
          <w:color w:val="auto"/>
        </w:rPr>
      </w:pPr>
      <w:r>
        <w:rPr>
          <w:rFonts w:ascii="Arial" w:cs="Arial" w:eastAsia="Arial" w:hAnsi="Arial"/>
          <w:sz w:val="20"/>
          <w:szCs w:val="20"/>
          <w:color w:val="auto"/>
        </w:rPr>
        <w:t>The following table displays selected financial data for the Company’s reportable business segments. Total revenues, as presented on the consolidated statements of earnings and comprehensive earnings, exclude intersegment revenues which represent sales from one segment to another segment, which are eliminated in consolidation. Prior-year segment information has been reclassified to conform to the reporting structure change described in Note 1.</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19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June 30, 2020</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1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160" w:type="dxa"/>
            <w:vAlign w:val="bottom"/>
            <w:gridSpan w:val="5"/>
          </w:tcPr>
          <w:p>
            <w:pPr>
              <w:jc w:val="right"/>
              <w:ind w:right="1000"/>
              <w:spacing w:after="0"/>
              <w:rPr>
                <w:sz w:val="20"/>
                <w:szCs w:val="20"/>
                <w:color w:val="auto"/>
              </w:rPr>
            </w:pPr>
            <w:r>
              <w:rPr>
                <w:rFonts w:ascii="Arial" w:cs="Arial" w:eastAsia="Arial" w:hAnsi="Arial"/>
                <w:sz w:val="20"/>
                <w:szCs w:val="20"/>
                <w:color w:val="auto"/>
              </w:rPr>
              <w:t>Three Months Ended</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180" w:type="dxa"/>
            <w:vAlign w:val="bottom"/>
            <w:gridSpan w:val="6"/>
          </w:tcPr>
          <w:p>
            <w:pPr>
              <w:jc w:val="right"/>
              <w:ind w:right="1100"/>
              <w:spacing w:after="0"/>
              <w:rPr>
                <w:sz w:val="20"/>
                <w:szCs w:val="20"/>
                <w:color w:val="auto"/>
              </w:rPr>
            </w:pPr>
            <w:r>
              <w:rPr>
                <w:rFonts w:ascii="Arial" w:cs="Arial" w:eastAsia="Arial" w:hAnsi="Arial"/>
                <w:sz w:val="20"/>
                <w:szCs w:val="20"/>
                <w:color w:val="auto"/>
              </w:rPr>
              <w:t>Six Months Ended</w:t>
            </w:r>
          </w:p>
        </w:tc>
      </w:tr>
      <w:tr>
        <w:trPr>
          <w:trHeight w:val="246"/>
        </w:trPr>
        <w:tc>
          <w:tcPr>
            <w:tcW w:w="11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gridSpan w:val="3"/>
          </w:tcPr>
          <w:p>
            <w:pPr>
              <w:jc w:val="right"/>
              <w:ind w:right="101"/>
              <w:spacing w:after="0"/>
              <w:rPr>
                <w:sz w:val="20"/>
                <w:szCs w:val="20"/>
                <w:color w:val="auto"/>
              </w:rPr>
            </w:pPr>
            <w:r>
              <w:rPr>
                <w:rFonts w:ascii="Arial" w:cs="Arial" w:eastAsia="Arial" w:hAnsi="Arial"/>
                <w:sz w:val="20"/>
                <w:szCs w:val="20"/>
                <w:color w:val="auto"/>
              </w:rPr>
              <w:t>June 30,</w:t>
            </w:r>
          </w:p>
        </w:tc>
        <w:tc>
          <w:tcPr>
            <w:tcW w:w="114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gridSpan w:val="4"/>
          </w:tcPr>
          <w:p>
            <w:pPr>
              <w:jc w:val="right"/>
              <w:ind w:right="123"/>
              <w:spacing w:after="0"/>
              <w:rPr>
                <w:sz w:val="20"/>
                <w:szCs w:val="20"/>
                <w:color w:val="auto"/>
              </w:rPr>
            </w:pPr>
            <w:r>
              <w:rPr>
                <w:rFonts w:ascii="Arial" w:cs="Arial" w:eastAsia="Arial" w:hAnsi="Arial"/>
                <w:sz w:val="20"/>
                <w:szCs w:val="20"/>
                <w:color w:val="auto"/>
              </w:rPr>
              <w:t>June 30,</w:t>
            </w:r>
          </w:p>
        </w:tc>
        <w:tc>
          <w:tcPr>
            <w:tcW w:w="11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r>
      <w:tr>
        <w:trPr>
          <w:trHeight w:val="237"/>
        </w:trPr>
        <w:tc>
          <w:tcPr>
            <w:tcW w:w="1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81"/>
              <w:spacing w:after="0"/>
              <w:rPr>
                <w:sz w:val="20"/>
                <w:szCs w:val="20"/>
                <w:color w:val="auto"/>
              </w:rPr>
            </w:pPr>
            <w:r>
              <w:rPr>
                <w:rFonts w:ascii="Arial" w:cs="Arial" w:eastAsia="Arial" w:hAnsi="Arial"/>
                <w:sz w:val="20"/>
                <w:szCs w:val="20"/>
                <w:color w:val="auto"/>
              </w:rPr>
              <w:t>2020</w:t>
            </w:r>
          </w:p>
        </w:tc>
        <w:tc>
          <w:tcPr>
            <w:tcW w:w="2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61"/>
              <w:spacing w:after="0"/>
              <w:rPr>
                <w:sz w:val="20"/>
                <w:szCs w:val="20"/>
                <w:color w:val="auto"/>
              </w:rPr>
            </w:pPr>
            <w:r>
              <w:rPr>
                <w:rFonts w:ascii="Arial" w:cs="Arial" w:eastAsia="Arial" w:hAnsi="Arial"/>
                <w:sz w:val="20"/>
                <w:szCs w:val="20"/>
                <w:color w:val="auto"/>
              </w:rPr>
              <w:t>2019</w:t>
            </w: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81"/>
              <w:spacing w:after="0"/>
              <w:rPr>
                <w:sz w:val="20"/>
                <w:szCs w:val="20"/>
                <w:color w:val="auto"/>
              </w:rPr>
            </w:pPr>
            <w:r>
              <w:rPr>
                <w:rFonts w:ascii="Arial" w:cs="Arial" w:eastAsia="Arial" w:hAnsi="Arial"/>
                <w:sz w:val="20"/>
                <w:szCs w:val="20"/>
                <w:color w:val="auto"/>
              </w:rPr>
              <w:t>2020</w:t>
            </w:r>
          </w:p>
        </w:tc>
        <w:tc>
          <w:tcPr>
            <w:tcW w:w="2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01"/>
              <w:spacing w:after="0"/>
              <w:rPr>
                <w:sz w:val="20"/>
                <w:szCs w:val="20"/>
                <w:color w:val="auto"/>
              </w:rPr>
            </w:pPr>
            <w:r>
              <w:rPr>
                <w:rFonts w:ascii="Arial" w:cs="Arial" w:eastAsia="Arial" w:hAnsi="Arial"/>
                <w:sz w:val="20"/>
                <w:szCs w:val="20"/>
                <w:color w:val="auto"/>
              </w:rPr>
              <w:t>2019</w:t>
            </w:r>
          </w:p>
        </w:tc>
        <w:tc>
          <w:tcPr>
            <w:tcW w:w="120" w:type="dxa"/>
            <w:vAlign w:val="bottom"/>
          </w:tcPr>
          <w:p>
            <w:pPr>
              <w:spacing w:after="0"/>
              <w:rPr>
                <w:sz w:val="20"/>
                <w:szCs w:val="20"/>
                <w:color w:val="auto"/>
              </w:rPr>
            </w:pPr>
          </w:p>
        </w:tc>
      </w:tr>
      <w:tr>
        <w:trPr>
          <w:trHeight w:val="237"/>
        </w:trPr>
        <w:tc>
          <w:tcPr>
            <w:tcW w:w="1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60" w:type="dxa"/>
            <w:vAlign w:val="bottom"/>
            <w:gridSpan w:val="6"/>
          </w:tcPr>
          <w:p>
            <w:pPr>
              <w:jc w:val="right"/>
              <w:ind w:right="1120"/>
              <w:spacing w:after="0"/>
              <w:rPr>
                <w:sz w:val="20"/>
                <w:szCs w:val="20"/>
                <w:color w:val="auto"/>
              </w:rPr>
            </w:pPr>
            <w:r>
              <w:rPr>
                <w:rFonts w:ascii="Arial" w:cs="Arial" w:eastAsia="Arial" w:hAnsi="Arial"/>
                <w:sz w:val="20"/>
                <w:szCs w:val="20"/>
                <w:i w:val="1"/>
                <w:iCs w:val="1"/>
                <w:color w:val="auto"/>
              </w:rPr>
              <w:t>(Dollars in Millions)</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03"/>
        </w:trPr>
        <w:tc>
          <w:tcPr>
            <w:tcW w:w="3420" w:type="dxa"/>
            <w:vAlign w:val="bottom"/>
            <w:gridSpan w:val="4"/>
            <w:shd w:val="clear" w:color="auto" w:fill="CFF0FC"/>
          </w:tcPr>
          <w:p>
            <w:pPr>
              <w:spacing w:after="0" w:line="203" w:lineRule="exact"/>
              <w:rPr>
                <w:sz w:val="20"/>
                <w:szCs w:val="20"/>
                <w:color w:val="auto"/>
              </w:rPr>
            </w:pPr>
            <w:r>
              <w:rPr>
                <w:rFonts w:ascii="Arial" w:cs="Arial" w:eastAsia="Arial" w:hAnsi="Arial"/>
                <w:sz w:val="20"/>
                <w:szCs w:val="20"/>
                <w:color w:val="auto"/>
              </w:rPr>
              <w:t>Total revenues:</w:t>
            </w:r>
          </w:p>
        </w:tc>
        <w:tc>
          <w:tcPr>
            <w:tcW w:w="7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
        </w:trPr>
        <w:tc>
          <w:tcPr>
            <w:tcW w:w="1160" w:type="dxa"/>
            <w:vAlign w:val="bottom"/>
            <w:tcBorders>
              <w:top w:val="single" w:sz="8" w:color="auto"/>
            </w:tcBorders>
            <w:shd w:val="clear" w:color="auto" w:fill="CFF0FC"/>
          </w:tcPr>
          <w:p>
            <w:pPr>
              <w:spacing w:after="0" w:line="20" w:lineRule="exact"/>
              <w:rPr>
                <w:sz w:val="1"/>
                <w:szCs w:val="1"/>
                <w:color w:val="auto"/>
              </w:rPr>
            </w:pPr>
          </w:p>
        </w:tc>
        <w:tc>
          <w:tcPr>
            <w:tcW w:w="136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11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12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1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r>
        <w:trPr>
          <w:trHeight w:val="243"/>
        </w:trPr>
        <w:tc>
          <w:tcPr>
            <w:tcW w:w="3420" w:type="dxa"/>
            <w:vAlign w:val="bottom"/>
            <w:gridSpan w:val="4"/>
          </w:tcPr>
          <w:p>
            <w:pPr>
              <w:spacing w:after="0"/>
              <w:rPr>
                <w:sz w:val="20"/>
                <w:szCs w:val="20"/>
                <w:color w:val="auto"/>
              </w:rPr>
            </w:pPr>
            <w:r>
              <w:rPr>
                <w:rFonts w:ascii="Arial" w:cs="Arial" w:eastAsia="Arial" w:hAnsi="Arial"/>
                <w:sz w:val="20"/>
                <w:szCs w:val="20"/>
                <w:color w:val="auto"/>
              </w:rPr>
              <w:t>Mid-America Group</w:t>
            </w:r>
          </w:p>
        </w:tc>
        <w:tc>
          <w:tcPr>
            <w:tcW w:w="1040" w:type="dxa"/>
            <w:vAlign w:val="bottom"/>
            <w:gridSpan w:val="2"/>
          </w:tcPr>
          <w:p>
            <w:pPr>
              <w:jc w:val="right"/>
              <w:ind w:right="141"/>
              <w:spacing w:after="0"/>
              <w:rPr>
                <w:sz w:val="20"/>
                <w:szCs w:val="20"/>
                <w:color w:val="auto"/>
              </w:rPr>
            </w:pPr>
            <w:r>
              <w:rPr>
                <w:rFonts w:ascii="Arial" w:cs="Arial" w:eastAsia="Arial" w:hAnsi="Arial"/>
                <w:sz w:val="20"/>
                <w:szCs w:val="20"/>
                <w:color w:val="auto"/>
              </w:rPr>
              <w:t>$</w:t>
            </w:r>
          </w:p>
        </w:tc>
        <w:tc>
          <w:tcPr>
            <w:tcW w:w="1200" w:type="dxa"/>
            <w:vAlign w:val="bottom"/>
          </w:tcPr>
          <w:p>
            <w:pPr>
              <w:jc w:val="right"/>
              <w:spacing w:after="0"/>
              <w:rPr>
                <w:sz w:val="20"/>
                <w:szCs w:val="20"/>
                <w:color w:val="auto"/>
              </w:rPr>
            </w:pPr>
            <w:r>
              <w:rPr>
                <w:rFonts w:ascii="Arial" w:cs="Arial" w:eastAsia="Arial" w:hAnsi="Arial"/>
                <w:sz w:val="20"/>
                <w:szCs w:val="20"/>
                <w:color w:val="auto"/>
              </w:rPr>
              <w:t>392.3</w:t>
            </w:r>
          </w:p>
        </w:tc>
        <w:tc>
          <w:tcPr>
            <w:tcW w:w="260" w:type="dxa"/>
            <w:vAlign w:val="bottom"/>
          </w:tcPr>
          <w:p>
            <w:pPr>
              <w:spacing w:after="0"/>
              <w:rPr>
                <w:sz w:val="21"/>
                <w:szCs w:val="21"/>
                <w:color w:val="auto"/>
              </w:rPr>
            </w:pPr>
          </w:p>
        </w:tc>
        <w:tc>
          <w:tcPr>
            <w:tcW w:w="380" w:type="dxa"/>
            <w:vAlign w:val="bottom"/>
          </w:tcPr>
          <w:p>
            <w:pPr>
              <w:jc w:val="right"/>
              <w:ind w:right="181"/>
              <w:spacing w:after="0"/>
              <w:rPr>
                <w:sz w:val="20"/>
                <w:szCs w:val="20"/>
                <w:color w:val="auto"/>
              </w:rPr>
            </w:pPr>
            <w:r>
              <w:rPr>
                <w:rFonts w:ascii="Arial" w:cs="Arial" w:eastAsia="Arial" w:hAnsi="Arial"/>
                <w:sz w:val="20"/>
                <w:szCs w:val="20"/>
                <w:color w:val="auto"/>
                <w:w w:val="71"/>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414.5</w:t>
            </w:r>
          </w:p>
        </w:tc>
        <w:tc>
          <w:tcPr>
            <w:tcW w:w="180" w:type="dxa"/>
            <w:vAlign w:val="bottom"/>
          </w:tcPr>
          <w:p>
            <w:pPr>
              <w:spacing w:after="0"/>
              <w:rPr>
                <w:sz w:val="21"/>
                <w:szCs w:val="21"/>
                <w:color w:val="auto"/>
              </w:rPr>
            </w:pPr>
          </w:p>
        </w:tc>
        <w:tc>
          <w:tcPr>
            <w:tcW w:w="440" w:type="dxa"/>
            <w:vAlign w:val="bottom"/>
            <w:gridSpan w:val="2"/>
          </w:tcPr>
          <w:p>
            <w:pPr>
              <w:jc w:val="right"/>
              <w:ind w:right="141"/>
              <w:spacing w:after="0"/>
              <w:rPr>
                <w:sz w:val="20"/>
                <w:szCs w:val="20"/>
                <w:color w:val="auto"/>
              </w:rPr>
            </w:pPr>
            <w:r>
              <w:rPr>
                <w:rFonts w:ascii="Arial" w:cs="Arial" w:eastAsia="Arial" w:hAnsi="Arial"/>
                <w:sz w:val="20"/>
                <w:szCs w:val="20"/>
                <w:color w:val="auto"/>
              </w:rPr>
              <w:t>$</w:t>
            </w:r>
          </w:p>
        </w:tc>
        <w:tc>
          <w:tcPr>
            <w:tcW w:w="1220" w:type="dxa"/>
            <w:vAlign w:val="bottom"/>
          </w:tcPr>
          <w:p>
            <w:pPr>
              <w:jc w:val="right"/>
              <w:spacing w:after="0"/>
              <w:rPr>
                <w:sz w:val="20"/>
                <w:szCs w:val="20"/>
                <w:color w:val="auto"/>
              </w:rPr>
            </w:pPr>
            <w:r>
              <w:rPr>
                <w:rFonts w:ascii="Arial" w:cs="Arial" w:eastAsia="Arial" w:hAnsi="Arial"/>
                <w:sz w:val="20"/>
                <w:szCs w:val="20"/>
                <w:color w:val="auto"/>
              </w:rPr>
              <w:t>653.1</w:t>
            </w:r>
          </w:p>
        </w:tc>
        <w:tc>
          <w:tcPr>
            <w:tcW w:w="280" w:type="dxa"/>
            <w:vAlign w:val="bottom"/>
          </w:tcPr>
          <w:p>
            <w:pPr>
              <w:spacing w:after="0"/>
              <w:rPr>
                <w:sz w:val="21"/>
                <w:szCs w:val="21"/>
                <w:color w:val="auto"/>
              </w:rPr>
            </w:pPr>
          </w:p>
        </w:tc>
        <w:tc>
          <w:tcPr>
            <w:tcW w:w="380" w:type="dxa"/>
            <w:vAlign w:val="bottom"/>
            <w:gridSpan w:val="2"/>
          </w:tcPr>
          <w:p>
            <w:pPr>
              <w:jc w:val="right"/>
              <w:ind w:right="203"/>
              <w:spacing w:after="0"/>
              <w:rPr>
                <w:sz w:val="20"/>
                <w:szCs w:val="20"/>
                <w:color w:val="auto"/>
              </w:rPr>
            </w:pPr>
            <w:r>
              <w:rPr>
                <w:rFonts w:ascii="Arial" w:cs="Arial" w:eastAsia="Arial" w:hAnsi="Arial"/>
                <w:sz w:val="20"/>
                <w:szCs w:val="20"/>
                <w:color w:val="auto"/>
                <w:w w:val="71"/>
              </w:rPr>
              <w:t>$</w:t>
            </w:r>
          </w:p>
        </w:tc>
        <w:tc>
          <w:tcPr>
            <w:tcW w:w="1180" w:type="dxa"/>
            <w:vAlign w:val="bottom"/>
          </w:tcPr>
          <w:p>
            <w:pPr>
              <w:jc w:val="right"/>
              <w:spacing w:after="0"/>
              <w:rPr>
                <w:sz w:val="20"/>
                <w:szCs w:val="20"/>
                <w:color w:val="auto"/>
              </w:rPr>
            </w:pPr>
            <w:r>
              <w:rPr>
                <w:rFonts w:ascii="Arial" w:cs="Arial" w:eastAsia="Arial" w:hAnsi="Arial"/>
                <w:sz w:val="20"/>
                <w:szCs w:val="20"/>
                <w:color w:val="auto"/>
              </w:rPr>
              <w:t>662.6</w:t>
            </w:r>
          </w:p>
        </w:tc>
        <w:tc>
          <w:tcPr>
            <w:tcW w:w="120" w:type="dxa"/>
            <w:vAlign w:val="bottom"/>
          </w:tcPr>
          <w:p>
            <w:pPr>
              <w:spacing w:after="0"/>
              <w:rPr>
                <w:sz w:val="21"/>
                <w:szCs w:val="21"/>
                <w:color w:val="auto"/>
              </w:rPr>
            </w:pPr>
          </w:p>
        </w:tc>
      </w:tr>
      <w:tr>
        <w:trPr>
          <w:trHeight w:val="243"/>
        </w:trPr>
        <w:tc>
          <w:tcPr>
            <w:tcW w:w="3420" w:type="dxa"/>
            <w:vAlign w:val="bottom"/>
            <w:gridSpan w:val="4"/>
            <w:shd w:val="clear" w:color="auto" w:fill="CFF0FC"/>
          </w:tcPr>
          <w:p>
            <w:pPr>
              <w:spacing w:after="0"/>
              <w:rPr>
                <w:sz w:val="20"/>
                <w:szCs w:val="20"/>
                <w:color w:val="auto"/>
              </w:rPr>
            </w:pPr>
            <w:r>
              <w:rPr>
                <w:rFonts w:ascii="Arial" w:cs="Arial" w:eastAsia="Arial" w:hAnsi="Arial"/>
                <w:sz w:val="20"/>
                <w:szCs w:val="20"/>
                <w:color w:val="auto"/>
              </w:rPr>
              <w:t>Southeast Group</w:t>
            </w:r>
          </w:p>
        </w:tc>
        <w:tc>
          <w:tcPr>
            <w:tcW w:w="7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142.2</w:t>
            </w:r>
          </w:p>
        </w:tc>
        <w:tc>
          <w:tcPr>
            <w:tcW w:w="2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137.0</w:t>
            </w: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263.4</w:t>
            </w:r>
          </w:p>
        </w:tc>
        <w:tc>
          <w:tcPr>
            <w:tcW w:w="2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256.3</w:t>
            </w:r>
          </w:p>
        </w:tc>
        <w:tc>
          <w:tcPr>
            <w:tcW w:w="120" w:type="dxa"/>
            <w:vAlign w:val="bottom"/>
            <w:shd w:val="clear" w:color="auto" w:fill="CFF0FC"/>
          </w:tcPr>
          <w:p>
            <w:pPr>
              <w:spacing w:after="0"/>
              <w:rPr>
                <w:sz w:val="21"/>
                <w:szCs w:val="21"/>
                <w:color w:val="auto"/>
              </w:rPr>
            </w:pPr>
          </w:p>
        </w:tc>
      </w:tr>
      <w:tr>
        <w:trPr>
          <w:trHeight w:val="243"/>
        </w:trPr>
        <w:tc>
          <w:tcPr>
            <w:tcW w:w="3420" w:type="dxa"/>
            <w:vAlign w:val="bottom"/>
            <w:tcBorders>
              <w:bottom w:val="single" w:sz="8" w:color="CFF0FC"/>
            </w:tcBorders>
            <w:gridSpan w:val="4"/>
          </w:tcPr>
          <w:p>
            <w:pPr>
              <w:spacing w:after="0"/>
              <w:rPr>
                <w:sz w:val="20"/>
                <w:szCs w:val="20"/>
                <w:color w:val="auto"/>
              </w:rPr>
            </w:pPr>
            <w:r>
              <w:rPr>
                <w:rFonts w:ascii="Arial" w:cs="Arial" w:eastAsia="Arial" w:hAnsi="Arial"/>
                <w:sz w:val="20"/>
                <w:szCs w:val="20"/>
                <w:color w:val="auto"/>
              </w:rPr>
              <w:t>West Group</w:t>
            </w:r>
          </w:p>
        </w:tc>
        <w:tc>
          <w:tcPr>
            <w:tcW w:w="700" w:type="dxa"/>
            <w:vAlign w:val="bottom"/>
            <w:tcBorders>
              <w:bottom w:val="single" w:sz="8" w:color="CFF0FC"/>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682.5</w:t>
            </w:r>
          </w:p>
        </w:tc>
        <w:tc>
          <w:tcPr>
            <w:tcW w:w="260" w:type="dxa"/>
            <w:vAlign w:val="bottom"/>
            <w:tcBorders>
              <w:bottom w:val="single" w:sz="8" w:color="CFF0FC"/>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651.7</w:t>
            </w:r>
          </w:p>
        </w:tc>
        <w:tc>
          <w:tcPr>
            <w:tcW w:w="18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1,193.1</w:t>
            </w:r>
          </w:p>
        </w:tc>
        <w:tc>
          <w:tcPr>
            <w:tcW w:w="28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1,149.2</w:t>
            </w:r>
          </w:p>
        </w:tc>
        <w:tc>
          <w:tcPr>
            <w:tcW w:w="120" w:type="dxa"/>
            <w:vAlign w:val="bottom"/>
            <w:tcBorders>
              <w:bottom w:val="single" w:sz="8" w:color="CFF0FC"/>
            </w:tcBorders>
          </w:tcPr>
          <w:p>
            <w:pPr>
              <w:spacing w:after="0"/>
              <w:rPr>
                <w:sz w:val="21"/>
                <w:szCs w:val="21"/>
                <w:color w:val="auto"/>
              </w:rPr>
            </w:pPr>
          </w:p>
        </w:tc>
      </w:tr>
      <w:tr>
        <w:trPr>
          <w:trHeight w:val="237"/>
        </w:trPr>
        <w:tc>
          <w:tcPr>
            <w:tcW w:w="3420" w:type="dxa"/>
            <w:vAlign w:val="bottom"/>
            <w:gridSpan w:val="4"/>
            <w:shd w:val="clear" w:color="auto" w:fill="CFF0FC"/>
          </w:tcPr>
          <w:p>
            <w:pPr>
              <w:spacing w:after="0"/>
              <w:rPr>
                <w:sz w:val="20"/>
                <w:szCs w:val="20"/>
                <w:color w:val="auto"/>
              </w:rPr>
            </w:pPr>
            <w:r>
              <w:rPr>
                <w:rFonts w:ascii="Arial" w:cs="Arial" w:eastAsia="Arial" w:hAnsi="Arial"/>
                <w:sz w:val="20"/>
                <w:szCs w:val="20"/>
                <w:color w:val="auto"/>
              </w:rPr>
              <w:t>Total Building Materials Business</w:t>
            </w:r>
          </w:p>
        </w:tc>
        <w:tc>
          <w:tcPr>
            <w:tcW w:w="7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1,217.0</w:t>
            </w:r>
          </w:p>
        </w:tc>
        <w:tc>
          <w:tcPr>
            <w:tcW w:w="26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1,203.2</w:t>
            </w: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2,109.6</w:t>
            </w: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2,068.1</w:t>
            </w:r>
          </w:p>
        </w:tc>
        <w:tc>
          <w:tcPr>
            <w:tcW w:w="120" w:type="dxa"/>
            <w:vAlign w:val="bottom"/>
            <w:shd w:val="clear" w:color="auto" w:fill="CFF0FC"/>
          </w:tcPr>
          <w:p>
            <w:pPr>
              <w:spacing w:after="0"/>
              <w:rPr>
                <w:sz w:val="20"/>
                <w:szCs w:val="20"/>
                <w:color w:val="auto"/>
              </w:rPr>
            </w:pPr>
          </w:p>
        </w:tc>
      </w:tr>
      <w:tr>
        <w:trPr>
          <w:trHeight w:val="243"/>
        </w:trPr>
        <w:tc>
          <w:tcPr>
            <w:tcW w:w="3420" w:type="dxa"/>
            <w:vAlign w:val="bottom"/>
            <w:tcBorders>
              <w:bottom w:val="single" w:sz="8" w:color="CFF0FC"/>
            </w:tcBorders>
            <w:gridSpan w:val="4"/>
          </w:tcPr>
          <w:p>
            <w:pPr>
              <w:spacing w:after="0"/>
              <w:rPr>
                <w:sz w:val="20"/>
                <w:szCs w:val="20"/>
                <w:color w:val="auto"/>
              </w:rPr>
            </w:pPr>
            <w:r>
              <w:rPr>
                <w:rFonts w:ascii="Arial" w:cs="Arial" w:eastAsia="Arial" w:hAnsi="Arial"/>
                <w:sz w:val="20"/>
                <w:szCs w:val="20"/>
                <w:color w:val="auto"/>
              </w:rPr>
              <w:t>Magnesia Specialties</w:t>
            </w:r>
          </w:p>
        </w:tc>
        <w:tc>
          <w:tcPr>
            <w:tcW w:w="700" w:type="dxa"/>
            <w:vAlign w:val="bottom"/>
            <w:tcBorders>
              <w:bottom w:val="single" w:sz="8" w:color="CFF0FC"/>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53.6</w:t>
            </w:r>
          </w:p>
        </w:tc>
        <w:tc>
          <w:tcPr>
            <w:tcW w:w="260" w:type="dxa"/>
            <w:vAlign w:val="bottom"/>
            <w:tcBorders>
              <w:bottom w:val="single" w:sz="8" w:color="CFF0FC"/>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76.3</w:t>
            </w:r>
          </w:p>
        </w:tc>
        <w:tc>
          <w:tcPr>
            <w:tcW w:w="18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119.3</w:t>
            </w:r>
          </w:p>
        </w:tc>
        <w:tc>
          <w:tcPr>
            <w:tcW w:w="28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150.3</w:t>
            </w:r>
          </w:p>
        </w:tc>
        <w:tc>
          <w:tcPr>
            <w:tcW w:w="120" w:type="dxa"/>
            <w:vAlign w:val="bottom"/>
            <w:tcBorders>
              <w:bottom w:val="single" w:sz="8" w:color="CFF0FC"/>
            </w:tcBorders>
          </w:tcPr>
          <w:p>
            <w:pPr>
              <w:spacing w:after="0"/>
              <w:rPr>
                <w:sz w:val="21"/>
                <w:szCs w:val="21"/>
                <w:color w:val="auto"/>
              </w:rPr>
            </w:pPr>
          </w:p>
        </w:tc>
      </w:tr>
      <w:tr>
        <w:trPr>
          <w:trHeight w:val="236"/>
        </w:trPr>
        <w:tc>
          <w:tcPr>
            <w:tcW w:w="3420" w:type="dxa"/>
            <w:vAlign w:val="bottom"/>
            <w:tcBorders>
              <w:bottom w:val="single" w:sz="8" w:color="CFF0FC"/>
            </w:tcBorders>
            <w:gridSpan w:val="4"/>
            <w:shd w:val="clear" w:color="auto" w:fill="CFF0FC"/>
          </w:tcPr>
          <w:p>
            <w:pPr>
              <w:spacing w:after="0"/>
              <w:rPr>
                <w:sz w:val="20"/>
                <w:szCs w:val="20"/>
                <w:color w:val="auto"/>
              </w:rPr>
            </w:pPr>
            <w:r>
              <w:rPr>
                <w:rFonts w:ascii="Arial" w:cs="Arial" w:eastAsia="Arial" w:hAnsi="Arial"/>
                <w:sz w:val="20"/>
                <w:szCs w:val="20"/>
                <w:color w:val="auto"/>
              </w:rPr>
              <w:t>Total</w:t>
            </w:r>
          </w:p>
        </w:tc>
        <w:tc>
          <w:tcPr>
            <w:tcW w:w="70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jc w:val="right"/>
              <w:ind w:right="141"/>
              <w:spacing w:after="0"/>
              <w:rPr>
                <w:sz w:val="20"/>
                <w:szCs w:val="20"/>
                <w:color w:val="auto"/>
              </w:rPr>
            </w:pPr>
            <w:r>
              <w:rPr>
                <w:rFonts w:ascii="Arial" w:cs="Arial" w:eastAsia="Arial" w:hAnsi="Arial"/>
                <w:sz w:val="20"/>
                <w:szCs w:val="20"/>
                <w:color w:val="auto"/>
                <w:w w:val="71"/>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1,270.6</w:t>
            </w:r>
          </w:p>
        </w:tc>
        <w:tc>
          <w:tcPr>
            <w:tcW w:w="26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jc w:val="right"/>
              <w:ind w:right="181"/>
              <w:spacing w:after="0"/>
              <w:rPr>
                <w:sz w:val="20"/>
                <w:szCs w:val="20"/>
                <w:color w:val="auto"/>
              </w:rPr>
            </w:pPr>
            <w:r>
              <w:rPr>
                <w:rFonts w:ascii="Arial" w:cs="Arial" w:eastAsia="Arial" w:hAnsi="Arial"/>
                <w:sz w:val="20"/>
                <w:szCs w:val="20"/>
                <w:color w:val="auto"/>
                <w:w w:val="71"/>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1,279.5</w:t>
            </w:r>
          </w:p>
        </w:tc>
        <w:tc>
          <w:tcPr>
            <w:tcW w:w="1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jc w:val="right"/>
              <w:ind w:right="141"/>
              <w:spacing w:after="0"/>
              <w:rPr>
                <w:sz w:val="20"/>
                <w:szCs w:val="20"/>
                <w:color w:val="auto"/>
              </w:rPr>
            </w:pPr>
            <w:r>
              <w:rPr>
                <w:rFonts w:ascii="Arial" w:cs="Arial" w:eastAsia="Arial" w:hAnsi="Arial"/>
                <w:sz w:val="20"/>
                <w:szCs w:val="20"/>
                <w:color w:val="auto"/>
                <w:w w:val="71"/>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2,228.9</w:t>
            </w:r>
          </w:p>
        </w:tc>
        <w:tc>
          <w:tcPr>
            <w:tcW w:w="28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jc w:val="right"/>
              <w:ind w:right="203"/>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2,218.4</w:t>
            </w:r>
          </w:p>
        </w:tc>
        <w:tc>
          <w:tcPr>
            <w:tcW w:w="120" w:type="dxa"/>
            <w:vAlign w:val="bottom"/>
            <w:tcBorders>
              <w:bottom w:val="single" w:sz="8" w:color="CFF0FC"/>
            </w:tcBorders>
            <w:shd w:val="clear" w:color="auto" w:fill="CFF0FC"/>
          </w:tcPr>
          <w:p>
            <w:pPr>
              <w:spacing w:after="0"/>
              <w:rPr>
                <w:sz w:val="20"/>
                <w:szCs w:val="20"/>
                <w:color w:val="auto"/>
              </w:rPr>
            </w:pPr>
          </w:p>
        </w:tc>
      </w:tr>
      <w:tr>
        <w:trPr>
          <w:trHeight w:val="20"/>
        </w:trPr>
        <w:tc>
          <w:tcPr>
            <w:tcW w:w="1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4"/>
        </w:trPr>
        <w:tc>
          <w:tcPr>
            <w:tcW w:w="1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3"/>
        </w:trPr>
        <w:tc>
          <w:tcPr>
            <w:tcW w:w="3420" w:type="dxa"/>
            <w:vAlign w:val="bottom"/>
            <w:gridSpan w:val="4"/>
            <w:shd w:val="clear" w:color="auto" w:fill="CFF0FC"/>
          </w:tcPr>
          <w:p>
            <w:pPr>
              <w:spacing w:after="0" w:line="203" w:lineRule="exact"/>
              <w:rPr>
                <w:sz w:val="20"/>
                <w:szCs w:val="20"/>
                <w:color w:val="auto"/>
              </w:rPr>
            </w:pPr>
            <w:r>
              <w:rPr>
                <w:rFonts w:ascii="Arial" w:cs="Arial" w:eastAsia="Arial" w:hAnsi="Arial"/>
                <w:sz w:val="20"/>
                <w:szCs w:val="20"/>
                <w:color w:val="auto"/>
              </w:rPr>
              <w:t>Products and services revenues:</w:t>
            </w:r>
          </w:p>
        </w:tc>
        <w:tc>
          <w:tcPr>
            <w:tcW w:w="7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43"/>
        </w:trPr>
        <w:tc>
          <w:tcPr>
            <w:tcW w:w="2520" w:type="dxa"/>
            <w:vAlign w:val="bottom"/>
            <w:tcBorders>
              <w:top w:val="single" w:sz="8" w:color="auto"/>
            </w:tcBorders>
            <w:gridSpan w:val="2"/>
          </w:tcPr>
          <w:p>
            <w:pPr>
              <w:spacing w:after="0"/>
              <w:rPr>
                <w:sz w:val="20"/>
                <w:szCs w:val="20"/>
                <w:color w:val="auto"/>
              </w:rPr>
            </w:pPr>
            <w:r>
              <w:rPr>
                <w:rFonts w:ascii="Arial" w:cs="Arial" w:eastAsia="Arial" w:hAnsi="Arial"/>
                <w:sz w:val="20"/>
                <w:szCs w:val="20"/>
                <w:color w:val="auto"/>
              </w:rPr>
              <w:t>Mid-America Group</w:t>
            </w:r>
          </w:p>
        </w:tc>
        <w:tc>
          <w:tcPr>
            <w:tcW w:w="900" w:type="dxa"/>
            <w:vAlign w:val="bottom"/>
            <w:tcBorders>
              <w:top w:val="single" w:sz="8" w:color="CFF0FC"/>
            </w:tcBorders>
            <w:gridSpan w:val="2"/>
          </w:tcPr>
          <w:p>
            <w:pPr>
              <w:spacing w:after="0"/>
              <w:rPr>
                <w:sz w:val="21"/>
                <w:szCs w:val="21"/>
                <w:color w:val="auto"/>
              </w:rPr>
            </w:pPr>
          </w:p>
        </w:tc>
        <w:tc>
          <w:tcPr>
            <w:tcW w:w="1040" w:type="dxa"/>
            <w:vAlign w:val="bottom"/>
            <w:tcBorders>
              <w:top w:val="single" w:sz="8" w:color="CFF0FC"/>
            </w:tcBorders>
            <w:gridSpan w:val="2"/>
          </w:tcPr>
          <w:p>
            <w:pPr>
              <w:jc w:val="right"/>
              <w:ind w:right="141"/>
              <w:spacing w:after="0"/>
              <w:rPr>
                <w:sz w:val="20"/>
                <w:szCs w:val="20"/>
                <w:color w:val="auto"/>
              </w:rPr>
            </w:pPr>
            <w:r>
              <w:rPr>
                <w:rFonts w:ascii="Arial" w:cs="Arial" w:eastAsia="Arial" w:hAnsi="Arial"/>
                <w:sz w:val="20"/>
                <w:szCs w:val="20"/>
                <w:color w:val="auto"/>
              </w:rPr>
              <w:t>$</w:t>
            </w:r>
          </w:p>
        </w:tc>
        <w:tc>
          <w:tcPr>
            <w:tcW w:w="1200" w:type="dxa"/>
            <w:vAlign w:val="bottom"/>
            <w:tcBorders>
              <w:top w:val="single" w:sz="8" w:color="CFF0FC"/>
            </w:tcBorders>
          </w:tcPr>
          <w:p>
            <w:pPr>
              <w:jc w:val="right"/>
              <w:spacing w:after="0"/>
              <w:rPr>
                <w:sz w:val="20"/>
                <w:szCs w:val="20"/>
                <w:color w:val="auto"/>
              </w:rPr>
            </w:pPr>
            <w:r>
              <w:rPr>
                <w:rFonts w:ascii="Arial" w:cs="Arial" w:eastAsia="Arial" w:hAnsi="Arial"/>
                <w:sz w:val="20"/>
                <w:szCs w:val="20"/>
                <w:color w:val="auto"/>
              </w:rPr>
              <w:t>362.9</w:t>
            </w:r>
          </w:p>
        </w:tc>
        <w:tc>
          <w:tcPr>
            <w:tcW w:w="260" w:type="dxa"/>
            <w:vAlign w:val="bottom"/>
            <w:tcBorders>
              <w:top w:val="single" w:sz="8" w:color="CFF0FC"/>
            </w:tcBorders>
          </w:tcPr>
          <w:p>
            <w:pPr>
              <w:spacing w:after="0"/>
              <w:rPr>
                <w:sz w:val="21"/>
                <w:szCs w:val="21"/>
                <w:color w:val="auto"/>
              </w:rPr>
            </w:pPr>
          </w:p>
        </w:tc>
        <w:tc>
          <w:tcPr>
            <w:tcW w:w="380" w:type="dxa"/>
            <w:vAlign w:val="bottom"/>
            <w:tcBorders>
              <w:top w:val="single" w:sz="8" w:color="CFF0FC"/>
            </w:tcBorders>
          </w:tcPr>
          <w:p>
            <w:pPr>
              <w:jc w:val="right"/>
              <w:ind w:right="181"/>
              <w:spacing w:after="0"/>
              <w:rPr>
                <w:sz w:val="20"/>
                <w:szCs w:val="20"/>
                <w:color w:val="auto"/>
              </w:rPr>
            </w:pPr>
            <w:r>
              <w:rPr>
                <w:rFonts w:ascii="Arial" w:cs="Arial" w:eastAsia="Arial" w:hAnsi="Arial"/>
                <w:sz w:val="20"/>
                <w:szCs w:val="20"/>
                <w:color w:val="auto"/>
                <w:w w:val="71"/>
              </w:rPr>
              <w:t>$</w:t>
            </w:r>
          </w:p>
        </w:tc>
        <w:tc>
          <w:tcPr>
            <w:tcW w:w="1140" w:type="dxa"/>
            <w:vAlign w:val="bottom"/>
            <w:tcBorders>
              <w:top w:val="single" w:sz="8" w:color="CFF0FC"/>
            </w:tcBorders>
          </w:tcPr>
          <w:p>
            <w:pPr>
              <w:jc w:val="right"/>
              <w:spacing w:after="0"/>
              <w:rPr>
                <w:sz w:val="20"/>
                <w:szCs w:val="20"/>
                <w:color w:val="auto"/>
              </w:rPr>
            </w:pPr>
            <w:r>
              <w:rPr>
                <w:rFonts w:ascii="Arial" w:cs="Arial" w:eastAsia="Arial" w:hAnsi="Arial"/>
                <w:sz w:val="20"/>
                <w:szCs w:val="20"/>
                <w:color w:val="auto"/>
              </w:rPr>
              <w:t>381.9</w:t>
            </w:r>
          </w:p>
        </w:tc>
        <w:tc>
          <w:tcPr>
            <w:tcW w:w="180" w:type="dxa"/>
            <w:vAlign w:val="bottom"/>
            <w:tcBorders>
              <w:top w:val="single" w:sz="8" w:color="CFF0FC"/>
            </w:tcBorders>
          </w:tcPr>
          <w:p>
            <w:pPr>
              <w:spacing w:after="0"/>
              <w:rPr>
                <w:sz w:val="21"/>
                <w:szCs w:val="21"/>
                <w:color w:val="auto"/>
              </w:rPr>
            </w:pPr>
          </w:p>
        </w:tc>
        <w:tc>
          <w:tcPr>
            <w:tcW w:w="440" w:type="dxa"/>
            <w:vAlign w:val="bottom"/>
            <w:tcBorders>
              <w:top w:val="single" w:sz="8" w:color="CFF0FC"/>
            </w:tcBorders>
            <w:gridSpan w:val="2"/>
          </w:tcPr>
          <w:p>
            <w:pPr>
              <w:jc w:val="right"/>
              <w:ind w:right="141"/>
              <w:spacing w:after="0"/>
              <w:rPr>
                <w:sz w:val="20"/>
                <w:szCs w:val="20"/>
                <w:color w:val="auto"/>
              </w:rPr>
            </w:pPr>
            <w:r>
              <w:rPr>
                <w:rFonts w:ascii="Arial" w:cs="Arial" w:eastAsia="Arial" w:hAnsi="Arial"/>
                <w:sz w:val="20"/>
                <w:szCs w:val="20"/>
                <w:color w:val="auto"/>
              </w:rPr>
              <w:t>$</w:t>
            </w:r>
          </w:p>
        </w:tc>
        <w:tc>
          <w:tcPr>
            <w:tcW w:w="1220" w:type="dxa"/>
            <w:vAlign w:val="bottom"/>
            <w:tcBorders>
              <w:top w:val="single" w:sz="8" w:color="CFF0FC"/>
            </w:tcBorders>
          </w:tcPr>
          <w:p>
            <w:pPr>
              <w:jc w:val="right"/>
              <w:spacing w:after="0"/>
              <w:rPr>
                <w:sz w:val="20"/>
                <w:szCs w:val="20"/>
                <w:color w:val="auto"/>
              </w:rPr>
            </w:pPr>
            <w:r>
              <w:rPr>
                <w:rFonts w:ascii="Arial" w:cs="Arial" w:eastAsia="Arial" w:hAnsi="Arial"/>
                <w:sz w:val="20"/>
                <w:szCs w:val="20"/>
                <w:color w:val="auto"/>
              </w:rPr>
              <w:t>603.9</w:t>
            </w:r>
          </w:p>
        </w:tc>
        <w:tc>
          <w:tcPr>
            <w:tcW w:w="280" w:type="dxa"/>
            <w:vAlign w:val="bottom"/>
            <w:tcBorders>
              <w:top w:val="single" w:sz="8" w:color="CFF0FC"/>
            </w:tcBorders>
          </w:tcPr>
          <w:p>
            <w:pPr>
              <w:spacing w:after="0"/>
              <w:rPr>
                <w:sz w:val="21"/>
                <w:szCs w:val="21"/>
                <w:color w:val="auto"/>
              </w:rPr>
            </w:pPr>
          </w:p>
        </w:tc>
        <w:tc>
          <w:tcPr>
            <w:tcW w:w="380" w:type="dxa"/>
            <w:vAlign w:val="bottom"/>
            <w:tcBorders>
              <w:top w:val="single" w:sz="8" w:color="CFF0FC"/>
            </w:tcBorders>
            <w:gridSpan w:val="2"/>
          </w:tcPr>
          <w:p>
            <w:pPr>
              <w:jc w:val="right"/>
              <w:ind w:right="203"/>
              <w:spacing w:after="0"/>
              <w:rPr>
                <w:sz w:val="20"/>
                <w:szCs w:val="20"/>
                <w:color w:val="auto"/>
              </w:rPr>
            </w:pPr>
            <w:r>
              <w:rPr>
                <w:rFonts w:ascii="Arial" w:cs="Arial" w:eastAsia="Arial" w:hAnsi="Arial"/>
                <w:sz w:val="20"/>
                <w:szCs w:val="20"/>
                <w:color w:val="auto"/>
                <w:w w:val="71"/>
              </w:rPr>
              <w:t>$</w:t>
            </w:r>
          </w:p>
        </w:tc>
        <w:tc>
          <w:tcPr>
            <w:tcW w:w="1180" w:type="dxa"/>
            <w:vAlign w:val="bottom"/>
            <w:tcBorders>
              <w:top w:val="single" w:sz="8" w:color="CFF0FC"/>
            </w:tcBorders>
          </w:tcPr>
          <w:p>
            <w:pPr>
              <w:jc w:val="right"/>
              <w:spacing w:after="0"/>
              <w:rPr>
                <w:sz w:val="20"/>
                <w:szCs w:val="20"/>
                <w:color w:val="auto"/>
              </w:rPr>
            </w:pPr>
            <w:r>
              <w:rPr>
                <w:rFonts w:ascii="Arial" w:cs="Arial" w:eastAsia="Arial" w:hAnsi="Arial"/>
                <w:sz w:val="20"/>
                <w:szCs w:val="20"/>
                <w:color w:val="auto"/>
              </w:rPr>
              <w:t>611.5</w:t>
            </w:r>
          </w:p>
        </w:tc>
        <w:tc>
          <w:tcPr>
            <w:tcW w:w="120" w:type="dxa"/>
            <w:vAlign w:val="bottom"/>
            <w:tcBorders>
              <w:top w:val="single" w:sz="8" w:color="CFF0FC"/>
            </w:tcBorders>
          </w:tcPr>
          <w:p>
            <w:pPr>
              <w:spacing w:after="0"/>
              <w:rPr>
                <w:sz w:val="21"/>
                <w:szCs w:val="21"/>
                <w:color w:val="auto"/>
              </w:rPr>
            </w:pPr>
          </w:p>
        </w:tc>
      </w:tr>
      <w:tr>
        <w:trPr>
          <w:trHeight w:val="243"/>
        </w:trPr>
        <w:tc>
          <w:tcPr>
            <w:tcW w:w="3420" w:type="dxa"/>
            <w:vAlign w:val="bottom"/>
            <w:gridSpan w:val="4"/>
            <w:shd w:val="clear" w:color="auto" w:fill="CFF0FC"/>
          </w:tcPr>
          <w:p>
            <w:pPr>
              <w:spacing w:after="0"/>
              <w:rPr>
                <w:sz w:val="20"/>
                <w:szCs w:val="20"/>
                <w:color w:val="auto"/>
              </w:rPr>
            </w:pPr>
            <w:r>
              <w:rPr>
                <w:rFonts w:ascii="Arial" w:cs="Arial" w:eastAsia="Arial" w:hAnsi="Arial"/>
                <w:sz w:val="20"/>
                <w:szCs w:val="20"/>
                <w:color w:val="auto"/>
              </w:rPr>
              <w:t>Southeast Group</w:t>
            </w:r>
          </w:p>
        </w:tc>
        <w:tc>
          <w:tcPr>
            <w:tcW w:w="7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136.8</w:t>
            </w:r>
          </w:p>
        </w:tc>
        <w:tc>
          <w:tcPr>
            <w:tcW w:w="2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132.0</w:t>
            </w: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253.7</w:t>
            </w:r>
          </w:p>
        </w:tc>
        <w:tc>
          <w:tcPr>
            <w:tcW w:w="2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247.4</w:t>
            </w:r>
          </w:p>
        </w:tc>
        <w:tc>
          <w:tcPr>
            <w:tcW w:w="120" w:type="dxa"/>
            <w:vAlign w:val="bottom"/>
            <w:shd w:val="clear" w:color="auto" w:fill="CFF0FC"/>
          </w:tcPr>
          <w:p>
            <w:pPr>
              <w:spacing w:after="0"/>
              <w:rPr>
                <w:sz w:val="21"/>
                <w:szCs w:val="21"/>
                <w:color w:val="auto"/>
              </w:rPr>
            </w:pPr>
          </w:p>
        </w:tc>
      </w:tr>
      <w:tr>
        <w:trPr>
          <w:trHeight w:val="243"/>
        </w:trPr>
        <w:tc>
          <w:tcPr>
            <w:tcW w:w="3420" w:type="dxa"/>
            <w:vAlign w:val="bottom"/>
            <w:tcBorders>
              <w:bottom w:val="single" w:sz="8" w:color="CFF0FC"/>
            </w:tcBorders>
            <w:gridSpan w:val="4"/>
          </w:tcPr>
          <w:p>
            <w:pPr>
              <w:spacing w:after="0"/>
              <w:rPr>
                <w:sz w:val="20"/>
                <w:szCs w:val="20"/>
                <w:color w:val="auto"/>
              </w:rPr>
            </w:pPr>
            <w:r>
              <w:rPr>
                <w:rFonts w:ascii="Arial" w:cs="Arial" w:eastAsia="Arial" w:hAnsi="Arial"/>
                <w:sz w:val="20"/>
                <w:szCs w:val="20"/>
                <w:color w:val="auto"/>
              </w:rPr>
              <w:t>West Group</w:t>
            </w:r>
          </w:p>
        </w:tc>
        <w:tc>
          <w:tcPr>
            <w:tcW w:w="700" w:type="dxa"/>
            <w:vAlign w:val="bottom"/>
            <w:tcBorders>
              <w:bottom w:val="single" w:sz="8" w:color="CFF0FC"/>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640.9</w:t>
            </w:r>
          </w:p>
        </w:tc>
        <w:tc>
          <w:tcPr>
            <w:tcW w:w="260" w:type="dxa"/>
            <w:vAlign w:val="bottom"/>
            <w:tcBorders>
              <w:bottom w:val="single" w:sz="8" w:color="CFF0FC"/>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611.8</w:t>
            </w:r>
          </w:p>
        </w:tc>
        <w:tc>
          <w:tcPr>
            <w:tcW w:w="18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1,114.1</w:t>
            </w:r>
          </w:p>
        </w:tc>
        <w:tc>
          <w:tcPr>
            <w:tcW w:w="28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1,076.0</w:t>
            </w:r>
          </w:p>
        </w:tc>
        <w:tc>
          <w:tcPr>
            <w:tcW w:w="120" w:type="dxa"/>
            <w:vAlign w:val="bottom"/>
            <w:tcBorders>
              <w:bottom w:val="single" w:sz="8" w:color="CFF0FC"/>
            </w:tcBorders>
          </w:tcPr>
          <w:p>
            <w:pPr>
              <w:spacing w:after="0"/>
              <w:rPr>
                <w:sz w:val="21"/>
                <w:szCs w:val="21"/>
                <w:color w:val="auto"/>
              </w:rPr>
            </w:pPr>
          </w:p>
        </w:tc>
      </w:tr>
      <w:tr>
        <w:trPr>
          <w:trHeight w:val="237"/>
        </w:trPr>
        <w:tc>
          <w:tcPr>
            <w:tcW w:w="3420" w:type="dxa"/>
            <w:vAlign w:val="bottom"/>
            <w:gridSpan w:val="4"/>
            <w:shd w:val="clear" w:color="auto" w:fill="CFF0FC"/>
          </w:tcPr>
          <w:p>
            <w:pPr>
              <w:spacing w:after="0"/>
              <w:rPr>
                <w:sz w:val="20"/>
                <w:szCs w:val="20"/>
                <w:color w:val="auto"/>
              </w:rPr>
            </w:pPr>
            <w:r>
              <w:rPr>
                <w:rFonts w:ascii="Arial" w:cs="Arial" w:eastAsia="Arial" w:hAnsi="Arial"/>
                <w:sz w:val="20"/>
                <w:szCs w:val="20"/>
                <w:color w:val="auto"/>
              </w:rPr>
              <w:t>Total Building Materials Business</w:t>
            </w:r>
          </w:p>
        </w:tc>
        <w:tc>
          <w:tcPr>
            <w:tcW w:w="7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1,140.6</w:t>
            </w:r>
          </w:p>
        </w:tc>
        <w:tc>
          <w:tcPr>
            <w:tcW w:w="26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1,125.7</w:t>
            </w: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1,971.7</w:t>
            </w: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1,934.9</w:t>
            </w:r>
          </w:p>
        </w:tc>
        <w:tc>
          <w:tcPr>
            <w:tcW w:w="120" w:type="dxa"/>
            <w:vAlign w:val="bottom"/>
            <w:shd w:val="clear" w:color="auto" w:fill="CFF0FC"/>
          </w:tcPr>
          <w:p>
            <w:pPr>
              <w:spacing w:after="0"/>
              <w:rPr>
                <w:sz w:val="20"/>
                <w:szCs w:val="20"/>
                <w:color w:val="auto"/>
              </w:rPr>
            </w:pPr>
          </w:p>
        </w:tc>
      </w:tr>
      <w:tr>
        <w:trPr>
          <w:trHeight w:val="243"/>
        </w:trPr>
        <w:tc>
          <w:tcPr>
            <w:tcW w:w="3420" w:type="dxa"/>
            <w:vAlign w:val="bottom"/>
            <w:tcBorders>
              <w:bottom w:val="single" w:sz="8" w:color="CFF0FC"/>
            </w:tcBorders>
            <w:gridSpan w:val="4"/>
          </w:tcPr>
          <w:p>
            <w:pPr>
              <w:spacing w:after="0"/>
              <w:rPr>
                <w:sz w:val="20"/>
                <w:szCs w:val="20"/>
                <w:color w:val="auto"/>
              </w:rPr>
            </w:pPr>
            <w:r>
              <w:rPr>
                <w:rFonts w:ascii="Arial" w:cs="Arial" w:eastAsia="Arial" w:hAnsi="Arial"/>
                <w:sz w:val="20"/>
                <w:szCs w:val="20"/>
                <w:color w:val="auto"/>
              </w:rPr>
              <w:t>Magnesia Specialties</w:t>
            </w:r>
          </w:p>
        </w:tc>
        <w:tc>
          <w:tcPr>
            <w:tcW w:w="700" w:type="dxa"/>
            <w:vAlign w:val="bottom"/>
            <w:tcBorders>
              <w:bottom w:val="single" w:sz="8" w:color="CFF0FC"/>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48.9</w:t>
            </w:r>
          </w:p>
        </w:tc>
        <w:tc>
          <w:tcPr>
            <w:tcW w:w="260" w:type="dxa"/>
            <w:vAlign w:val="bottom"/>
            <w:tcBorders>
              <w:bottom w:val="single" w:sz="8" w:color="CFF0FC"/>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70.4</w:t>
            </w:r>
          </w:p>
        </w:tc>
        <w:tc>
          <w:tcPr>
            <w:tcW w:w="18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108.8</w:t>
            </w:r>
          </w:p>
        </w:tc>
        <w:tc>
          <w:tcPr>
            <w:tcW w:w="28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139.5</w:t>
            </w:r>
          </w:p>
        </w:tc>
        <w:tc>
          <w:tcPr>
            <w:tcW w:w="120" w:type="dxa"/>
            <w:vAlign w:val="bottom"/>
            <w:tcBorders>
              <w:bottom w:val="single" w:sz="8" w:color="CFF0FC"/>
            </w:tcBorders>
          </w:tcPr>
          <w:p>
            <w:pPr>
              <w:spacing w:after="0"/>
              <w:rPr>
                <w:sz w:val="21"/>
                <w:szCs w:val="21"/>
                <w:color w:val="auto"/>
              </w:rPr>
            </w:pPr>
          </w:p>
        </w:tc>
      </w:tr>
      <w:tr>
        <w:trPr>
          <w:trHeight w:val="237"/>
        </w:trPr>
        <w:tc>
          <w:tcPr>
            <w:tcW w:w="3420" w:type="dxa"/>
            <w:vAlign w:val="bottom"/>
            <w:tcBorders>
              <w:bottom w:val="single" w:sz="8" w:color="CFF0FC"/>
            </w:tcBorders>
            <w:gridSpan w:val="4"/>
            <w:shd w:val="clear" w:color="auto" w:fill="CFF0FC"/>
          </w:tcPr>
          <w:p>
            <w:pPr>
              <w:spacing w:after="0"/>
              <w:rPr>
                <w:sz w:val="20"/>
                <w:szCs w:val="20"/>
                <w:color w:val="auto"/>
              </w:rPr>
            </w:pPr>
            <w:r>
              <w:rPr>
                <w:rFonts w:ascii="Arial" w:cs="Arial" w:eastAsia="Arial" w:hAnsi="Arial"/>
                <w:sz w:val="20"/>
                <w:szCs w:val="20"/>
                <w:color w:val="auto"/>
              </w:rPr>
              <w:t>Total</w:t>
            </w:r>
          </w:p>
        </w:tc>
        <w:tc>
          <w:tcPr>
            <w:tcW w:w="70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jc w:val="right"/>
              <w:ind w:right="141"/>
              <w:spacing w:after="0"/>
              <w:rPr>
                <w:sz w:val="20"/>
                <w:szCs w:val="20"/>
                <w:color w:val="auto"/>
              </w:rPr>
            </w:pPr>
            <w:r>
              <w:rPr>
                <w:rFonts w:ascii="Arial" w:cs="Arial" w:eastAsia="Arial" w:hAnsi="Arial"/>
                <w:sz w:val="20"/>
                <w:szCs w:val="20"/>
                <w:color w:val="auto"/>
                <w:w w:val="71"/>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1,189.5</w:t>
            </w:r>
          </w:p>
        </w:tc>
        <w:tc>
          <w:tcPr>
            <w:tcW w:w="26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jc w:val="right"/>
              <w:ind w:right="181"/>
              <w:spacing w:after="0"/>
              <w:rPr>
                <w:sz w:val="20"/>
                <w:szCs w:val="20"/>
                <w:color w:val="auto"/>
              </w:rPr>
            </w:pPr>
            <w:r>
              <w:rPr>
                <w:rFonts w:ascii="Arial" w:cs="Arial" w:eastAsia="Arial" w:hAnsi="Arial"/>
                <w:sz w:val="20"/>
                <w:szCs w:val="20"/>
                <w:color w:val="auto"/>
                <w:w w:val="71"/>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1,196.1</w:t>
            </w:r>
          </w:p>
        </w:tc>
        <w:tc>
          <w:tcPr>
            <w:tcW w:w="1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jc w:val="right"/>
              <w:ind w:right="141"/>
              <w:spacing w:after="0"/>
              <w:rPr>
                <w:sz w:val="20"/>
                <w:szCs w:val="20"/>
                <w:color w:val="auto"/>
              </w:rPr>
            </w:pPr>
            <w:r>
              <w:rPr>
                <w:rFonts w:ascii="Arial" w:cs="Arial" w:eastAsia="Arial" w:hAnsi="Arial"/>
                <w:sz w:val="20"/>
                <w:szCs w:val="20"/>
                <w:color w:val="auto"/>
                <w:w w:val="71"/>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2,080.5</w:t>
            </w:r>
          </w:p>
        </w:tc>
        <w:tc>
          <w:tcPr>
            <w:tcW w:w="28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jc w:val="right"/>
              <w:ind w:right="203"/>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2,074.4</w:t>
            </w:r>
          </w:p>
        </w:tc>
        <w:tc>
          <w:tcPr>
            <w:tcW w:w="120" w:type="dxa"/>
            <w:vAlign w:val="bottom"/>
            <w:tcBorders>
              <w:bottom w:val="single" w:sz="8" w:color="CFF0FC"/>
            </w:tcBorders>
            <w:shd w:val="clear" w:color="auto" w:fill="CFF0FC"/>
          </w:tcPr>
          <w:p>
            <w:pPr>
              <w:spacing w:after="0"/>
              <w:rPr>
                <w:sz w:val="20"/>
                <w:szCs w:val="20"/>
                <w:color w:val="auto"/>
              </w:rPr>
            </w:pPr>
          </w:p>
        </w:tc>
      </w:tr>
      <w:tr>
        <w:trPr>
          <w:trHeight w:val="20"/>
        </w:trPr>
        <w:tc>
          <w:tcPr>
            <w:tcW w:w="1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4"/>
        </w:trPr>
        <w:tc>
          <w:tcPr>
            <w:tcW w:w="1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3"/>
        </w:trPr>
        <w:tc>
          <w:tcPr>
            <w:tcW w:w="3420" w:type="dxa"/>
            <w:vAlign w:val="bottom"/>
            <w:gridSpan w:val="4"/>
            <w:shd w:val="clear" w:color="auto" w:fill="CFF0FC"/>
          </w:tcPr>
          <w:p>
            <w:pPr>
              <w:spacing w:after="0" w:line="203" w:lineRule="exact"/>
              <w:rPr>
                <w:sz w:val="20"/>
                <w:szCs w:val="20"/>
                <w:color w:val="auto"/>
              </w:rPr>
            </w:pPr>
            <w:r>
              <w:rPr>
                <w:rFonts w:ascii="Arial" w:cs="Arial" w:eastAsia="Arial" w:hAnsi="Arial"/>
                <w:sz w:val="20"/>
                <w:szCs w:val="20"/>
                <w:color w:val="auto"/>
              </w:rPr>
              <w:t>Earnings (Loss) from operations:</w:t>
            </w:r>
          </w:p>
        </w:tc>
        <w:tc>
          <w:tcPr>
            <w:tcW w:w="7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43"/>
        </w:trPr>
        <w:tc>
          <w:tcPr>
            <w:tcW w:w="2580" w:type="dxa"/>
            <w:vAlign w:val="bottom"/>
            <w:tcBorders>
              <w:top w:val="single" w:sz="8" w:color="auto"/>
            </w:tcBorders>
            <w:gridSpan w:val="3"/>
          </w:tcPr>
          <w:p>
            <w:pPr>
              <w:spacing w:after="0"/>
              <w:rPr>
                <w:sz w:val="20"/>
                <w:szCs w:val="20"/>
                <w:color w:val="auto"/>
              </w:rPr>
            </w:pPr>
            <w:r>
              <w:rPr>
                <w:rFonts w:ascii="Arial" w:cs="Arial" w:eastAsia="Arial" w:hAnsi="Arial"/>
                <w:sz w:val="20"/>
                <w:szCs w:val="20"/>
                <w:color w:val="auto"/>
              </w:rPr>
              <w:t>Mid-America Group</w:t>
            </w:r>
          </w:p>
        </w:tc>
        <w:tc>
          <w:tcPr>
            <w:tcW w:w="840" w:type="dxa"/>
            <w:vAlign w:val="bottom"/>
            <w:tcBorders>
              <w:top w:val="single" w:sz="8" w:color="CFF0FC"/>
            </w:tcBorders>
          </w:tcPr>
          <w:p>
            <w:pPr>
              <w:spacing w:after="0"/>
              <w:rPr>
                <w:sz w:val="21"/>
                <w:szCs w:val="21"/>
                <w:color w:val="auto"/>
              </w:rPr>
            </w:pPr>
          </w:p>
        </w:tc>
        <w:tc>
          <w:tcPr>
            <w:tcW w:w="1040" w:type="dxa"/>
            <w:vAlign w:val="bottom"/>
            <w:tcBorders>
              <w:top w:val="single" w:sz="8" w:color="CFF0FC"/>
            </w:tcBorders>
            <w:gridSpan w:val="2"/>
          </w:tcPr>
          <w:p>
            <w:pPr>
              <w:jc w:val="right"/>
              <w:ind w:right="141"/>
              <w:spacing w:after="0"/>
              <w:rPr>
                <w:sz w:val="20"/>
                <w:szCs w:val="20"/>
                <w:color w:val="auto"/>
              </w:rPr>
            </w:pPr>
            <w:r>
              <w:rPr>
                <w:rFonts w:ascii="Arial" w:cs="Arial" w:eastAsia="Arial" w:hAnsi="Arial"/>
                <w:sz w:val="20"/>
                <w:szCs w:val="20"/>
                <w:color w:val="auto"/>
              </w:rPr>
              <w:t>$</w:t>
            </w:r>
          </w:p>
        </w:tc>
        <w:tc>
          <w:tcPr>
            <w:tcW w:w="1200" w:type="dxa"/>
            <w:vAlign w:val="bottom"/>
            <w:tcBorders>
              <w:top w:val="single" w:sz="8" w:color="CFF0FC"/>
            </w:tcBorders>
          </w:tcPr>
          <w:p>
            <w:pPr>
              <w:jc w:val="right"/>
              <w:spacing w:after="0"/>
              <w:rPr>
                <w:sz w:val="20"/>
                <w:szCs w:val="20"/>
                <w:color w:val="auto"/>
              </w:rPr>
            </w:pPr>
            <w:r>
              <w:rPr>
                <w:rFonts w:ascii="Arial" w:cs="Arial" w:eastAsia="Arial" w:hAnsi="Arial"/>
                <w:sz w:val="20"/>
                <w:szCs w:val="20"/>
                <w:color w:val="auto"/>
              </w:rPr>
              <w:t>136.2</w:t>
            </w:r>
          </w:p>
        </w:tc>
        <w:tc>
          <w:tcPr>
            <w:tcW w:w="260" w:type="dxa"/>
            <w:vAlign w:val="bottom"/>
            <w:tcBorders>
              <w:top w:val="single" w:sz="8" w:color="CFF0FC"/>
            </w:tcBorders>
          </w:tcPr>
          <w:p>
            <w:pPr>
              <w:spacing w:after="0"/>
              <w:rPr>
                <w:sz w:val="21"/>
                <w:szCs w:val="21"/>
                <w:color w:val="auto"/>
              </w:rPr>
            </w:pPr>
          </w:p>
        </w:tc>
        <w:tc>
          <w:tcPr>
            <w:tcW w:w="380" w:type="dxa"/>
            <w:vAlign w:val="bottom"/>
            <w:tcBorders>
              <w:top w:val="single" w:sz="8" w:color="CFF0FC"/>
            </w:tcBorders>
          </w:tcPr>
          <w:p>
            <w:pPr>
              <w:jc w:val="right"/>
              <w:ind w:right="181"/>
              <w:spacing w:after="0"/>
              <w:rPr>
                <w:sz w:val="20"/>
                <w:szCs w:val="20"/>
                <w:color w:val="auto"/>
              </w:rPr>
            </w:pPr>
            <w:r>
              <w:rPr>
                <w:rFonts w:ascii="Arial" w:cs="Arial" w:eastAsia="Arial" w:hAnsi="Arial"/>
                <w:sz w:val="20"/>
                <w:szCs w:val="20"/>
                <w:color w:val="auto"/>
                <w:w w:val="71"/>
              </w:rPr>
              <w:t>$</w:t>
            </w:r>
          </w:p>
        </w:tc>
        <w:tc>
          <w:tcPr>
            <w:tcW w:w="1140" w:type="dxa"/>
            <w:vAlign w:val="bottom"/>
            <w:tcBorders>
              <w:top w:val="single" w:sz="8" w:color="CFF0FC"/>
            </w:tcBorders>
          </w:tcPr>
          <w:p>
            <w:pPr>
              <w:jc w:val="right"/>
              <w:spacing w:after="0"/>
              <w:rPr>
                <w:sz w:val="20"/>
                <w:szCs w:val="20"/>
                <w:color w:val="auto"/>
              </w:rPr>
            </w:pPr>
            <w:r>
              <w:rPr>
                <w:rFonts w:ascii="Arial" w:cs="Arial" w:eastAsia="Arial" w:hAnsi="Arial"/>
                <w:sz w:val="20"/>
                <w:szCs w:val="20"/>
                <w:color w:val="auto"/>
              </w:rPr>
              <w:t>141.3</w:t>
            </w:r>
          </w:p>
        </w:tc>
        <w:tc>
          <w:tcPr>
            <w:tcW w:w="180" w:type="dxa"/>
            <w:vAlign w:val="bottom"/>
            <w:tcBorders>
              <w:top w:val="single" w:sz="8" w:color="CFF0FC"/>
            </w:tcBorders>
          </w:tcPr>
          <w:p>
            <w:pPr>
              <w:spacing w:after="0"/>
              <w:rPr>
                <w:sz w:val="21"/>
                <w:szCs w:val="21"/>
                <w:color w:val="auto"/>
              </w:rPr>
            </w:pPr>
          </w:p>
        </w:tc>
        <w:tc>
          <w:tcPr>
            <w:tcW w:w="440" w:type="dxa"/>
            <w:vAlign w:val="bottom"/>
            <w:tcBorders>
              <w:top w:val="single" w:sz="8" w:color="CFF0FC"/>
            </w:tcBorders>
            <w:gridSpan w:val="2"/>
          </w:tcPr>
          <w:p>
            <w:pPr>
              <w:jc w:val="right"/>
              <w:ind w:right="141"/>
              <w:spacing w:after="0"/>
              <w:rPr>
                <w:sz w:val="20"/>
                <w:szCs w:val="20"/>
                <w:color w:val="auto"/>
              </w:rPr>
            </w:pPr>
            <w:r>
              <w:rPr>
                <w:rFonts w:ascii="Arial" w:cs="Arial" w:eastAsia="Arial" w:hAnsi="Arial"/>
                <w:sz w:val="20"/>
                <w:szCs w:val="20"/>
                <w:color w:val="auto"/>
              </w:rPr>
              <w:t>$</w:t>
            </w:r>
          </w:p>
        </w:tc>
        <w:tc>
          <w:tcPr>
            <w:tcW w:w="1220" w:type="dxa"/>
            <w:vAlign w:val="bottom"/>
            <w:tcBorders>
              <w:top w:val="single" w:sz="8" w:color="CFF0FC"/>
            </w:tcBorders>
          </w:tcPr>
          <w:p>
            <w:pPr>
              <w:jc w:val="right"/>
              <w:spacing w:after="0"/>
              <w:rPr>
                <w:sz w:val="20"/>
                <w:szCs w:val="20"/>
                <w:color w:val="auto"/>
              </w:rPr>
            </w:pPr>
            <w:r>
              <w:rPr>
                <w:rFonts w:ascii="Arial" w:cs="Arial" w:eastAsia="Arial" w:hAnsi="Arial"/>
                <w:sz w:val="20"/>
                <w:szCs w:val="20"/>
                <w:color w:val="auto"/>
              </w:rPr>
              <w:t>157.0</w:t>
            </w:r>
          </w:p>
        </w:tc>
        <w:tc>
          <w:tcPr>
            <w:tcW w:w="280" w:type="dxa"/>
            <w:vAlign w:val="bottom"/>
            <w:tcBorders>
              <w:top w:val="single" w:sz="8" w:color="CFF0FC"/>
            </w:tcBorders>
          </w:tcPr>
          <w:p>
            <w:pPr>
              <w:spacing w:after="0"/>
              <w:rPr>
                <w:sz w:val="21"/>
                <w:szCs w:val="21"/>
                <w:color w:val="auto"/>
              </w:rPr>
            </w:pPr>
          </w:p>
        </w:tc>
        <w:tc>
          <w:tcPr>
            <w:tcW w:w="380" w:type="dxa"/>
            <w:vAlign w:val="bottom"/>
            <w:tcBorders>
              <w:top w:val="single" w:sz="8" w:color="CFF0FC"/>
            </w:tcBorders>
            <w:gridSpan w:val="2"/>
          </w:tcPr>
          <w:p>
            <w:pPr>
              <w:jc w:val="right"/>
              <w:ind w:right="203"/>
              <w:spacing w:after="0"/>
              <w:rPr>
                <w:sz w:val="20"/>
                <w:szCs w:val="20"/>
                <w:color w:val="auto"/>
              </w:rPr>
            </w:pPr>
            <w:r>
              <w:rPr>
                <w:rFonts w:ascii="Arial" w:cs="Arial" w:eastAsia="Arial" w:hAnsi="Arial"/>
                <w:sz w:val="20"/>
                <w:szCs w:val="20"/>
                <w:color w:val="auto"/>
                <w:w w:val="71"/>
              </w:rPr>
              <w:t>$</w:t>
            </w:r>
          </w:p>
        </w:tc>
        <w:tc>
          <w:tcPr>
            <w:tcW w:w="1180" w:type="dxa"/>
            <w:vAlign w:val="bottom"/>
            <w:tcBorders>
              <w:top w:val="single" w:sz="8" w:color="CFF0FC"/>
            </w:tcBorders>
          </w:tcPr>
          <w:p>
            <w:pPr>
              <w:jc w:val="right"/>
              <w:spacing w:after="0"/>
              <w:rPr>
                <w:sz w:val="20"/>
                <w:szCs w:val="20"/>
                <w:color w:val="auto"/>
              </w:rPr>
            </w:pPr>
            <w:r>
              <w:rPr>
                <w:rFonts w:ascii="Arial" w:cs="Arial" w:eastAsia="Arial" w:hAnsi="Arial"/>
                <w:sz w:val="20"/>
                <w:szCs w:val="20"/>
                <w:color w:val="auto"/>
              </w:rPr>
              <w:t>171.9</w:t>
            </w:r>
          </w:p>
        </w:tc>
        <w:tc>
          <w:tcPr>
            <w:tcW w:w="120" w:type="dxa"/>
            <w:vAlign w:val="bottom"/>
            <w:tcBorders>
              <w:top w:val="single" w:sz="8" w:color="CFF0FC"/>
            </w:tcBorders>
          </w:tcPr>
          <w:p>
            <w:pPr>
              <w:spacing w:after="0"/>
              <w:rPr>
                <w:sz w:val="21"/>
                <w:szCs w:val="21"/>
                <w:color w:val="auto"/>
              </w:rPr>
            </w:pPr>
          </w:p>
        </w:tc>
      </w:tr>
      <w:tr>
        <w:trPr>
          <w:trHeight w:val="243"/>
        </w:trPr>
        <w:tc>
          <w:tcPr>
            <w:tcW w:w="3420" w:type="dxa"/>
            <w:vAlign w:val="bottom"/>
            <w:gridSpan w:val="4"/>
            <w:shd w:val="clear" w:color="auto" w:fill="CFF0FC"/>
          </w:tcPr>
          <w:p>
            <w:pPr>
              <w:spacing w:after="0"/>
              <w:rPr>
                <w:sz w:val="20"/>
                <w:szCs w:val="20"/>
                <w:color w:val="auto"/>
              </w:rPr>
            </w:pPr>
            <w:r>
              <w:rPr>
                <w:rFonts w:ascii="Arial" w:cs="Arial" w:eastAsia="Arial" w:hAnsi="Arial"/>
                <w:sz w:val="20"/>
                <w:szCs w:val="20"/>
                <w:color w:val="auto"/>
              </w:rPr>
              <w:t>Southeast Group</w:t>
            </w:r>
          </w:p>
        </w:tc>
        <w:tc>
          <w:tcPr>
            <w:tcW w:w="7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33.7</w:t>
            </w:r>
          </w:p>
        </w:tc>
        <w:tc>
          <w:tcPr>
            <w:tcW w:w="2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32.7</w:t>
            </w: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47.7</w:t>
            </w:r>
          </w:p>
        </w:tc>
        <w:tc>
          <w:tcPr>
            <w:tcW w:w="2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53.8</w:t>
            </w:r>
          </w:p>
        </w:tc>
        <w:tc>
          <w:tcPr>
            <w:tcW w:w="120" w:type="dxa"/>
            <w:vAlign w:val="bottom"/>
            <w:shd w:val="clear" w:color="auto" w:fill="CFF0FC"/>
          </w:tcPr>
          <w:p>
            <w:pPr>
              <w:spacing w:after="0"/>
              <w:rPr>
                <w:sz w:val="21"/>
                <w:szCs w:val="21"/>
                <w:color w:val="auto"/>
              </w:rPr>
            </w:pPr>
          </w:p>
        </w:tc>
      </w:tr>
      <w:tr>
        <w:trPr>
          <w:trHeight w:val="243"/>
        </w:trPr>
        <w:tc>
          <w:tcPr>
            <w:tcW w:w="3420" w:type="dxa"/>
            <w:vAlign w:val="bottom"/>
            <w:tcBorders>
              <w:bottom w:val="single" w:sz="8" w:color="CFF0FC"/>
            </w:tcBorders>
            <w:gridSpan w:val="4"/>
          </w:tcPr>
          <w:p>
            <w:pPr>
              <w:spacing w:after="0"/>
              <w:rPr>
                <w:sz w:val="20"/>
                <w:szCs w:val="20"/>
                <w:color w:val="auto"/>
              </w:rPr>
            </w:pPr>
            <w:r>
              <w:rPr>
                <w:rFonts w:ascii="Arial" w:cs="Arial" w:eastAsia="Arial" w:hAnsi="Arial"/>
                <w:sz w:val="20"/>
                <w:szCs w:val="20"/>
                <w:color w:val="auto"/>
              </w:rPr>
              <w:t>West Group</w:t>
            </w:r>
          </w:p>
        </w:tc>
        <w:tc>
          <w:tcPr>
            <w:tcW w:w="700" w:type="dxa"/>
            <w:vAlign w:val="bottom"/>
            <w:tcBorders>
              <w:bottom w:val="single" w:sz="8" w:color="CFF0FC"/>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133.2</w:t>
            </w:r>
          </w:p>
        </w:tc>
        <w:tc>
          <w:tcPr>
            <w:tcW w:w="260" w:type="dxa"/>
            <w:vAlign w:val="bottom"/>
            <w:tcBorders>
              <w:bottom w:val="single" w:sz="8" w:color="CFF0FC"/>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110.6</w:t>
            </w:r>
          </w:p>
        </w:tc>
        <w:tc>
          <w:tcPr>
            <w:tcW w:w="18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155.9</w:t>
            </w:r>
          </w:p>
        </w:tc>
        <w:tc>
          <w:tcPr>
            <w:tcW w:w="28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130.9</w:t>
            </w:r>
          </w:p>
        </w:tc>
        <w:tc>
          <w:tcPr>
            <w:tcW w:w="120" w:type="dxa"/>
            <w:vAlign w:val="bottom"/>
            <w:tcBorders>
              <w:bottom w:val="single" w:sz="8" w:color="CFF0FC"/>
            </w:tcBorders>
          </w:tcPr>
          <w:p>
            <w:pPr>
              <w:spacing w:after="0"/>
              <w:rPr>
                <w:sz w:val="21"/>
                <w:szCs w:val="21"/>
                <w:color w:val="auto"/>
              </w:rPr>
            </w:pPr>
          </w:p>
        </w:tc>
      </w:tr>
      <w:tr>
        <w:trPr>
          <w:trHeight w:val="237"/>
        </w:trPr>
        <w:tc>
          <w:tcPr>
            <w:tcW w:w="3420" w:type="dxa"/>
            <w:vAlign w:val="bottom"/>
            <w:gridSpan w:val="4"/>
            <w:shd w:val="clear" w:color="auto" w:fill="CFF0FC"/>
          </w:tcPr>
          <w:p>
            <w:pPr>
              <w:spacing w:after="0"/>
              <w:rPr>
                <w:sz w:val="20"/>
                <w:szCs w:val="20"/>
                <w:color w:val="auto"/>
              </w:rPr>
            </w:pPr>
            <w:r>
              <w:rPr>
                <w:rFonts w:ascii="Arial" w:cs="Arial" w:eastAsia="Arial" w:hAnsi="Arial"/>
                <w:sz w:val="20"/>
                <w:szCs w:val="20"/>
                <w:color w:val="auto"/>
              </w:rPr>
              <w:t>Total Building Materials Business</w:t>
            </w:r>
          </w:p>
        </w:tc>
        <w:tc>
          <w:tcPr>
            <w:tcW w:w="7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303.1</w:t>
            </w:r>
          </w:p>
        </w:tc>
        <w:tc>
          <w:tcPr>
            <w:tcW w:w="26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284.6</w:t>
            </w: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360.6</w:t>
            </w: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356.6</w:t>
            </w:r>
          </w:p>
        </w:tc>
        <w:tc>
          <w:tcPr>
            <w:tcW w:w="120" w:type="dxa"/>
            <w:vAlign w:val="bottom"/>
            <w:shd w:val="clear" w:color="auto" w:fill="CFF0FC"/>
          </w:tcPr>
          <w:p>
            <w:pPr>
              <w:spacing w:after="0"/>
              <w:rPr>
                <w:sz w:val="20"/>
                <w:szCs w:val="20"/>
                <w:color w:val="auto"/>
              </w:rPr>
            </w:pPr>
          </w:p>
        </w:tc>
      </w:tr>
      <w:tr>
        <w:trPr>
          <w:trHeight w:val="243"/>
        </w:trPr>
        <w:tc>
          <w:tcPr>
            <w:tcW w:w="3420" w:type="dxa"/>
            <w:vAlign w:val="bottom"/>
            <w:gridSpan w:val="4"/>
          </w:tcPr>
          <w:p>
            <w:pPr>
              <w:spacing w:after="0"/>
              <w:rPr>
                <w:sz w:val="20"/>
                <w:szCs w:val="20"/>
                <w:color w:val="auto"/>
              </w:rPr>
            </w:pPr>
            <w:r>
              <w:rPr>
                <w:rFonts w:ascii="Arial" w:cs="Arial" w:eastAsia="Arial" w:hAnsi="Arial"/>
                <w:sz w:val="20"/>
                <w:szCs w:val="20"/>
                <w:color w:val="auto"/>
              </w:rPr>
              <w:t>Magnesia Specialties</w:t>
            </w:r>
          </w:p>
        </w:tc>
        <w:tc>
          <w:tcPr>
            <w:tcW w:w="7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13.2</w:t>
            </w:r>
          </w:p>
        </w:tc>
        <w:tc>
          <w:tcPr>
            <w:tcW w:w="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25.2</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34.9</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47.9</w:t>
            </w:r>
          </w:p>
        </w:tc>
        <w:tc>
          <w:tcPr>
            <w:tcW w:w="120" w:type="dxa"/>
            <w:vAlign w:val="bottom"/>
          </w:tcPr>
          <w:p>
            <w:pPr>
              <w:spacing w:after="0"/>
              <w:rPr>
                <w:sz w:val="21"/>
                <w:szCs w:val="21"/>
                <w:color w:val="auto"/>
              </w:rPr>
            </w:pPr>
          </w:p>
        </w:tc>
      </w:tr>
      <w:tr>
        <w:trPr>
          <w:trHeight w:val="243"/>
        </w:trPr>
        <w:tc>
          <w:tcPr>
            <w:tcW w:w="3420" w:type="dxa"/>
            <w:vAlign w:val="bottom"/>
            <w:gridSpan w:val="4"/>
            <w:shd w:val="clear" w:color="auto" w:fill="CFF0FC"/>
          </w:tcPr>
          <w:p>
            <w:pPr>
              <w:spacing w:after="0"/>
              <w:rPr>
                <w:sz w:val="20"/>
                <w:szCs w:val="20"/>
                <w:color w:val="auto"/>
              </w:rPr>
            </w:pPr>
            <w:r>
              <w:rPr>
                <w:rFonts w:ascii="Arial" w:cs="Arial" w:eastAsia="Arial" w:hAnsi="Arial"/>
                <w:sz w:val="20"/>
                <w:szCs w:val="20"/>
                <w:color w:val="auto"/>
              </w:rPr>
              <w:t>Corporate</w:t>
            </w:r>
          </w:p>
        </w:tc>
        <w:tc>
          <w:tcPr>
            <w:tcW w:w="7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200"/>
              <w:spacing w:after="0"/>
              <w:rPr>
                <w:sz w:val="20"/>
                <w:szCs w:val="20"/>
                <w:color w:val="auto"/>
              </w:rPr>
            </w:pPr>
            <w:r>
              <w:rPr>
                <w:rFonts w:ascii="Arial" w:cs="Arial" w:eastAsia="Arial" w:hAnsi="Arial"/>
                <w:sz w:val="20"/>
                <w:szCs w:val="20"/>
                <w:color w:val="auto"/>
              </w:rPr>
              <w:t>(9.9)</w:t>
            </w:r>
          </w:p>
        </w:tc>
        <w:tc>
          <w:tcPr>
            <w:tcW w:w="38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100"/>
              <w:spacing w:after="0"/>
              <w:rPr>
                <w:sz w:val="20"/>
                <w:szCs w:val="20"/>
                <w:color w:val="auto"/>
              </w:rPr>
            </w:pPr>
            <w:r>
              <w:rPr>
                <w:rFonts w:ascii="Arial" w:cs="Arial" w:eastAsia="Arial" w:hAnsi="Arial"/>
                <w:sz w:val="20"/>
                <w:szCs w:val="20"/>
                <w:color w:val="auto"/>
              </w:rPr>
              <w:t>(23.9)</w:t>
            </w:r>
          </w:p>
        </w:tc>
        <w:tc>
          <w:tcPr>
            <w:tcW w:w="1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220"/>
              <w:spacing w:after="0"/>
              <w:rPr>
                <w:sz w:val="20"/>
                <w:szCs w:val="20"/>
                <w:color w:val="auto"/>
              </w:rPr>
            </w:pPr>
            <w:r>
              <w:rPr>
                <w:rFonts w:ascii="Arial" w:cs="Arial" w:eastAsia="Arial" w:hAnsi="Arial"/>
                <w:sz w:val="20"/>
                <w:szCs w:val="20"/>
                <w:color w:val="auto"/>
              </w:rPr>
              <w:t>(31.3)</w:t>
            </w:r>
          </w:p>
        </w:tc>
        <w:tc>
          <w:tcPr>
            <w:tcW w:w="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20"/>
                <w:szCs w:val="20"/>
                <w:color w:val="auto"/>
              </w:rPr>
              <w:t>(49.4)</w:t>
            </w:r>
          </w:p>
        </w:tc>
      </w:tr>
      <w:tr>
        <w:trPr>
          <w:trHeight w:val="237"/>
        </w:trPr>
        <w:tc>
          <w:tcPr>
            <w:tcW w:w="3420" w:type="dxa"/>
            <w:vAlign w:val="bottom"/>
            <w:gridSpan w:val="4"/>
          </w:tcPr>
          <w:p>
            <w:pPr>
              <w:spacing w:after="0"/>
              <w:rPr>
                <w:sz w:val="20"/>
                <w:szCs w:val="20"/>
                <w:color w:val="auto"/>
              </w:rPr>
            </w:pPr>
            <w:r>
              <w:rPr>
                <w:rFonts w:ascii="Arial" w:cs="Arial" w:eastAsia="Arial" w:hAnsi="Arial"/>
                <w:sz w:val="20"/>
                <w:szCs w:val="20"/>
                <w:color w:val="auto"/>
              </w:rPr>
              <w:t>Total</w:t>
            </w:r>
          </w:p>
        </w:tc>
        <w:tc>
          <w:tcPr>
            <w:tcW w:w="70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ind w:right="141"/>
              <w:spacing w:after="0"/>
              <w:rPr>
                <w:sz w:val="20"/>
                <w:szCs w:val="20"/>
                <w:color w:val="auto"/>
              </w:rPr>
            </w:pPr>
            <w:r>
              <w:rPr>
                <w:rFonts w:ascii="Arial" w:cs="Arial" w:eastAsia="Arial" w:hAnsi="Arial"/>
                <w:sz w:val="20"/>
                <w:szCs w:val="20"/>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306.4</w:t>
            </w:r>
          </w:p>
        </w:tc>
        <w:tc>
          <w:tcPr>
            <w:tcW w:w="260" w:type="dxa"/>
            <w:vAlign w:val="bottom"/>
          </w:tcPr>
          <w:p>
            <w:pPr>
              <w:spacing w:after="0"/>
              <w:rPr>
                <w:sz w:val="20"/>
                <w:szCs w:val="20"/>
                <w:color w:val="auto"/>
              </w:rPr>
            </w:pPr>
          </w:p>
        </w:tc>
        <w:tc>
          <w:tcPr>
            <w:tcW w:w="380" w:type="dxa"/>
            <w:vAlign w:val="bottom"/>
            <w:tcBorders>
              <w:top w:val="single" w:sz="8" w:color="auto"/>
              <w:bottom w:val="single" w:sz="8" w:color="auto"/>
            </w:tcBorders>
          </w:tcPr>
          <w:p>
            <w:pPr>
              <w:jc w:val="right"/>
              <w:ind w:right="181"/>
              <w:spacing w:after="0"/>
              <w:rPr>
                <w:sz w:val="20"/>
                <w:szCs w:val="20"/>
                <w:color w:val="auto"/>
              </w:rPr>
            </w:pPr>
            <w:r>
              <w:rPr>
                <w:rFonts w:ascii="Arial" w:cs="Arial" w:eastAsia="Arial" w:hAnsi="Arial"/>
                <w:sz w:val="20"/>
                <w:szCs w:val="20"/>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285.9</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ind w:right="141"/>
              <w:spacing w:after="0"/>
              <w:rPr>
                <w:sz w:val="20"/>
                <w:szCs w:val="20"/>
                <w:color w:val="auto"/>
              </w:rPr>
            </w:pPr>
            <w:r>
              <w:rPr>
                <w:rFonts w:ascii="Arial" w:cs="Arial" w:eastAsia="Arial" w:hAnsi="Arial"/>
                <w:sz w:val="20"/>
                <w:szCs w:val="20"/>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364.2</w:t>
            </w:r>
          </w:p>
        </w:tc>
        <w:tc>
          <w:tcPr>
            <w:tcW w:w="2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jc w:val="right"/>
              <w:ind w:right="203"/>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355.1</w:t>
            </w:r>
          </w:p>
        </w:tc>
        <w:tc>
          <w:tcPr>
            <w:tcW w:w="120" w:type="dxa"/>
            <w:vAlign w:val="bottom"/>
          </w:tcPr>
          <w:p>
            <w:pPr>
              <w:spacing w:after="0"/>
              <w:rPr>
                <w:sz w:val="20"/>
                <w:szCs w:val="20"/>
                <w:color w:val="auto"/>
              </w:rPr>
            </w:pPr>
          </w:p>
        </w:tc>
      </w:tr>
      <w:tr>
        <w:trPr>
          <w:trHeight w:val="20"/>
        </w:trPr>
        <w:tc>
          <w:tcPr>
            <w:tcW w:w="1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6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20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June 30, 2020</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10. Revenues and Gross Profit</w:t>
      </w:r>
    </w:p>
    <w:p>
      <w:pPr>
        <w:spacing w:after="0" w:line="60" w:lineRule="exact"/>
        <w:rPr>
          <w:sz w:val="20"/>
          <w:szCs w:val="20"/>
          <w:color w:val="auto"/>
        </w:rPr>
      </w:pPr>
    </w:p>
    <w:p>
      <w:pPr>
        <w:jc w:val="both"/>
        <w:ind w:left="380"/>
        <w:spacing w:after="0" w:line="246" w:lineRule="auto"/>
        <w:rPr>
          <w:sz w:val="20"/>
          <w:szCs w:val="20"/>
          <w:color w:val="auto"/>
        </w:rPr>
      </w:pPr>
      <w:r>
        <w:rPr>
          <w:rFonts w:ascii="Arial" w:cs="Arial" w:eastAsia="Arial" w:hAnsi="Arial"/>
          <w:sz w:val="20"/>
          <w:szCs w:val="20"/>
          <w:color w:val="auto"/>
        </w:rPr>
        <w:t>The Building Materials business includes the aggregates, cement, ready mixed concrete and asphalt and paving product lines. All cement, ready mixed concrete and asphalt and paving product lines reside in the West Group. The following table, which is reconciled to consolidated amounts, provides total revenues and gross profit by product line.</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2880" w:type="dxa"/>
            <w:vAlign w:val="bottom"/>
            <w:gridSpan w:val="5"/>
          </w:tcPr>
          <w:p>
            <w:pPr>
              <w:jc w:val="right"/>
              <w:ind w:right="241"/>
              <w:spacing w:after="0"/>
              <w:rPr>
                <w:sz w:val="20"/>
                <w:szCs w:val="20"/>
                <w:color w:val="auto"/>
              </w:rPr>
            </w:pPr>
            <w:r>
              <w:rPr>
                <w:rFonts w:ascii="Arial" w:cs="Arial" w:eastAsia="Arial" w:hAnsi="Arial"/>
                <w:sz w:val="19"/>
                <w:szCs w:val="19"/>
                <w:color w:val="auto"/>
              </w:rPr>
              <w:t>Three Months Ended</w:t>
            </w: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500" w:type="dxa"/>
            <w:vAlign w:val="bottom"/>
            <w:gridSpan w:val="3"/>
          </w:tcPr>
          <w:p>
            <w:pPr>
              <w:jc w:val="right"/>
              <w:spacing w:after="0"/>
              <w:rPr>
                <w:sz w:val="20"/>
                <w:szCs w:val="20"/>
                <w:color w:val="auto"/>
              </w:rPr>
            </w:pPr>
            <w:r>
              <w:rPr>
                <w:rFonts w:ascii="Arial" w:cs="Arial" w:eastAsia="Arial" w:hAnsi="Arial"/>
                <w:sz w:val="20"/>
                <w:szCs w:val="20"/>
                <w:color w:val="auto"/>
                <w:w w:val="91"/>
              </w:rPr>
              <w:t>Six Months Ended</w:t>
            </w: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gridSpan w:val="4"/>
          </w:tcPr>
          <w:p>
            <w:pPr>
              <w:jc w:val="right"/>
              <w:ind w:right="721"/>
              <w:spacing w:after="0"/>
              <w:rPr>
                <w:sz w:val="20"/>
                <w:szCs w:val="20"/>
                <w:color w:val="auto"/>
              </w:rPr>
            </w:pPr>
            <w:r>
              <w:rPr>
                <w:rFonts w:ascii="Arial" w:cs="Arial" w:eastAsia="Arial" w:hAnsi="Arial"/>
                <w:sz w:val="20"/>
                <w:szCs w:val="20"/>
                <w:color w:val="auto"/>
              </w:rPr>
              <w:t>June 30,</w:t>
            </w:r>
          </w:p>
        </w:tc>
        <w:tc>
          <w:tcPr>
            <w:tcW w:w="6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gridSpan w:val="3"/>
          </w:tcPr>
          <w:p>
            <w:pPr>
              <w:jc w:val="right"/>
              <w:ind w:right="321"/>
              <w:spacing w:after="0"/>
              <w:rPr>
                <w:sz w:val="20"/>
                <w:szCs w:val="20"/>
                <w:color w:val="auto"/>
              </w:rPr>
            </w:pPr>
            <w:r>
              <w:rPr>
                <w:rFonts w:ascii="Arial" w:cs="Arial" w:eastAsia="Arial" w:hAnsi="Arial"/>
                <w:sz w:val="20"/>
                <w:szCs w:val="20"/>
                <w:color w:val="auto"/>
              </w:rPr>
              <w:t>June 30,</w:t>
            </w:r>
          </w:p>
        </w:tc>
        <w:tc>
          <w:tcPr>
            <w:tcW w:w="10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2020</w:t>
            </w:r>
          </w:p>
        </w:tc>
        <w:tc>
          <w:tcPr>
            <w:tcW w:w="6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rPr>
              <w:t>2019</w:t>
            </w:r>
          </w:p>
        </w:tc>
        <w:tc>
          <w:tcPr>
            <w:tcW w:w="6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2020</w:t>
            </w:r>
          </w:p>
        </w:tc>
        <w:tc>
          <w:tcPr>
            <w:tcW w:w="6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541"/>
              <w:spacing w:after="0"/>
              <w:rPr>
                <w:sz w:val="20"/>
                <w:szCs w:val="20"/>
                <w:color w:val="auto"/>
              </w:rPr>
            </w:pPr>
            <w:r>
              <w:rPr>
                <w:rFonts w:ascii="Arial" w:cs="Arial" w:eastAsia="Arial" w:hAnsi="Arial"/>
                <w:sz w:val="20"/>
                <w:szCs w:val="20"/>
                <w:color w:val="auto"/>
                <w:w w:val="89"/>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0" w:type="dxa"/>
            <w:vAlign w:val="bottom"/>
            <w:gridSpan w:val="4"/>
          </w:tcPr>
          <w:p>
            <w:pPr>
              <w:jc w:val="right"/>
              <w:ind w:right="241"/>
              <w:spacing w:after="0"/>
              <w:rPr>
                <w:sz w:val="20"/>
                <w:szCs w:val="20"/>
                <w:color w:val="auto"/>
              </w:rPr>
            </w:pPr>
            <w:r>
              <w:rPr>
                <w:rFonts w:ascii="Arial" w:cs="Arial" w:eastAsia="Arial" w:hAnsi="Arial"/>
                <w:sz w:val="20"/>
                <w:szCs w:val="20"/>
                <w:i w:val="1"/>
                <w:iCs w:val="1"/>
                <w:color w:val="auto"/>
                <w:w w:val="97"/>
              </w:rPr>
              <w:t>(Dollars in Millions)</w:t>
            </w: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3700" w:type="dxa"/>
            <w:vAlign w:val="bottom"/>
            <w:gridSpan w:val="3"/>
            <w:shd w:val="clear" w:color="auto" w:fill="CFF0FC"/>
          </w:tcPr>
          <w:p>
            <w:pPr>
              <w:spacing w:after="0" w:line="189" w:lineRule="exact"/>
              <w:rPr>
                <w:sz w:val="20"/>
                <w:szCs w:val="20"/>
                <w:color w:val="auto"/>
              </w:rPr>
            </w:pPr>
            <w:r>
              <w:rPr>
                <w:rFonts w:ascii="Arial" w:cs="Arial" w:eastAsia="Arial" w:hAnsi="Arial"/>
                <w:sz w:val="19"/>
                <w:szCs w:val="19"/>
                <w:color w:val="auto"/>
              </w:rPr>
              <w:t>Total revenues:</w:t>
            </w:r>
          </w:p>
        </w:tc>
        <w:tc>
          <w:tcPr>
            <w:tcW w:w="100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1160" w:type="dxa"/>
            <w:vAlign w:val="bottom"/>
            <w:tcBorders>
              <w:top w:val="single" w:sz="8" w:color="auto"/>
            </w:tcBorders>
            <w:shd w:val="clear" w:color="auto" w:fill="CFF0FC"/>
          </w:tcPr>
          <w:p>
            <w:pPr>
              <w:spacing w:after="0"/>
              <w:rPr>
                <w:sz w:val="2"/>
                <w:szCs w:val="2"/>
                <w:color w:val="auto"/>
              </w:rPr>
            </w:pPr>
          </w:p>
        </w:tc>
        <w:tc>
          <w:tcPr>
            <w:tcW w:w="220" w:type="dxa"/>
            <w:vAlign w:val="bottom"/>
            <w:tcBorders>
              <w:top w:val="single" w:sz="8" w:color="CFF0FC"/>
            </w:tcBorders>
            <w:shd w:val="clear" w:color="auto" w:fill="CFF0FC"/>
          </w:tcPr>
          <w:p>
            <w:pPr>
              <w:spacing w:after="0"/>
              <w:rPr>
                <w:sz w:val="2"/>
                <w:szCs w:val="2"/>
                <w:color w:val="auto"/>
              </w:rPr>
            </w:pPr>
          </w:p>
        </w:tc>
        <w:tc>
          <w:tcPr>
            <w:tcW w:w="2320" w:type="dxa"/>
            <w:vAlign w:val="bottom"/>
            <w:tcBorders>
              <w:top w:val="single" w:sz="8" w:color="CFF0FC"/>
            </w:tcBorders>
            <w:shd w:val="clear" w:color="auto" w:fill="CFF0FC"/>
          </w:tcPr>
          <w:p>
            <w:pPr>
              <w:spacing w:after="0"/>
              <w:rPr>
                <w:sz w:val="2"/>
                <w:szCs w:val="2"/>
                <w:color w:val="auto"/>
              </w:rPr>
            </w:pPr>
          </w:p>
        </w:tc>
        <w:tc>
          <w:tcPr>
            <w:tcW w:w="1000" w:type="dxa"/>
            <w:vAlign w:val="bottom"/>
            <w:tcBorders>
              <w:top w:val="single" w:sz="8" w:color="CFF0FC"/>
            </w:tcBorders>
            <w:shd w:val="clear" w:color="auto" w:fill="CFF0FC"/>
          </w:tcPr>
          <w:p>
            <w:pPr>
              <w:spacing w:after="0"/>
              <w:rPr>
                <w:sz w:val="2"/>
                <w:szCs w:val="2"/>
                <w:color w:val="auto"/>
              </w:rPr>
            </w:pPr>
          </w:p>
        </w:tc>
        <w:tc>
          <w:tcPr>
            <w:tcW w:w="600" w:type="dxa"/>
            <w:vAlign w:val="bottom"/>
            <w:tcBorders>
              <w:top w:val="single" w:sz="8" w:color="CFF0FC"/>
            </w:tcBorders>
            <w:shd w:val="clear" w:color="auto" w:fill="CFF0FC"/>
          </w:tcPr>
          <w:p>
            <w:pPr>
              <w:spacing w:after="0"/>
              <w:rPr>
                <w:sz w:val="2"/>
                <w:szCs w:val="2"/>
                <w:color w:val="auto"/>
              </w:rPr>
            </w:pPr>
          </w:p>
        </w:tc>
        <w:tc>
          <w:tcPr>
            <w:tcW w:w="18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1000" w:type="dxa"/>
            <w:vAlign w:val="bottom"/>
            <w:tcBorders>
              <w:top w:val="single" w:sz="8" w:color="CFF0FC"/>
            </w:tcBorders>
            <w:shd w:val="clear" w:color="auto" w:fill="CFF0FC"/>
          </w:tcPr>
          <w:p>
            <w:pPr>
              <w:spacing w:after="0"/>
              <w:rPr>
                <w:sz w:val="2"/>
                <w:szCs w:val="2"/>
                <w:color w:val="auto"/>
              </w:rPr>
            </w:pPr>
          </w:p>
        </w:tc>
        <w:tc>
          <w:tcPr>
            <w:tcW w:w="600" w:type="dxa"/>
            <w:vAlign w:val="bottom"/>
            <w:tcBorders>
              <w:top w:val="single" w:sz="8" w:color="CFF0FC"/>
            </w:tcBorders>
            <w:shd w:val="clear" w:color="auto" w:fill="CFF0FC"/>
          </w:tcPr>
          <w:p>
            <w:pPr>
              <w:spacing w:after="0"/>
              <w:rPr>
                <w:sz w:val="2"/>
                <w:szCs w:val="2"/>
                <w:color w:val="auto"/>
              </w:rPr>
            </w:pPr>
          </w:p>
        </w:tc>
        <w:tc>
          <w:tcPr>
            <w:tcW w:w="22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1020" w:type="dxa"/>
            <w:vAlign w:val="bottom"/>
            <w:tcBorders>
              <w:top w:val="single" w:sz="8" w:color="CFF0FC"/>
            </w:tcBorders>
            <w:shd w:val="clear" w:color="auto" w:fill="CFF0FC"/>
          </w:tcPr>
          <w:p>
            <w:pPr>
              <w:spacing w:after="0"/>
              <w:rPr>
                <w:sz w:val="2"/>
                <w:szCs w:val="2"/>
                <w:color w:val="auto"/>
              </w:rPr>
            </w:pPr>
          </w:p>
        </w:tc>
        <w:tc>
          <w:tcPr>
            <w:tcW w:w="620" w:type="dxa"/>
            <w:vAlign w:val="bottom"/>
            <w:tcBorders>
              <w:top w:val="single" w:sz="8" w:color="CFF0FC"/>
            </w:tcBorders>
            <w:shd w:val="clear" w:color="auto" w:fill="CFF0FC"/>
          </w:tcPr>
          <w:p>
            <w:pPr>
              <w:spacing w:after="0"/>
              <w:rPr>
                <w:sz w:val="2"/>
                <w:szCs w:val="2"/>
                <w:color w:val="auto"/>
              </w:rPr>
            </w:pPr>
          </w:p>
        </w:tc>
        <w:tc>
          <w:tcPr>
            <w:tcW w:w="280" w:type="dxa"/>
            <w:vAlign w:val="bottom"/>
            <w:tcBorders>
              <w:top w:val="single" w:sz="8" w:color="CFF0FC"/>
            </w:tcBorders>
            <w:shd w:val="clear" w:color="auto" w:fill="CFF0FC"/>
          </w:tcPr>
          <w:p>
            <w:pPr>
              <w:spacing w:after="0"/>
              <w:rPr>
                <w:sz w:val="2"/>
                <w:szCs w:val="2"/>
                <w:color w:val="auto"/>
              </w:rPr>
            </w:pPr>
          </w:p>
        </w:tc>
        <w:tc>
          <w:tcPr>
            <w:tcW w:w="600" w:type="dxa"/>
            <w:vAlign w:val="bottom"/>
            <w:tcBorders>
              <w:top w:val="single" w:sz="8" w:color="CFF0FC"/>
            </w:tcBorders>
            <w:shd w:val="clear" w:color="auto" w:fill="CFF0FC"/>
          </w:tcPr>
          <w:p>
            <w:pPr>
              <w:spacing w:after="0"/>
              <w:rPr>
                <w:sz w:val="2"/>
                <w:szCs w:val="2"/>
                <w:color w:val="auto"/>
              </w:rPr>
            </w:pPr>
          </w:p>
        </w:tc>
        <w:tc>
          <w:tcPr>
            <w:tcW w:w="106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3700" w:type="dxa"/>
            <w:vAlign w:val="bottom"/>
            <w:gridSpan w:val="3"/>
          </w:tcPr>
          <w:p>
            <w:pPr>
              <w:spacing w:after="0"/>
              <w:rPr>
                <w:sz w:val="20"/>
                <w:szCs w:val="20"/>
                <w:color w:val="auto"/>
              </w:rPr>
            </w:pPr>
            <w:r>
              <w:rPr>
                <w:rFonts w:ascii="Arial" w:cs="Arial" w:eastAsia="Arial" w:hAnsi="Arial"/>
                <w:sz w:val="19"/>
                <w:szCs w:val="19"/>
                <w:color w:val="auto"/>
              </w:rPr>
              <w:t>Building Materials Business:</w:t>
            </w:r>
          </w:p>
        </w:tc>
        <w:tc>
          <w:tcPr>
            <w:tcW w:w="10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700" w:type="dxa"/>
            <w:vAlign w:val="bottom"/>
            <w:gridSpan w:val="3"/>
            <w:shd w:val="clear" w:color="auto" w:fill="CFF0FC"/>
          </w:tcPr>
          <w:p>
            <w:pPr>
              <w:spacing w:after="0"/>
              <w:rPr>
                <w:sz w:val="20"/>
                <w:szCs w:val="20"/>
                <w:color w:val="auto"/>
              </w:rPr>
            </w:pPr>
            <w:r>
              <w:rPr>
                <w:rFonts w:ascii="Arial" w:cs="Arial" w:eastAsia="Arial" w:hAnsi="Arial"/>
                <w:sz w:val="19"/>
                <w:szCs w:val="19"/>
                <w:color w:val="auto"/>
              </w:rPr>
              <w:t>Products and services:</w:t>
            </w:r>
          </w:p>
        </w:tc>
        <w:tc>
          <w:tcPr>
            <w:tcW w:w="100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00" w:type="dxa"/>
            <w:vAlign w:val="bottom"/>
            <w:gridSpan w:val="3"/>
          </w:tcPr>
          <w:p>
            <w:pPr>
              <w:ind w:left="260"/>
              <w:spacing w:after="0"/>
              <w:rPr>
                <w:sz w:val="20"/>
                <w:szCs w:val="20"/>
                <w:color w:val="auto"/>
              </w:rPr>
            </w:pPr>
            <w:r>
              <w:rPr>
                <w:rFonts w:ascii="Arial" w:cs="Arial" w:eastAsia="Arial" w:hAnsi="Arial"/>
                <w:sz w:val="19"/>
                <w:szCs w:val="19"/>
                <w:color w:val="auto"/>
              </w:rPr>
              <w:t>Aggregates</w:t>
            </w:r>
          </w:p>
        </w:tc>
        <w:tc>
          <w:tcPr>
            <w:tcW w:w="1000" w:type="dxa"/>
            <w:vAlign w:val="bottom"/>
          </w:tcPr>
          <w:p>
            <w:pPr>
              <w:jc w:val="right"/>
              <w:ind w:right="802"/>
              <w:spacing w:after="0"/>
              <w:rPr>
                <w:sz w:val="20"/>
                <w:szCs w:val="20"/>
                <w:color w:val="auto"/>
              </w:rPr>
            </w:pPr>
            <w:r>
              <w:rPr>
                <w:rFonts w:ascii="Arial" w:cs="Arial" w:eastAsia="Arial" w:hAnsi="Arial"/>
                <w:sz w:val="20"/>
                <w:szCs w:val="20"/>
                <w:color w:val="auto"/>
                <w:w w:val="71"/>
              </w:rPr>
              <w:t>$</w:t>
            </w:r>
          </w:p>
        </w:tc>
        <w:tc>
          <w:tcPr>
            <w:tcW w:w="600" w:type="dxa"/>
            <w:vAlign w:val="bottom"/>
          </w:tcPr>
          <w:p>
            <w:pPr>
              <w:jc w:val="right"/>
              <w:spacing w:after="0"/>
              <w:rPr>
                <w:sz w:val="20"/>
                <w:szCs w:val="20"/>
                <w:color w:val="auto"/>
              </w:rPr>
            </w:pPr>
            <w:r>
              <w:rPr>
                <w:rFonts w:ascii="Arial" w:cs="Arial" w:eastAsia="Arial" w:hAnsi="Arial"/>
                <w:sz w:val="20"/>
                <w:szCs w:val="20"/>
                <w:color w:val="auto"/>
              </w:rPr>
              <w:t>754.9</w:t>
            </w:r>
          </w:p>
        </w:tc>
        <w:tc>
          <w:tcPr>
            <w:tcW w:w="180" w:type="dxa"/>
            <w:vAlign w:val="bottom"/>
          </w:tcPr>
          <w:p>
            <w:pPr>
              <w:spacing w:after="0"/>
              <w:rPr>
                <w:sz w:val="21"/>
                <w:szCs w:val="21"/>
                <w:color w:val="auto"/>
              </w:rPr>
            </w:pPr>
          </w:p>
        </w:tc>
        <w:tc>
          <w:tcPr>
            <w:tcW w:w="1100" w:type="dxa"/>
            <w:vAlign w:val="bottom"/>
            <w:gridSpan w:val="2"/>
          </w:tcPr>
          <w:p>
            <w:pPr>
              <w:jc w:val="right"/>
              <w:ind w:right="801"/>
              <w:spacing w:after="0"/>
              <w:rPr>
                <w:sz w:val="20"/>
                <w:szCs w:val="20"/>
                <w:color w:val="auto"/>
              </w:rPr>
            </w:pPr>
            <w:r>
              <w:rPr>
                <w:rFonts w:ascii="Arial" w:cs="Arial" w:eastAsia="Arial" w:hAnsi="Arial"/>
                <w:sz w:val="20"/>
                <w:szCs w:val="20"/>
                <w:color w:val="auto"/>
              </w:rPr>
              <w:t>$</w:t>
            </w:r>
          </w:p>
        </w:tc>
        <w:tc>
          <w:tcPr>
            <w:tcW w:w="600" w:type="dxa"/>
            <w:vAlign w:val="bottom"/>
          </w:tcPr>
          <w:p>
            <w:pPr>
              <w:jc w:val="right"/>
              <w:spacing w:after="0"/>
              <w:rPr>
                <w:sz w:val="20"/>
                <w:szCs w:val="20"/>
                <w:color w:val="auto"/>
              </w:rPr>
            </w:pPr>
            <w:r>
              <w:rPr>
                <w:rFonts w:ascii="Arial" w:cs="Arial" w:eastAsia="Arial" w:hAnsi="Arial"/>
                <w:sz w:val="20"/>
                <w:szCs w:val="20"/>
                <w:color w:val="auto"/>
              </w:rPr>
              <w:t>757.8</w:t>
            </w:r>
          </w:p>
        </w:tc>
        <w:tc>
          <w:tcPr>
            <w:tcW w:w="220" w:type="dxa"/>
            <w:vAlign w:val="bottom"/>
          </w:tcPr>
          <w:p>
            <w:pPr>
              <w:spacing w:after="0"/>
              <w:rPr>
                <w:sz w:val="21"/>
                <w:szCs w:val="21"/>
                <w:color w:val="auto"/>
              </w:rPr>
            </w:pPr>
          </w:p>
        </w:tc>
        <w:tc>
          <w:tcPr>
            <w:tcW w:w="1180" w:type="dxa"/>
            <w:vAlign w:val="bottom"/>
            <w:gridSpan w:val="2"/>
          </w:tcPr>
          <w:p>
            <w:pPr>
              <w:jc w:val="right"/>
              <w:ind w:right="821"/>
              <w:spacing w:after="0"/>
              <w:rPr>
                <w:sz w:val="20"/>
                <w:szCs w:val="20"/>
                <w:color w:val="auto"/>
              </w:rPr>
            </w:pPr>
            <w:r>
              <w:rPr>
                <w:rFonts w:ascii="Arial" w:cs="Arial" w:eastAsia="Arial" w:hAnsi="Arial"/>
                <w:sz w:val="20"/>
                <w:szCs w:val="20"/>
                <w:color w:val="auto"/>
              </w:rPr>
              <w:t>$</w:t>
            </w:r>
          </w:p>
        </w:tc>
        <w:tc>
          <w:tcPr>
            <w:tcW w:w="620" w:type="dxa"/>
            <w:vAlign w:val="bottom"/>
          </w:tcPr>
          <w:p>
            <w:pPr>
              <w:jc w:val="right"/>
              <w:spacing w:after="0"/>
              <w:rPr>
                <w:sz w:val="20"/>
                <w:szCs w:val="20"/>
                <w:color w:val="auto"/>
              </w:rPr>
            </w:pPr>
            <w:r>
              <w:rPr>
                <w:rFonts w:ascii="Arial" w:cs="Arial" w:eastAsia="Arial" w:hAnsi="Arial"/>
                <w:sz w:val="20"/>
                <w:szCs w:val="20"/>
                <w:color w:val="auto"/>
                <w:w w:val="86"/>
              </w:rPr>
              <w:t>1,325.2</w:t>
            </w:r>
          </w:p>
        </w:tc>
        <w:tc>
          <w:tcPr>
            <w:tcW w:w="280" w:type="dxa"/>
            <w:vAlign w:val="bottom"/>
          </w:tcPr>
          <w:p>
            <w:pPr>
              <w:spacing w:after="0"/>
              <w:rPr>
                <w:sz w:val="21"/>
                <w:szCs w:val="21"/>
                <w:color w:val="auto"/>
              </w:rPr>
            </w:pPr>
          </w:p>
        </w:tc>
        <w:tc>
          <w:tcPr>
            <w:tcW w:w="600" w:type="dxa"/>
            <w:vAlign w:val="bottom"/>
          </w:tcPr>
          <w:p>
            <w:pPr>
              <w:jc w:val="right"/>
              <w:ind w:right="401"/>
              <w:spacing w:after="0"/>
              <w:rPr>
                <w:sz w:val="20"/>
                <w:szCs w:val="20"/>
                <w:color w:val="auto"/>
              </w:rPr>
            </w:pPr>
            <w:r>
              <w:rPr>
                <w:rFonts w:ascii="Arial" w:cs="Arial" w:eastAsia="Arial" w:hAnsi="Arial"/>
                <w:sz w:val="20"/>
                <w:szCs w:val="20"/>
                <w:color w:val="auto"/>
                <w:w w:val="71"/>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1,302.7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00" w:type="dxa"/>
            <w:vAlign w:val="bottom"/>
            <w:gridSpan w:val="3"/>
            <w:shd w:val="clear" w:color="auto" w:fill="CFF0FC"/>
          </w:tcPr>
          <w:p>
            <w:pPr>
              <w:ind w:left="260"/>
              <w:spacing w:after="0"/>
              <w:rPr>
                <w:sz w:val="20"/>
                <w:szCs w:val="20"/>
                <w:color w:val="auto"/>
              </w:rPr>
            </w:pPr>
            <w:r>
              <w:rPr>
                <w:rFonts w:ascii="Arial" w:cs="Arial" w:eastAsia="Arial" w:hAnsi="Arial"/>
                <w:sz w:val="19"/>
                <w:szCs w:val="19"/>
                <w:color w:val="auto"/>
              </w:rPr>
              <w:t>Cement</w:t>
            </w:r>
          </w:p>
        </w:tc>
        <w:tc>
          <w:tcPr>
            <w:tcW w:w="100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109.5</w:t>
            </w: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112.3</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216.1</w:t>
            </w:r>
          </w:p>
        </w:tc>
        <w:tc>
          <w:tcPr>
            <w:tcW w:w="28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211.4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00" w:type="dxa"/>
            <w:vAlign w:val="bottom"/>
            <w:gridSpan w:val="3"/>
          </w:tcPr>
          <w:p>
            <w:pPr>
              <w:ind w:left="260"/>
              <w:spacing w:after="0"/>
              <w:rPr>
                <w:sz w:val="20"/>
                <w:szCs w:val="20"/>
                <w:color w:val="auto"/>
              </w:rPr>
            </w:pPr>
            <w:r>
              <w:rPr>
                <w:rFonts w:ascii="Arial" w:cs="Arial" w:eastAsia="Arial" w:hAnsi="Arial"/>
                <w:sz w:val="19"/>
                <w:szCs w:val="19"/>
                <w:color w:val="auto"/>
              </w:rPr>
              <w:t>Ready mixed concrete</w:t>
            </w:r>
          </w:p>
        </w:tc>
        <w:tc>
          <w:tcPr>
            <w:tcW w:w="10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20"/>
                <w:szCs w:val="20"/>
                <w:color w:val="auto"/>
              </w:rPr>
              <w:t>245.1</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20"/>
                <w:szCs w:val="20"/>
                <w:color w:val="auto"/>
              </w:rPr>
              <w:t>241.2</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434.8</w:t>
            </w:r>
          </w:p>
        </w:tc>
        <w:tc>
          <w:tcPr>
            <w:tcW w:w="2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452.3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00" w:type="dxa"/>
            <w:vAlign w:val="bottom"/>
            <w:gridSpan w:val="3"/>
            <w:shd w:val="clear" w:color="auto" w:fill="CFF0FC"/>
          </w:tcPr>
          <w:p>
            <w:pPr>
              <w:ind w:left="260"/>
              <w:spacing w:after="0"/>
              <w:rPr>
                <w:sz w:val="20"/>
                <w:szCs w:val="20"/>
                <w:color w:val="auto"/>
              </w:rPr>
            </w:pPr>
            <w:r>
              <w:rPr>
                <w:rFonts w:ascii="Arial" w:cs="Arial" w:eastAsia="Arial" w:hAnsi="Arial"/>
                <w:sz w:val="19"/>
                <w:szCs w:val="19"/>
                <w:color w:val="auto"/>
              </w:rPr>
              <w:t>Asphalt and paving services</w:t>
            </w:r>
          </w:p>
        </w:tc>
        <w:tc>
          <w:tcPr>
            <w:tcW w:w="100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107.0</w:t>
            </w: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82.2</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125.1</w:t>
            </w:r>
          </w:p>
        </w:tc>
        <w:tc>
          <w:tcPr>
            <w:tcW w:w="28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94.6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00" w:type="dxa"/>
            <w:vAlign w:val="bottom"/>
            <w:gridSpan w:val="3"/>
          </w:tcPr>
          <w:p>
            <w:pPr>
              <w:ind w:left="260"/>
              <w:spacing w:after="0"/>
              <w:rPr>
                <w:sz w:val="20"/>
                <w:szCs w:val="20"/>
                <w:color w:val="auto"/>
              </w:rPr>
            </w:pPr>
            <w:r>
              <w:rPr>
                <w:rFonts w:ascii="Arial" w:cs="Arial" w:eastAsia="Arial" w:hAnsi="Arial"/>
                <w:sz w:val="19"/>
                <w:szCs w:val="19"/>
                <w:color w:val="auto"/>
              </w:rPr>
              <w:t>Less: interproduct revenues</w:t>
            </w:r>
          </w:p>
        </w:tc>
        <w:tc>
          <w:tcPr>
            <w:tcW w:w="1000" w:type="dxa"/>
            <w:vAlign w:val="bottom"/>
          </w:tcPr>
          <w:p>
            <w:pPr>
              <w:spacing w:after="0"/>
              <w:rPr>
                <w:sz w:val="21"/>
                <w:szCs w:val="21"/>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20"/>
                <w:szCs w:val="20"/>
                <w:color w:val="auto"/>
              </w:rPr>
              <w:t>(75.9)</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20"/>
                <w:szCs w:val="20"/>
                <w:color w:val="auto"/>
              </w:rPr>
              <w:t>(67.8)</w:t>
            </w: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20"/>
                <w:szCs w:val="20"/>
                <w:color w:val="auto"/>
              </w:rPr>
              <w:t>(129.5)</w:t>
            </w:r>
          </w:p>
        </w:tc>
        <w:tc>
          <w:tcPr>
            <w:tcW w:w="600" w:type="dxa"/>
            <w:vAlign w:val="bottom"/>
          </w:tcPr>
          <w:p>
            <w:pPr>
              <w:spacing w:after="0"/>
              <w:rPr>
                <w:sz w:val="21"/>
                <w:szCs w:val="21"/>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20"/>
                <w:szCs w:val="20"/>
                <w:color w:val="auto"/>
              </w:rPr>
              <w:t>(126.1)</w:t>
            </w:r>
          </w:p>
        </w:tc>
        <w:tc>
          <w:tcPr>
            <w:tcW w:w="0" w:type="dxa"/>
            <w:vAlign w:val="bottom"/>
          </w:tcPr>
          <w:p>
            <w:pPr>
              <w:spacing w:after="0"/>
              <w:rPr>
                <w:sz w:val="1"/>
                <w:szCs w:val="1"/>
                <w:color w:val="auto"/>
              </w:rPr>
            </w:pPr>
          </w:p>
        </w:tc>
      </w:tr>
      <w:tr>
        <w:trPr>
          <w:trHeight w:val="237"/>
        </w:trPr>
        <w:tc>
          <w:tcPr>
            <w:tcW w:w="3700" w:type="dxa"/>
            <w:vAlign w:val="bottom"/>
            <w:tcBorders>
              <w:top w:val="single" w:sz="8" w:color="CFF0FC"/>
            </w:tcBorders>
            <w:gridSpan w:val="3"/>
            <w:shd w:val="clear" w:color="auto" w:fill="CFF0FC"/>
          </w:tcPr>
          <w:p>
            <w:pPr>
              <w:ind w:left="140"/>
              <w:spacing w:after="0"/>
              <w:rPr>
                <w:sz w:val="20"/>
                <w:szCs w:val="20"/>
                <w:color w:val="auto"/>
              </w:rPr>
            </w:pPr>
            <w:r>
              <w:rPr>
                <w:rFonts w:ascii="Arial" w:cs="Arial" w:eastAsia="Arial" w:hAnsi="Arial"/>
                <w:sz w:val="19"/>
                <w:szCs w:val="19"/>
                <w:color w:val="auto"/>
              </w:rPr>
              <w:t>Products and services</w:t>
            </w:r>
          </w:p>
        </w:tc>
        <w:tc>
          <w:tcPr>
            <w:tcW w:w="1000" w:type="dxa"/>
            <w:vAlign w:val="bottom"/>
            <w:tcBorders>
              <w:top w:val="single" w:sz="8" w:color="auto"/>
            </w:tcBorders>
            <w:shd w:val="clear" w:color="auto" w:fill="CFF0FC"/>
          </w:tcPr>
          <w:p>
            <w:pPr>
              <w:spacing w:after="0"/>
              <w:rPr>
                <w:sz w:val="20"/>
                <w:szCs w:val="20"/>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83"/>
              </w:rPr>
              <w:t>1,140.6</w:t>
            </w:r>
          </w:p>
        </w:tc>
        <w:tc>
          <w:tcPr>
            <w:tcW w:w="180" w:type="dxa"/>
            <w:vAlign w:val="bottom"/>
            <w:tcBorders>
              <w:top w:val="single" w:sz="8" w:color="CFF0FC"/>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spacing w:after="0"/>
              <w:rPr>
                <w:sz w:val="20"/>
                <w:szCs w:val="20"/>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83"/>
              </w:rPr>
              <w:t>1,125.7</w:t>
            </w:r>
          </w:p>
        </w:tc>
        <w:tc>
          <w:tcPr>
            <w:tcW w:w="220" w:type="dxa"/>
            <w:vAlign w:val="bottom"/>
            <w:tcBorders>
              <w:top w:val="single" w:sz="8" w:color="CFF0FC"/>
            </w:tcBorders>
            <w:shd w:val="clear" w:color="auto" w:fill="CFF0FC"/>
          </w:tcPr>
          <w:p>
            <w:pPr>
              <w:spacing w:after="0"/>
              <w:rPr>
                <w:sz w:val="20"/>
                <w:szCs w:val="20"/>
                <w:color w:val="auto"/>
              </w:rPr>
            </w:pPr>
          </w:p>
        </w:tc>
        <w:tc>
          <w:tcPr>
            <w:tcW w:w="160" w:type="dxa"/>
            <w:vAlign w:val="bottom"/>
            <w:tcBorders>
              <w:top w:val="single" w:sz="8" w:color="CFF0FC"/>
            </w:tcBorders>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spacing w:after="0"/>
              <w:rPr>
                <w:sz w:val="20"/>
                <w:szCs w:val="20"/>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86"/>
              </w:rPr>
              <w:t>1,971.7</w:t>
            </w:r>
          </w:p>
        </w:tc>
        <w:tc>
          <w:tcPr>
            <w:tcW w:w="280" w:type="dxa"/>
            <w:vAlign w:val="bottom"/>
            <w:tcBorders>
              <w:top w:val="single" w:sz="8" w:color="CFF0FC"/>
            </w:tcBorders>
            <w:shd w:val="clear" w:color="auto" w:fill="CFF0FC"/>
          </w:tcPr>
          <w:p>
            <w:pPr>
              <w:spacing w:after="0"/>
              <w:rPr>
                <w:sz w:val="20"/>
                <w:szCs w:val="20"/>
                <w:color w:val="auto"/>
              </w:rPr>
            </w:pPr>
          </w:p>
        </w:tc>
        <w:tc>
          <w:tcPr>
            <w:tcW w:w="600" w:type="dxa"/>
            <w:vAlign w:val="bottom"/>
            <w:tcBorders>
              <w:top w:val="single" w:sz="8" w:color="auto"/>
            </w:tcBorders>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1,934.9</w:t>
            </w:r>
          </w:p>
        </w:tc>
        <w:tc>
          <w:tcPr>
            <w:tcW w:w="10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700" w:type="dxa"/>
            <w:vAlign w:val="bottom"/>
            <w:tcBorders>
              <w:bottom w:val="single" w:sz="8" w:color="CFF0FC"/>
            </w:tcBorders>
            <w:gridSpan w:val="3"/>
          </w:tcPr>
          <w:p>
            <w:pPr>
              <w:ind w:left="140"/>
              <w:spacing w:after="0"/>
              <w:rPr>
                <w:sz w:val="20"/>
                <w:szCs w:val="20"/>
                <w:color w:val="auto"/>
              </w:rPr>
            </w:pPr>
            <w:r>
              <w:rPr>
                <w:rFonts w:ascii="Arial" w:cs="Arial" w:eastAsia="Arial" w:hAnsi="Arial"/>
                <w:sz w:val="19"/>
                <w:szCs w:val="19"/>
                <w:color w:val="auto"/>
              </w:rPr>
              <w:t>Freight</w:t>
            </w:r>
          </w:p>
        </w:tc>
        <w:tc>
          <w:tcPr>
            <w:tcW w:w="10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76.4</w:t>
            </w:r>
          </w:p>
        </w:tc>
        <w:tc>
          <w:tcPr>
            <w:tcW w:w="18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77.5</w:t>
            </w:r>
          </w:p>
        </w:tc>
        <w:tc>
          <w:tcPr>
            <w:tcW w:w="220" w:type="dxa"/>
            <w:vAlign w:val="bottom"/>
            <w:tcBorders>
              <w:bottom w:val="single" w:sz="8" w:color="CFF0FC"/>
            </w:tcBorders>
          </w:tcPr>
          <w:p>
            <w:pPr>
              <w:spacing w:after="0"/>
              <w:rPr>
                <w:sz w:val="21"/>
                <w:szCs w:val="21"/>
                <w:color w:val="auto"/>
              </w:rPr>
            </w:pPr>
          </w:p>
        </w:tc>
        <w:tc>
          <w:tcPr>
            <w:tcW w:w="160" w:type="dxa"/>
            <w:vAlign w:val="bottom"/>
            <w:tcBorders>
              <w:bottom w:val="single" w:sz="8" w:color="CFF0FC"/>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137.9</w:t>
            </w:r>
          </w:p>
        </w:tc>
        <w:tc>
          <w:tcPr>
            <w:tcW w:w="280" w:type="dxa"/>
            <w:vAlign w:val="bottom"/>
            <w:tcBorders>
              <w:bottom w:val="single" w:sz="8" w:color="CFF0FC"/>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133.2</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700" w:type="dxa"/>
            <w:vAlign w:val="bottom"/>
            <w:gridSpan w:val="3"/>
            <w:shd w:val="clear" w:color="auto" w:fill="CFF0FC"/>
          </w:tcPr>
          <w:p>
            <w:pPr>
              <w:spacing w:after="0"/>
              <w:rPr>
                <w:sz w:val="20"/>
                <w:szCs w:val="20"/>
                <w:color w:val="auto"/>
              </w:rPr>
            </w:pPr>
            <w:r>
              <w:rPr>
                <w:rFonts w:ascii="Arial" w:cs="Arial" w:eastAsia="Arial" w:hAnsi="Arial"/>
                <w:sz w:val="19"/>
                <w:szCs w:val="19"/>
                <w:color w:val="auto"/>
              </w:rPr>
              <w:t>Total Building Materials Business</w:t>
            </w:r>
          </w:p>
        </w:tc>
        <w:tc>
          <w:tcPr>
            <w:tcW w:w="100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3"/>
              </w:rPr>
              <w:t>1,217.0</w:t>
            </w: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3"/>
              </w:rPr>
              <w:t>1,203.2</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6"/>
              </w:rPr>
              <w:t>2,109.6</w:t>
            </w:r>
          </w:p>
        </w:tc>
        <w:tc>
          <w:tcPr>
            <w:tcW w:w="2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2,068.1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3700" w:type="dxa"/>
            <w:vAlign w:val="bottom"/>
            <w:gridSpan w:val="3"/>
          </w:tcPr>
          <w:p>
            <w:pPr>
              <w:spacing w:after="0"/>
              <w:rPr>
                <w:sz w:val="20"/>
                <w:szCs w:val="20"/>
                <w:color w:val="auto"/>
              </w:rPr>
            </w:pPr>
            <w:r>
              <w:rPr>
                <w:rFonts w:ascii="Arial" w:cs="Arial" w:eastAsia="Arial" w:hAnsi="Arial"/>
                <w:sz w:val="19"/>
                <w:szCs w:val="19"/>
                <w:color w:val="auto"/>
              </w:rPr>
              <w:t>Magnesia Specialties:</w:t>
            </w:r>
          </w:p>
        </w:tc>
        <w:tc>
          <w:tcPr>
            <w:tcW w:w="10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700" w:type="dxa"/>
            <w:vAlign w:val="bottom"/>
            <w:gridSpan w:val="3"/>
            <w:shd w:val="clear" w:color="auto" w:fill="CFF0FC"/>
          </w:tcPr>
          <w:p>
            <w:pPr>
              <w:ind w:left="140"/>
              <w:spacing w:after="0"/>
              <w:rPr>
                <w:sz w:val="20"/>
                <w:szCs w:val="20"/>
                <w:color w:val="auto"/>
              </w:rPr>
            </w:pPr>
            <w:r>
              <w:rPr>
                <w:rFonts w:ascii="Arial" w:cs="Arial" w:eastAsia="Arial" w:hAnsi="Arial"/>
                <w:sz w:val="19"/>
                <w:szCs w:val="19"/>
                <w:color w:val="auto"/>
              </w:rPr>
              <w:t>Products and services</w:t>
            </w:r>
          </w:p>
        </w:tc>
        <w:tc>
          <w:tcPr>
            <w:tcW w:w="100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48.9</w:t>
            </w: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70.4</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108.8</w:t>
            </w:r>
          </w:p>
        </w:tc>
        <w:tc>
          <w:tcPr>
            <w:tcW w:w="28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139.5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00" w:type="dxa"/>
            <w:vAlign w:val="bottom"/>
            <w:tcBorders>
              <w:bottom w:val="single" w:sz="8" w:color="CFF0FC"/>
            </w:tcBorders>
            <w:gridSpan w:val="3"/>
          </w:tcPr>
          <w:p>
            <w:pPr>
              <w:ind w:left="140"/>
              <w:spacing w:after="0"/>
              <w:rPr>
                <w:sz w:val="20"/>
                <w:szCs w:val="20"/>
                <w:color w:val="auto"/>
              </w:rPr>
            </w:pPr>
            <w:r>
              <w:rPr>
                <w:rFonts w:ascii="Arial" w:cs="Arial" w:eastAsia="Arial" w:hAnsi="Arial"/>
                <w:sz w:val="19"/>
                <w:szCs w:val="19"/>
                <w:color w:val="auto"/>
              </w:rPr>
              <w:t>Freight</w:t>
            </w:r>
          </w:p>
        </w:tc>
        <w:tc>
          <w:tcPr>
            <w:tcW w:w="10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4.7</w:t>
            </w:r>
          </w:p>
        </w:tc>
        <w:tc>
          <w:tcPr>
            <w:tcW w:w="18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5.9</w:t>
            </w:r>
          </w:p>
        </w:tc>
        <w:tc>
          <w:tcPr>
            <w:tcW w:w="220" w:type="dxa"/>
            <w:vAlign w:val="bottom"/>
            <w:tcBorders>
              <w:bottom w:val="single" w:sz="8" w:color="CFF0FC"/>
            </w:tcBorders>
          </w:tcPr>
          <w:p>
            <w:pPr>
              <w:spacing w:after="0"/>
              <w:rPr>
                <w:sz w:val="21"/>
                <w:szCs w:val="21"/>
                <w:color w:val="auto"/>
              </w:rPr>
            </w:pPr>
          </w:p>
        </w:tc>
        <w:tc>
          <w:tcPr>
            <w:tcW w:w="160" w:type="dxa"/>
            <w:vAlign w:val="bottom"/>
            <w:tcBorders>
              <w:bottom w:val="single" w:sz="8" w:color="CFF0FC"/>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10.5</w:t>
            </w:r>
          </w:p>
        </w:tc>
        <w:tc>
          <w:tcPr>
            <w:tcW w:w="280" w:type="dxa"/>
            <w:vAlign w:val="bottom"/>
            <w:tcBorders>
              <w:bottom w:val="single" w:sz="8" w:color="CFF0FC"/>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10.8</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700" w:type="dxa"/>
            <w:vAlign w:val="bottom"/>
            <w:gridSpan w:val="3"/>
            <w:shd w:val="clear" w:color="auto" w:fill="CFF0FC"/>
          </w:tcPr>
          <w:p>
            <w:pPr>
              <w:spacing w:after="0"/>
              <w:rPr>
                <w:sz w:val="20"/>
                <w:szCs w:val="20"/>
                <w:color w:val="auto"/>
              </w:rPr>
            </w:pPr>
            <w:r>
              <w:rPr>
                <w:rFonts w:ascii="Arial" w:cs="Arial" w:eastAsia="Arial" w:hAnsi="Arial"/>
                <w:sz w:val="19"/>
                <w:szCs w:val="19"/>
                <w:color w:val="auto"/>
              </w:rPr>
              <w:t>Total Magnesia Specialties</w:t>
            </w:r>
          </w:p>
        </w:tc>
        <w:tc>
          <w:tcPr>
            <w:tcW w:w="1000" w:type="dxa"/>
            <w:vAlign w:val="bottom"/>
            <w:tcBorders>
              <w:bottom w:val="single" w:sz="8" w:color="auto"/>
            </w:tcBorders>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53.6</w:t>
            </w: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76.3</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119.3</w:t>
            </w:r>
          </w:p>
        </w:tc>
        <w:tc>
          <w:tcPr>
            <w:tcW w:w="280" w:type="dxa"/>
            <w:vAlign w:val="bottom"/>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150.3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700" w:type="dxa"/>
            <w:vAlign w:val="bottom"/>
            <w:gridSpan w:val="3"/>
          </w:tcPr>
          <w:p>
            <w:pPr>
              <w:spacing w:after="0"/>
              <w:rPr>
                <w:sz w:val="20"/>
                <w:szCs w:val="20"/>
                <w:color w:val="auto"/>
              </w:rPr>
            </w:pPr>
            <w:r>
              <w:rPr>
                <w:rFonts w:ascii="Arial" w:cs="Arial" w:eastAsia="Arial" w:hAnsi="Arial"/>
                <w:sz w:val="19"/>
                <w:szCs w:val="19"/>
                <w:color w:val="auto"/>
              </w:rPr>
              <w:t>Total</w:t>
            </w:r>
          </w:p>
        </w:tc>
        <w:tc>
          <w:tcPr>
            <w:tcW w:w="1000" w:type="dxa"/>
            <w:vAlign w:val="bottom"/>
            <w:tcBorders>
              <w:bottom w:val="single" w:sz="8" w:color="auto"/>
            </w:tcBorders>
          </w:tcPr>
          <w:p>
            <w:pPr>
              <w:jc w:val="right"/>
              <w:ind w:right="802"/>
              <w:spacing w:after="0"/>
              <w:rPr>
                <w:sz w:val="20"/>
                <w:szCs w:val="20"/>
                <w:color w:val="auto"/>
              </w:rPr>
            </w:pPr>
            <w:r>
              <w:rPr>
                <w:rFonts w:ascii="Arial" w:cs="Arial" w:eastAsia="Arial" w:hAnsi="Arial"/>
                <w:sz w:val="20"/>
                <w:szCs w:val="20"/>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3"/>
              </w:rPr>
              <w:t>1,270.6</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Borders>
              <w:bottom w:val="single" w:sz="8" w:color="auto"/>
            </w:tcBorders>
          </w:tcPr>
          <w:p>
            <w:pPr>
              <w:jc w:val="right"/>
              <w:ind w:right="801"/>
              <w:spacing w:after="0"/>
              <w:rPr>
                <w:sz w:val="20"/>
                <w:szCs w:val="20"/>
                <w:color w:val="auto"/>
              </w:rPr>
            </w:pPr>
            <w:r>
              <w:rPr>
                <w:rFonts w:ascii="Arial" w:cs="Arial" w:eastAsia="Arial" w:hAnsi="Arial"/>
                <w:sz w:val="20"/>
                <w:szCs w:val="20"/>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3"/>
              </w:rPr>
              <w:t>1,279.5</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Borders>
              <w:bottom w:val="single" w:sz="8" w:color="auto"/>
            </w:tcBorders>
          </w:tcPr>
          <w:p>
            <w:pPr>
              <w:jc w:val="right"/>
              <w:ind w:right="821"/>
              <w:spacing w:after="0"/>
              <w:rPr>
                <w:sz w:val="20"/>
                <w:szCs w:val="20"/>
                <w:color w:val="auto"/>
              </w:rPr>
            </w:pPr>
            <w:r>
              <w:rPr>
                <w:rFonts w:ascii="Arial" w:cs="Arial" w:eastAsia="Arial" w:hAnsi="Arial"/>
                <w:sz w:val="20"/>
                <w:szCs w:val="20"/>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6"/>
              </w:rPr>
              <w:t>2,228.9</w:t>
            </w:r>
          </w:p>
        </w:tc>
        <w:tc>
          <w:tcPr>
            <w:tcW w:w="280" w:type="dxa"/>
            <w:vAlign w:val="bottom"/>
          </w:tcPr>
          <w:p>
            <w:pPr>
              <w:spacing w:after="0"/>
              <w:rPr>
                <w:sz w:val="20"/>
                <w:szCs w:val="20"/>
                <w:color w:val="auto"/>
              </w:rPr>
            </w:pPr>
          </w:p>
        </w:tc>
        <w:tc>
          <w:tcPr>
            <w:tcW w:w="600" w:type="dxa"/>
            <w:vAlign w:val="bottom"/>
            <w:tcBorders>
              <w:bottom w:val="single" w:sz="8" w:color="auto"/>
            </w:tcBorders>
          </w:tcPr>
          <w:p>
            <w:pPr>
              <w:jc w:val="right"/>
              <w:ind w:right="401"/>
              <w:spacing w:after="0"/>
              <w:rPr>
                <w:sz w:val="20"/>
                <w:szCs w:val="20"/>
                <w:color w:val="auto"/>
              </w:rPr>
            </w:pPr>
            <w:r>
              <w:rPr>
                <w:rFonts w:ascii="Arial" w:cs="Arial" w:eastAsia="Arial" w:hAnsi="Arial"/>
                <w:sz w:val="20"/>
                <w:szCs w:val="20"/>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2,218.4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700" w:type="dxa"/>
            <w:vAlign w:val="bottom"/>
            <w:gridSpan w:val="3"/>
            <w:vMerge w:val="restart"/>
          </w:tcPr>
          <w:p>
            <w:pPr>
              <w:spacing w:after="0"/>
              <w:rPr>
                <w:sz w:val="20"/>
                <w:szCs w:val="20"/>
                <w:color w:val="auto"/>
              </w:rPr>
            </w:pPr>
            <w:r>
              <w:rPr>
                <w:rFonts w:ascii="Arial" w:cs="Arial" w:eastAsia="Arial" w:hAnsi="Arial"/>
                <w:sz w:val="19"/>
                <w:szCs w:val="19"/>
                <w:color w:val="auto"/>
              </w:rPr>
              <w:t>Gross profit (loss):</w:t>
            </w: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700" w:type="dxa"/>
            <w:vAlign w:val="bottom"/>
            <w:gridSpan w:val="3"/>
            <w:vMerge w:val="continue"/>
          </w:tcPr>
          <w:p>
            <w:pPr>
              <w:spacing w:after="0"/>
              <w:rPr>
                <w:sz w:val="24"/>
                <w:szCs w:val="24"/>
                <w:color w:val="auto"/>
              </w:rPr>
            </w:pPr>
          </w:p>
        </w:tc>
        <w:tc>
          <w:tcPr>
            <w:tcW w:w="1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116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2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700" w:type="dxa"/>
            <w:vAlign w:val="bottom"/>
            <w:gridSpan w:val="3"/>
            <w:shd w:val="clear" w:color="auto" w:fill="CFF0FC"/>
          </w:tcPr>
          <w:p>
            <w:pPr>
              <w:spacing w:after="0"/>
              <w:rPr>
                <w:sz w:val="20"/>
                <w:szCs w:val="20"/>
                <w:color w:val="auto"/>
              </w:rPr>
            </w:pPr>
            <w:r>
              <w:rPr>
                <w:rFonts w:ascii="Arial" w:cs="Arial" w:eastAsia="Arial" w:hAnsi="Arial"/>
                <w:sz w:val="19"/>
                <w:szCs w:val="19"/>
                <w:color w:val="auto"/>
              </w:rPr>
              <w:t>Building Materials Business:</w:t>
            </w:r>
          </w:p>
        </w:tc>
        <w:tc>
          <w:tcPr>
            <w:tcW w:w="100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700" w:type="dxa"/>
            <w:vAlign w:val="bottom"/>
            <w:gridSpan w:val="3"/>
          </w:tcPr>
          <w:p>
            <w:pPr>
              <w:spacing w:after="0"/>
              <w:rPr>
                <w:sz w:val="20"/>
                <w:szCs w:val="20"/>
                <w:color w:val="auto"/>
              </w:rPr>
            </w:pPr>
            <w:r>
              <w:rPr>
                <w:rFonts w:ascii="Arial" w:cs="Arial" w:eastAsia="Arial" w:hAnsi="Arial"/>
                <w:sz w:val="19"/>
                <w:szCs w:val="19"/>
                <w:color w:val="auto"/>
              </w:rPr>
              <w:t>Products and services:</w:t>
            </w:r>
          </w:p>
        </w:tc>
        <w:tc>
          <w:tcPr>
            <w:tcW w:w="10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700" w:type="dxa"/>
            <w:vAlign w:val="bottom"/>
            <w:gridSpan w:val="3"/>
            <w:shd w:val="clear" w:color="auto" w:fill="CFF0FC"/>
          </w:tcPr>
          <w:p>
            <w:pPr>
              <w:ind w:left="260"/>
              <w:spacing w:after="0"/>
              <w:rPr>
                <w:sz w:val="20"/>
                <w:szCs w:val="20"/>
                <w:color w:val="auto"/>
              </w:rPr>
            </w:pPr>
            <w:r>
              <w:rPr>
                <w:rFonts w:ascii="Arial" w:cs="Arial" w:eastAsia="Arial" w:hAnsi="Arial"/>
                <w:sz w:val="19"/>
                <w:szCs w:val="19"/>
                <w:color w:val="auto"/>
              </w:rPr>
              <w:t>Aggregates</w:t>
            </w:r>
          </w:p>
        </w:tc>
        <w:tc>
          <w:tcPr>
            <w:tcW w:w="1000" w:type="dxa"/>
            <w:vAlign w:val="bottom"/>
            <w:shd w:val="clear" w:color="auto" w:fill="CFF0FC"/>
          </w:tcPr>
          <w:p>
            <w:pPr>
              <w:jc w:val="right"/>
              <w:ind w:right="802"/>
              <w:spacing w:after="0"/>
              <w:rPr>
                <w:sz w:val="20"/>
                <w:szCs w:val="20"/>
                <w:color w:val="auto"/>
              </w:rPr>
            </w:pPr>
            <w:r>
              <w:rPr>
                <w:rFonts w:ascii="Arial" w:cs="Arial" w:eastAsia="Arial" w:hAnsi="Arial"/>
                <w:sz w:val="20"/>
                <w:szCs w:val="20"/>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268.0</w:t>
            </w:r>
          </w:p>
        </w:tc>
        <w:tc>
          <w:tcPr>
            <w:tcW w:w="18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801"/>
              <w:spacing w:after="0"/>
              <w:rPr>
                <w:sz w:val="20"/>
                <w:szCs w:val="20"/>
                <w:color w:val="auto"/>
              </w:rPr>
            </w:pPr>
            <w:r>
              <w:rPr>
                <w:rFonts w:ascii="Arial" w:cs="Arial" w:eastAsia="Arial" w:hAnsi="Arial"/>
                <w:sz w:val="20"/>
                <w:szCs w:val="20"/>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251.5</w:t>
            </w:r>
          </w:p>
        </w:tc>
        <w:tc>
          <w:tcPr>
            <w:tcW w:w="22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821"/>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361.3</w:t>
            </w:r>
          </w:p>
        </w:tc>
        <w:tc>
          <w:tcPr>
            <w:tcW w:w="280" w:type="dxa"/>
            <w:vAlign w:val="bottom"/>
            <w:shd w:val="clear" w:color="auto" w:fill="CFF0FC"/>
          </w:tcPr>
          <w:p>
            <w:pPr>
              <w:spacing w:after="0"/>
              <w:rPr>
                <w:sz w:val="21"/>
                <w:szCs w:val="21"/>
                <w:color w:val="auto"/>
              </w:rPr>
            </w:pPr>
          </w:p>
        </w:tc>
        <w:tc>
          <w:tcPr>
            <w:tcW w:w="600" w:type="dxa"/>
            <w:vAlign w:val="bottom"/>
            <w:shd w:val="clear" w:color="auto" w:fill="CFF0FC"/>
          </w:tcPr>
          <w:p>
            <w:pPr>
              <w:jc w:val="right"/>
              <w:ind w:right="401"/>
              <w:spacing w:after="0"/>
              <w:rPr>
                <w:sz w:val="20"/>
                <w:szCs w:val="20"/>
                <w:color w:val="auto"/>
              </w:rPr>
            </w:pPr>
            <w:r>
              <w:rPr>
                <w:rFonts w:ascii="Arial" w:cs="Arial" w:eastAsia="Arial" w:hAnsi="Arial"/>
                <w:sz w:val="20"/>
                <w:szCs w:val="20"/>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349.5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00" w:type="dxa"/>
            <w:vAlign w:val="bottom"/>
            <w:gridSpan w:val="3"/>
          </w:tcPr>
          <w:p>
            <w:pPr>
              <w:ind w:left="260"/>
              <w:spacing w:after="0"/>
              <w:rPr>
                <w:sz w:val="20"/>
                <w:szCs w:val="20"/>
                <w:color w:val="auto"/>
              </w:rPr>
            </w:pPr>
            <w:r>
              <w:rPr>
                <w:rFonts w:ascii="Arial" w:cs="Arial" w:eastAsia="Arial" w:hAnsi="Arial"/>
                <w:sz w:val="19"/>
                <w:szCs w:val="19"/>
                <w:color w:val="auto"/>
              </w:rPr>
              <w:t>Cement</w:t>
            </w:r>
          </w:p>
        </w:tc>
        <w:tc>
          <w:tcPr>
            <w:tcW w:w="10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20"/>
                <w:szCs w:val="20"/>
                <w:color w:val="auto"/>
              </w:rPr>
              <w:t>43.4</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20"/>
                <w:szCs w:val="20"/>
                <w:color w:val="auto"/>
              </w:rPr>
              <w:t>42.2</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70.7</w:t>
            </w:r>
          </w:p>
        </w:tc>
        <w:tc>
          <w:tcPr>
            <w:tcW w:w="2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56.0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00" w:type="dxa"/>
            <w:vAlign w:val="bottom"/>
            <w:gridSpan w:val="3"/>
            <w:shd w:val="clear" w:color="auto" w:fill="CFF0FC"/>
          </w:tcPr>
          <w:p>
            <w:pPr>
              <w:ind w:left="260"/>
              <w:spacing w:after="0"/>
              <w:rPr>
                <w:sz w:val="20"/>
                <w:szCs w:val="20"/>
                <w:color w:val="auto"/>
              </w:rPr>
            </w:pPr>
            <w:r>
              <w:rPr>
                <w:rFonts w:ascii="Arial" w:cs="Arial" w:eastAsia="Arial" w:hAnsi="Arial"/>
                <w:sz w:val="19"/>
                <w:szCs w:val="19"/>
                <w:color w:val="auto"/>
              </w:rPr>
              <w:t>Ready mixed concrete</w:t>
            </w:r>
          </w:p>
        </w:tc>
        <w:tc>
          <w:tcPr>
            <w:tcW w:w="100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26.1</w:t>
            </w: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19.0</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32.0</w:t>
            </w:r>
          </w:p>
        </w:tc>
        <w:tc>
          <w:tcPr>
            <w:tcW w:w="28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33.5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00" w:type="dxa"/>
            <w:vAlign w:val="bottom"/>
            <w:tcBorders>
              <w:bottom w:val="single" w:sz="8" w:color="CFF0FC"/>
            </w:tcBorders>
            <w:gridSpan w:val="3"/>
          </w:tcPr>
          <w:p>
            <w:pPr>
              <w:ind w:left="260"/>
              <w:spacing w:after="0"/>
              <w:rPr>
                <w:sz w:val="20"/>
                <w:szCs w:val="20"/>
                <w:color w:val="auto"/>
              </w:rPr>
            </w:pPr>
            <w:r>
              <w:rPr>
                <w:rFonts w:ascii="Arial" w:cs="Arial" w:eastAsia="Arial" w:hAnsi="Arial"/>
                <w:sz w:val="19"/>
                <w:szCs w:val="19"/>
                <w:color w:val="auto"/>
              </w:rPr>
              <w:t>Asphalt and paving services</w:t>
            </w:r>
          </w:p>
        </w:tc>
        <w:tc>
          <w:tcPr>
            <w:tcW w:w="10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21.9</w:t>
            </w:r>
          </w:p>
        </w:tc>
        <w:tc>
          <w:tcPr>
            <w:tcW w:w="18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15.7</w:t>
            </w:r>
          </w:p>
        </w:tc>
        <w:tc>
          <w:tcPr>
            <w:tcW w:w="220" w:type="dxa"/>
            <w:vAlign w:val="bottom"/>
            <w:tcBorders>
              <w:bottom w:val="single" w:sz="8" w:color="CFF0FC"/>
            </w:tcBorders>
          </w:tcPr>
          <w:p>
            <w:pPr>
              <w:spacing w:after="0"/>
              <w:rPr>
                <w:sz w:val="21"/>
                <w:szCs w:val="21"/>
                <w:color w:val="auto"/>
              </w:rPr>
            </w:pPr>
          </w:p>
        </w:tc>
        <w:tc>
          <w:tcPr>
            <w:tcW w:w="160" w:type="dxa"/>
            <w:vAlign w:val="bottom"/>
            <w:tcBorders>
              <w:bottom w:val="single" w:sz="8" w:color="CFF0FC"/>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13.8</w:t>
            </w:r>
          </w:p>
        </w:tc>
        <w:tc>
          <w:tcPr>
            <w:tcW w:w="280" w:type="dxa"/>
            <w:vAlign w:val="bottom"/>
            <w:tcBorders>
              <w:bottom w:val="single" w:sz="8" w:color="CFF0FC"/>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7.4</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700" w:type="dxa"/>
            <w:vAlign w:val="bottom"/>
            <w:gridSpan w:val="3"/>
            <w:shd w:val="clear" w:color="auto" w:fill="CFF0FC"/>
          </w:tcPr>
          <w:p>
            <w:pPr>
              <w:ind w:left="140"/>
              <w:spacing w:after="0"/>
              <w:rPr>
                <w:sz w:val="20"/>
                <w:szCs w:val="20"/>
                <w:color w:val="auto"/>
              </w:rPr>
            </w:pPr>
            <w:r>
              <w:rPr>
                <w:rFonts w:ascii="Arial" w:cs="Arial" w:eastAsia="Arial" w:hAnsi="Arial"/>
                <w:sz w:val="19"/>
                <w:szCs w:val="19"/>
                <w:color w:val="auto"/>
              </w:rPr>
              <w:t>Products and services</w:t>
            </w:r>
          </w:p>
        </w:tc>
        <w:tc>
          <w:tcPr>
            <w:tcW w:w="100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359.4</w:t>
            </w: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328.4</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477.8</w:t>
            </w:r>
          </w:p>
        </w:tc>
        <w:tc>
          <w:tcPr>
            <w:tcW w:w="2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446.4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700" w:type="dxa"/>
            <w:vAlign w:val="bottom"/>
            <w:gridSpan w:val="3"/>
          </w:tcPr>
          <w:p>
            <w:pPr>
              <w:ind w:left="140"/>
              <w:spacing w:after="0"/>
              <w:rPr>
                <w:sz w:val="20"/>
                <w:szCs w:val="20"/>
                <w:color w:val="auto"/>
              </w:rPr>
            </w:pPr>
            <w:r>
              <w:rPr>
                <w:rFonts w:ascii="Arial" w:cs="Arial" w:eastAsia="Arial" w:hAnsi="Arial"/>
                <w:sz w:val="19"/>
                <w:szCs w:val="19"/>
                <w:color w:val="auto"/>
              </w:rPr>
              <w:t>Freight</w:t>
            </w:r>
          </w:p>
        </w:tc>
        <w:tc>
          <w:tcPr>
            <w:tcW w:w="1000" w:type="dxa"/>
            <w:vAlign w:val="bottom"/>
          </w:tcPr>
          <w:p>
            <w:pPr>
              <w:spacing w:after="0"/>
              <w:rPr>
                <w:sz w:val="21"/>
                <w:szCs w:val="21"/>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20"/>
                <w:szCs w:val="20"/>
                <w:color w:val="auto"/>
              </w:rPr>
              <w:t>(0.3)</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20"/>
                <w:szCs w:val="20"/>
                <w:color w:val="auto"/>
              </w:rPr>
              <w:t>0.2</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20"/>
                <w:szCs w:val="20"/>
                <w:color w:val="auto"/>
              </w:rPr>
              <w:t>(0.6)</w:t>
            </w:r>
          </w:p>
        </w:tc>
        <w:tc>
          <w:tcPr>
            <w:tcW w:w="6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0.1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700" w:type="dxa"/>
            <w:vAlign w:val="bottom"/>
            <w:tcBorders>
              <w:top w:val="single" w:sz="8" w:color="CFF0FC"/>
            </w:tcBorders>
            <w:gridSpan w:val="3"/>
            <w:shd w:val="clear" w:color="auto" w:fill="CFF0FC"/>
          </w:tcPr>
          <w:p>
            <w:pPr>
              <w:spacing w:after="0"/>
              <w:rPr>
                <w:sz w:val="20"/>
                <w:szCs w:val="20"/>
                <w:color w:val="auto"/>
              </w:rPr>
            </w:pPr>
            <w:r>
              <w:rPr>
                <w:rFonts w:ascii="Arial" w:cs="Arial" w:eastAsia="Arial" w:hAnsi="Arial"/>
                <w:sz w:val="19"/>
                <w:szCs w:val="19"/>
                <w:color w:val="auto"/>
              </w:rPr>
              <w:t>Total Building Materials Business</w:t>
            </w:r>
          </w:p>
        </w:tc>
        <w:tc>
          <w:tcPr>
            <w:tcW w:w="1000" w:type="dxa"/>
            <w:vAlign w:val="bottom"/>
            <w:tcBorders>
              <w:top w:val="single" w:sz="8" w:color="auto"/>
            </w:tcBorders>
            <w:shd w:val="clear" w:color="auto" w:fill="CFF0FC"/>
          </w:tcPr>
          <w:p>
            <w:pPr>
              <w:spacing w:after="0"/>
              <w:rPr>
                <w:sz w:val="20"/>
                <w:szCs w:val="20"/>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359.1</w:t>
            </w:r>
          </w:p>
        </w:tc>
        <w:tc>
          <w:tcPr>
            <w:tcW w:w="180" w:type="dxa"/>
            <w:vAlign w:val="bottom"/>
            <w:tcBorders>
              <w:top w:val="single" w:sz="8" w:color="CFF0FC"/>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spacing w:after="0"/>
              <w:rPr>
                <w:sz w:val="20"/>
                <w:szCs w:val="20"/>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328.6</w:t>
            </w:r>
          </w:p>
        </w:tc>
        <w:tc>
          <w:tcPr>
            <w:tcW w:w="220" w:type="dxa"/>
            <w:vAlign w:val="bottom"/>
            <w:tcBorders>
              <w:top w:val="single" w:sz="8" w:color="CFF0FC"/>
            </w:tcBorders>
            <w:shd w:val="clear" w:color="auto" w:fill="CFF0FC"/>
          </w:tcPr>
          <w:p>
            <w:pPr>
              <w:spacing w:after="0"/>
              <w:rPr>
                <w:sz w:val="20"/>
                <w:szCs w:val="20"/>
                <w:color w:val="auto"/>
              </w:rPr>
            </w:pPr>
          </w:p>
        </w:tc>
        <w:tc>
          <w:tcPr>
            <w:tcW w:w="160" w:type="dxa"/>
            <w:vAlign w:val="bottom"/>
            <w:tcBorders>
              <w:top w:val="single" w:sz="8" w:color="CFF0FC"/>
            </w:tcBorders>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spacing w:after="0"/>
              <w:rPr>
                <w:sz w:val="20"/>
                <w:szCs w:val="20"/>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477.2</w:t>
            </w:r>
          </w:p>
        </w:tc>
        <w:tc>
          <w:tcPr>
            <w:tcW w:w="280" w:type="dxa"/>
            <w:vAlign w:val="bottom"/>
            <w:tcBorders>
              <w:top w:val="single" w:sz="8" w:color="CFF0FC"/>
            </w:tcBorders>
            <w:shd w:val="clear" w:color="auto" w:fill="CFF0FC"/>
          </w:tcPr>
          <w:p>
            <w:pPr>
              <w:spacing w:after="0"/>
              <w:rPr>
                <w:sz w:val="20"/>
                <w:szCs w:val="20"/>
                <w:color w:val="auto"/>
              </w:rPr>
            </w:pPr>
          </w:p>
        </w:tc>
        <w:tc>
          <w:tcPr>
            <w:tcW w:w="600" w:type="dxa"/>
            <w:vAlign w:val="bottom"/>
            <w:tcBorders>
              <w:top w:val="single" w:sz="8" w:color="auto"/>
            </w:tcBorders>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446.5</w:t>
            </w:r>
          </w:p>
        </w:tc>
        <w:tc>
          <w:tcPr>
            <w:tcW w:w="10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3700" w:type="dxa"/>
            <w:vAlign w:val="bottom"/>
            <w:gridSpan w:val="3"/>
          </w:tcPr>
          <w:p>
            <w:pPr>
              <w:spacing w:after="0"/>
              <w:rPr>
                <w:sz w:val="20"/>
                <w:szCs w:val="20"/>
                <w:color w:val="auto"/>
              </w:rPr>
            </w:pPr>
            <w:r>
              <w:rPr>
                <w:rFonts w:ascii="Arial" w:cs="Arial" w:eastAsia="Arial" w:hAnsi="Arial"/>
                <w:sz w:val="19"/>
                <w:szCs w:val="19"/>
                <w:color w:val="auto"/>
              </w:rPr>
              <w:t>Magnesia Specialties:</w:t>
            </w:r>
          </w:p>
        </w:tc>
        <w:tc>
          <w:tcPr>
            <w:tcW w:w="10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700" w:type="dxa"/>
            <w:vAlign w:val="bottom"/>
            <w:gridSpan w:val="3"/>
            <w:shd w:val="clear" w:color="auto" w:fill="CFF0FC"/>
          </w:tcPr>
          <w:p>
            <w:pPr>
              <w:ind w:left="140"/>
              <w:spacing w:after="0"/>
              <w:rPr>
                <w:sz w:val="20"/>
                <w:szCs w:val="20"/>
                <w:color w:val="auto"/>
              </w:rPr>
            </w:pPr>
            <w:r>
              <w:rPr>
                <w:rFonts w:ascii="Arial" w:cs="Arial" w:eastAsia="Arial" w:hAnsi="Arial"/>
                <w:sz w:val="19"/>
                <w:szCs w:val="19"/>
                <w:color w:val="auto"/>
              </w:rPr>
              <w:t>Products and services</w:t>
            </w:r>
          </w:p>
        </w:tc>
        <w:tc>
          <w:tcPr>
            <w:tcW w:w="100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18.2</w:t>
            </w: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29.2</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44.3</w:t>
            </w:r>
          </w:p>
        </w:tc>
        <w:tc>
          <w:tcPr>
            <w:tcW w:w="28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55.8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00" w:type="dxa"/>
            <w:vAlign w:val="bottom"/>
            <w:gridSpan w:val="3"/>
          </w:tcPr>
          <w:p>
            <w:pPr>
              <w:ind w:left="140"/>
              <w:spacing w:after="0"/>
              <w:rPr>
                <w:sz w:val="20"/>
                <w:szCs w:val="20"/>
                <w:color w:val="auto"/>
              </w:rPr>
            </w:pPr>
            <w:r>
              <w:rPr>
                <w:rFonts w:ascii="Arial" w:cs="Arial" w:eastAsia="Arial" w:hAnsi="Arial"/>
                <w:sz w:val="19"/>
                <w:szCs w:val="19"/>
                <w:color w:val="auto"/>
              </w:rPr>
              <w:t>Freight</w:t>
            </w:r>
          </w:p>
        </w:tc>
        <w:tc>
          <w:tcPr>
            <w:tcW w:w="1000" w:type="dxa"/>
            <w:vAlign w:val="bottom"/>
          </w:tcPr>
          <w:p>
            <w:pPr>
              <w:spacing w:after="0"/>
              <w:rPr>
                <w:sz w:val="21"/>
                <w:szCs w:val="21"/>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20"/>
                <w:szCs w:val="20"/>
                <w:color w:val="auto"/>
              </w:rPr>
              <w:t>(1.3)</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20"/>
                <w:szCs w:val="20"/>
                <w:color w:val="auto"/>
              </w:rPr>
              <w:t>(1.1)</w:t>
            </w: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20"/>
                <w:szCs w:val="20"/>
                <w:color w:val="auto"/>
              </w:rPr>
              <w:t>(2.2)</w:t>
            </w:r>
          </w:p>
        </w:tc>
        <w:tc>
          <w:tcPr>
            <w:tcW w:w="600" w:type="dxa"/>
            <w:vAlign w:val="bottom"/>
          </w:tcPr>
          <w:p>
            <w:pPr>
              <w:spacing w:after="0"/>
              <w:rPr>
                <w:sz w:val="21"/>
                <w:szCs w:val="21"/>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20"/>
                <w:szCs w:val="20"/>
                <w:color w:val="auto"/>
              </w:rPr>
              <w:t>(2.2)</w:t>
            </w:r>
          </w:p>
        </w:tc>
        <w:tc>
          <w:tcPr>
            <w:tcW w:w="0" w:type="dxa"/>
            <w:vAlign w:val="bottom"/>
          </w:tcPr>
          <w:p>
            <w:pPr>
              <w:spacing w:after="0"/>
              <w:rPr>
                <w:sz w:val="1"/>
                <w:szCs w:val="1"/>
                <w:color w:val="auto"/>
              </w:rPr>
            </w:pPr>
          </w:p>
        </w:tc>
      </w:tr>
      <w:tr>
        <w:trPr>
          <w:trHeight w:val="236"/>
        </w:trPr>
        <w:tc>
          <w:tcPr>
            <w:tcW w:w="3700" w:type="dxa"/>
            <w:vAlign w:val="bottom"/>
            <w:tcBorders>
              <w:top w:val="single" w:sz="8" w:color="CFF0FC"/>
            </w:tcBorders>
            <w:gridSpan w:val="3"/>
            <w:shd w:val="clear" w:color="auto" w:fill="CFF0FC"/>
          </w:tcPr>
          <w:p>
            <w:pPr>
              <w:spacing w:after="0"/>
              <w:rPr>
                <w:sz w:val="20"/>
                <w:szCs w:val="20"/>
                <w:color w:val="auto"/>
              </w:rPr>
            </w:pPr>
            <w:r>
              <w:rPr>
                <w:rFonts w:ascii="Arial" w:cs="Arial" w:eastAsia="Arial" w:hAnsi="Arial"/>
                <w:sz w:val="19"/>
                <w:szCs w:val="19"/>
                <w:color w:val="auto"/>
              </w:rPr>
              <w:t>Total Magnesia Specialties</w:t>
            </w:r>
          </w:p>
        </w:tc>
        <w:tc>
          <w:tcPr>
            <w:tcW w:w="1000" w:type="dxa"/>
            <w:vAlign w:val="bottom"/>
            <w:tcBorders>
              <w:top w:val="single" w:sz="8" w:color="auto"/>
            </w:tcBorders>
            <w:shd w:val="clear" w:color="auto" w:fill="CFF0FC"/>
          </w:tcPr>
          <w:p>
            <w:pPr>
              <w:spacing w:after="0"/>
              <w:rPr>
                <w:sz w:val="20"/>
                <w:szCs w:val="20"/>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16.9</w:t>
            </w:r>
          </w:p>
        </w:tc>
        <w:tc>
          <w:tcPr>
            <w:tcW w:w="180" w:type="dxa"/>
            <w:vAlign w:val="bottom"/>
            <w:tcBorders>
              <w:top w:val="single" w:sz="8" w:color="CFF0FC"/>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spacing w:after="0"/>
              <w:rPr>
                <w:sz w:val="20"/>
                <w:szCs w:val="20"/>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28.1</w:t>
            </w:r>
          </w:p>
        </w:tc>
        <w:tc>
          <w:tcPr>
            <w:tcW w:w="220" w:type="dxa"/>
            <w:vAlign w:val="bottom"/>
            <w:tcBorders>
              <w:top w:val="single" w:sz="8" w:color="CFF0FC"/>
            </w:tcBorders>
            <w:shd w:val="clear" w:color="auto" w:fill="CFF0FC"/>
          </w:tcPr>
          <w:p>
            <w:pPr>
              <w:spacing w:after="0"/>
              <w:rPr>
                <w:sz w:val="20"/>
                <w:szCs w:val="20"/>
                <w:color w:val="auto"/>
              </w:rPr>
            </w:pPr>
          </w:p>
        </w:tc>
        <w:tc>
          <w:tcPr>
            <w:tcW w:w="160" w:type="dxa"/>
            <w:vAlign w:val="bottom"/>
            <w:tcBorders>
              <w:top w:val="single" w:sz="8" w:color="CFF0FC"/>
            </w:tcBorders>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spacing w:after="0"/>
              <w:rPr>
                <w:sz w:val="20"/>
                <w:szCs w:val="20"/>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42.1</w:t>
            </w:r>
          </w:p>
        </w:tc>
        <w:tc>
          <w:tcPr>
            <w:tcW w:w="280" w:type="dxa"/>
            <w:vAlign w:val="bottom"/>
            <w:tcBorders>
              <w:top w:val="single" w:sz="8" w:color="CFF0FC"/>
            </w:tcBorders>
            <w:shd w:val="clear" w:color="auto" w:fill="CFF0FC"/>
          </w:tcPr>
          <w:p>
            <w:pPr>
              <w:spacing w:after="0"/>
              <w:rPr>
                <w:sz w:val="20"/>
                <w:szCs w:val="20"/>
                <w:color w:val="auto"/>
              </w:rPr>
            </w:pPr>
          </w:p>
        </w:tc>
        <w:tc>
          <w:tcPr>
            <w:tcW w:w="600" w:type="dxa"/>
            <w:vAlign w:val="bottom"/>
            <w:tcBorders>
              <w:top w:val="single" w:sz="8" w:color="auto"/>
            </w:tcBorders>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53.6</w:t>
            </w:r>
          </w:p>
        </w:tc>
        <w:tc>
          <w:tcPr>
            <w:tcW w:w="10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700" w:type="dxa"/>
            <w:vAlign w:val="bottom"/>
            <w:gridSpan w:val="3"/>
          </w:tcPr>
          <w:p>
            <w:pPr>
              <w:spacing w:after="0"/>
              <w:rPr>
                <w:sz w:val="20"/>
                <w:szCs w:val="20"/>
                <w:color w:val="auto"/>
              </w:rPr>
            </w:pPr>
            <w:r>
              <w:rPr>
                <w:rFonts w:ascii="Arial" w:cs="Arial" w:eastAsia="Arial" w:hAnsi="Arial"/>
                <w:sz w:val="19"/>
                <w:szCs w:val="19"/>
                <w:color w:val="auto"/>
              </w:rPr>
              <w:t>Corporate</w:t>
            </w:r>
          </w:p>
        </w:tc>
        <w:tc>
          <w:tcPr>
            <w:tcW w:w="10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20"/>
                <w:szCs w:val="20"/>
                <w:color w:val="auto"/>
              </w:rPr>
              <w:t>4.5</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20"/>
                <w:szCs w:val="20"/>
                <w:color w:val="auto"/>
              </w:rPr>
              <w:t>0.2</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3.6</w:t>
            </w:r>
          </w:p>
        </w:tc>
        <w:tc>
          <w:tcPr>
            <w:tcW w:w="2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20"/>
                <w:szCs w:val="20"/>
                <w:color w:val="auto"/>
              </w:rPr>
              <w:t>(0.3)</w:t>
            </w:r>
          </w:p>
        </w:tc>
        <w:tc>
          <w:tcPr>
            <w:tcW w:w="0" w:type="dxa"/>
            <w:vAlign w:val="bottom"/>
          </w:tcPr>
          <w:p>
            <w:pPr>
              <w:spacing w:after="0"/>
              <w:rPr>
                <w:sz w:val="1"/>
                <w:szCs w:val="1"/>
                <w:color w:val="auto"/>
              </w:rPr>
            </w:pPr>
          </w:p>
        </w:tc>
      </w:tr>
      <w:tr>
        <w:trPr>
          <w:trHeight w:val="237"/>
        </w:trPr>
        <w:tc>
          <w:tcPr>
            <w:tcW w:w="3700" w:type="dxa"/>
            <w:vAlign w:val="bottom"/>
            <w:tcBorders>
              <w:top w:val="single" w:sz="8" w:color="CFF0FC"/>
              <w:bottom w:val="single" w:sz="8" w:color="CFF0FC"/>
            </w:tcBorders>
            <w:gridSpan w:val="3"/>
            <w:shd w:val="clear" w:color="auto" w:fill="CFF0FC"/>
          </w:tcPr>
          <w:p>
            <w:pPr>
              <w:spacing w:after="0"/>
              <w:rPr>
                <w:sz w:val="20"/>
                <w:szCs w:val="20"/>
                <w:color w:val="auto"/>
              </w:rPr>
            </w:pPr>
            <w:r>
              <w:rPr>
                <w:rFonts w:ascii="Arial" w:cs="Arial" w:eastAsia="Arial" w:hAnsi="Arial"/>
                <w:sz w:val="19"/>
                <w:szCs w:val="19"/>
                <w:color w:val="auto"/>
              </w:rPr>
              <w:t>Total</w:t>
            </w:r>
          </w:p>
        </w:tc>
        <w:tc>
          <w:tcPr>
            <w:tcW w:w="1000" w:type="dxa"/>
            <w:vAlign w:val="bottom"/>
            <w:tcBorders>
              <w:top w:val="single" w:sz="8" w:color="auto"/>
              <w:bottom w:val="single" w:sz="8" w:color="auto"/>
            </w:tcBorders>
            <w:shd w:val="clear" w:color="auto" w:fill="CFF0FC"/>
          </w:tcPr>
          <w:p>
            <w:pPr>
              <w:jc w:val="right"/>
              <w:ind w:right="802"/>
              <w:spacing w:after="0"/>
              <w:rPr>
                <w:sz w:val="20"/>
                <w:szCs w:val="20"/>
                <w:color w:val="auto"/>
              </w:rPr>
            </w:pPr>
            <w:r>
              <w:rPr>
                <w:rFonts w:ascii="Arial" w:cs="Arial" w:eastAsia="Arial" w:hAnsi="Arial"/>
                <w:sz w:val="20"/>
                <w:szCs w:val="20"/>
                <w:color w:val="auto"/>
                <w:w w:val="71"/>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380.5</w:t>
            </w:r>
          </w:p>
        </w:tc>
        <w:tc>
          <w:tcPr>
            <w:tcW w:w="180" w:type="dxa"/>
            <w:vAlign w:val="bottom"/>
            <w:tcBorders>
              <w:top w:val="single" w:sz="8" w:color="CFF0FC"/>
              <w:bottom w:val="single" w:sz="8" w:color="CFF0FC"/>
            </w:tcBorders>
            <w:shd w:val="clear" w:color="auto" w:fill="CFF0FC"/>
          </w:tcPr>
          <w:p>
            <w:pPr>
              <w:spacing w:after="0"/>
              <w:rPr>
                <w:sz w:val="20"/>
                <w:szCs w:val="20"/>
                <w:color w:val="auto"/>
              </w:rPr>
            </w:pP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1000" w:type="dxa"/>
            <w:vAlign w:val="bottom"/>
            <w:tcBorders>
              <w:top w:val="single" w:sz="8" w:color="auto"/>
              <w:bottom w:val="single" w:sz="8" w:color="auto"/>
            </w:tcBorders>
            <w:shd w:val="clear" w:color="auto" w:fill="CFF0FC"/>
          </w:tcPr>
          <w:p>
            <w:pPr>
              <w:jc w:val="right"/>
              <w:ind w:right="801"/>
              <w:spacing w:after="0"/>
              <w:rPr>
                <w:sz w:val="20"/>
                <w:szCs w:val="20"/>
                <w:color w:val="auto"/>
              </w:rPr>
            </w:pPr>
            <w:r>
              <w:rPr>
                <w:rFonts w:ascii="Arial" w:cs="Arial" w:eastAsia="Arial" w:hAnsi="Arial"/>
                <w:sz w:val="20"/>
                <w:szCs w:val="20"/>
                <w:color w:val="auto"/>
                <w:w w:val="71"/>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356.9</w:t>
            </w:r>
          </w:p>
        </w:tc>
        <w:tc>
          <w:tcPr>
            <w:tcW w:w="220" w:type="dxa"/>
            <w:vAlign w:val="bottom"/>
            <w:tcBorders>
              <w:top w:val="single" w:sz="8" w:color="CFF0FC"/>
              <w:bottom w:val="single" w:sz="8" w:color="CFF0FC"/>
            </w:tcBorders>
            <w:shd w:val="clear" w:color="auto" w:fill="CFF0FC"/>
          </w:tcPr>
          <w:p>
            <w:pPr>
              <w:spacing w:after="0"/>
              <w:rPr>
                <w:sz w:val="20"/>
                <w:szCs w:val="20"/>
                <w:color w:val="auto"/>
              </w:rPr>
            </w:pPr>
          </w:p>
        </w:tc>
        <w:tc>
          <w:tcPr>
            <w:tcW w:w="160" w:type="dxa"/>
            <w:vAlign w:val="bottom"/>
            <w:tcBorders>
              <w:top w:val="single" w:sz="8" w:color="CFF0FC"/>
              <w:bottom w:val="single" w:sz="8" w:color="CFF0FC"/>
            </w:tcBorders>
            <w:shd w:val="clear" w:color="auto" w:fill="CFF0FC"/>
          </w:tcPr>
          <w:p>
            <w:pPr>
              <w:spacing w:after="0"/>
              <w:rPr>
                <w:sz w:val="20"/>
                <w:szCs w:val="20"/>
                <w:color w:val="auto"/>
              </w:rPr>
            </w:pPr>
          </w:p>
        </w:tc>
        <w:tc>
          <w:tcPr>
            <w:tcW w:w="1020" w:type="dxa"/>
            <w:vAlign w:val="bottom"/>
            <w:tcBorders>
              <w:top w:val="single" w:sz="8" w:color="auto"/>
              <w:bottom w:val="single" w:sz="8" w:color="auto"/>
            </w:tcBorders>
            <w:shd w:val="clear" w:color="auto" w:fill="CFF0FC"/>
          </w:tcPr>
          <w:p>
            <w:pPr>
              <w:jc w:val="right"/>
              <w:ind w:right="821"/>
              <w:spacing w:after="0"/>
              <w:rPr>
                <w:sz w:val="20"/>
                <w:szCs w:val="20"/>
                <w:color w:val="auto"/>
              </w:rPr>
            </w:pPr>
            <w:r>
              <w:rPr>
                <w:rFonts w:ascii="Arial" w:cs="Arial" w:eastAsia="Arial" w:hAnsi="Arial"/>
                <w:sz w:val="20"/>
                <w:szCs w:val="20"/>
                <w:color w:val="auto"/>
                <w:w w:val="71"/>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522.9</w:t>
            </w:r>
          </w:p>
        </w:tc>
        <w:tc>
          <w:tcPr>
            <w:tcW w:w="280" w:type="dxa"/>
            <w:vAlign w:val="bottom"/>
            <w:tcBorders>
              <w:top w:val="single" w:sz="8" w:color="CFF0FC"/>
              <w:bottom w:val="single" w:sz="8" w:color="CFF0FC"/>
            </w:tcBorders>
            <w:shd w:val="clear" w:color="auto" w:fill="CFF0FC"/>
          </w:tcPr>
          <w:p>
            <w:pPr>
              <w:spacing w:after="0"/>
              <w:rPr>
                <w:sz w:val="20"/>
                <w:szCs w:val="20"/>
                <w:color w:val="auto"/>
              </w:rPr>
            </w:pPr>
          </w:p>
        </w:tc>
        <w:tc>
          <w:tcPr>
            <w:tcW w:w="600" w:type="dxa"/>
            <w:vAlign w:val="bottom"/>
            <w:tcBorders>
              <w:top w:val="single" w:sz="8" w:color="auto"/>
              <w:bottom w:val="single" w:sz="8" w:color="auto"/>
            </w:tcBorders>
            <w:shd w:val="clear" w:color="auto" w:fill="CFF0FC"/>
          </w:tcPr>
          <w:p>
            <w:pPr>
              <w:jc w:val="right"/>
              <w:ind w:right="401"/>
              <w:spacing w:after="0"/>
              <w:rPr>
                <w:sz w:val="20"/>
                <w:szCs w:val="20"/>
                <w:color w:val="auto"/>
              </w:rPr>
            </w:pPr>
            <w:r>
              <w:rPr>
                <w:rFonts w:ascii="Arial" w:cs="Arial" w:eastAsia="Arial" w:hAnsi="Arial"/>
                <w:sz w:val="20"/>
                <w:szCs w:val="20"/>
                <w:color w:val="auto"/>
                <w:w w:val="71"/>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499.8</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21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June 30, 2020</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7220" w:type="dxa"/>
            <w:vAlign w:val="bottom"/>
          </w:tcPr>
          <w:p>
            <w:pPr>
              <w:spacing w:after="0"/>
              <w:rPr>
                <w:sz w:val="20"/>
                <w:szCs w:val="20"/>
                <w:color w:val="auto"/>
              </w:rPr>
            </w:pPr>
            <w:r>
              <w:rPr>
                <w:rFonts w:ascii="Arial" w:cs="Arial" w:eastAsia="Arial" w:hAnsi="Arial"/>
                <w:sz w:val="20"/>
                <w:szCs w:val="20"/>
                <w:b w:val="1"/>
                <w:bCs w:val="1"/>
                <w:color w:val="auto"/>
              </w:rPr>
              <w:t>11. Supplemental Cash Flow Information</w:t>
            </w: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338"/>
        </w:trPr>
        <w:tc>
          <w:tcPr>
            <w:tcW w:w="7220" w:type="dxa"/>
            <w:vAlign w:val="bottom"/>
          </w:tcPr>
          <w:p>
            <w:pPr>
              <w:ind w:left="380"/>
              <w:spacing w:after="0"/>
              <w:rPr>
                <w:sz w:val="20"/>
                <w:szCs w:val="20"/>
                <w:color w:val="auto"/>
              </w:rPr>
            </w:pPr>
            <w:r>
              <w:rPr>
                <w:rFonts w:ascii="Arial" w:cs="Arial" w:eastAsia="Arial" w:hAnsi="Arial"/>
                <w:sz w:val="20"/>
                <w:szCs w:val="20"/>
                <w:color w:val="auto"/>
              </w:rPr>
              <w:t>Noncash investing and financing activities are as follows:</w:t>
            </w: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06"/>
        </w:trPr>
        <w:tc>
          <w:tcPr>
            <w:tcW w:w="7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2"/>
          </w:tcPr>
          <w:p>
            <w:pPr>
              <w:jc w:val="right"/>
              <w:ind w:right="921"/>
              <w:spacing w:after="0"/>
              <w:rPr>
                <w:sz w:val="20"/>
                <w:szCs w:val="20"/>
                <w:color w:val="auto"/>
              </w:rPr>
            </w:pPr>
            <w:r>
              <w:rPr>
                <w:rFonts w:ascii="Arial" w:cs="Arial" w:eastAsia="Arial" w:hAnsi="Arial"/>
                <w:sz w:val="20"/>
                <w:szCs w:val="20"/>
                <w:color w:val="auto"/>
              </w:rPr>
              <w:t>June 30,</w:t>
            </w:r>
          </w:p>
        </w:tc>
        <w:tc>
          <w:tcPr>
            <w:tcW w:w="5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7"/>
        </w:trPr>
        <w:tc>
          <w:tcPr>
            <w:tcW w:w="7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2020</w:t>
            </w:r>
          </w:p>
        </w:tc>
        <w:tc>
          <w:tcPr>
            <w:tcW w:w="7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2019</w:t>
            </w:r>
          </w:p>
        </w:tc>
        <w:tc>
          <w:tcPr>
            <w:tcW w:w="5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6"/>
        </w:trPr>
        <w:tc>
          <w:tcPr>
            <w:tcW w:w="7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180" w:type="dxa"/>
            <w:vAlign w:val="bottom"/>
            <w:gridSpan w:val="2"/>
          </w:tcPr>
          <w:p>
            <w:pPr>
              <w:jc w:val="right"/>
              <w:ind w:right="421"/>
              <w:spacing w:after="0"/>
              <w:rPr>
                <w:sz w:val="20"/>
                <w:szCs w:val="20"/>
                <w:color w:val="auto"/>
              </w:rPr>
            </w:pPr>
            <w:r>
              <w:rPr>
                <w:rFonts w:ascii="Arial" w:cs="Arial" w:eastAsia="Arial" w:hAnsi="Arial"/>
                <w:sz w:val="20"/>
                <w:szCs w:val="20"/>
                <w:i w:val="1"/>
                <w:iCs w:val="1"/>
                <w:color w:val="auto"/>
                <w:w w:val="97"/>
              </w:rPr>
              <w:t>(Dollars in Millions)</w:t>
            </w: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7220" w:type="dxa"/>
            <w:vAlign w:val="bottom"/>
            <w:shd w:val="clear" w:color="auto" w:fill="CFF0FC"/>
          </w:tcPr>
          <w:p>
            <w:pPr>
              <w:spacing w:after="0"/>
              <w:rPr>
                <w:sz w:val="20"/>
                <w:szCs w:val="20"/>
                <w:color w:val="auto"/>
              </w:rPr>
            </w:pPr>
            <w:r>
              <w:rPr>
                <w:rFonts w:ascii="Arial" w:cs="Arial" w:eastAsia="Arial" w:hAnsi="Arial"/>
                <w:sz w:val="20"/>
                <w:szCs w:val="20"/>
                <w:color w:val="auto"/>
              </w:rPr>
              <w:t>Noncash investing and financing activities:</w:t>
            </w:r>
          </w:p>
        </w:tc>
        <w:tc>
          <w:tcPr>
            <w:tcW w:w="14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7220" w:type="dxa"/>
            <w:vAlign w:val="bottom"/>
          </w:tcPr>
          <w:p>
            <w:pPr>
              <w:ind w:left="260"/>
              <w:spacing w:after="0"/>
              <w:rPr>
                <w:sz w:val="20"/>
                <w:szCs w:val="20"/>
                <w:color w:val="auto"/>
              </w:rPr>
            </w:pPr>
            <w:r>
              <w:rPr>
                <w:rFonts w:ascii="Arial" w:cs="Arial" w:eastAsia="Arial" w:hAnsi="Arial"/>
                <w:sz w:val="20"/>
                <w:szCs w:val="20"/>
                <w:color w:val="auto"/>
              </w:rPr>
              <w:t>Accrued liabilities for purchases of property, plant and equipment</w:t>
            </w:r>
          </w:p>
        </w:tc>
        <w:tc>
          <w:tcPr>
            <w:tcW w:w="1180" w:type="dxa"/>
            <w:vAlign w:val="bottom"/>
            <w:gridSpan w:val="2"/>
          </w:tcPr>
          <w:p>
            <w:pPr>
              <w:jc w:val="right"/>
              <w:ind w:right="841"/>
              <w:spacing w:after="0"/>
              <w:rPr>
                <w:sz w:val="20"/>
                <w:szCs w:val="20"/>
                <w:color w:val="auto"/>
              </w:rPr>
            </w:pPr>
            <w:r>
              <w:rPr>
                <w:rFonts w:ascii="Arial" w:cs="Arial" w:eastAsia="Arial" w:hAnsi="Arial"/>
                <w:sz w:val="20"/>
                <w:szCs w:val="20"/>
                <w:color w:val="auto"/>
              </w:rPr>
              <w:t>$</w:t>
            </w:r>
          </w:p>
        </w:tc>
        <w:tc>
          <w:tcPr>
            <w:tcW w:w="780" w:type="dxa"/>
            <w:vAlign w:val="bottom"/>
          </w:tcPr>
          <w:p>
            <w:pPr>
              <w:jc w:val="right"/>
              <w:ind w:right="21"/>
              <w:spacing w:after="0"/>
              <w:rPr>
                <w:sz w:val="20"/>
                <w:szCs w:val="20"/>
                <w:color w:val="auto"/>
              </w:rPr>
            </w:pPr>
            <w:r>
              <w:rPr>
                <w:rFonts w:ascii="Arial" w:cs="Arial" w:eastAsia="Arial" w:hAnsi="Arial"/>
                <w:sz w:val="20"/>
                <w:szCs w:val="20"/>
                <w:color w:val="auto"/>
              </w:rPr>
              <w:t>22.0</w:t>
            </w:r>
          </w:p>
        </w:tc>
        <w:tc>
          <w:tcPr>
            <w:tcW w:w="1400" w:type="dxa"/>
            <w:vAlign w:val="bottom"/>
          </w:tcPr>
          <w:p>
            <w:pPr>
              <w:jc w:val="right"/>
              <w:ind w:right="1041"/>
              <w:spacing w:after="0"/>
              <w:rPr>
                <w:sz w:val="20"/>
                <w:szCs w:val="20"/>
                <w:color w:val="auto"/>
              </w:rPr>
            </w:pPr>
            <w:r>
              <w:rPr>
                <w:rFonts w:ascii="Arial" w:cs="Arial" w:eastAsia="Arial" w:hAnsi="Arial"/>
                <w:sz w:val="20"/>
                <w:szCs w:val="20"/>
                <w:color w:val="auto"/>
              </w:rPr>
              <w:t>$</w:t>
            </w:r>
          </w:p>
        </w:tc>
        <w:tc>
          <w:tcPr>
            <w:tcW w:w="540" w:type="dxa"/>
            <w:vAlign w:val="bottom"/>
          </w:tcPr>
          <w:p>
            <w:pPr>
              <w:jc w:val="right"/>
              <w:spacing w:after="0"/>
              <w:rPr>
                <w:sz w:val="20"/>
                <w:szCs w:val="20"/>
                <w:color w:val="auto"/>
              </w:rPr>
            </w:pPr>
            <w:r>
              <w:rPr>
                <w:rFonts w:ascii="Arial" w:cs="Arial" w:eastAsia="Arial" w:hAnsi="Arial"/>
                <w:sz w:val="20"/>
                <w:szCs w:val="20"/>
                <w:color w:val="auto"/>
              </w:rPr>
              <w:t>18.7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7220" w:type="dxa"/>
            <w:vAlign w:val="bottom"/>
            <w:shd w:val="clear" w:color="auto" w:fill="CFF0FC"/>
          </w:tcPr>
          <w:p>
            <w:pPr>
              <w:ind w:left="260"/>
              <w:spacing w:after="0"/>
              <w:rPr>
                <w:sz w:val="20"/>
                <w:szCs w:val="20"/>
                <w:color w:val="auto"/>
              </w:rPr>
            </w:pPr>
            <w:r>
              <w:rPr>
                <w:rFonts w:ascii="Arial" w:cs="Arial" w:eastAsia="Arial" w:hAnsi="Arial"/>
                <w:sz w:val="20"/>
                <w:szCs w:val="20"/>
                <w:color w:val="auto"/>
              </w:rPr>
              <w:t>Acquisition of assets through swap</w:t>
            </w:r>
          </w:p>
        </w:tc>
        <w:tc>
          <w:tcPr>
            <w:tcW w:w="1180" w:type="dxa"/>
            <w:vAlign w:val="bottom"/>
            <w:gridSpan w:val="2"/>
            <w:shd w:val="clear" w:color="auto" w:fill="CFF0FC"/>
          </w:tcPr>
          <w:p>
            <w:pPr>
              <w:jc w:val="right"/>
              <w:ind w:right="841"/>
              <w:spacing w:after="0"/>
              <w:rPr>
                <w:sz w:val="20"/>
                <w:szCs w:val="20"/>
                <w:color w:val="auto"/>
              </w:rPr>
            </w:pPr>
            <w:r>
              <w:rPr>
                <w:rFonts w:ascii="Arial" w:cs="Arial" w:eastAsia="Arial" w:hAnsi="Arial"/>
                <w:sz w:val="20"/>
                <w:szCs w:val="20"/>
                <w:color w:val="auto"/>
              </w:rPr>
              <w:t>$</w:t>
            </w:r>
          </w:p>
        </w:tc>
        <w:tc>
          <w:tcPr>
            <w:tcW w:w="78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w:t>
            </w:r>
          </w:p>
        </w:tc>
        <w:tc>
          <w:tcPr>
            <w:tcW w:w="1400" w:type="dxa"/>
            <w:vAlign w:val="bottom"/>
            <w:shd w:val="clear" w:color="auto" w:fill="CFF0FC"/>
          </w:tcPr>
          <w:p>
            <w:pPr>
              <w:jc w:val="right"/>
              <w:ind w:right="1041"/>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1.1</w:t>
            </w: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26"/>
        </w:trPr>
        <w:tc>
          <w:tcPr>
            <w:tcW w:w="7220" w:type="dxa"/>
            <w:vAlign w:val="bottom"/>
          </w:tcPr>
          <w:p>
            <w:pPr>
              <w:ind w:left="260"/>
              <w:spacing w:after="0" w:line="227" w:lineRule="exact"/>
              <w:rPr>
                <w:sz w:val="20"/>
                <w:szCs w:val="20"/>
                <w:color w:val="auto"/>
              </w:rPr>
            </w:pPr>
            <w:r>
              <w:rPr>
                <w:rFonts w:ascii="Arial" w:cs="Arial" w:eastAsia="Arial" w:hAnsi="Arial"/>
                <w:sz w:val="20"/>
                <w:szCs w:val="20"/>
                <w:color w:val="auto"/>
              </w:rPr>
              <w:t>Receivable issued in connection with sale of property, plant</w:t>
            </w: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6"/>
        </w:trPr>
        <w:tc>
          <w:tcPr>
            <w:tcW w:w="7220" w:type="dxa"/>
            <w:vAlign w:val="bottom"/>
          </w:tcPr>
          <w:p>
            <w:pPr>
              <w:ind w:left="400"/>
              <w:spacing w:after="0"/>
              <w:rPr>
                <w:sz w:val="20"/>
                <w:szCs w:val="20"/>
                <w:color w:val="auto"/>
              </w:rPr>
            </w:pPr>
            <w:r>
              <w:rPr>
                <w:rFonts w:ascii="Arial" w:cs="Arial" w:eastAsia="Arial" w:hAnsi="Arial"/>
                <w:sz w:val="20"/>
                <w:szCs w:val="20"/>
                <w:color w:val="auto"/>
              </w:rPr>
              <w:t>and equipment</w:t>
            </w:r>
          </w:p>
        </w:tc>
        <w:tc>
          <w:tcPr>
            <w:tcW w:w="1180" w:type="dxa"/>
            <w:vAlign w:val="bottom"/>
            <w:gridSpan w:val="2"/>
          </w:tcPr>
          <w:p>
            <w:pPr>
              <w:jc w:val="right"/>
              <w:ind w:right="841"/>
              <w:spacing w:after="0"/>
              <w:rPr>
                <w:sz w:val="20"/>
                <w:szCs w:val="20"/>
                <w:color w:val="auto"/>
              </w:rPr>
            </w:pPr>
            <w:r>
              <w:rPr>
                <w:rFonts w:ascii="Arial" w:cs="Arial" w:eastAsia="Arial" w:hAnsi="Arial"/>
                <w:sz w:val="20"/>
                <w:szCs w:val="20"/>
                <w:color w:val="auto"/>
              </w:rPr>
              <w:t>$</w:t>
            </w:r>
          </w:p>
        </w:tc>
        <w:tc>
          <w:tcPr>
            <w:tcW w:w="78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1400" w:type="dxa"/>
            <w:vAlign w:val="bottom"/>
          </w:tcPr>
          <w:p>
            <w:pPr>
              <w:jc w:val="right"/>
              <w:ind w:right="1041"/>
              <w:spacing w:after="0"/>
              <w:rPr>
                <w:sz w:val="20"/>
                <w:szCs w:val="20"/>
                <w:color w:val="auto"/>
              </w:rPr>
            </w:pPr>
            <w:r>
              <w:rPr>
                <w:rFonts w:ascii="Arial" w:cs="Arial" w:eastAsia="Arial" w:hAnsi="Arial"/>
                <w:sz w:val="20"/>
                <w:szCs w:val="20"/>
                <w:color w:val="auto"/>
              </w:rPr>
              <w:t>$</w:t>
            </w:r>
          </w:p>
        </w:tc>
        <w:tc>
          <w:tcPr>
            <w:tcW w:w="540" w:type="dxa"/>
            <w:vAlign w:val="bottom"/>
          </w:tcPr>
          <w:p>
            <w:pPr>
              <w:jc w:val="right"/>
              <w:spacing w:after="0"/>
              <w:rPr>
                <w:sz w:val="20"/>
                <w:szCs w:val="20"/>
                <w:color w:val="auto"/>
              </w:rPr>
            </w:pPr>
            <w:r>
              <w:rPr>
                <w:rFonts w:ascii="Arial" w:cs="Arial" w:eastAsia="Arial" w:hAnsi="Arial"/>
                <w:sz w:val="20"/>
                <w:szCs w:val="20"/>
                <w:color w:val="auto"/>
              </w:rPr>
              <w:t>0.3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6"/>
        </w:trPr>
        <w:tc>
          <w:tcPr>
            <w:tcW w:w="7220" w:type="dxa"/>
            <w:vAlign w:val="bottom"/>
            <w:shd w:val="clear" w:color="auto" w:fill="CFF0FC"/>
          </w:tcPr>
          <w:p>
            <w:pPr>
              <w:ind w:left="260"/>
              <w:spacing w:after="0" w:line="227" w:lineRule="exact"/>
              <w:rPr>
                <w:sz w:val="20"/>
                <w:szCs w:val="20"/>
                <w:color w:val="auto"/>
              </w:rPr>
            </w:pPr>
            <w:r>
              <w:rPr>
                <w:rFonts w:ascii="Arial" w:cs="Arial" w:eastAsia="Arial" w:hAnsi="Arial"/>
                <w:sz w:val="20"/>
                <w:szCs w:val="20"/>
                <w:color w:val="auto"/>
              </w:rPr>
              <w:t>Right-of-use assets obtained in exchange for new</w:t>
            </w: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6"/>
        </w:trPr>
        <w:tc>
          <w:tcPr>
            <w:tcW w:w="7220" w:type="dxa"/>
            <w:vAlign w:val="bottom"/>
            <w:shd w:val="clear" w:color="auto" w:fill="CFF0FC"/>
          </w:tcPr>
          <w:p>
            <w:pPr>
              <w:ind w:left="400"/>
              <w:spacing w:after="0"/>
              <w:rPr>
                <w:sz w:val="20"/>
                <w:szCs w:val="20"/>
                <w:color w:val="auto"/>
              </w:rPr>
            </w:pPr>
            <w:r>
              <w:rPr>
                <w:rFonts w:ascii="Arial" w:cs="Arial" w:eastAsia="Arial" w:hAnsi="Arial"/>
                <w:sz w:val="20"/>
                <w:szCs w:val="20"/>
                <w:color w:val="auto"/>
              </w:rPr>
              <w:t>operating lease liabilities</w:t>
            </w:r>
          </w:p>
        </w:tc>
        <w:tc>
          <w:tcPr>
            <w:tcW w:w="1180" w:type="dxa"/>
            <w:vAlign w:val="bottom"/>
            <w:gridSpan w:val="2"/>
            <w:shd w:val="clear" w:color="auto" w:fill="CFF0FC"/>
          </w:tcPr>
          <w:p>
            <w:pPr>
              <w:jc w:val="right"/>
              <w:ind w:right="841"/>
              <w:spacing w:after="0"/>
              <w:rPr>
                <w:sz w:val="20"/>
                <w:szCs w:val="20"/>
                <w:color w:val="auto"/>
              </w:rPr>
            </w:pPr>
            <w:r>
              <w:rPr>
                <w:rFonts w:ascii="Arial" w:cs="Arial" w:eastAsia="Arial" w:hAnsi="Arial"/>
                <w:sz w:val="20"/>
                <w:szCs w:val="20"/>
                <w:color w:val="auto"/>
              </w:rPr>
              <w:t>$</w:t>
            </w:r>
          </w:p>
        </w:tc>
        <w:tc>
          <w:tcPr>
            <w:tcW w:w="78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18.0</w:t>
            </w:r>
          </w:p>
        </w:tc>
        <w:tc>
          <w:tcPr>
            <w:tcW w:w="1400" w:type="dxa"/>
            <w:vAlign w:val="bottom"/>
            <w:shd w:val="clear" w:color="auto" w:fill="CFF0FC"/>
          </w:tcPr>
          <w:p>
            <w:pPr>
              <w:jc w:val="right"/>
              <w:ind w:right="1041"/>
              <w:spacing w:after="0"/>
              <w:rPr>
                <w:sz w:val="20"/>
                <w:szCs w:val="20"/>
                <w:color w:val="auto"/>
              </w:rPr>
            </w:pPr>
            <w:r>
              <w:rPr>
                <w:rFonts w:ascii="Arial" w:cs="Arial" w:eastAsia="Arial" w:hAnsi="Arial"/>
                <w:sz w:val="20"/>
                <w:szCs w:val="20"/>
                <w:color w:val="auto"/>
              </w:rPr>
              <w:t>$</w:t>
            </w:r>
          </w:p>
        </w:tc>
        <w:tc>
          <w:tcPr>
            <w:tcW w:w="660" w:type="dxa"/>
            <w:vAlign w:val="bottom"/>
            <w:gridSpan w:val="3"/>
            <w:shd w:val="clear" w:color="auto" w:fill="CFF0FC"/>
          </w:tcPr>
          <w:p>
            <w:pPr>
              <w:jc w:val="right"/>
              <w:ind w:right="140"/>
              <w:spacing w:after="0"/>
              <w:rPr>
                <w:sz w:val="20"/>
                <w:szCs w:val="20"/>
                <w:color w:val="auto"/>
              </w:rPr>
            </w:pPr>
            <w:r>
              <w:rPr>
                <w:rFonts w:ascii="Arial" w:cs="Arial" w:eastAsia="Arial" w:hAnsi="Arial"/>
                <w:sz w:val="20"/>
                <w:szCs w:val="20"/>
                <w:color w:val="auto"/>
              </w:rPr>
              <w:t>—</w:t>
            </w:r>
          </w:p>
        </w:tc>
      </w:tr>
      <w:tr>
        <w:trPr>
          <w:trHeight w:val="243"/>
        </w:trPr>
        <w:tc>
          <w:tcPr>
            <w:tcW w:w="7220" w:type="dxa"/>
            <w:vAlign w:val="bottom"/>
          </w:tcPr>
          <w:p>
            <w:pPr>
              <w:ind w:left="260"/>
              <w:spacing w:after="0"/>
              <w:rPr>
                <w:sz w:val="20"/>
                <w:szCs w:val="20"/>
                <w:color w:val="auto"/>
              </w:rPr>
            </w:pPr>
            <w:r>
              <w:rPr>
                <w:rFonts w:ascii="Arial" w:cs="Arial" w:eastAsia="Arial" w:hAnsi="Arial"/>
                <w:sz w:val="20"/>
                <w:szCs w:val="20"/>
                <w:color w:val="auto"/>
              </w:rPr>
              <w:t>Remeasurement of operating leases</w:t>
            </w:r>
          </w:p>
        </w:tc>
        <w:tc>
          <w:tcPr>
            <w:tcW w:w="1180" w:type="dxa"/>
            <w:vAlign w:val="bottom"/>
            <w:gridSpan w:val="2"/>
          </w:tcPr>
          <w:p>
            <w:pPr>
              <w:jc w:val="right"/>
              <w:ind w:right="841"/>
              <w:spacing w:after="0"/>
              <w:rPr>
                <w:sz w:val="20"/>
                <w:szCs w:val="20"/>
                <w:color w:val="auto"/>
              </w:rPr>
            </w:pPr>
            <w:r>
              <w:rPr>
                <w:rFonts w:ascii="Arial" w:cs="Arial" w:eastAsia="Arial" w:hAnsi="Arial"/>
                <w:sz w:val="20"/>
                <w:szCs w:val="20"/>
                <w:color w:val="auto"/>
              </w:rPr>
              <w:t>$</w:t>
            </w:r>
          </w:p>
        </w:tc>
        <w:tc>
          <w:tcPr>
            <w:tcW w:w="780" w:type="dxa"/>
            <w:vAlign w:val="bottom"/>
          </w:tcPr>
          <w:p>
            <w:pPr>
              <w:jc w:val="right"/>
              <w:ind w:right="21"/>
              <w:spacing w:after="0"/>
              <w:rPr>
                <w:sz w:val="20"/>
                <w:szCs w:val="20"/>
                <w:color w:val="auto"/>
              </w:rPr>
            </w:pPr>
            <w:r>
              <w:rPr>
                <w:rFonts w:ascii="Arial" w:cs="Arial" w:eastAsia="Arial" w:hAnsi="Arial"/>
                <w:sz w:val="20"/>
                <w:szCs w:val="20"/>
                <w:color w:val="auto"/>
              </w:rPr>
              <w:t>1.1</w:t>
            </w:r>
          </w:p>
        </w:tc>
        <w:tc>
          <w:tcPr>
            <w:tcW w:w="1400" w:type="dxa"/>
            <w:vAlign w:val="bottom"/>
          </w:tcPr>
          <w:p>
            <w:pPr>
              <w:jc w:val="right"/>
              <w:ind w:right="1041"/>
              <w:spacing w:after="0"/>
              <w:rPr>
                <w:sz w:val="20"/>
                <w:szCs w:val="20"/>
                <w:color w:val="auto"/>
              </w:rPr>
            </w:pPr>
            <w:r>
              <w:rPr>
                <w:rFonts w:ascii="Arial" w:cs="Arial" w:eastAsia="Arial" w:hAnsi="Arial"/>
                <w:sz w:val="20"/>
                <w:szCs w:val="20"/>
                <w:color w:val="auto"/>
              </w:rPr>
              <w:t>$</w:t>
            </w:r>
          </w:p>
        </w:tc>
        <w:tc>
          <w:tcPr>
            <w:tcW w:w="660" w:type="dxa"/>
            <w:vAlign w:val="bottom"/>
            <w:gridSpan w:val="3"/>
          </w:tcPr>
          <w:p>
            <w:pPr>
              <w:jc w:val="right"/>
              <w:ind w:right="140"/>
              <w:spacing w:after="0"/>
              <w:rPr>
                <w:sz w:val="20"/>
                <w:szCs w:val="20"/>
                <w:color w:val="auto"/>
              </w:rPr>
            </w:pPr>
            <w:r>
              <w:rPr>
                <w:rFonts w:ascii="Arial" w:cs="Arial" w:eastAsia="Arial" w:hAnsi="Arial"/>
                <w:sz w:val="20"/>
                <w:szCs w:val="20"/>
                <w:color w:val="auto"/>
              </w:rPr>
              <w:t>—</w:t>
            </w:r>
          </w:p>
        </w:tc>
      </w:tr>
      <w:tr>
        <w:trPr>
          <w:trHeight w:val="226"/>
        </w:trPr>
        <w:tc>
          <w:tcPr>
            <w:tcW w:w="7220" w:type="dxa"/>
            <w:vAlign w:val="bottom"/>
            <w:shd w:val="clear" w:color="auto" w:fill="CFF0FC"/>
          </w:tcPr>
          <w:p>
            <w:pPr>
              <w:ind w:left="260"/>
              <w:spacing w:after="0" w:line="227" w:lineRule="exact"/>
              <w:rPr>
                <w:sz w:val="20"/>
                <w:szCs w:val="20"/>
                <w:color w:val="auto"/>
              </w:rPr>
            </w:pPr>
            <w:r>
              <w:rPr>
                <w:rFonts w:ascii="Arial" w:cs="Arial" w:eastAsia="Arial" w:hAnsi="Arial"/>
                <w:sz w:val="20"/>
                <w:szCs w:val="20"/>
                <w:color w:val="auto"/>
              </w:rPr>
              <w:t>Right-of-use assets obtained in exchange for</w:t>
            </w: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6"/>
        </w:trPr>
        <w:tc>
          <w:tcPr>
            <w:tcW w:w="7220" w:type="dxa"/>
            <w:vAlign w:val="bottom"/>
            <w:shd w:val="clear" w:color="auto" w:fill="CFF0FC"/>
          </w:tcPr>
          <w:p>
            <w:pPr>
              <w:ind w:left="400"/>
              <w:spacing w:after="0"/>
              <w:rPr>
                <w:sz w:val="20"/>
                <w:szCs w:val="20"/>
                <w:color w:val="auto"/>
              </w:rPr>
            </w:pPr>
            <w:r>
              <w:rPr>
                <w:rFonts w:ascii="Arial" w:cs="Arial" w:eastAsia="Arial" w:hAnsi="Arial"/>
                <w:sz w:val="20"/>
                <w:szCs w:val="20"/>
                <w:color w:val="auto"/>
              </w:rPr>
              <w:t>new finance lease liabilities</w:t>
            </w:r>
          </w:p>
        </w:tc>
        <w:tc>
          <w:tcPr>
            <w:tcW w:w="1180" w:type="dxa"/>
            <w:vAlign w:val="bottom"/>
            <w:gridSpan w:val="2"/>
            <w:shd w:val="clear" w:color="auto" w:fill="CFF0FC"/>
          </w:tcPr>
          <w:p>
            <w:pPr>
              <w:jc w:val="right"/>
              <w:ind w:right="841"/>
              <w:spacing w:after="0"/>
              <w:rPr>
                <w:sz w:val="20"/>
                <w:szCs w:val="20"/>
                <w:color w:val="auto"/>
              </w:rPr>
            </w:pPr>
            <w:r>
              <w:rPr>
                <w:rFonts w:ascii="Arial" w:cs="Arial" w:eastAsia="Arial" w:hAnsi="Arial"/>
                <w:sz w:val="20"/>
                <w:szCs w:val="20"/>
                <w:color w:val="auto"/>
              </w:rPr>
              <w:t>$</w:t>
            </w:r>
          </w:p>
        </w:tc>
        <w:tc>
          <w:tcPr>
            <w:tcW w:w="78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1.1</w:t>
            </w:r>
          </w:p>
        </w:tc>
        <w:tc>
          <w:tcPr>
            <w:tcW w:w="1400" w:type="dxa"/>
            <w:vAlign w:val="bottom"/>
            <w:shd w:val="clear" w:color="auto" w:fill="CFF0FC"/>
          </w:tcPr>
          <w:p>
            <w:pPr>
              <w:jc w:val="right"/>
              <w:ind w:right="1041"/>
              <w:spacing w:after="0"/>
              <w:rPr>
                <w:sz w:val="20"/>
                <w:szCs w:val="20"/>
                <w:color w:val="auto"/>
              </w:rPr>
            </w:pPr>
            <w:r>
              <w:rPr>
                <w:rFonts w:ascii="Arial" w:cs="Arial" w:eastAsia="Arial" w:hAnsi="Arial"/>
                <w:sz w:val="20"/>
                <w:szCs w:val="20"/>
                <w:color w:val="auto"/>
              </w:rPr>
              <w:t>$</w:t>
            </w:r>
          </w:p>
        </w:tc>
        <w:tc>
          <w:tcPr>
            <w:tcW w:w="660" w:type="dxa"/>
            <w:vAlign w:val="bottom"/>
            <w:gridSpan w:val="3"/>
            <w:shd w:val="clear" w:color="auto" w:fill="CFF0FC"/>
          </w:tcPr>
          <w:p>
            <w:pPr>
              <w:jc w:val="right"/>
              <w:ind w:right="140"/>
              <w:spacing w:after="0"/>
              <w:rPr>
                <w:sz w:val="20"/>
                <w:szCs w:val="20"/>
                <w:color w:val="auto"/>
              </w:rPr>
            </w:pPr>
            <w:r>
              <w:rPr>
                <w:rFonts w:ascii="Arial" w:cs="Arial" w:eastAsia="Arial" w:hAnsi="Arial"/>
                <w:sz w:val="20"/>
                <w:szCs w:val="20"/>
                <w:color w:val="auto"/>
              </w:rPr>
              <w:t>—</w:t>
            </w:r>
          </w:p>
        </w:tc>
      </w:tr>
      <w:tr>
        <w:trPr>
          <w:trHeight w:val="463"/>
        </w:trPr>
        <w:tc>
          <w:tcPr>
            <w:tcW w:w="7220" w:type="dxa"/>
            <w:vAlign w:val="bottom"/>
          </w:tcPr>
          <w:p>
            <w:pPr>
              <w:ind w:left="380"/>
              <w:spacing w:after="0"/>
              <w:rPr>
                <w:sz w:val="20"/>
                <w:szCs w:val="20"/>
                <w:color w:val="auto"/>
              </w:rPr>
            </w:pPr>
            <w:r>
              <w:rPr>
                <w:rFonts w:ascii="Arial" w:cs="Arial" w:eastAsia="Arial" w:hAnsi="Arial"/>
                <w:sz w:val="20"/>
                <w:szCs w:val="20"/>
                <w:color w:val="auto"/>
              </w:rPr>
              <w:t>Supplemental disclosures of cash flow information are as follows:</w:t>
            </w: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06"/>
        </w:trPr>
        <w:tc>
          <w:tcPr>
            <w:tcW w:w="72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2"/>
          </w:tcPr>
          <w:p>
            <w:pPr>
              <w:jc w:val="right"/>
              <w:ind w:right="981"/>
              <w:spacing w:after="0"/>
              <w:rPr>
                <w:sz w:val="20"/>
                <w:szCs w:val="20"/>
                <w:color w:val="auto"/>
              </w:rPr>
            </w:pPr>
            <w:r>
              <w:rPr>
                <w:rFonts w:ascii="Arial" w:cs="Arial" w:eastAsia="Arial" w:hAnsi="Arial"/>
                <w:sz w:val="20"/>
                <w:szCs w:val="20"/>
                <w:color w:val="auto"/>
              </w:rPr>
              <w:t>June 30,</w:t>
            </w: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6"/>
        </w:trPr>
        <w:tc>
          <w:tcPr>
            <w:tcW w:w="7220" w:type="dxa"/>
            <w:vAlign w:val="bottom"/>
          </w:tcPr>
          <w:p>
            <w:pPr>
              <w:spacing w:after="0"/>
              <w:rPr>
                <w:sz w:val="20"/>
                <w:szCs w:val="20"/>
                <w:color w:val="auto"/>
              </w:rPr>
            </w:pPr>
          </w:p>
        </w:tc>
        <w:tc>
          <w:tcPr>
            <w:tcW w:w="1180" w:type="dxa"/>
            <w:vAlign w:val="bottom"/>
            <w:tcBorders>
              <w:bottom w:val="single" w:sz="8" w:color="auto"/>
            </w:tcBorders>
            <w:gridSpan w:val="2"/>
          </w:tcPr>
          <w:p>
            <w:pPr>
              <w:jc w:val="right"/>
              <w:ind w:right="41"/>
              <w:spacing w:after="0"/>
              <w:rPr>
                <w:sz w:val="20"/>
                <w:szCs w:val="20"/>
                <w:color w:val="auto"/>
              </w:rPr>
            </w:pPr>
            <w:r>
              <w:rPr>
                <w:rFonts w:ascii="Arial" w:cs="Arial" w:eastAsia="Arial" w:hAnsi="Arial"/>
                <w:sz w:val="20"/>
                <w:szCs w:val="20"/>
                <w:color w:val="auto"/>
              </w:rPr>
              <w:t>2020</w:t>
            </w:r>
          </w:p>
        </w:tc>
        <w:tc>
          <w:tcPr>
            <w:tcW w:w="7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2019</w:t>
            </w:r>
          </w:p>
        </w:tc>
        <w:tc>
          <w:tcPr>
            <w:tcW w:w="5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7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20" w:type="dxa"/>
            <w:vAlign w:val="bottom"/>
            <w:gridSpan w:val="3"/>
          </w:tcPr>
          <w:p>
            <w:pPr>
              <w:jc w:val="right"/>
              <w:ind w:right="481"/>
              <w:spacing w:after="0"/>
              <w:rPr>
                <w:sz w:val="20"/>
                <w:szCs w:val="20"/>
                <w:color w:val="auto"/>
              </w:rPr>
            </w:pPr>
            <w:r>
              <w:rPr>
                <w:rFonts w:ascii="Arial" w:cs="Arial" w:eastAsia="Arial" w:hAnsi="Arial"/>
                <w:sz w:val="20"/>
                <w:szCs w:val="20"/>
                <w:i w:val="1"/>
                <w:iCs w:val="1"/>
                <w:color w:val="auto"/>
              </w:rPr>
              <w:t>(Dollars in Millions)</w:t>
            </w: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7220" w:type="dxa"/>
            <w:vAlign w:val="bottom"/>
            <w:shd w:val="clear" w:color="auto" w:fill="CFF0FC"/>
          </w:tcPr>
          <w:p>
            <w:pPr>
              <w:spacing w:after="0"/>
              <w:rPr>
                <w:sz w:val="20"/>
                <w:szCs w:val="20"/>
                <w:color w:val="auto"/>
              </w:rPr>
            </w:pPr>
            <w:r>
              <w:rPr>
                <w:rFonts w:ascii="Arial" w:cs="Arial" w:eastAsia="Arial" w:hAnsi="Arial"/>
                <w:sz w:val="20"/>
                <w:szCs w:val="20"/>
                <w:color w:val="auto"/>
              </w:rPr>
              <w:t>Cash paid for interest</w:t>
            </w:r>
          </w:p>
        </w:tc>
        <w:tc>
          <w:tcPr>
            <w:tcW w:w="1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040" w:type="dxa"/>
            <w:vAlign w:val="bottom"/>
            <w:shd w:val="clear" w:color="auto" w:fill="CFF0FC"/>
          </w:tcPr>
          <w:p>
            <w:pPr>
              <w:spacing w:after="0"/>
              <w:rPr>
                <w:sz w:val="21"/>
                <w:szCs w:val="21"/>
                <w:color w:val="auto"/>
              </w:rPr>
            </w:pPr>
          </w:p>
        </w:tc>
        <w:tc>
          <w:tcPr>
            <w:tcW w:w="78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53.0</w:t>
            </w:r>
          </w:p>
        </w:tc>
        <w:tc>
          <w:tcPr>
            <w:tcW w:w="1400" w:type="dxa"/>
            <w:vAlign w:val="bottom"/>
            <w:shd w:val="clear" w:color="auto" w:fill="CFF0FC"/>
          </w:tcPr>
          <w:p>
            <w:pPr>
              <w:jc w:val="right"/>
              <w:ind w:right="1061"/>
              <w:spacing w:after="0"/>
              <w:rPr>
                <w:sz w:val="20"/>
                <w:szCs w:val="20"/>
                <w:color w:val="auto"/>
              </w:rPr>
            </w:pPr>
            <w:r>
              <w:rPr>
                <w:rFonts w:ascii="Arial" w:cs="Arial" w:eastAsia="Arial" w:hAnsi="Arial"/>
                <w:sz w:val="20"/>
                <w:szCs w:val="20"/>
                <w:color w:val="auto"/>
              </w:rPr>
              <w:t>$</w:t>
            </w:r>
          </w:p>
        </w:tc>
        <w:tc>
          <w:tcPr>
            <w:tcW w:w="56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65.9</w:t>
            </w:r>
          </w:p>
        </w:tc>
        <w:tc>
          <w:tcPr>
            <w:tcW w:w="100" w:type="dxa"/>
            <w:vAlign w:val="bottom"/>
            <w:shd w:val="clear" w:color="auto" w:fill="CFF0FC"/>
          </w:tcPr>
          <w:p>
            <w:pPr>
              <w:spacing w:after="0"/>
              <w:rPr>
                <w:sz w:val="21"/>
                <w:szCs w:val="21"/>
                <w:color w:val="auto"/>
              </w:rPr>
            </w:pPr>
          </w:p>
        </w:tc>
      </w:tr>
      <w:tr>
        <w:trPr>
          <w:trHeight w:val="250"/>
        </w:trPr>
        <w:tc>
          <w:tcPr>
            <w:tcW w:w="7220" w:type="dxa"/>
            <w:vAlign w:val="bottom"/>
          </w:tcPr>
          <w:p>
            <w:pPr>
              <w:spacing w:after="0"/>
              <w:rPr>
                <w:sz w:val="20"/>
                <w:szCs w:val="20"/>
                <w:color w:val="auto"/>
              </w:rPr>
            </w:pPr>
            <w:r>
              <w:rPr>
                <w:rFonts w:ascii="Arial" w:cs="Arial" w:eastAsia="Arial" w:hAnsi="Arial"/>
                <w:sz w:val="20"/>
                <w:szCs w:val="20"/>
                <w:color w:val="auto"/>
              </w:rPr>
              <w:t>Cash paid for income taxes</w:t>
            </w:r>
          </w:p>
        </w:tc>
        <w:tc>
          <w:tcPr>
            <w:tcW w:w="14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040" w:type="dxa"/>
            <w:vAlign w:val="bottom"/>
          </w:tcPr>
          <w:p>
            <w:pPr>
              <w:spacing w:after="0"/>
              <w:rPr>
                <w:sz w:val="21"/>
                <w:szCs w:val="21"/>
                <w:color w:val="auto"/>
              </w:rPr>
            </w:pPr>
          </w:p>
        </w:tc>
        <w:tc>
          <w:tcPr>
            <w:tcW w:w="780" w:type="dxa"/>
            <w:vAlign w:val="bottom"/>
          </w:tcPr>
          <w:p>
            <w:pPr>
              <w:jc w:val="right"/>
              <w:ind w:right="161"/>
              <w:spacing w:after="0"/>
              <w:rPr>
                <w:sz w:val="20"/>
                <w:szCs w:val="20"/>
                <w:color w:val="auto"/>
              </w:rPr>
            </w:pPr>
            <w:r>
              <w:rPr>
                <w:rFonts w:ascii="Arial" w:cs="Arial" w:eastAsia="Arial" w:hAnsi="Arial"/>
                <w:sz w:val="20"/>
                <w:szCs w:val="20"/>
                <w:color w:val="auto"/>
              </w:rPr>
              <w:t>4.7</w:t>
            </w:r>
          </w:p>
        </w:tc>
        <w:tc>
          <w:tcPr>
            <w:tcW w:w="1400" w:type="dxa"/>
            <w:vAlign w:val="bottom"/>
          </w:tcPr>
          <w:p>
            <w:pPr>
              <w:jc w:val="right"/>
              <w:ind w:right="1061"/>
              <w:spacing w:after="0"/>
              <w:rPr>
                <w:sz w:val="20"/>
                <w:szCs w:val="20"/>
                <w:color w:val="auto"/>
              </w:rPr>
            </w:pPr>
            <w:r>
              <w:rPr>
                <w:rFonts w:ascii="Arial" w:cs="Arial" w:eastAsia="Arial" w:hAnsi="Arial"/>
                <w:sz w:val="20"/>
                <w:szCs w:val="20"/>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20"/>
                <w:szCs w:val="20"/>
                <w:color w:val="auto"/>
              </w:rPr>
              <w:t>8.0</w:t>
            </w:r>
          </w:p>
        </w:tc>
        <w:tc>
          <w:tcPr>
            <w:tcW w:w="100" w:type="dxa"/>
            <w:vAlign w:val="bottom"/>
          </w:tcPr>
          <w:p>
            <w:pPr>
              <w:spacing w:after="0"/>
              <w:rPr>
                <w:sz w:val="21"/>
                <w:szCs w:val="21"/>
                <w:color w:val="auto"/>
              </w:rPr>
            </w:pPr>
          </w:p>
        </w:tc>
      </w:tr>
    </w:tbl>
    <w:p>
      <w:pPr>
        <w:spacing w:after="0" w:line="192" w:lineRule="exact"/>
        <w:rPr>
          <w:sz w:val="20"/>
          <w:szCs w:val="20"/>
          <w:color w:val="auto"/>
        </w:rPr>
      </w:pPr>
    </w:p>
    <w:p>
      <w:pPr>
        <w:jc w:val="both"/>
        <w:ind w:left="380"/>
        <w:spacing w:after="0" w:line="250" w:lineRule="auto"/>
        <w:rPr>
          <w:sz w:val="20"/>
          <w:szCs w:val="20"/>
          <w:color w:val="auto"/>
        </w:rPr>
      </w:pPr>
      <w:r>
        <w:rPr>
          <w:rFonts w:ascii="Arial" w:cs="Arial" w:eastAsia="Arial" w:hAnsi="Arial"/>
          <w:sz w:val="20"/>
          <w:szCs w:val="20"/>
          <w:color w:val="auto"/>
        </w:rPr>
        <w:t>During the six months ended June 30, 2020, the Company repaid $7.2 million of loans related to its company-owned life insurance policies. The repayment is included in the ‘Investments in life insurance contracts, net’ in the investing activities of the consolidated statement of cash flows.</w:t>
      </w:r>
    </w:p>
    <w:p>
      <w:pPr>
        <w:spacing w:after="0" w:line="288" w:lineRule="exact"/>
        <w:rPr>
          <w:sz w:val="20"/>
          <w:szCs w:val="20"/>
          <w:color w:val="auto"/>
        </w:rPr>
      </w:pPr>
    </w:p>
    <w:p>
      <w:pPr>
        <w:ind w:left="380" w:hanging="372"/>
        <w:spacing w:after="0"/>
        <w:tabs>
          <w:tab w:leader="none" w:pos="380" w:val="left"/>
        </w:tabs>
        <w:numPr>
          <w:ilvl w:val="0"/>
          <w:numId w:val="9"/>
        </w:numPr>
        <w:rPr>
          <w:rFonts w:ascii="Arial" w:cs="Arial" w:eastAsia="Arial" w:hAnsi="Arial"/>
          <w:sz w:val="20"/>
          <w:szCs w:val="20"/>
          <w:b w:val="1"/>
          <w:bCs w:val="1"/>
          <w:color w:val="auto"/>
        </w:rPr>
      </w:pPr>
      <w:r>
        <w:rPr>
          <w:rFonts w:ascii="Arial" w:cs="Arial" w:eastAsia="Arial" w:hAnsi="Arial"/>
          <w:sz w:val="20"/>
          <w:szCs w:val="20"/>
          <w:b w:val="1"/>
          <w:bCs w:val="1"/>
          <w:color w:val="auto"/>
        </w:rPr>
        <w:t>Other Operating Expenses and (Income), Net</w:t>
      </w:r>
    </w:p>
    <w:p>
      <w:pPr>
        <w:spacing w:after="0" w:line="113" w:lineRule="exact"/>
        <w:rPr>
          <w:rFonts w:ascii="Arial" w:cs="Arial" w:eastAsia="Arial" w:hAnsi="Arial"/>
          <w:sz w:val="20"/>
          <w:szCs w:val="20"/>
          <w:b w:val="1"/>
          <w:bCs w:val="1"/>
          <w:color w:val="auto"/>
        </w:rPr>
      </w:pPr>
    </w:p>
    <w:p>
      <w:pPr>
        <w:jc w:val="both"/>
        <w:ind w:left="380"/>
        <w:spacing w:after="0" w:line="246" w:lineRule="auto"/>
        <w:rPr>
          <w:rFonts w:ascii="Arial" w:cs="Arial" w:eastAsia="Arial" w:hAnsi="Arial"/>
          <w:sz w:val="20"/>
          <w:szCs w:val="20"/>
          <w:b w:val="1"/>
          <w:bCs w:val="1"/>
          <w:color w:val="auto"/>
        </w:rPr>
      </w:pPr>
      <w:r>
        <w:rPr>
          <w:rFonts w:ascii="Arial" w:cs="Arial" w:eastAsia="Arial" w:hAnsi="Arial"/>
          <w:sz w:val="20"/>
          <w:szCs w:val="20"/>
          <w:color w:val="auto"/>
        </w:rPr>
        <w:t>Other operating expenses and (income), net, for the six months ended June 30, 2020, reflected a $2.5 million increase in credit loss expenses and a $2.8 million increase in asset reclamation costs compared with the prior-year period. For the six months ended June 30, 2019, other operating (income) and expenses, net, reflected the reversal of $4.2 million of accruals for unclaimed property contingencies.</w:t>
      </w:r>
    </w:p>
    <w:p>
      <w:pPr>
        <w:spacing w:after="0" w:line="293" w:lineRule="exact"/>
        <w:rPr>
          <w:rFonts w:ascii="Arial" w:cs="Arial" w:eastAsia="Arial" w:hAnsi="Arial"/>
          <w:sz w:val="20"/>
          <w:szCs w:val="20"/>
          <w:b w:val="1"/>
          <w:bCs w:val="1"/>
          <w:color w:val="auto"/>
        </w:rPr>
      </w:pPr>
    </w:p>
    <w:p>
      <w:pPr>
        <w:ind w:left="380" w:hanging="372"/>
        <w:spacing w:after="0"/>
        <w:tabs>
          <w:tab w:leader="none" w:pos="380" w:val="left"/>
        </w:tabs>
        <w:numPr>
          <w:ilvl w:val="0"/>
          <w:numId w:val="9"/>
        </w:numPr>
        <w:rPr>
          <w:rFonts w:ascii="Arial" w:cs="Arial" w:eastAsia="Arial" w:hAnsi="Arial"/>
          <w:sz w:val="20"/>
          <w:szCs w:val="20"/>
          <w:b w:val="1"/>
          <w:bCs w:val="1"/>
          <w:color w:val="auto"/>
        </w:rPr>
      </w:pPr>
      <w:r>
        <w:rPr>
          <w:rFonts w:ascii="Arial" w:cs="Arial" w:eastAsia="Arial" w:hAnsi="Arial"/>
          <w:sz w:val="20"/>
          <w:szCs w:val="20"/>
          <w:b w:val="1"/>
          <w:bCs w:val="1"/>
          <w:color w:val="auto"/>
        </w:rPr>
        <w:t>Other Nonoperating (Income) and Expenses, Net</w:t>
      </w:r>
    </w:p>
    <w:p>
      <w:pPr>
        <w:spacing w:after="0" w:line="113" w:lineRule="exact"/>
        <w:rPr>
          <w:rFonts w:ascii="Arial" w:cs="Arial" w:eastAsia="Arial" w:hAnsi="Arial"/>
          <w:sz w:val="20"/>
          <w:szCs w:val="20"/>
          <w:b w:val="1"/>
          <w:bCs w:val="1"/>
          <w:color w:val="auto"/>
        </w:rPr>
      </w:pPr>
    </w:p>
    <w:p>
      <w:pPr>
        <w:jc w:val="both"/>
        <w:ind w:left="380"/>
        <w:spacing w:after="0" w:line="291" w:lineRule="auto"/>
        <w:rPr>
          <w:rFonts w:ascii="Arial" w:cs="Arial" w:eastAsia="Arial" w:hAnsi="Arial"/>
          <w:sz w:val="20"/>
          <w:szCs w:val="20"/>
          <w:b w:val="1"/>
          <w:bCs w:val="1"/>
          <w:color w:val="auto"/>
        </w:rPr>
      </w:pPr>
      <w:r>
        <w:rPr>
          <w:rFonts w:ascii="Arial" w:cs="Arial" w:eastAsia="Arial" w:hAnsi="Arial"/>
          <w:sz w:val="18"/>
          <w:szCs w:val="18"/>
          <w:color w:val="auto"/>
        </w:rPr>
        <w:t>For the six months ended June 30, 2020, nonoperating (income) and expenses, net, included $5.6 million of third-party railroad track maintenance expense. The expense for the six months ended June 30, 2019 included a $15.7 million ($12.0 million net of tax) out-of-period correction of a Company-identified overstatement of the investment balance for a nonconsolidated equity affiliate.</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22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June 30, 2020</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200" w:lineRule="exact"/>
        <w:rPr>
          <w:sz w:val="20"/>
          <w:szCs w:val="20"/>
          <w:color w:val="auto"/>
        </w:rPr>
      </w:pPr>
    </w:p>
    <w:p>
      <w:pPr>
        <w:spacing w:after="0" w:line="345" w:lineRule="exact"/>
        <w:rPr>
          <w:sz w:val="20"/>
          <w:szCs w:val="20"/>
          <w:color w:val="auto"/>
        </w:rPr>
      </w:pPr>
    </w:p>
    <w:p>
      <w:pPr>
        <w:ind w:left="580" w:hanging="572"/>
        <w:spacing w:after="0"/>
        <w:tabs>
          <w:tab w:leader="none" w:pos="580" w:val="left"/>
        </w:tabs>
        <w:numPr>
          <w:ilvl w:val="0"/>
          <w:numId w:val="10"/>
        </w:numPr>
        <w:rPr>
          <w:rFonts w:ascii="Arial" w:cs="Arial" w:eastAsia="Arial" w:hAnsi="Arial"/>
          <w:sz w:val="20"/>
          <w:szCs w:val="20"/>
          <w:b w:val="1"/>
          <w:bCs w:val="1"/>
          <w:color w:val="auto"/>
        </w:rPr>
      </w:pPr>
      <w:r>
        <w:rPr>
          <w:rFonts w:ascii="Arial" w:cs="Arial" w:eastAsia="Arial" w:hAnsi="Arial"/>
          <w:sz w:val="20"/>
          <w:szCs w:val="20"/>
          <w:b w:val="1"/>
          <w:bCs w:val="1"/>
          <w:color w:val="auto"/>
        </w:rPr>
        <w:t>Subsequent Events</w:t>
      </w:r>
    </w:p>
    <w:p>
      <w:pPr>
        <w:spacing w:after="0" w:line="114" w:lineRule="exact"/>
        <w:rPr>
          <w:sz w:val="20"/>
          <w:szCs w:val="20"/>
          <w:color w:val="auto"/>
        </w:rPr>
      </w:pPr>
    </w:p>
    <w:p>
      <w:pPr>
        <w:jc w:val="both"/>
        <w:ind w:left="380"/>
        <w:spacing w:after="0" w:line="257" w:lineRule="auto"/>
        <w:rPr>
          <w:sz w:val="20"/>
          <w:szCs w:val="20"/>
          <w:color w:val="auto"/>
        </w:rPr>
      </w:pPr>
      <w:r>
        <w:rPr>
          <w:rFonts w:ascii="Arial" w:cs="Arial" w:eastAsia="Arial" w:hAnsi="Arial"/>
          <w:sz w:val="19"/>
          <w:szCs w:val="19"/>
          <w:color w:val="auto"/>
        </w:rPr>
        <w:t>Effective July 1, 2020, the Company made organizational changes, including consolidating its operational management and operating divisions, in connection with the retirement of two senior executives as of the end of the second quarter. Notably, the Mid-Atlantic Division and Southeast Division have been combined into the newly formed East Division. Additionally, the Southwest Aggregates Division and the Cement and Southwest Ready Mix Division have been combined into the newly formed Southwest Division. Subsequent to these changes, the Building Materials business consists of four divisions, which also includes the Central and West Divisions. The impact of the organizational changes on the Company’s operating segments, reportable segments and reporting units will be reflected in the Company’s financial statements as of and for the three and nine months ended September 30, 2020. Prior year segment information will be reclassified to conform to the reporting structure change.</w:t>
      </w:r>
    </w:p>
    <w:p>
      <w:pPr>
        <w:spacing w:after="0" w:line="72" w:lineRule="exact"/>
        <w:rPr>
          <w:sz w:val="20"/>
          <w:szCs w:val="20"/>
          <w:color w:val="auto"/>
        </w:rPr>
      </w:pPr>
    </w:p>
    <w:p>
      <w:pPr>
        <w:ind w:left="380"/>
        <w:spacing w:after="0"/>
        <w:rPr>
          <w:sz w:val="20"/>
          <w:szCs w:val="20"/>
          <w:color w:val="auto"/>
        </w:rPr>
      </w:pPr>
      <w:r>
        <w:rPr>
          <w:rFonts w:ascii="Arial" w:cs="Arial" w:eastAsia="Arial" w:hAnsi="Arial"/>
          <w:sz w:val="20"/>
          <w:szCs w:val="20"/>
          <w:color w:val="auto"/>
        </w:rPr>
        <w:t>In July 2020, the Company entered into an agreement to sell investment land for gross proceeds of $97 million.</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23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June 30, 2020</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Second Quarter Ended June 30, 2020</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Item 2. Management’s Discussion and Analysis of Financial Condition and Results of Operations.</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OVERVIEW</w:t>
      </w:r>
    </w:p>
    <w:p>
      <w:pPr>
        <w:spacing w:after="0" w:line="108"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Martin Marietta Materials, Inc. (the Company or Martin Marietta) is a natural resource-based building materials company. The Company supplies aggregates (crushed stone, sand and gravel) through its network of approximately 300 quarries, mines and distribution yards in 27 states, Canada and The Bahamas. In the southwestern and western United States, Martin Marietta also provides cement and downstream products and services, namely, ready mixed concrete, asphalt and paving, in vertically-integrated structured markets where the Company has a leading aggregates position. The Company’s heavy-side building materials are used in infrastructure, nonresidential and residential construction projects. Aggregates are also used in agricultural, utility and environmental applications and as railroad ballast. The aggregates, cement, ready mixed concrete and asphalt and paving product lines are reported collectively as the “Building Materials” business.</w:t>
      </w:r>
    </w:p>
    <w:p>
      <w:pPr>
        <w:spacing w:after="0" w:line="60"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Effective January 1, 2020, the Company moved the management of its one quarry in the state of Washington from the Mid-America Group to the West Group, resulting in an immaterial change to its reportable segments. During the period covered by this report, the Company conducted its Building Materials business through three reportable business segments: Mid-America Group, Southeast Group and West Group.</w:t>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BUILDING MATERIALS BUSINESS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140" w:type="dxa"/>
            <w:vAlign w:val="bottom"/>
            <w:tcBorders>
              <w:top w:val="single" w:sz="8" w:color="auto"/>
            </w:tcBorders>
            <w:gridSpan w:val="2"/>
          </w:tcPr>
          <w:p>
            <w:pPr>
              <w:jc w:val="center"/>
              <w:ind w:right="100"/>
              <w:spacing w:after="0"/>
              <w:rPr>
                <w:sz w:val="20"/>
                <w:szCs w:val="20"/>
                <w:color w:val="auto"/>
              </w:rPr>
            </w:pPr>
            <w:r>
              <w:rPr>
                <w:rFonts w:ascii="Arial" w:cs="Arial" w:eastAsia="Arial" w:hAnsi="Arial"/>
                <w:sz w:val="20"/>
                <w:szCs w:val="20"/>
                <w:color w:val="auto"/>
                <w:w w:val="86"/>
              </w:rPr>
              <w:t>Reportable Segments</w:t>
            </w:r>
          </w:p>
        </w:tc>
        <w:tc>
          <w:tcPr>
            <w:tcW w:w="3020" w:type="dxa"/>
            <w:vAlign w:val="bottom"/>
            <w:tcBorders>
              <w:top w:val="single" w:sz="8" w:color="auto"/>
            </w:tcBorders>
            <w:gridSpan w:val="2"/>
          </w:tcPr>
          <w:p>
            <w:pPr>
              <w:jc w:val="center"/>
              <w:ind w:right="140"/>
              <w:spacing w:after="0"/>
              <w:rPr>
                <w:sz w:val="20"/>
                <w:szCs w:val="20"/>
                <w:color w:val="auto"/>
              </w:rPr>
            </w:pPr>
            <w:r>
              <w:rPr>
                <w:rFonts w:ascii="Arial" w:cs="Arial" w:eastAsia="Arial" w:hAnsi="Arial"/>
                <w:sz w:val="20"/>
                <w:szCs w:val="20"/>
                <w:color w:val="auto"/>
                <w:w w:val="94"/>
              </w:rPr>
              <w:t>Mid-America Group</w:t>
            </w:r>
          </w:p>
        </w:tc>
        <w:tc>
          <w:tcPr>
            <w:tcW w:w="2700" w:type="dxa"/>
            <w:vAlign w:val="bottom"/>
            <w:tcBorders>
              <w:top w:val="single" w:sz="8" w:color="auto"/>
            </w:tcBorders>
            <w:gridSpan w:val="2"/>
          </w:tcPr>
          <w:p>
            <w:pPr>
              <w:jc w:val="center"/>
              <w:ind w:right="140"/>
              <w:spacing w:after="0"/>
              <w:rPr>
                <w:sz w:val="20"/>
                <w:szCs w:val="20"/>
                <w:color w:val="auto"/>
              </w:rPr>
            </w:pPr>
            <w:r>
              <w:rPr>
                <w:rFonts w:ascii="Arial" w:cs="Arial" w:eastAsia="Arial" w:hAnsi="Arial"/>
                <w:sz w:val="20"/>
                <w:szCs w:val="20"/>
                <w:color w:val="auto"/>
                <w:w w:val="87"/>
              </w:rPr>
              <w:t>Southeast Group</w:t>
            </w:r>
          </w:p>
        </w:tc>
        <w:tc>
          <w:tcPr>
            <w:tcW w:w="3380" w:type="dxa"/>
            <w:vAlign w:val="bottom"/>
            <w:tcBorders>
              <w:top w:val="single" w:sz="8" w:color="auto"/>
            </w:tcBorders>
          </w:tcPr>
          <w:p>
            <w:pPr>
              <w:jc w:val="center"/>
              <w:spacing w:after="0"/>
              <w:rPr>
                <w:sz w:val="20"/>
                <w:szCs w:val="20"/>
                <w:color w:val="auto"/>
              </w:rPr>
            </w:pPr>
            <w:r>
              <w:rPr>
                <w:rFonts w:ascii="Arial" w:cs="Arial" w:eastAsia="Arial" w:hAnsi="Arial"/>
                <w:sz w:val="20"/>
                <w:szCs w:val="20"/>
                <w:color w:val="auto"/>
                <w:w w:val="88"/>
              </w:rPr>
              <w:t>West Group</w:t>
            </w:r>
          </w:p>
        </w:tc>
      </w:tr>
      <w:tr>
        <w:trPr>
          <w:trHeight w:val="206"/>
        </w:trPr>
        <w:tc>
          <w:tcPr>
            <w:tcW w:w="2020" w:type="dxa"/>
            <w:vAlign w:val="bottom"/>
            <w:tcBorders>
              <w:top w:val="single" w:sz="8" w:color="auto"/>
            </w:tcBorders>
          </w:tcPr>
          <w:p>
            <w:pPr>
              <w:jc w:val="center"/>
              <w:spacing w:after="0" w:line="207" w:lineRule="exact"/>
              <w:rPr>
                <w:sz w:val="20"/>
                <w:szCs w:val="20"/>
                <w:color w:val="auto"/>
              </w:rPr>
            </w:pPr>
            <w:r>
              <w:rPr>
                <w:rFonts w:ascii="Arial" w:cs="Arial" w:eastAsia="Arial" w:hAnsi="Arial"/>
                <w:sz w:val="20"/>
                <w:szCs w:val="20"/>
                <w:color w:val="auto"/>
                <w:w w:val="90"/>
              </w:rPr>
              <w:t>Operating Locations</w:t>
            </w:r>
          </w:p>
        </w:tc>
        <w:tc>
          <w:tcPr>
            <w:tcW w:w="120" w:type="dxa"/>
            <w:vAlign w:val="bottom"/>
          </w:tcPr>
          <w:p>
            <w:pPr>
              <w:spacing w:after="0"/>
              <w:rPr>
                <w:sz w:val="17"/>
                <w:szCs w:val="17"/>
                <w:color w:val="auto"/>
              </w:rPr>
            </w:pPr>
          </w:p>
        </w:tc>
        <w:tc>
          <w:tcPr>
            <w:tcW w:w="2880" w:type="dxa"/>
            <w:vAlign w:val="bottom"/>
            <w:tcBorders>
              <w:top w:val="single" w:sz="8" w:color="auto"/>
            </w:tcBorders>
          </w:tcPr>
          <w:p>
            <w:pPr>
              <w:jc w:val="center"/>
              <w:spacing w:after="0" w:line="207" w:lineRule="exact"/>
              <w:rPr>
                <w:sz w:val="20"/>
                <w:szCs w:val="20"/>
                <w:color w:val="auto"/>
              </w:rPr>
            </w:pPr>
            <w:r>
              <w:rPr>
                <w:rFonts w:ascii="Arial" w:cs="Arial" w:eastAsia="Arial" w:hAnsi="Arial"/>
                <w:sz w:val="20"/>
                <w:szCs w:val="20"/>
                <w:color w:val="auto"/>
                <w:w w:val="89"/>
              </w:rPr>
              <w:t>Indiana, Iowa, northern Kansas,</w:t>
            </w:r>
          </w:p>
        </w:tc>
        <w:tc>
          <w:tcPr>
            <w:tcW w:w="140" w:type="dxa"/>
            <w:vAlign w:val="bottom"/>
          </w:tcPr>
          <w:p>
            <w:pPr>
              <w:spacing w:after="0"/>
              <w:rPr>
                <w:sz w:val="17"/>
                <w:szCs w:val="17"/>
                <w:color w:val="auto"/>
              </w:rPr>
            </w:pPr>
          </w:p>
        </w:tc>
        <w:tc>
          <w:tcPr>
            <w:tcW w:w="2580" w:type="dxa"/>
            <w:vAlign w:val="bottom"/>
            <w:tcBorders>
              <w:top w:val="single" w:sz="8" w:color="auto"/>
            </w:tcBorders>
          </w:tcPr>
          <w:p>
            <w:pPr>
              <w:jc w:val="center"/>
              <w:spacing w:after="0" w:line="207" w:lineRule="exact"/>
              <w:rPr>
                <w:sz w:val="20"/>
                <w:szCs w:val="20"/>
                <w:color w:val="auto"/>
              </w:rPr>
            </w:pPr>
            <w:r>
              <w:rPr>
                <w:rFonts w:ascii="Arial" w:cs="Arial" w:eastAsia="Arial" w:hAnsi="Arial"/>
                <w:sz w:val="20"/>
                <w:szCs w:val="20"/>
                <w:color w:val="auto"/>
                <w:w w:val="90"/>
              </w:rPr>
              <w:t>Alabama, Florida,</w:t>
            </w:r>
          </w:p>
        </w:tc>
        <w:tc>
          <w:tcPr>
            <w:tcW w:w="120" w:type="dxa"/>
            <w:vAlign w:val="bottom"/>
          </w:tcPr>
          <w:p>
            <w:pPr>
              <w:spacing w:after="0"/>
              <w:rPr>
                <w:sz w:val="17"/>
                <w:szCs w:val="17"/>
                <w:color w:val="auto"/>
              </w:rPr>
            </w:pPr>
          </w:p>
        </w:tc>
        <w:tc>
          <w:tcPr>
            <w:tcW w:w="3380" w:type="dxa"/>
            <w:vAlign w:val="bottom"/>
            <w:tcBorders>
              <w:top w:val="single" w:sz="8" w:color="auto"/>
            </w:tcBorders>
          </w:tcPr>
          <w:p>
            <w:pPr>
              <w:jc w:val="center"/>
              <w:spacing w:after="0" w:line="207" w:lineRule="exact"/>
              <w:rPr>
                <w:sz w:val="20"/>
                <w:szCs w:val="20"/>
                <w:color w:val="auto"/>
              </w:rPr>
            </w:pPr>
            <w:r>
              <w:rPr>
                <w:rFonts w:ascii="Arial" w:cs="Arial" w:eastAsia="Arial" w:hAnsi="Arial"/>
                <w:sz w:val="20"/>
                <w:szCs w:val="20"/>
                <w:color w:val="auto"/>
                <w:w w:val="88"/>
              </w:rPr>
              <w:t>Arkansas, Colorado, southern Kansas,</w:t>
            </w:r>
          </w:p>
        </w:tc>
      </w:tr>
      <w:tr>
        <w:trPr>
          <w:trHeight w:val="229"/>
        </w:trPr>
        <w:tc>
          <w:tcPr>
            <w:tcW w:w="2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20" w:type="dxa"/>
            <w:vAlign w:val="bottom"/>
            <w:gridSpan w:val="2"/>
          </w:tcPr>
          <w:p>
            <w:pPr>
              <w:jc w:val="center"/>
              <w:ind w:right="140"/>
              <w:spacing w:after="0"/>
              <w:rPr>
                <w:sz w:val="20"/>
                <w:szCs w:val="20"/>
                <w:color w:val="auto"/>
              </w:rPr>
            </w:pPr>
            <w:r>
              <w:rPr>
                <w:rFonts w:ascii="Arial" w:cs="Arial" w:eastAsia="Arial" w:hAnsi="Arial"/>
                <w:sz w:val="20"/>
                <w:szCs w:val="20"/>
                <w:color w:val="auto"/>
                <w:w w:val="91"/>
              </w:rPr>
              <w:t>Kentucky, Maryland, Minnesota,</w:t>
            </w:r>
          </w:p>
        </w:tc>
        <w:tc>
          <w:tcPr>
            <w:tcW w:w="2700" w:type="dxa"/>
            <w:vAlign w:val="bottom"/>
            <w:gridSpan w:val="2"/>
          </w:tcPr>
          <w:p>
            <w:pPr>
              <w:jc w:val="center"/>
              <w:ind w:right="120"/>
              <w:spacing w:after="0"/>
              <w:rPr>
                <w:sz w:val="20"/>
                <w:szCs w:val="20"/>
                <w:color w:val="auto"/>
              </w:rPr>
            </w:pPr>
            <w:r>
              <w:rPr>
                <w:rFonts w:ascii="Arial" w:cs="Arial" w:eastAsia="Arial" w:hAnsi="Arial"/>
                <w:sz w:val="20"/>
                <w:szCs w:val="20"/>
                <w:color w:val="auto"/>
                <w:w w:val="88"/>
              </w:rPr>
              <w:t>Georgia, southwestern South</w:t>
            </w:r>
          </w:p>
        </w:tc>
        <w:tc>
          <w:tcPr>
            <w:tcW w:w="3380" w:type="dxa"/>
            <w:vAlign w:val="bottom"/>
          </w:tcPr>
          <w:p>
            <w:pPr>
              <w:jc w:val="center"/>
              <w:spacing w:after="0"/>
              <w:rPr>
                <w:sz w:val="20"/>
                <w:szCs w:val="20"/>
                <w:color w:val="auto"/>
              </w:rPr>
            </w:pPr>
            <w:r>
              <w:rPr>
                <w:rFonts w:ascii="Arial" w:cs="Arial" w:eastAsia="Arial" w:hAnsi="Arial"/>
                <w:sz w:val="20"/>
                <w:szCs w:val="20"/>
                <w:color w:val="auto"/>
                <w:w w:val="88"/>
              </w:rPr>
              <w:t>Louisiana, western Nebraska, Nevada,</w:t>
            </w:r>
          </w:p>
        </w:tc>
      </w:tr>
      <w:tr>
        <w:trPr>
          <w:trHeight w:val="229"/>
        </w:trPr>
        <w:tc>
          <w:tcPr>
            <w:tcW w:w="2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20" w:type="dxa"/>
            <w:vAlign w:val="bottom"/>
            <w:gridSpan w:val="2"/>
          </w:tcPr>
          <w:p>
            <w:pPr>
              <w:jc w:val="center"/>
              <w:ind w:right="140"/>
              <w:spacing w:after="0"/>
              <w:rPr>
                <w:sz w:val="20"/>
                <w:szCs w:val="20"/>
                <w:color w:val="auto"/>
              </w:rPr>
            </w:pPr>
            <w:r>
              <w:rPr>
                <w:rFonts w:ascii="Arial" w:cs="Arial" w:eastAsia="Arial" w:hAnsi="Arial"/>
                <w:sz w:val="20"/>
                <w:szCs w:val="20"/>
                <w:color w:val="auto"/>
                <w:w w:val="89"/>
              </w:rPr>
              <w:t>Missouri, eastern Nebraska, North</w:t>
            </w:r>
          </w:p>
        </w:tc>
        <w:tc>
          <w:tcPr>
            <w:tcW w:w="2700" w:type="dxa"/>
            <w:vAlign w:val="bottom"/>
            <w:gridSpan w:val="2"/>
          </w:tcPr>
          <w:p>
            <w:pPr>
              <w:jc w:val="center"/>
              <w:ind w:right="140"/>
              <w:spacing w:after="0"/>
              <w:rPr>
                <w:sz w:val="20"/>
                <w:szCs w:val="20"/>
                <w:color w:val="auto"/>
              </w:rPr>
            </w:pPr>
            <w:r>
              <w:rPr>
                <w:rFonts w:ascii="Arial" w:cs="Arial" w:eastAsia="Arial" w:hAnsi="Arial"/>
                <w:sz w:val="20"/>
                <w:szCs w:val="20"/>
                <w:color w:val="auto"/>
                <w:w w:val="86"/>
              </w:rPr>
              <w:t>Carolina, Tennessee,</w:t>
            </w:r>
          </w:p>
        </w:tc>
        <w:tc>
          <w:tcPr>
            <w:tcW w:w="3380" w:type="dxa"/>
            <w:vAlign w:val="bottom"/>
          </w:tcPr>
          <w:p>
            <w:pPr>
              <w:jc w:val="center"/>
              <w:spacing w:after="0"/>
              <w:rPr>
                <w:sz w:val="20"/>
                <w:szCs w:val="20"/>
                <w:color w:val="auto"/>
              </w:rPr>
            </w:pPr>
            <w:r>
              <w:rPr>
                <w:rFonts w:ascii="Arial" w:cs="Arial" w:eastAsia="Arial" w:hAnsi="Arial"/>
                <w:sz w:val="20"/>
                <w:szCs w:val="20"/>
                <w:color w:val="auto"/>
                <w:w w:val="89"/>
              </w:rPr>
              <w:t>Oklahoma, Texas, Utah, Wyoming and</w:t>
            </w:r>
          </w:p>
        </w:tc>
      </w:tr>
      <w:tr>
        <w:trPr>
          <w:trHeight w:val="230"/>
        </w:trPr>
        <w:tc>
          <w:tcPr>
            <w:tcW w:w="2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20" w:type="dxa"/>
            <w:vAlign w:val="bottom"/>
            <w:gridSpan w:val="2"/>
          </w:tcPr>
          <w:p>
            <w:pPr>
              <w:jc w:val="center"/>
              <w:ind w:right="120"/>
              <w:spacing w:after="0"/>
              <w:rPr>
                <w:sz w:val="20"/>
                <w:szCs w:val="20"/>
                <w:color w:val="auto"/>
              </w:rPr>
            </w:pPr>
            <w:r>
              <w:rPr>
                <w:rFonts w:ascii="Arial" w:cs="Arial" w:eastAsia="Arial" w:hAnsi="Arial"/>
                <w:sz w:val="20"/>
                <w:szCs w:val="20"/>
                <w:color w:val="auto"/>
                <w:w w:val="90"/>
              </w:rPr>
              <w:t>Carolina, Ohio, Pennsylvania,</w:t>
            </w:r>
          </w:p>
        </w:tc>
        <w:tc>
          <w:tcPr>
            <w:tcW w:w="2700" w:type="dxa"/>
            <w:vAlign w:val="bottom"/>
            <w:gridSpan w:val="2"/>
          </w:tcPr>
          <w:p>
            <w:pPr>
              <w:jc w:val="center"/>
              <w:ind w:right="140"/>
              <w:spacing w:after="0"/>
              <w:rPr>
                <w:sz w:val="20"/>
                <w:szCs w:val="20"/>
                <w:color w:val="auto"/>
              </w:rPr>
            </w:pPr>
            <w:r>
              <w:rPr>
                <w:rFonts w:ascii="Arial" w:cs="Arial" w:eastAsia="Arial" w:hAnsi="Arial"/>
                <w:sz w:val="20"/>
                <w:szCs w:val="20"/>
                <w:color w:val="auto"/>
                <w:w w:val="88"/>
              </w:rPr>
              <w:t>Nova Scotia and The Bahamas</w:t>
            </w:r>
          </w:p>
        </w:tc>
        <w:tc>
          <w:tcPr>
            <w:tcW w:w="3380" w:type="dxa"/>
            <w:vAlign w:val="bottom"/>
          </w:tcPr>
          <w:p>
            <w:pPr>
              <w:jc w:val="center"/>
              <w:spacing w:after="0"/>
              <w:rPr>
                <w:sz w:val="20"/>
                <w:szCs w:val="20"/>
                <w:color w:val="auto"/>
              </w:rPr>
            </w:pPr>
            <w:r>
              <w:rPr>
                <w:rFonts w:ascii="Arial" w:cs="Arial" w:eastAsia="Arial" w:hAnsi="Arial"/>
                <w:sz w:val="20"/>
                <w:szCs w:val="20"/>
                <w:color w:val="auto"/>
                <w:w w:val="88"/>
              </w:rPr>
              <w:t>Washington</w:t>
            </w:r>
          </w:p>
        </w:tc>
      </w:tr>
      <w:tr>
        <w:trPr>
          <w:trHeight w:val="230"/>
        </w:trPr>
        <w:tc>
          <w:tcPr>
            <w:tcW w:w="2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20" w:type="dxa"/>
            <w:vAlign w:val="bottom"/>
            <w:gridSpan w:val="2"/>
          </w:tcPr>
          <w:p>
            <w:pPr>
              <w:ind w:left="460"/>
              <w:spacing w:after="0"/>
              <w:rPr>
                <w:sz w:val="20"/>
                <w:szCs w:val="20"/>
                <w:color w:val="auto"/>
              </w:rPr>
            </w:pPr>
            <w:r>
              <w:rPr>
                <w:rFonts w:ascii="Arial" w:cs="Arial" w:eastAsia="Arial" w:hAnsi="Arial"/>
                <w:sz w:val="20"/>
                <w:szCs w:val="20"/>
                <w:color w:val="auto"/>
              </w:rPr>
              <w:t>South Carolina, Virginia</w:t>
            </w:r>
          </w:p>
        </w:tc>
        <w:tc>
          <w:tcPr>
            <w:tcW w:w="2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380" w:type="dxa"/>
            <w:vAlign w:val="bottom"/>
          </w:tcPr>
          <w:p>
            <w:pPr>
              <w:spacing w:after="0"/>
              <w:rPr>
                <w:sz w:val="19"/>
                <w:szCs w:val="19"/>
                <w:color w:val="auto"/>
              </w:rPr>
            </w:pPr>
          </w:p>
        </w:tc>
      </w:tr>
      <w:tr>
        <w:trPr>
          <w:trHeight w:val="250"/>
        </w:trPr>
        <w:tc>
          <w:tcPr>
            <w:tcW w:w="2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20" w:type="dxa"/>
            <w:vAlign w:val="bottom"/>
            <w:gridSpan w:val="2"/>
          </w:tcPr>
          <w:p>
            <w:pPr>
              <w:jc w:val="center"/>
              <w:ind w:right="120"/>
              <w:spacing w:after="0"/>
              <w:rPr>
                <w:sz w:val="20"/>
                <w:szCs w:val="20"/>
                <w:color w:val="auto"/>
              </w:rPr>
            </w:pPr>
            <w:r>
              <w:rPr>
                <w:rFonts w:ascii="Arial" w:cs="Arial" w:eastAsia="Arial" w:hAnsi="Arial"/>
                <w:sz w:val="20"/>
                <w:szCs w:val="20"/>
                <w:color w:val="auto"/>
                <w:w w:val="90"/>
              </w:rPr>
              <w:t>and West Virginia</w:t>
            </w:r>
          </w:p>
        </w:tc>
        <w:tc>
          <w:tcPr>
            <w:tcW w:w="2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380" w:type="dxa"/>
            <w:vAlign w:val="bottom"/>
          </w:tcPr>
          <w:p>
            <w:pPr>
              <w:spacing w:after="0"/>
              <w:rPr>
                <w:sz w:val="21"/>
                <w:szCs w:val="21"/>
                <w:color w:val="auto"/>
              </w:rPr>
            </w:pPr>
          </w:p>
        </w:tc>
      </w:tr>
      <w:tr>
        <w:trPr>
          <w:trHeight w:val="357"/>
        </w:trPr>
        <w:tc>
          <w:tcPr>
            <w:tcW w:w="2140" w:type="dxa"/>
            <w:vAlign w:val="bottom"/>
            <w:gridSpan w:val="2"/>
          </w:tcPr>
          <w:p>
            <w:pPr>
              <w:jc w:val="center"/>
              <w:ind w:right="120"/>
              <w:spacing w:after="0"/>
              <w:rPr>
                <w:sz w:val="20"/>
                <w:szCs w:val="20"/>
                <w:color w:val="auto"/>
              </w:rPr>
            </w:pPr>
            <w:r>
              <w:rPr>
                <w:rFonts w:ascii="Arial" w:cs="Arial" w:eastAsia="Arial" w:hAnsi="Arial"/>
                <w:sz w:val="20"/>
                <w:szCs w:val="20"/>
                <w:color w:val="auto"/>
                <w:w w:val="89"/>
              </w:rPr>
              <w:t>Product Lines</w:t>
            </w:r>
          </w:p>
        </w:tc>
        <w:tc>
          <w:tcPr>
            <w:tcW w:w="3020" w:type="dxa"/>
            <w:vAlign w:val="bottom"/>
            <w:gridSpan w:val="2"/>
          </w:tcPr>
          <w:p>
            <w:pPr>
              <w:jc w:val="center"/>
              <w:ind w:right="120"/>
              <w:spacing w:after="0"/>
              <w:rPr>
                <w:sz w:val="20"/>
                <w:szCs w:val="20"/>
                <w:color w:val="auto"/>
              </w:rPr>
            </w:pPr>
            <w:r>
              <w:rPr>
                <w:rFonts w:ascii="Arial" w:cs="Arial" w:eastAsia="Arial" w:hAnsi="Arial"/>
                <w:sz w:val="20"/>
                <w:szCs w:val="20"/>
                <w:color w:val="auto"/>
                <w:w w:val="87"/>
              </w:rPr>
              <w:t>Aggregates</w:t>
            </w:r>
          </w:p>
        </w:tc>
        <w:tc>
          <w:tcPr>
            <w:tcW w:w="2700" w:type="dxa"/>
            <w:vAlign w:val="bottom"/>
            <w:gridSpan w:val="2"/>
          </w:tcPr>
          <w:p>
            <w:pPr>
              <w:jc w:val="center"/>
              <w:ind w:right="120"/>
              <w:spacing w:after="0"/>
              <w:rPr>
                <w:sz w:val="20"/>
                <w:szCs w:val="20"/>
                <w:color w:val="auto"/>
              </w:rPr>
            </w:pPr>
            <w:r>
              <w:rPr>
                <w:rFonts w:ascii="Arial" w:cs="Arial" w:eastAsia="Arial" w:hAnsi="Arial"/>
                <w:sz w:val="20"/>
                <w:szCs w:val="20"/>
                <w:color w:val="auto"/>
                <w:w w:val="87"/>
              </w:rPr>
              <w:t>Aggregates</w:t>
            </w:r>
          </w:p>
        </w:tc>
        <w:tc>
          <w:tcPr>
            <w:tcW w:w="3380" w:type="dxa"/>
            <w:vAlign w:val="bottom"/>
          </w:tcPr>
          <w:p>
            <w:pPr>
              <w:jc w:val="center"/>
              <w:spacing w:after="0"/>
              <w:rPr>
                <w:sz w:val="20"/>
                <w:szCs w:val="20"/>
                <w:color w:val="auto"/>
              </w:rPr>
            </w:pPr>
            <w:r>
              <w:rPr>
                <w:rFonts w:ascii="Arial" w:cs="Arial" w:eastAsia="Arial" w:hAnsi="Arial"/>
                <w:sz w:val="20"/>
                <w:szCs w:val="20"/>
                <w:color w:val="auto"/>
                <w:w w:val="87"/>
              </w:rPr>
              <w:t>Aggregates, Cement, Ready</w:t>
            </w:r>
          </w:p>
        </w:tc>
      </w:tr>
      <w:tr>
        <w:trPr>
          <w:trHeight w:val="230"/>
        </w:trPr>
        <w:tc>
          <w:tcPr>
            <w:tcW w:w="2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380" w:type="dxa"/>
            <w:vAlign w:val="bottom"/>
          </w:tcPr>
          <w:p>
            <w:pPr>
              <w:jc w:val="center"/>
              <w:spacing w:after="0"/>
              <w:rPr>
                <w:sz w:val="20"/>
                <w:szCs w:val="20"/>
                <w:color w:val="auto"/>
              </w:rPr>
            </w:pPr>
            <w:r>
              <w:rPr>
                <w:rFonts w:ascii="Arial" w:cs="Arial" w:eastAsia="Arial" w:hAnsi="Arial"/>
                <w:sz w:val="20"/>
                <w:szCs w:val="20"/>
                <w:color w:val="auto"/>
                <w:w w:val="91"/>
              </w:rPr>
              <w:t>Mixed Concrete, Asphalt and</w:t>
            </w:r>
          </w:p>
        </w:tc>
      </w:tr>
      <w:tr>
        <w:trPr>
          <w:trHeight w:val="250"/>
        </w:trPr>
        <w:tc>
          <w:tcPr>
            <w:tcW w:w="2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380" w:type="dxa"/>
            <w:vAlign w:val="bottom"/>
          </w:tcPr>
          <w:p>
            <w:pPr>
              <w:jc w:val="center"/>
              <w:spacing w:after="0"/>
              <w:rPr>
                <w:sz w:val="20"/>
                <w:szCs w:val="20"/>
                <w:color w:val="auto"/>
              </w:rPr>
            </w:pPr>
            <w:r>
              <w:rPr>
                <w:rFonts w:ascii="Arial" w:cs="Arial" w:eastAsia="Arial" w:hAnsi="Arial"/>
                <w:sz w:val="20"/>
                <w:szCs w:val="20"/>
                <w:color w:val="auto"/>
                <w:w w:val="88"/>
              </w:rPr>
              <w:t>Paving</w:t>
            </w:r>
          </w:p>
        </w:tc>
      </w:tr>
      <w:tr>
        <w:trPr>
          <w:trHeight w:val="357"/>
        </w:trPr>
        <w:tc>
          <w:tcPr>
            <w:tcW w:w="2140" w:type="dxa"/>
            <w:vAlign w:val="bottom"/>
            <w:gridSpan w:val="2"/>
          </w:tcPr>
          <w:p>
            <w:pPr>
              <w:jc w:val="center"/>
              <w:ind w:right="100"/>
              <w:spacing w:after="0"/>
              <w:rPr>
                <w:sz w:val="20"/>
                <w:szCs w:val="20"/>
                <w:color w:val="auto"/>
              </w:rPr>
            </w:pPr>
            <w:r>
              <w:rPr>
                <w:rFonts w:ascii="Arial" w:cs="Arial" w:eastAsia="Arial" w:hAnsi="Arial"/>
                <w:sz w:val="20"/>
                <w:szCs w:val="20"/>
                <w:color w:val="auto"/>
                <w:w w:val="87"/>
              </w:rPr>
              <w:t>Plant Types</w:t>
            </w:r>
          </w:p>
        </w:tc>
        <w:tc>
          <w:tcPr>
            <w:tcW w:w="3020" w:type="dxa"/>
            <w:vAlign w:val="bottom"/>
            <w:gridSpan w:val="2"/>
          </w:tcPr>
          <w:p>
            <w:pPr>
              <w:jc w:val="center"/>
              <w:ind w:right="120"/>
              <w:spacing w:after="0"/>
              <w:rPr>
                <w:sz w:val="20"/>
                <w:szCs w:val="20"/>
                <w:color w:val="auto"/>
              </w:rPr>
            </w:pPr>
            <w:r>
              <w:rPr>
                <w:rFonts w:ascii="Arial" w:cs="Arial" w:eastAsia="Arial" w:hAnsi="Arial"/>
                <w:sz w:val="20"/>
                <w:szCs w:val="20"/>
                <w:color w:val="auto"/>
                <w:w w:val="91"/>
              </w:rPr>
              <w:t>Quarries, Mines and Distribution</w:t>
            </w:r>
          </w:p>
        </w:tc>
        <w:tc>
          <w:tcPr>
            <w:tcW w:w="2700" w:type="dxa"/>
            <w:vAlign w:val="bottom"/>
            <w:gridSpan w:val="2"/>
          </w:tcPr>
          <w:p>
            <w:pPr>
              <w:jc w:val="center"/>
              <w:ind w:right="120"/>
              <w:spacing w:after="0"/>
              <w:rPr>
                <w:sz w:val="20"/>
                <w:szCs w:val="20"/>
                <w:color w:val="auto"/>
              </w:rPr>
            </w:pPr>
            <w:r>
              <w:rPr>
                <w:rFonts w:ascii="Arial" w:cs="Arial" w:eastAsia="Arial" w:hAnsi="Arial"/>
                <w:sz w:val="20"/>
                <w:szCs w:val="20"/>
                <w:color w:val="auto"/>
                <w:w w:val="89"/>
              </w:rPr>
              <w:t>Quarries, Mines and</w:t>
            </w:r>
          </w:p>
        </w:tc>
        <w:tc>
          <w:tcPr>
            <w:tcW w:w="3380" w:type="dxa"/>
            <w:vAlign w:val="bottom"/>
          </w:tcPr>
          <w:p>
            <w:pPr>
              <w:jc w:val="center"/>
              <w:spacing w:after="0"/>
              <w:rPr>
                <w:sz w:val="20"/>
                <w:szCs w:val="20"/>
                <w:color w:val="auto"/>
              </w:rPr>
            </w:pPr>
            <w:r>
              <w:rPr>
                <w:rFonts w:ascii="Arial" w:cs="Arial" w:eastAsia="Arial" w:hAnsi="Arial"/>
                <w:sz w:val="20"/>
                <w:szCs w:val="20"/>
                <w:color w:val="auto"/>
                <w:w w:val="89"/>
              </w:rPr>
              <w:t>Quarries, Mines, Plants and</w:t>
            </w:r>
          </w:p>
        </w:tc>
      </w:tr>
      <w:tr>
        <w:trPr>
          <w:trHeight w:val="250"/>
        </w:trPr>
        <w:tc>
          <w:tcPr>
            <w:tcW w:w="2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20" w:type="dxa"/>
            <w:vAlign w:val="bottom"/>
            <w:gridSpan w:val="2"/>
          </w:tcPr>
          <w:p>
            <w:pPr>
              <w:jc w:val="center"/>
              <w:ind w:right="140"/>
              <w:spacing w:after="0"/>
              <w:rPr>
                <w:sz w:val="20"/>
                <w:szCs w:val="20"/>
                <w:color w:val="auto"/>
              </w:rPr>
            </w:pPr>
            <w:r>
              <w:rPr>
                <w:rFonts w:ascii="Arial" w:cs="Arial" w:eastAsia="Arial" w:hAnsi="Arial"/>
                <w:sz w:val="20"/>
                <w:szCs w:val="20"/>
                <w:color w:val="auto"/>
                <w:w w:val="92"/>
              </w:rPr>
              <w:t>Facilities</w:t>
            </w:r>
          </w:p>
        </w:tc>
        <w:tc>
          <w:tcPr>
            <w:tcW w:w="2700" w:type="dxa"/>
            <w:vAlign w:val="bottom"/>
            <w:gridSpan w:val="2"/>
          </w:tcPr>
          <w:p>
            <w:pPr>
              <w:jc w:val="center"/>
              <w:ind w:right="120"/>
              <w:spacing w:after="0"/>
              <w:rPr>
                <w:sz w:val="20"/>
                <w:szCs w:val="20"/>
                <w:color w:val="auto"/>
              </w:rPr>
            </w:pPr>
            <w:r>
              <w:rPr>
                <w:rFonts w:ascii="Arial" w:cs="Arial" w:eastAsia="Arial" w:hAnsi="Arial"/>
                <w:sz w:val="20"/>
                <w:szCs w:val="20"/>
                <w:color w:val="auto"/>
                <w:w w:val="94"/>
              </w:rPr>
              <w:t>Distribution Facilities</w:t>
            </w:r>
          </w:p>
        </w:tc>
        <w:tc>
          <w:tcPr>
            <w:tcW w:w="3380" w:type="dxa"/>
            <w:vAlign w:val="bottom"/>
          </w:tcPr>
          <w:p>
            <w:pPr>
              <w:jc w:val="center"/>
              <w:spacing w:after="0"/>
              <w:rPr>
                <w:sz w:val="20"/>
                <w:szCs w:val="20"/>
                <w:color w:val="auto"/>
              </w:rPr>
            </w:pPr>
            <w:r>
              <w:rPr>
                <w:rFonts w:ascii="Arial" w:cs="Arial" w:eastAsia="Arial" w:hAnsi="Arial"/>
                <w:sz w:val="20"/>
                <w:szCs w:val="20"/>
                <w:color w:val="auto"/>
                <w:w w:val="94"/>
              </w:rPr>
              <w:t>Distribution Facilities</w:t>
            </w:r>
          </w:p>
        </w:tc>
      </w:tr>
      <w:tr>
        <w:trPr>
          <w:trHeight w:val="371"/>
        </w:trPr>
        <w:tc>
          <w:tcPr>
            <w:tcW w:w="2140" w:type="dxa"/>
            <w:vAlign w:val="bottom"/>
            <w:gridSpan w:val="2"/>
          </w:tcPr>
          <w:p>
            <w:pPr>
              <w:jc w:val="center"/>
              <w:ind w:right="20"/>
              <w:spacing w:after="0"/>
              <w:rPr>
                <w:sz w:val="20"/>
                <w:szCs w:val="20"/>
                <w:color w:val="auto"/>
              </w:rPr>
            </w:pPr>
            <w:r>
              <w:rPr>
                <w:rFonts w:ascii="Arial" w:cs="Arial" w:eastAsia="Arial" w:hAnsi="Arial"/>
                <w:sz w:val="20"/>
                <w:szCs w:val="20"/>
                <w:color w:val="auto"/>
                <w:w w:val="92"/>
              </w:rPr>
              <w:t>Modes of</w:t>
            </w:r>
          </w:p>
        </w:tc>
        <w:tc>
          <w:tcPr>
            <w:tcW w:w="3020" w:type="dxa"/>
            <w:vAlign w:val="bottom"/>
            <w:gridSpan w:val="2"/>
          </w:tcPr>
          <w:p>
            <w:pPr>
              <w:jc w:val="center"/>
              <w:ind w:right="120"/>
              <w:spacing w:after="0"/>
              <w:rPr>
                <w:sz w:val="20"/>
                <w:szCs w:val="20"/>
                <w:color w:val="auto"/>
              </w:rPr>
            </w:pPr>
            <w:r>
              <w:rPr>
                <w:rFonts w:ascii="Arial" w:cs="Arial" w:eastAsia="Arial" w:hAnsi="Arial"/>
                <w:sz w:val="20"/>
                <w:szCs w:val="20"/>
                <w:color w:val="auto"/>
                <w:w w:val="90"/>
              </w:rPr>
              <w:t>Truck and Railcar</w:t>
            </w:r>
          </w:p>
        </w:tc>
        <w:tc>
          <w:tcPr>
            <w:tcW w:w="2700" w:type="dxa"/>
            <w:vAlign w:val="bottom"/>
            <w:gridSpan w:val="2"/>
          </w:tcPr>
          <w:p>
            <w:pPr>
              <w:jc w:val="center"/>
              <w:ind w:right="140"/>
              <w:spacing w:after="0"/>
              <w:rPr>
                <w:sz w:val="20"/>
                <w:szCs w:val="20"/>
                <w:color w:val="auto"/>
              </w:rPr>
            </w:pPr>
            <w:r>
              <w:rPr>
                <w:rFonts w:ascii="Arial" w:cs="Arial" w:eastAsia="Arial" w:hAnsi="Arial"/>
                <w:sz w:val="20"/>
                <w:szCs w:val="20"/>
                <w:color w:val="auto"/>
                <w:w w:val="90"/>
              </w:rPr>
              <w:t>Truck, Railcar and Ship</w:t>
            </w:r>
          </w:p>
        </w:tc>
        <w:tc>
          <w:tcPr>
            <w:tcW w:w="3380" w:type="dxa"/>
            <w:vAlign w:val="bottom"/>
          </w:tcPr>
          <w:p>
            <w:pPr>
              <w:jc w:val="center"/>
              <w:spacing w:after="0"/>
              <w:rPr>
                <w:sz w:val="20"/>
                <w:szCs w:val="20"/>
                <w:color w:val="auto"/>
              </w:rPr>
            </w:pPr>
            <w:r>
              <w:rPr>
                <w:rFonts w:ascii="Arial" w:cs="Arial" w:eastAsia="Arial" w:hAnsi="Arial"/>
                <w:sz w:val="20"/>
                <w:szCs w:val="20"/>
                <w:color w:val="auto"/>
                <w:w w:val="90"/>
              </w:rPr>
              <w:t>Truck and Railcar</w:t>
            </w:r>
          </w:p>
        </w:tc>
      </w:tr>
      <w:tr>
        <w:trPr>
          <w:trHeight w:val="250"/>
        </w:trPr>
        <w:tc>
          <w:tcPr>
            <w:tcW w:w="2140" w:type="dxa"/>
            <w:vAlign w:val="bottom"/>
            <w:gridSpan w:val="2"/>
          </w:tcPr>
          <w:p>
            <w:pPr>
              <w:jc w:val="center"/>
              <w:ind w:right="20"/>
              <w:spacing w:after="0"/>
              <w:rPr>
                <w:sz w:val="20"/>
                <w:szCs w:val="20"/>
                <w:color w:val="auto"/>
              </w:rPr>
            </w:pPr>
            <w:r>
              <w:rPr>
                <w:rFonts w:ascii="Arial" w:cs="Arial" w:eastAsia="Arial" w:hAnsi="Arial"/>
                <w:sz w:val="20"/>
                <w:szCs w:val="20"/>
                <w:color w:val="auto"/>
                <w:w w:val="89"/>
              </w:rPr>
              <w:t>Transportation</w:t>
            </w:r>
          </w:p>
        </w:tc>
        <w:tc>
          <w:tcPr>
            <w:tcW w:w="2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380" w:type="dxa"/>
            <w:vAlign w:val="bottom"/>
          </w:tcPr>
          <w:p>
            <w:pPr>
              <w:spacing w:after="0"/>
              <w:rPr>
                <w:sz w:val="21"/>
                <w:szCs w:val="21"/>
                <w:color w:val="auto"/>
              </w:rPr>
            </w:pPr>
          </w:p>
        </w:tc>
      </w:tr>
    </w:tbl>
    <w:p>
      <w:pPr>
        <w:spacing w:after="0" w:line="12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Company also has a Magnesia Specialties business that produces magnesia-based chemicals products used in industrial, agricultural and environmental applications and dolomitic lime sold primarily to customers in the steel and mining industries.</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CRITICAL ACCOUNTING POLICIES</w:t>
      </w:r>
    </w:p>
    <w:p>
      <w:pPr>
        <w:spacing w:after="0" w:line="10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Company outlined its critical accounting policies in its Annual Report on Form 10-K for the year ended December 31, 2019. There were no changes to the Company’s critical accounting policies during the six months ended June 30, 2020.</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24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June 30, 2020</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Second Quarter Ended June 30, 2020</w:t>
      </w:r>
    </w:p>
    <w:p>
      <w:pPr>
        <w:jc w:val="center"/>
        <w:spacing w:after="0"/>
        <w:rPr>
          <w:sz w:val="20"/>
          <w:szCs w:val="20"/>
          <w:color w:val="auto"/>
        </w:rPr>
      </w:pPr>
      <w:r>
        <w:rPr>
          <w:rFonts w:ascii="Arial" w:cs="Arial" w:eastAsia="Arial" w:hAnsi="Arial"/>
          <w:sz w:val="20"/>
          <w:szCs w:val="20"/>
          <w:color w:val="auto"/>
        </w:rPr>
        <w:t>(Continued)</w:t>
      </w:r>
    </w:p>
    <w:p>
      <w:pPr>
        <w:spacing w:after="0" w:line="348" w:lineRule="exact"/>
        <w:rPr>
          <w:sz w:val="20"/>
          <w:szCs w:val="20"/>
          <w:color w:val="auto"/>
        </w:rPr>
      </w:pPr>
    </w:p>
    <w:p>
      <w:pPr>
        <w:spacing w:after="0"/>
        <w:rPr>
          <w:sz w:val="20"/>
          <w:szCs w:val="20"/>
          <w:color w:val="auto"/>
        </w:rPr>
      </w:pPr>
      <w:r>
        <w:rPr>
          <w:rFonts w:ascii="Arial" w:cs="Arial" w:eastAsia="Arial" w:hAnsi="Arial"/>
          <w:sz w:val="20"/>
          <w:szCs w:val="20"/>
          <w:color w:val="auto"/>
        </w:rPr>
        <w:t>RESULTS OF OPERATIONS</w:t>
      </w:r>
    </w:p>
    <w:p>
      <w:pPr>
        <w:spacing w:after="0" w:line="108"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The Building Materials business is significantly affected by weather patterns and seasonal changes. Production and shipment levels for aggregates, cement, ready mixed concrete and asphalt and paving materials correlate with general construction activity levels, most of which occur in the spring, summer and fall. Thus, production and shipment levels vary by quarter. Operations concentrated in the northern and midwestern United States generally experience more severe winter weather conditions than operations in the southeast and southwest. Excessive rainfall, and conversely excessive drought, can also jeopardize production, shipments and profitability in all markets served by the Company. Due to the potentially significant impact on the Company’s operations of weather and the coronavirus (COVID-19) pandemic, including governmental responses to prevent further outbreak of COVID-19 and other matters, current period results are not indicative of expected performance for other interim periods or the full year.</w:t>
      </w:r>
    </w:p>
    <w:p>
      <w:pPr>
        <w:spacing w:after="0" w:line="72" w:lineRule="exact"/>
        <w:rPr>
          <w:sz w:val="20"/>
          <w:szCs w:val="20"/>
          <w:color w:val="auto"/>
        </w:rPr>
      </w:pPr>
    </w:p>
    <w:p>
      <w:pPr>
        <w:jc w:val="both"/>
        <w:spacing w:after="0" w:line="313" w:lineRule="auto"/>
        <w:rPr>
          <w:sz w:val="20"/>
          <w:szCs w:val="20"/>
          <w:color w:val="auto"/>
        </w:rPr>
      </w:pPr>
      <w:r>
        <w:rPr>
          <w:rFonts w:ascii="Arial" w:cs="Arial" w:eastAsia="Arial" w:hAnsi="Arial"/>
          <w:sz w:val="16"/>
          <w:szCs w:val="16"/>
          <w:color w:val="auto"/>
        </w:rPr>
        <w:t>Earnings before interest; income taxes; depreciation, depletion and amortization; and the earnings/loss from nonconsolidated equity affiliates (Adjusted EBITDA) is an indicator used by the Company and investors to evaluate the Company’s operating performance from period to period. Adjusted EBITDA is not defined by accounting principles generally accepted in the United States and, as such, should not be construed as an alternative to net earnings, operating earnings or operating cash flow. However, the Company’s management believes that Adjusted EBITDA may provide additional information with respect to the Company’s performance and is a measure used by management to evaluate the Company’s performance. Because Adjusted EBITDA excludes some, but not all, items that affect net earnings and may vary among companies, Adjusted EBITDA as presented by the Company may not be comparable with similarly titled measures of other companies.</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A reconciliation of net earnings attributable to Martin Marietta to consolidated Adjusted EBITDA is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760" w:type="dxa"/>
            <w:vAlign w:val="bottom"/>
            <w:gridSpan w:val="5"/>
          </w:tcPr>
          <w:p>
            <w:pPr>
              <w:ind w:left="280"/>
              <w:spacing w:after="0"/>
              <w:rPr>
                <w:sz w:val="20"/>
                <w:szCs w:val="20"/>
                <w:color w:val="auto"/>
              </w:rPr>
            </w:pPr>
            <w:r>
              <w:rPr>
                <w:rFonts w:ascii="Arial" w:cs="Arial" w:eastAsia="Arial" w:hAnsi="Arial"/>
                <w:sz w:val="20"/>
                <w:szCs w:val="20"/>
                <w:color w:val="auto"/>
              </w:rPr>
              <w:t>Three Months Ended</w:t>
            </w:r>
          </w:p>
        </w:tc>
        <w:tc>
          <w:tcPr>
            <w:tcW w:w="280" w:type="dxa"/>
            <w:vAlign w:val="bottom"/>
          </w:tcPr>
          <w:p>
            <w:pPr>
              <w:spacing w:after="0"/>
              <w:rPr>
                <w:sz w:val="21"/>
                <w:szCs w:val="21"/>
                <w:color w:val="auto"/>
              </w:rPr>
            </w:pPr>
          </w:p>
        </w:tc>
        <w:tc>
          <w:tcPr>
            <w:tcW w:w="2640" w:type="dxa"/>
            <w:vAlign w:val="bottom"/>
            <w:gridSpan w:val="6"/>
          </w:tcPr>
          <w:p>
            <w:pPr>
              <w:ind w:left="380"/>
              <w:spacing w:after="0"/>
              <w:rPr>
                <w:sz w:val="20"/>
                <w:szCs w:val="20"/>
                <w:color w:val="auto"/>
              </w:rPr>
            </w:pPr>
            <w:r>
              <w:rPr>
                <w:rFonts w:ascii="Arial" w:cs="Arial" w:eastAsia="Arial" w:hAnsi="Arial"/>
                <w:sz w:val="20"/>
                <w:szCs w:val="20"/>
                <w:color w:val="auto"/>
              </w:rPr>
              <w:t>Six Months Ended</w:t>
            </w:r>
          </w:p>
        </w:tc>
      </w:tr>
      <w:tr>
        <w:trPr>
          <w:trHeight w:val="246"/>
        </w:trPr>
        <w:tc>
          <w:tcPr>
            <w:tcW w:w="53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gridSpan w:val="3"/>
          </w:tcPr>
          <w:p>
            <w:pPr>
              <w:jc w:val="right"/>
              <w:ind w:right="1"/>
              <w:spacing w:after="0"/>
              <w:rPr>
                <w:sz w:val="20"/>
                <w:szCs w:val="20"/>
                <w:color w:val="auto"/>
              </w:rPr>
            </w:pPr>
            <w:r>
              <w:rPr>
                <w:rFonts w:ascii="Arial" w:cs="Arial" w:eastAsia="Arial" w:hAnsi="Arial"/>
                <w:sz w:val="20"/>
                <w:szCs w:val="20"/>
                <w:color w:val="auto"/>
              </w:rPr>
              <w:t>June 30,</w:t>
            </w:r>
          </w:p>
        </w:tc>
        <w:tc>
          <w:tcPr>
            <w:tcW w:w="96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gridSpan w:val="4"/>
          </w:tcPr>
          <w:p>
            <w:pPr>
              <w:jc w:val="right"/>
              <w:ind w:right="23"/>
              <w:spacing w:after="0"/>
              <w:rPr>
                <w:sz w:val="20"/>
                <w:szCs w:val="20"/>
                <w:color w:val="auto"/>
              </w:rPr>
            </w:pPr>
            <w:r>
              <w:rPr>
                <w:rFonts w:ascii="Arial" w:cs="Arial" w:eastAsia="Arial" w:hAnsi="Arial"/>
                <w:sz w:val="20"/>
                <w:szCs w:val="20"/>
                <w:color w:val="auto"/>
              </w:rPr>
              <w:t>June 30,</w:t>
            </w:r>
          </w:p>
        </w:tc>
        <w:tc>
          <w:tcPr>
            <w:tcW w:w="9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53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41"/>
              <w:spacing w:after="0"/>
              <w:rPr>
                <w:sz w:val="20"/>
                <w:szCs w:val="20"/>
                <w:color w:val="auto"/>
              </w:rPr>
            </w:pPr>
            <w:r>
              <w:rPr>
                <w:rFonts w:ascii="Arial" w:cs="Arial" w:eastAsia="Arial" w:hAnsi="Arial"/>
                <w:sz w:val="20"/>
                <w:szCs w:val="20"/>
                <w:color w:val="auto"/>
              </w:rPr>
              <w:t>2020</w:t>
            </w:r>
          </w:p>
        </w:tc>
        <w:tc>
          <w:tcPr>
            <w:tcW w:w="2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41"/>
              <w:spacing w:after="0"/>
              <w:rPr>
                <w:sz w:val="20"/>
                <w:szCs w:val="20"/>
                <w:color w:val="auto"/>
              </w:rPr>
            </w:pPr>
            <w:r>
              <w:rPr>
                <w:rFonts w:ascii="Arial" w:cs="Arial" w:eastAsia="Arial" w:hAnsi="Arial"/>
                <w:sz w:val="20"/>
                <w:szCs w:val="20"/>
                <w:color w:val="auto"/>
              </w:rPr>
              <w:t>2019</w:t>
            </w:r>
          </w:p>
        </w:tc>
        <w:tc>
          <w:tcPr>
            <w:tcW w:w="2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41"/>
              <w:spacing w:after="0"/>
              <w:rPr>
                <w:sz w:val="20"/>
                <w:szCs w:val="20"/>
                <w:color w:val="auto"/>
              </w:rPr>
            </w:pPr>
            <w:r>
              <w:rPr>
                <w:rFonts w:ascii="Arial" w:cs="Arial" w:eastAsia="Arial" w:hAnsi="Arial"/>
                <w:sz w:val="20"/>
                <w:szCs w:val="20"/>
                <w:color w:val="auto"/>
              </w:rPr>
              <w:t>2020</w:t>
            </w:r>
          </w:p>
        </w:tc>
        <w:tc>
          <w:tcPr>
            <w:tcW w:w="2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61"/>
              <w:spacing w:after="0"/>
              <w:rPr>
                <w:sz w:val="20"/>
                <w:szCs w:val="20"/>
                <w:color w:val="auto"/>
              </w:rPr>
            </w:pPr>
            <w:r>
              <w:rPr>
                <w:rFonts w:ascii="Arial" w:cs="Arial" w:eastAsia="Arial" w:hAnsi="Arial"/>
                <w:sz w:val="20"/>
                <w:szCs w:val="20"/>
                <w:color w:val="auto"/>
              </w:rPr>
              <w:t>2019</w:t>
            </w:r>
          </w:p>
        </w:tc>
        <w:tc>
          <w:tcPr>
            <w:tcW w:w="100" w:type="dxa"/>
            <w:vAlign w:val="bottom"/>
          </w:tcPr>
          <w:p>
            <w:pPr>
              <w:spacing w:after="0"/>
              <w:rPr>
                <w:sz w:val="20"/>
                <w:szCs w:val="20"/>
                <w:color w:val="auto"/>
              </w:rPr>
            </w:pPr>
          </w:p>
        </w:tc>
      </w:tr>
      <w:tr>
        <w:trPr>
          <w:trHeight w:val="236"/>
        </w:trPr>
        <w:tc>
          <w:tcPr>
            <w:tcW w:w="5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720" w:type="dxa"/>
            <w:vAlign w:val="bottom"/>
            <w:gridSpan w:val="5"/>
          </w:tcPr>
          <w:p>
            <w:pPr>
              <w:ind w:left="260"/>
              <w:spacing w:after="0"/>
              <w:rPr>
                <w:sz w:val="20"/>
                <w:szCs w:val="20"/>
                <w:color w:val="auto"/>
              </w:rPr>
            </w:pPr>
            <w:r>
              <w:rPr>
                <w:rFonts w:ascii="Arial" w:cs="Arial" w:eastAsia="Arial" w:hAnsi="Arial"/>
                <w:sz w:val="20"/>
                <w:szCs w:val="20"/>
                <w:i w:val="1"/>
                <w:iCs w:val="1"/>
                <w:color w:val="auto"/>
              </w:rPr>
              <w:t>(Dollars in Millions)</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5300" w:type="dxa"/>
            <w:vAlign w:val="bottom"/>
            <w:shd w:val="clear" w:color="auto" w:fill="CFF0FC"/>
          </w:tcPr>
          <w:p>
            <w:pPr>
              <w:spacing w:after="0"/>
              <w:rPr>
                <w:sz w:val="20"/>
                <w:szCs w:val="20"/>
                <w:color w:val="auto"/>
              </w:rPr>
            </w:pPr>
            <w:r>
              <w:rPr>
                <w:rFonts w:ascii="Arial" w:cs="Arial" w:eastAsia="Arial" w:hAnsi="Arial"/>
                <w:sz w:val="20"/>
                <w:szCs w:val="20"/>
                <w:color w:val="auto"/>
              </w:rPr>
              <w:t>Net Earnings Attributable to Martin Marietta</w:t>
            </w:r>
          </w:p>
        </w:tc>
        <w:tc>
          <w:tcPr>
            <w:tcW w:w="2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217.6</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189.5</w:t>
            </w: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243.5</w:t>
            </w:r>
          </w:p>
        </w:tc>
        <w:tc>
          <w:tcPr>
            <w:tcW w:w="240" w:type="dxa"/>
            <w:vAlign w:val="bottom"/>
            <w:shd w:val="clear" w:color="auto" w:fill="CFF0FC"/>
          </w:tcPr>
          <w:p>
            <w:pPr>
              <w:spacing w:after="0"/>
              <w:rPr>
                <w:sz w:val="21"/>
                <w:szCs w:val="21"/>
                <w:color w:val="auto"/>
              </w:rPr>
            </w:pPr>
          </w:p>
        </w:tc>
        <w:tc>
          <w:tcPr>
            <w:tcW w:w="320" w:type="dxa"/>
            <w:vAlign w:val="bottom"/>
            <w:gridSpan w:val="2"/>
            <w:shd w:val="clear" w:color="auto" w:fill="CFF0FC"/>
          </w:tcPr>
          <w:p>
            <w:pPr>
              <w:jc w:val="right"/>
              <w:ind w:right="143"/>
              <w:spacing w:after="0"/>
              <w:rPr>
                <w:sz w:val="20"/>
                <w:szCs w:val="20"/>
                <w:color w:val="auto"/>
              </w:rPr>
            </w:pPr>
            <w:r>
              <w:rPr>
                <w:rFonts w:ascii="Arial" w:cs="Arial" w:eastAsia="Arial" w:hAnsi="Arial"/>
                <w:sz w:val="20"/>
                <w:szCs w:val="20"/>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232.3</w:t>
            </w:r>
          </w:p>
        </w:tc>
        <w:tc>
          <w:tcPr>
            <w:tcW w:w="100" w:type="dxa"/>
            <w:vAlign w:val="bottom"/>
            <w:shd w:val="clear" w:color="auto" w:fill="CFF0FC"/>
          </w:tcPr>
          <w:p>
            <w:pPr>
              <w:spacing w:after="0"/>
              <w:rPr>
                <w:sz w:val="21"/>
                <w:szCs w:val="21"/>
                <w:color w:val="auto"/>
              </w:rPr>
            </w:pPr>
          </w:p>
        </w:tc>
      </w:tr>
      <w:tr>
        <w:trPr>
          <w:trHeight w:val="243"/>
        </w:trPr>
        <w:tc>
          <w:tcPr>
            <w:tcW w:w="5300" w:type="dxa"/>
            <w:vAlign w:val="bottom"/>
          </w:tcPr>
          <w:p>
            <w:pPr>
              <w:spacing w:after="0"/>
              <w:rPr>
                <w:sz w:val="20"/>
                <w:szCs w:val="20"/>
                <w:color w:val="auto"/>
              </w:rPr>
            </w:pPr>
            <w:r>
              <w:rPr>
                <w:rFonts w:ascii="Arial" w:cs="Arial" w:eastAsia="Arial" w:hAnsi="Arial"/>
                <w:sz w:val="20"/>
                <w:szCs w:val="20"/>
                <w:color w:val="auto"/>
              </w:rPr>
              <w:t>Add back:</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5300" w:type="dxa"/>
            <w:vAlign w:val="bottom"/>
            <w:shd w:val="clear" w:color="auto" w:fill="CFF0FC"/>
          </w:tcPr>
          <w:p>
            <w:pPr>
              <w:ind w:left="260"/>
              <w:spacing w:after="0"/>
              <w:rPr>
                <w:sz w:val="20"/>
                <w:szCs w:val="20"/>
                <w:color w:val="auto"/>
              </w:rPr>
            </w:pPr>
            <w:r>
              <w:rPr>
                <w:rFonts w:ascii="Arial" w:cs="Arial" w:eastAsia="Arial" w:hAnsi="Arial"/>
                <w:sz w:val="20"/>
                <w:szCs w:val="20"/>
                <w:color w:val="auto"/>
              </w:rPr>
              <w:t>Interest expense, net of interest income</w:t>
            </w:r>
          </w:p>
        </w:tc>
        <w:tc>
          <w:tcPr>
            <w:tcW w:w="2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31.0</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33.2</w:t>
            </w: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60.7</w:t>
            </w:r>
          </w:p>
        </w:tc>
        <w:tc>
          <w:tcPr>
            <w:tcW w:w="2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66.0</w:t>
            </w:r>
          </w:p>
        </w:tc>
        <w:tc>
          <w:tcPr>
            <w:tcW w:w="100" w:type="dxa"/>
            <w:vAlign w:val="bottom"/>
            <w:shd w:val="clear" w:color="auto" w:fill="CFF0FC"/>
          </w:tcPr>
          <w:p>
            <w:pPr>
              <w:spacing w:after="0"/>
              <w:rPr>
                <w:sz w:val="21"/>
                <w:szCs w:val="21"/>
                <w:color w:val="auto"/>
              </w:rPr>
            </w:pPr>
          </w:p>
        </w:tc>
      </w:tr>
      <w:tr>
        <w:trPr>
          <w:trHeight w:val="243"/>
        </w:trPr>
        <w:tc>
          <w:tcPr>
            <w:tcW w:w="5300" w:type="dxa"/>
            <w:vAlign w:val="bottom"/>
          </w:tcPr>
          <w:p>
            <w:pPr>
              <w:ind w:left="260"/>
              <w:spacing w:after="0"/>
              <w:rPr>
                <w:sz w:val="20"/>
                <w:szCs w:val="20"/>
                <w:color w:val="auto"/>
              </w:rPr>
            </w:pPr>
            <w:r>
              <w:rPr>
                <w:rFonts w:ascii="Arial" w:cs="Arial" w:eastAsia="Arial" w:hAnsi="Arial"/>
                <w:sz w:val="20"/>
                <w:szCs w:val="20"/>
                <w:color w:val="auto"/>
              </w:rPr>
              <w:t>Income tax expense for controlling interests</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61.4</w:t>
            </w: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49.9</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61.5</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44.9</w:t>
            </w:r>
          </w:p>
        </w:tc>
        <w:tc>
          <w:tcPr>
            <w:tcW w:w="100" w:type="dxa"/>
            <w:vAlign w:val="bottom"/>
          </w:tcPr>
          <w:p>
            <w:pPr>
              <w:spacing w:after="0"/>
              <w:rPr>
                <w:sz w:val="21"/>
                <w:szCs w:val="21"/>
                <w:color w:val="auto"/>
              </w:rPr>
            </w:pPr>
          </w:p>
        </w:tc>
      </w:tr>
      <w:tr>
        <w:trPr>
          <w:trHeight w:val="226"/>
        </w:trPr>
        <w:tc>
          <w:tcPr>
            <w:tcW w:w="5300" w:type="dxa"/>
            <w:vAlign w:val="bottom"/>
            <w:shd w:val="clear" w:color="auto" w:fill="CFF0FC"/>
          </w:tcPr>
          <w:p>
            <w:pPr>
              <w:ind w:left="260"/>
              <w:spacing w:after="0" w:line="227" w:lineRule="exact"/>
              <w:rPr>
                <w:sz w:val="20"/>
                <w:szCs w:val="20"/>
                <w:color w:val="auto"/>
              </w:rPr>
            </w:pPr>
            <w:r>
              <w:rPr>
                <w:rFonts w:ascii="Arial" w:cs="Arial" w:eastAsia="Arial" w:hAnsi="Arial"/>
                <w:sz w:val="20"/>
                <w:szCs w:val="20"/>
                <w:color w:val="auto"/>
              </w:rPr>
              <w:t>Depreciation, depletion and amortization and</w:t>
            </w: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300" w:type="dxa"/>
            <w:vAlign w:val="bottom"/>
            <w:shd w:val="clear" w:color="auto" w:fill="CFF0FC"/>
          </w:tcPr>
          <w:p>
            <w:pPr>
              <w:ind w:left="400"/>
              <w:spacing w:after="0"/>
              <w:rPr>
                <w:sz w:val="20"/>
                <w:szCs w:val="20"/>
                <w:color w:val="auto"/>
              </w:rPr>
            </w:pPr>
            <w:r>
              <w:rPr>
                <w:rFonts w:ascii="Arial" w:cs="Arial" w:eastAsia="Arial" w:hAnsi="Arial"/>
                <w:sz w:val="20"/>
                <w:szCs w:val="20"/>
                <w:color w:val="auto"/>
              </w:rPr>
              <w:t>earnings/loss from nonconsolidated equity</w:t>
            </w: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6"/>
        </w:trPr>
        <w:tc>
          <w:tcPr>
            <w:tcW w:w="5300" w:type="dxa"/>
            <w:vAlign w:val="bottom"/>
            <w:shd w:val="clear" w:color="auto" w:fill="CFF0FC"/>
          </w:tcPr>
          <w:p>
            <w:pPr>
              <w:ind w:left="400"/>
              <w:spacing w:after="0"/>
              <w:rPr>
                <w:sz w:val="20"/>
                <w:szCs w:val="20"/>
                <w:color w:val="auto"/>
              </w:rPr>
            </w:pPr>
            <w:r>
              <w:rPr>
                <w:rFonts w:ascii="Arial" w:cs="Arial" w:eastAsia="Arial" w:hAnsi="Arial"/>
                <w:sz w:val="20"/>
                <w:szCs w:val="20"/>
                <w:color w:val="auto"/>
              </w:rPr>
              <w:t>affiliates</w:t>
            </w:r>
          </w:p>
        </w:tc>
        <w:tc>
          <w:tcPr>
            <w:tcW w:w="26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97.0</w:t>
            </w:r>
          </w:p>
        </w:tc>
        <w:tc>
          <w:tcPr>
            <w:tcW w:w="260" w:type="dxa"/>
            <w:vAlign w:val="bottom"/>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105.9</w:t>
            </w:r>
          </w:p>
        </w:tc>
        <w:tc>
          <w:tcPr>
            <w:tcW w:w="240" w:type="dxa"/>
            <w:vAlign w:val="bottom"/>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190.3</w:t>
            </w:r>
          </w:p>
        </w:tc>
        <w:tc>
          <w:tcPr>
            <w:tcW w:w="2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193.5</w:t>
            </w:r>
          </w:p>
        </w:tc>
        <w:tc>
          <w:tcPr>
            <w:tcW w:w="100" w:type="dxa"/>
            <w:vAlign w:val="bottom"/>
            <w:shd w:val="clear" w:color="auto" w:fill="CFF0FC"/>
          </w:tcPr>
          <w:p>
            <w:pPr>
              <w:spacing w:after="0"/>
              <w:rPr>
                <w:sz w:val="21"/>
                <w:szCs w:val="21"/>
                <w:color w:val="auto"/>
              </w:rPr>
            </w:pPr>
          </w:p>
        </w:tc>
      </w:tr>
      <w:tr>
        <w:trPr>
          <w:trHeight w:val="237"/>
        </w:trPr>
        <w:tc>
          <w:tcPr>
            <w:tcW w:w="5300" w:type="dxa"/>
            <w:vAlign w:val="bottom"/>
          </w:tcPr>
          <w:p>
            <w:pPr>
              <w:spacing w:after="0"/>
              <w:rPr>
                <w:sz w:val="20"/>
                <w:szCs w:val="20"/>
                <w:color w:val="auto"/>
              </w:rPr>
            </w:pPr>
            <w:r>
              <w:rPr>
                <w:rFonts w:ascii="Arial" w:cs="Arial" w:eastAsia="Arial" w:hAnsi="Arial"/>
                <w:sz w:val="20"/>
                <w:szCs w:val="20"/>
                <w:color w:val="auto"/>
              </w:rPr>
              <w:t>Consolidated Adjusted EBITDA</w:t>
            </w:r>
          </w:p>
        </w:tc>
        <w:tc>
          <w:tcPr>
            <w:tcW w:w="26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407.0</w:t>
            </w:r>
          </w:p>
        </w:tc>
        <w:tc>
          <w:tcPr>
            <w:tcW w:w="260" w:type="dxa"/>
            <w:vAlign w:val="bottom"/>
          </w:tcPr>
          <w:p>
            <w:pPr>
              <w:spacing w:after="0"/>
              <w:rPr>
                <w:sz w:val="20"/>
                <w:szCs w:val="20"/>
                <w:color w:val="auto"/>
              </w:rPr>
            </w:pPr>
          </w:p>
        </w:tc>
        <w:tc>
          <w:tcPr>
            <w:tcW w:w="30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378.5</w:t>
            </w:r>
          </w:p>
        </w:tc>
        <w:tc>
          <w:tcPr>
            <w:tcW w:w="240" w:type="dxa"/>
            <w:vAlign w:val="bottom"/>
          </w:tcPr>
          <w:p>
            <w:pPr>
              <w:spacing w:after="0"/>
              <w:rPr>
                <w:sz w:val="20"/>
                <w:szCs w:val="20"/>
                <w:color w:val="auto"/>
              </w:rPr>
            </w:pPr>
          </w:p>
        </w:tc>
        <w:tc>
          <w:tcPr>
            <w:tcW w:w="28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556.0</w:t>
            </w:r>
          </w:p>
        </w:tc>
        <w:tc>
          <w:tcPr>
            <w:tcW w:w="2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536.7</w:t>
            </w:r>
          </w:p>
        </w:tc>
        <w:tc>
          <w:tcPr>
            <w:tcW w:w="100" w:type="dxa"/>
            <w:vAlign w:val="bottom"/>
          </w:tcPr>
          <w:p>
            <w:pPr>
              <w:spacing w:after="0"/>
              <w:rPr>
                <w:sz w:val="20"/>
                <w:szCs w:val="20"/>
                <w:color w:val="auto"/>
              </w:rPr>
            </w:pPr>
          </w:p>
        </w:tc>
      </w:tr>
      <w:tr>
        <w:trPr>
          <w:trHeight w:val="20"/>
        </w:trPr>
        <w:tc>
          <w:tcPr>
            <w:tcW w:w="5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8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following table presents ready mixed concrete shipment data and volume variances excluding the Arkansas, Louisiana and eastern Texas ready mix business ("ArkLaTex business") from the periods of Martin Marietta's ownership to provide a more comparable analysis of ready mixed concrete volume variance:</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25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June 30, 2020</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Second Quarter Ended June 30, 2020</w:t>
      </w:r>
    </w:p>
    <w:p>
      <w:pPr>
        <w:jc w:val="center"/>
        <w:spacing w:after="0"/>
        <w:rPr>
          <w:sz w:val="20"/>
          <w:szCs w:val="20"/>
          <w:color w:val="auto"/>
        </w:rPr>
      </w:pPr>
      <w:r>
        <w:rPr>
          <w:rFonts w:ascii="Arial" w:cs="Arial" w:eastAsia="Arial" w:hAnsi="Arial"/>
          <w:sz w:val="20"/>
          <w:szCs w:val="20"/>
          <w:color w:val="auto"/>
        </w:rPr>
        <w:t>(Continued)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220" w:type="dxa"/>
            <w:vAlign w:val="bottom"/>
          </w:tcPr>
          <w:p>
            <w:pPr>
              <w:spacing w:after="0"/>
              <w:rPr>
                <w:sz w:val="21"/>
                <w:szCs w:val="21"/>
                <w:color w:val="auto"/>
              </w:rPr>
            </w:pPr>
          </w:p>
        </w:tc>
        <w:tc>
          <w:tcPr>
            <w:tcW w:w="3080" w:type="dxa"/>
            <w:vAlign w:val="bottom"/>
            <w:gridSpan w:val="5"/>
          </w:tcPr>
          <w:p>
            <w:pPr>
              <w:jc w:val="center"/>
              <w:ind w:right="260"/>
              <w:spacing w:after="0"/>
              <w:rPr>
                <w:sz w:val="20"/>
                <w:szCs w:val="20"/>
                <w:color w:val="auto"/>
              </w:rPr>
            </w:pPr>
            <w:r>
              <w:rPr>
                <w:rFonts w:ascii="Arial" w:cs="Arial" w:eastAsia="Arial" w:hAnsi="Arial"/>
                <w:sz w:val="20"/>
                <w:szCs w:val="20"/>
                <w:color w:val="auto"/>
                <w:w w:val="88"/>
              </w:rPr>
              <w:t>Three Months Ended</w:t>
            </w:r>
          </w:p>
        </w:tc>
        <w:tc>
          <w:tcPr>
            <w:tcW w:w="2940" w:type="dxa"/>
            <w:vAlign w:val="bottom"/>
            <w:gridSpan w:val="5"/>
          </w:tcPr>
          <w:p>
            <w:pPr>
              <w:jc w:val="center"/>
              <w:ind w:right="120"/>
              <w:spacing w:after="0"/>
              <w:rPr>
                <w:sz w:val="20"/>
                <w:szCs w:val="20"/>
                <w:color w:val="auto"/>
              </w:rPr>
            </w:pPr>
            <w:r>
              <w:rPr>
                <w:rFonts w:ascii="Arial" w:cs="Arial" w:eastAsia="Arial" w:hAnsi="Arial"/>
                <w:sz w:val="20"/>
                <w:szCs w:val="20"/>
                <w:color w:val="auto"/>
                <w:w w:val="89"/>
              </w:rPr>
              <w:t>Six Months Ended</w:t>
            </w:r>
          </w:p>
        </w:tc>
      </w:tr>
      <w:tr>
        <w:trPr>
          <w:trHeight w:val="246"/>
        </w:trPr>
        <w:tc>
          <w:tcPr>
            <w:tcW w:w="5220" w:type="dxa"/>
            <w:vAlign w:val="bottom"/>
          </w:tcPr>
          <w:p>
            <w:pPr>
              <w:spacing w:after="0"/>
              <w:rPr>
                <w:sz w:val="21"/>
                <w:szCs w:val="21"/>
                <w:color w:val="auto"/>
              </w:rPr>
            </w:pPr>
          </w:p>
        </w:tc>
        <w:tc>
          <w:tcPr>
            <w:tcW w:w="1840" w:type="dxa"/>
            <w:vAlign w:val="bottom"/>
            <w:tcBorders>
              <w:bottom w:val="single" w:sz="8" w:color="auto"/>
            </w:tcBorders>
            <w:gridSpan w:val="3"/>
          </w:tcPr>
          <w:p>
            <w:pPr>
              <w:jc w:val="center"/>
              <w:ind w:left="881"/>
              <w:spacing w:after="0"/>
              <w:rPr>
                <w:sz w:val="20"/>
                <w:szCs w:val="20"/>
                <w:color w:val="auto"/>
              </w:rPr>
            </w:pPr>
            <w:r>
              <w:rPr>
                <w:rFonts w:ascii="Arial" w:cs="Arial" w:eastAsia="Arial" w:hAnsi="Arial"/>
                <w:sz w:val="20"/>
                <w:szCs w:val="20"/>
                <w:color w:val="auto"/>
                <w:w w:val="85"/>
              </w:rPr>
              <w:t>June 30,</w:t>
            </w:r>
          </w:p>
        </w:tc>
        <w:tc>
          <w:tcPr>
            <w:tcW w:w="100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860" w:type="dxa"/>
            <w:vAlign w:val="bottom"/>
            <w:tcBorders>
              <w:bottom w:val="single" w:sz="8" w:color="auto"/>
            </w:tcBorders>
            <w:gridSpan w:val="3"/>
          </w:tcPr>
          <w:p>
            <w:pPr>
              <w:jc w:val="center"/>
              <w:ind w:left="861"/>
              <w:spacing w:after="0"/>
              <w:rPr>
                <w:sz w:val="20"/>
                <w:szCs w:val="20"/>
                <w:color w:val="auto"/>
              </w:rPr>
            </w:pPr>
            <w:r>
              <w:rPr>
                <w:rFonts w:ascii="Arial" w:cs="Arial" w:eastAsia="Arial" w:hAnsi="Arial"/>
                <w:sz w:val="20"/>
                <w:szCs w:val="20"/>
                <w:color w:val="auto"/>
                <w:w w:val="85"/>
              </w:rPr>
              <w:t>June 30,</w:t>
            </w:r>
          </w:p>
        </w:tc>
        <w:tc>
          <w:tcPr>
            <w:tcW w:w="9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5220" w:type="dxa"/>
            <w:vAlign w:val="bottom"/>
          </w:tcPr>
          <w:p>
            <w:pPr>
              <w:spacing w:after="0"/>
              <w:rPr>
                <w:sz w:val="20"/>
                <w:szCs w:val="20"/>
                <w:color w:val="auto"/>
              </w:rPr>
            </w:pPr>
          </w:p>
        </w:tc>
        <w:tc>
          <w:tcPr>
            <w:tcW w:w="1260" w:type="dxa"/>
            <w:vAlign w:val="bottom"/>
            <w:tcBorders>
              <w:bottom w:val="single" w:sz="8" w:color="auto"/>
            </w:tcBorders>
          </w:tcPr>
          <w:p>
            <w:pPr>
              <w:jc w:val="right"/>
              <w:ind w:right="341"/>
              <w:spacing w:after="0"/>
              <w:rPr>
                <w:sz w:val="20"/>
                <w:szCs w:val="20"/>
                <w:color w:val="auto"/>
              </w:rPr>
            </w:pPr>
            <w:r>
              <w:rPr>
                <w:rFonts w:ascii="Arial" w:cs="Arial" w:eastAsia="Arial" w:hAnsi="Arial"/>
                <w:sz w:val="20"/>
                <w:szCs w:val="20"/>
                <w:color w:val="auto"/>
              </w:rPr>
              <w:t>2020</w:t>
            </w:r>
          </w:p>
        </w:tc>
        <w:tc>
          <w:tcPr>
            <w:tcW w:w="3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41"/>
              <w:spacing w:after="0"/>
              <w:rPr>
                <w:sz w:val="20"/>
                <w:szCs w:val="20"/>
                <w:color w:val="auto"/>
              </w:rPr>
            </w:pPr>
            <w:r>
              <w:rPr>
                <w:rFonts w:ascii="Arial" w:cs="Arial" w:eastAsia="Arial" w:hAnsi="Arial"/>
                <w:sz w:val="20"/>
                <w:szCs w:val="20"/>
                <w:color w:val="auto"/>
              </w:rPr>
              <w:t>2019</w:t>
            </w: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41"/>
              <w:spacing w:after="0"/>
              <w:rPr>
                <w:sz w:val="20"/>
                <w:szCs w:val="20"/>
                <w:color w:val="auto"/>
              </w:rPr>
            </w:pPr>
            <w:r>
              <w:rPr>
                <w:rFonts w:ascii="Arial" w:cs="Arial" w:eastAsia="Arial" w:hAnsi="Arial"/>
                <w:sz w:val="20"/>
                <w:szCs w:val="20"/>
                <w:color w:val="auto"/>
              </w:rPr>
              <w:t>2020</w:t>
            </w:r>
          </w:p>
        </w:tc>
        <w:tc>
          <w:tcPr>
            <w:tcW w:w="3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41"/>
              <w:spacing w:after="0"/>
              <w:rPr>
                <w:sz w:val="20"/>
                <w:szCs w:val="20"/>
                <w:color w:val="auto"/>
              </w:rPr>
            </w:pPr>
            <w:r>
              <w:rPr>
                <w:rFonts w:ascii="Arial" w:cs="Arial" w:eastAsia="Arial" w:hAnsi="Arial"/>
                <w:sz w:val="20"/>
                <w:szCs w:val="20"/>
                <w:color w:val="auto"/>
              </w:rPr>
              <w:t>2019</w:t>
            </w:r>
          </w:p>
        </w:tc>
        <w:tc>
          <w:tcPr>
            <w:tcW w:w="100" w:type="dxa"/>
            <w:vAlign w:val="bottom"/>
          </w:tcPr>
          <w:p>
            <w:pPr>
              <w:spacing w:after="0"/>
              <w:rPr>
                <w:sz w:val="20"/>
                <w:szCs w:val="20"/>
                <w:color w:val="auto"/>
              </w:rPr>
            </w:pPr>
          </w:p>
        </w:tc>
      </w:tr>
      <w:tr>
        <w:trPr>
          <w:trHeight w:val="237"/>
        </w:trPr>
        <w:tc>
          <w:tcPr>
            <w:tcW w:w="5220" w:type="dxa"/>
            <w:vAlign w:val="bottom"/>
          </w:tcPr>
          <w:p>
            <w:pPr>
              <w:spacing w:after="0"/>
              <w:rPr>
                <w:sz w:val="20"/>
                <w:szCs w:val="20"/>
                <w:color w:val="auto"/>
              </w:rPr>
            </w:pPr>
            <w:r>
              <w:rPr>
                <w:rFonts w:ascii="Arial" w:cs="Arial" w:eastAsia="Arial" w:hAnsi="Arial"/>
                <w:sz w:val="20"/>
                <w:szCs w:val="20"/>
                <w:b w:val="1"/>
                <w:bCs w:val="1"/>
                <w:color w:val="auto"/>
              </w:rPr>
              <w:t>Shipments</w:t>
            </w:r>
          </w:p>
        </w:tc>
        <w:tc>
          <w:tcPr>
            <w:tcW w:w="1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100" w:type="dxa"/>
            <w:vAlign w:val="bottom"/>
            <w:gridSpan w:val="5"/>
          </w:tcPr>
          <w:p>
            <w:pPr>
              <w:ind w:left="100"/>
              <w:spacing w:after="0"/>
              <w:rPr>
                <w:sz w:val="20"/>
                <w:szCs w:val="20"/>
                <w:color w:val="auto"/>
              </w:rPr>
            </w:pPr>
            <w:r>
              <w:rPr>
                <w:rFonts w:ascii="Arial" w:cs="Arial" w:eastAsia="Arial" w:hAnsi="Arial"/>
                <w:sz w:val="20"/>
                <w:szCs w:val="20"/>
                <w:i w:val="1"/>
                <w:iCs w:val="1"/>
                <w:color w:val="auto"/>
              </w:rPr>
              <w:t>(Cubic Yards in Millions)</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5220" w:type="dxa"/>
            <w:vAlign w:val="bottom"/>
            <w:shd w:val="clear" w:color="auto" w:fill="CFF0FC"/>
          </w:tcPr>
          <w:p>
            <w:pPr>
              <w:spacing w:after="0"/>
              <w:rPr>
                <w:sz w:val="20"/>
                <w:szCs w:val="20"/>
                <w:color w:val="auto"/>
              </w:rPr>
            </w:pPr>
            <w:r>
              <w:rPr>
                <w:rFonts w:ascii="Arial" w:cs="Arial" w:eastAsia="Arial" w:hAnsi="Arial"/>
                <w:sz w:val="20"/>
                <w:szCs w:val="20"/>
                <w:color w:val="auto"/>
              </w:rPr>
              <w:t>Reported ready mixed concrete shipments</w:t>
            </w:r>
          </w:p>
        </w:tc>
        <w:tc>
          <w:tcPr>
            <w:tcW w:w="1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2.2</w:t>
            </w:r>
          </w:p>
        </w:tc>
        <w:tc>
          <w:tcPr>
            <w:tcW w:w="3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2.2</w:t>
            </w:r>
          </w:p>
        </w:tc>
        <w:tc>
          <w:tcPr>
            <w:tcW w:w="24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3.8</w:t>
            </w:r>
          </w:p>
        </w:tc>
        <w:tc>
          <w:tcPr>
            <w:tcW w:w="3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4.1</w:t>
            </w:r>
          </w:p>
        </w:tc>
        <w:tc>
          <w:tcPr>
            <w:tcW w:w="100" w:type="dxa"/>
            <w:vAlign w:val="bottom"/>
            <w:shd w:val="clear" w:color="auto" w:fill="CFF0FC"/>
          </w:tcPr>
          <w:p>
            <w:pPr>
              <w:spacing w:after="0"/>
              <w:rPr>
                <w:sz w:val="21"/>
                <w:szCs w:val="21"/>
                <w:color w:val="auto"/>
              </w:rPr>
            </w:pPr>
          </w:p>
        </w:tc>
      </w:tr>
      <w:tr>
        <w:trPr>
          <w:trHeight w:val="226"/>
        </w:trPr>
        <w:tc>
          <w:tcPr>
            <w:tcW w:w="5220" w:type="dxa"/>
            <w:vAlign w:val="bottom"/>
          </w:tcPr>
          <w:p>
            <w:pPr>
              <w:spacing w:after="0" w:line="227" w:lineRule="exact"/>
              <w:rPr>
                <w:sz w:val="20"/>
                <w:szCs w:val="20"/>
                <w:color w:val="auto"/>
              </w:rPr>
            </w:pPr>
            <w:r>
              <w:rPr>
                <w:rFonts w:ascii="Arial" w:cs="Arial" w:eastAsia="Arial" w:hAnsi="Arial"/>
                <w:sz w:val="20"/>
                <w:szCs w:val="20"/>
                <w:color w:val="auto"/>
              </w:rPr>
              <w:t>Less: Ready mixed concrete shipments for the</w:t>
            </w:r>
          </w:p>
        </w:tc>
        <w:tc>
          <w:tcPr>
            <w:tcW w:w="1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220" w:type="dxa"/>
            <w:vAlign w:val="bottom"/>
          </w:tcPr>
          <w:p>
            <w:pPr>
              <w:ind w:left="160"/>
              <w:spacing w:after="0"/>
              <w:rPr>
                <w:sz w:val="20"/>
                <w:szCs w:val="20"/>
                <w:color w:val="auto"/>
              </w:rPr>
            </w:pPr>
            <w:r>
              <w:rPr>
                <w:rFonts w:ascii="Arial" w:cs="Arial" w:eastAsia="Arial" w:hAnsi="Arial"/>
                <w:sz w:val="20"/>
                <w:szCs w:val="20"/>
                <w:color w:val="auto"/>
              </w:rPr>
              <w:t>ArkLaTex business during periods of Martin</w:t>
            </w:r>
          </w:p>
        </w:tc>
        <w:tc>
          <w:tcPr>
            <w:tcW w:w="1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6"/>
        </w:trPr>
        <w:tc>
          <w:tcPr>
            <w:tcW w:w="5220" w:type="dxa"/>
            <w:vAlign w:val="bottom"/>
          </w:tcPr>
          <w:p>
            <w:pPr>
              <w:ind w:left="160"/>
              <w:spacing w:after="0"/>
              <w:rPr>
                <w:sz w:val="20"/>
                <w:szCs w:val="20"/>
                <w:color w:val="auto"/>
              </w:rPr>
            </w:pPr>
            <w:r>
              <w:rPr>
                <w:rFonts w:ascii="Arial" w:cs="Arial" w:eastAsia="Arial" w:hAnsi="Arial"/>
                <w:sz w:val="20"/>
                <w:szCs w:val="20"/>
                <w:color w:val="auto"/>
              </w:rPr>
              <w:t>Marietta ownership</w:t>
            </w:r>
          </w:p>
        </w:tc>
        <w:tc>
          <w:tcPr>
            <w:tcW w:w="1840" w:type="dxa"/>
            <w:vAlign w:val="bottom"/>
            <w:gridSpan w:val="3"/>
          </w:tcPr>
          <w:p>
            <w:pPr>
              <w:jc w:val="right"/>
              <w:ind w:right="600"/>
              <w:spacing w:after="0"/>
              <w:rPr>
                <w:sz w:val="20"/>
                <w:szCs w:val="20"/>
                <w:color w:val="auto"/>
              </w:rPr>
            </w:pPr>
            <w:r>
              <w:rPr>
                <w:rFonts w:ascii="Arial" w:cs="Arial" w:eastAsia="Arial" w:hAnsi="Arial"/>
                <w:sz w:val="20"/>
                <w:szCs w:val="20"/>
                <w:color w:val="auto"/>
              </w:rPr>
              <w:t>—</w:t>
            </w:r>
          </w:p>
        </w:tc>
        <w:tc>
          <w:tcPr>
            <w:tcW w:w="1240" w:type="dxa"/>
            <w:vAlign w:val="bottom"/>
            <w:gridSpan w:val="2"/>
          </w:tcPr>
          <w:p>
            <w:pPr>
              <w:jc w:val="right"/>
              <w:ind w:right="180"/>
              <w:spacing w:after="0"/>
              <w:rPr>
                <w:sz w:val="20"/>
                <w:szCs w:val="20"/>
                <w:color w:val="auto"/>
              </w:rPr>
            </w:pPr>
            <w:r>
              <w:rPr>
                <w:rFonts w:ascii="Arial" w:cs="Arial" w:eastAsia="Arial" w:hAnsi="Arial"/>
                <w:sz w:val="20"/>
                <w:szCs w:val="20"/>
                <w:color w:val="auto"/>
              </w:rPr>
              <w:t>(0.2)</w:t>
            </w:r>
          </w:p>
        </w:tc>
        <w:tc>
          <w:tcPr>
            <w:tcW w:w="1860" w:type="dxa"/>
            <w:vAlign w:val="bottom"/>
            <w:gridSpan w:val="3"/>
          </w:tcPr>
          <w:p>
            <w:pPr>
              <w:jc w:val="right"/>
              <w:ind w:right="620"/>
              <w:spacing w:after="0"/>
              <w:rPr>
                <w:sz w:val="20"/>
                <w:szCs w:val="20"/>
                <w:color w:val="auto"/>
              </w:rPr>
            </w:pPr>
            <w:r>
              <w:rPr>
                <w:rFonts w:ascii="Arial" w:cs="Arial" w:eastAsia="Arial" w:hAnsi="Arial"/>
                <w:sz w:val="20"/>
                <w:szCs w:val="20"/>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20"/>
                <w:szCs w:val="20"/>
                <w:color w:val="auto"/>
              </w:rPr>
              <w:t>(0.3)</w:t>
            </w:r>
          </w:p>
        </w:tc>
      </w:tr>
      <w:tr>
        <w:trPr>
          <w:trHeight w:val="237"/>
        </w:trPr>
        <w:tc>
          <w:tcPr>
            <w:tcW w:w="52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Adjusted ready mixed concrete shipments</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2.2</w:t>
            </w:r>
          </w:p>
        </w:tc>
        <w:tc>
          <w:tcPr>
            <w:tcW w:w="320" w:type="dxa"/>
            <w:vAlign w:val="bottom"/>
            <w:tcBorders>
              <w:top w:val="single" w:sz="8" w:color="CFF0FC"/>
              <w:bottom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spacing w:after="0"/>
              <w:rPr>
                <w:sz w:val="20"/>
                <w:szCs w:val="20"/>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2.0</w:t>
            </w:r>
          </w:p>
        </w:tc>
        <w:tc>
          <w:tcPr>
            <w:tcW w:w="240" w:type="dxa"/>
            <w:vAlign w:val="bottom"/>
            <w:tcBorders>
              <w:top w:val="single" w:sz="8" w:color="CFF0FC"/>
              <w:bottom w:val="single" w:sz="8" w:color="CFF0FC"/>
            </w:tcBorders>
            <w:shd w:val="clear" w:color="auto" w:fill="CFF0FC"/>
          </w:tcPr>
          <w:p>
            <w:pPr>
              <w:spacing w:after="0"/>
              <w:rPr>
                <w:sz w:val="20"/>
                <w:szCs w:val="20"/>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3.8</w:t>
            </w:r>
          </w:p>
        </w:tc>
        <w:tc>
          <w:tcPr>
            <w:tcW w:w="320" w:type="dxa"/>
            <w:vAlign w:val="bottom"/>
            <w:tcBorders>
              <w:top w:val="single" w:sz="8" w:color="CFF0FC"/>
              <w:bottom w:val="single" w:sz="8" w:color="CFF0FC"/>
            </w:tcBorders>
            <w:shd w:val="clear" w:color="auto" w:fill="CFF0FC"/>
          </w:tcPr>
          <w:p>
            <w:pPr>
              <w:spacing w:after="0"/>
              <w:rPr>
                <w:sz w:val="20"/>
                <w:szCs w:val="20"/>
                <w:color w:val="auto"/>
              </w:rPr>
            </w:pPr>
          </w:p>
        </w:tc>
        <w:tc>
          <w:tcPr>
            <w:tcW w:w="280" w:type="dxa"/>
            <w:vAlign w:val="bottom"/>
            <w:tcBorders>
              <w:top w:val="single" w:sz="8" w:color="auto"/>
              <w:bottom w:val="single" w:sz="8" w:color="auto"/>
            </w:tcBorders>
            <w:shd w:val="clear" w:color="auto" w:fill="CFF0FC"/>
          </w:tcPr>
          <w:p>
            <w:pPr>
              <w:spacing w:after="0"/>
              <w:rPr>
                <w:sz w:val="20"/>
                <w:szCs w:val="20"/>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3.8</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r>
      <w:tr>
        <w:trPr>
          <w:trHeight w:val="20"/>
        </w:trPr>
        <w:tc>
          <w:tcPr>
            <w:tcW w:w="52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5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6"/>
        </w:trPr>
        <w:tc>
          <w:tcPr>
            <w:tcW w:w="522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Adjusted ready mixed concrete volume variance</w:t>
            </w:r>
          </w:p>
        </w:tc>
        <w:tc>
          <w:tcPr>
            <w:tcW w:w="1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6"/>
        </w:trPr>
        <w:tc>
          <w:tcPr>
            <w:tcW w:w="5220" w:type="dxa"/>
            <w:vAlign w:val="bottom"/>
            <w:shd w:val="clear" w:color="auto" w:fill="CFF0FC"/>
          </w:tcPr>
          <w:p>
            <w:pPr>
              <w:ind w:left="160"/>
              <w:spacing w:after="0"/>
              <w:rPr>
                <w:sz w:val="20"/>
                <w:szCs w:val="20"/>
                <w:color w:val="auto"/>
              </w:rPr>
            </w:pPr>
            <w:r>
              <w:rPr>
                <w:rFonts w:ascii="Arial" w:cs="Arial" w:eastAsia="Arial" w:hAnsi="Arial"/>
                <w:sz w:val="20"/>
                <w:szCs w:val="20"/>
                <w:color w:val="auto"/>
              </w:rPr>
              <w:t>excluding shipments for the ArkLaTex business</w:t>
            </w:r>
          </w:p>
        </w:tc>
        <w:tc>
          <w:tcPr>
            <w:tcW w:w="1580" w:type="dxa"/>
            <w:vAlign w:val="bottom"/>
            <w:gridSpan w:val="2"/>
            <w:shd w:val="clear" w:color="auto" w:fill="CFF0FC"/>
          </w:tcPr>
          <w:p>
            <w:pPr>
              <w:jc w:val="right"/>
              <w:ind w:right="160"/>
              <w:spacing w:after="0"/>
              <w:rPr>
                <w:sz w:val="20"/>
                <w:szCs w:val="20"/>
                <w:color w:val="auto"/>
              </w:rPr>
            </w:pPr>
            <w:r>
              <w:rPr>
                <w:rFonts w:ascii="Arial" w:cs="Arial" w:eastAsia="Arial" w:hAnsi="Arial"/>
                <w:sz w:val="20"/>
                <w:szCs w:val="20"/>
                <w:color w:val="auto"/>
              </w:rPr>
              <w:t>8.7%</w:t>
            </w:r>
          </w:p>
        </w:tc>
        <w:tc>
          <w:tcPr>
            <w:tcW w:w="26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580" w:type="dxa"/>
            <w:vAlign w:val="bottom"/>
            <w:gridSpan w:val="2"/>
            <w:shd w:val="clear" w:color="auto" w:fill="CFF0FC"/>
          </w:tcPr>
          <w:p>
            <w:pPr>
              <w:jc w:val="right"/>
              <w:ind w:right="160"/>
              <w:spacing w:after="0"/>
              <w:rPr>
                <w:sz w:val="20"/>
                <w:szCs w:val="20"/>
                <w:color w:val="auto"/>
              </w:rPr>
            </w:pPr>
            <w:r>
              <w:rPr>
                <w:rFonts w:ascii="Arial" w:cs="Arial" w:eastAsia="Arial" w:hAnsi="Arial"/>
                <w:sz w:val="20"/>
                <w:szCs w:val="20"/>
                <w:color w:val="auto"/>
              </w:rPr>
              <w:t>0.1%</w:t>
            </w: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0"/>
        </w:trPr>
        <w:tc>
          <w:tcPr>
            <w:tcW w:w="5220" w:type="dxa"/>
            <w:vAlign w:val="bottom"/>
            <w:tcBorders>
              <w:top w:val="single" w:sz="8" w:color="CFF0FC"/>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Arial" w:cs="Arial" w:eastAsia="Arial" w:hAnsi="Arial"/>
          <w:sz w:val="20"/>
          <w:szCs w:val="20"/>
          <w:color w:val="auto"/>
        </w:rPr>
        <w:t>Financial highlights for the quarter ended June 30, 2020 (unless noted, all comparisons are versus the prior-year quarter):</w:t>
      </w:r>
    </w:p>
    <w:p>
      <w:pPr>
        <w:spacing w:after="0" w:line="108" w:lineRule="exact"/>
        <w:rPr>
          <w:sz w:val="20"/>
          <w:szCs w:val="20"/>
          <w:color w:val="auto"/>
        </w:rPr>
      </w:pPr>
    </w:p>
    <w:p>
      <w:pPr>
        <w:ind w:left="740" w:hanging="368"/>
        <w:spacing w:after="0"/>
        <w:tabs>
          <w:tab w:leader="none" w:pos="740" w:val="left"/>
        </w:tabs>
        <w:numPr>
          <w:ilvl w:val="0"/>
          <w:numId w:val="11"/>
        </w:numPr>
        <w:rPr>
          <w:rFonts w:ascii="Arial" w:cs="Arial" w:eastAsia="Arial" w:hAnsi="Arial"/>
          <w:sz w:val="20"/>
          <w:szCs w:val="20"/>
          <w:color w:val="007DC6"/>
        </w:rPr>
      </w:pPr>
      <w:r>
        <w:rPr>
          <w:rFonts w:ascii="Arial" w:cs="Arial" w:eastAsia="Arial" w:hAnsi="Arial"/>
          <w:sz w:val="20"/>
          <w:szCs w:val="20"/>
          <w:color w:val="auto"/>
        </w:rPr>
        <w:t>Consolidated total revenues of $1,270.6 million compared with $1,279.5 million</w:t>
      </w:r>
    </w:p>
    <w:p>
      <w:pPr>
        <w:spacing w:after="0" w:line="15" w:lineRule="exact"/>
        <w:rPr>
          <w:rFonts w:ascii="Arial" w:cs="Arial" w:eastAsia="Arial" w:hAnsi="Arial"/>
          <w:sz w:val="20"/>
          <w:szCs w:val="20"/>
          <w:color w:val="007DC6"/>
        </w:rPr>
      </w:pPr>
    </w:p>
    <w:p>
      <w:pPr>
        <w:ind w:left="740" w:hanging="368"/>
        <w:spacing w:after="0" w:line="239" w:lineRule="auto"/>
        <w:tabs>
          <w:tab w:leader="none" w:pos="740" w:val="left"/>
        </w:tabs>
        <w:numPr>
          <w:ilvl w:val="0"/>
          <w:numId w:val="11"/>
        </w:numPr>
        <w:rPr>
          <w:rFonts w:ascii="Arial" w:cs="Arial" w:eastAsia="Arial" w:hAnsi="Arial"/>
          <w:sz w:val="20"/>
          <w:szCs w:val="20"/>
          <w:color w:val="007DC6"/>
        </w:rPr>
      </w:pPr>
      <w:r>
        <w:rPr>
          <w:rFonts w:ascii="Arial" w:cs="Arial" w:eastAsia="Arial" w:hAnsi="Arial"/>
          <w:sz w:val="20"/>
          <w:szCs w:val="20"/>
          <w:color w:val="auto"/>
        </w:rPr>
        <w:t>Building Materials business products and services revenues of $1,140.6 million compared with $1,125.7 million, and Magnesia Specialties products revenues of $48.9 million compared with $70.4 million</w:t>
      </w:r>
    </w:p>
    <w:p>
      <w:pPr>
        <w:ind w:left="740" w:hanging="368"/>
        <w:spacing w:after="0"/>
        <w:tabs>
          <w:tab w:leader="none" w:pos="740" w:val="left"/>
        </w:tabs>
        <w:numPr>
          <w:ilvl w:val="0"/>
          <w:numId w:val="11"/>
        </w:numPr>
        <w:rPr>
          <w:rFonts w:ascii="Arial" w:cs="Arial" w:eastAsia="Arial" w:hAnsi="Arial"/>
          <w:sz w:val="20"/>
          <w:szCs w:val="20"/>
          <w:color w:val="007DC6"/>
        </w:rPr>
      </w:pPr>
      <w:r>
        <w:rPr>
          <w:rFonts w:ascii="Arial" w:cs="Arial" w:eastAsia="Arial" w:hAnsi="Arial"/>
          <w:sz w:val="20"/>
          <w:szCs w:val="20"/>
          <w:color w:val="auto"/>
        </w:rPr>
        <w:t>Consolidated gross profit of $380.5 million compared with $356.9 million</w:t>
      </w:r>
    </w:p>
    <w:p>
      <w:pPr>
        <w:ind w:left="740" w:hanging="368"/>
        <w:spacing w:after="0"/>
        <w:tabs>
          <w:tab w:leader="none" w:pos="740" w:val="left"/>
        </w:tabs>
        <w:numPr>
          <w:ilvl w:val="0"/>
          <w:numId w:val="11"/>
        </w:numPr>
        <w:rPr>
          <w:rFonts w:ascii="Arial" w:cs="Arial" w:eastAsia="Arial" w:hAnsi="Arial"/>
          <w:sz w:val="20"/>
          <w:szCs w:val="20"/>
          <w:color w:val="007DC6"/>
        </w:rPr>
      </w:pPr>
      <w:r>
        <w:rPr>
          <w:rFonts w:ascii="Arial" w:cs="Arial" w:eastAsia="Arial" w:hAnsi="Arial"/>
          <w:sz w:val="20"/>
          <w:szCs w:val="20"/>
          <w:color w:val="auto"/>
        </w:rPr>
        <w:t>Consolidated earnings from operations of $306.4 million compared with $285.9 million</w:t>
      </w:r>
    </w:p>
    <w:p>
      <w:pPr>
        <w:ind w:left="740" w:hanging="368"/>
        <w:spacing w:after="0"/>
        <w:tabs>
          <w:tab w:leader="none" w:pos="740" w:val="left"/>
        </w:tabs>
        <w:numPr>
          <w:ilvl w:val="0"/>
          <w:numId w:val="11"/>
        </w:numPr>
        <w:rPr>
          <w:rFonts w:ascii="Arial" w:cs="Arial" w:eastAsia="Arial" w:hAnsi="Arial"/>
          <w:sz w:val="20"/>
          <w:szCs w:val="20"/>
          <w:color w:val="007DC6"/>
        </w:rPr>
      </w:pPr>
      <w:r>
        <w:rPr>
          <w:rFonts w:ascii="Arial" w:cs="Arial" w:eastAsia="Arial" w:hAnsi="Arial"/>
          <w:sz w:val="20"/>
          <w:szCs w:val="20"/>
          <w:color w:val="auto"/>
        </w:rPr>
        <w:t>Net earnings attributable to Martin Marietta of $217.6 million compared with $189.5 million</w:t>
      </w:r>
    </w:p>
    <w:p>
      <w:pPr>
        <w:ind w:left="740" w:hanging="368"/>
        <w:spacing w:after="0"/>
        <w:tabs>
          <w:tab w:leader="none" w:pos="740" w:val="left"/>
        </w:tabs>
        <w:numPr>
          <w:ilvl w:val="0"/>
          <w:numId w:val="11"/>
        </w:numPr>
        <w:rPr>
          <w:rFonts w:ascii="Arial" w:cs="Arial" w:eastAsia="Arial" w:hAnsi="Arial"/>
          <w:sz w:val="20"/>
          <w:szCs w:val="20"/>
          <w:color w:val="007DC6"/>
        </w:rPr>
      </w:pPr>
      <w:r>
        <w:rPr>
          <w:rFonts w:ascii="Arial" w:cs="Arial" w:eastAsia="Arial" w:hAnsi="Arial"/>
          <w:sz w:val="20"/>
          <w:szCs w:val="20"/>
          <w:color w:val="auto"/>
        </w:rPr>
        <w:t>Consolidated Adjusted EBITDA of $407.0 million compared with $378.5 million</w:t>
      </w:r>
    </w:p>
    <w:p>
      <w:pPr>
        <w:ind w:left="740" w:hanging="368"/>
        <w:spacing w:after="0"/>
        <w:tabs>
          <w:tab w:leader="none" w:pos="740" w:val="left"/>
        </w:tabs>
        <w:numPr>
          <w:ilvl w:val="0"/>
          <w:numId w:val="11"/>
        </w:numPr>
        <w:rPr>
          <w:rFonts w:ascii="Arial" w:cs="Arial" w:eastAsia="Arial" w:hAnsi="Arial"/>
          <w:sz w:val="20"/>
          <w:szCs w:val="20"/>
          <w:color w:val="007DC6"/>
        </w:rPr>
      </w:pPr>
      <w:r>
        <w:rPr>
          <w:rFonts w:ascii="Arial" w:cs="Arial" w:eastAsia="Arial" w:hAnsi="Arial"/>
          <w:sz w:val="20"/>
          <w:szCs w:val="20"/>
          <w:color w:val="auto"/>
        </w:rPr>
        <w:t>Earnings per diluted share of $3.49 compared with $3.01</w:t>
      </w:r>
    </w:p>
    <w:p>
      <w:pPr>
        <w:spacing w:after="0" w:line="92"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 following tables present total revenues, gross profit (loss), selling, general and administrative (SG&amp;A) expenses and earnings (loss) from operations data for the Company and its reportable segments by product line for the three months ended June 30, 2020 and 2019. In each case, the data is stated as a percentage of revenues of the Company or the relevant segment or product line, as the case may be. Prior-year segment information has been reclassified to conform to the operations and management reporting structure change effective January 1, 2020 (see Note 1 to financial statements).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26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June 30, 2020</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Second Quarter Ended June 30, 2020</w:t>
      </w:r>
    </w:p>
    <w:p>
      <w:pPr>
        <w:jc w:val="center"/>
        <w:spacing w:after="0"/>
        <w:rPr>
          <w:sz w:val="20"/>
          <w:szCs w:val="20"/>
          <w:color w:val="auto"/>
        </w:rPr>
      </w:pPr>
      <w:r>
        <w:rPr>
          <w:rFonts w:ascii="Arial" w:cs="Arial" w:eastAsia="Arial" w:hAnsi="Arial"/>
          <w:sz w:val="20"/>
          <w:szCs w:val="20"/>
          <w:color w:val="auto"/>
        </w:rPr>
        <w:t>(Continued)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9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3240" w:type="dxa"/>
            <w:vAlign w:val="bottom"/>
            <w:tcBorders>
              <w:bottom w:val="single" w:sz="8" w:color="auto"/>
            </w:tcBorders>
            <w:gridSpan w:val="6"/>
          </w:tcPr>
          <w:p>
            <w:pPr>
              <w:jc w:val="right"/>
              <w:ind w:right="660"/>
              <w:spacing w:after="0"/>
              <w:rPr>
                <w:sz w:val="20"/>
                <w:szCs w:val="20"/>
                <w:color w:val="auto"/>
              </w:rPr>
            </w:pPr>
            <w:r>
              <w:rPr>
                <w:rFonts w:ascii="Arial" w:cs="Arial" w:eastAsia="Arial" w:hAnsi="Arial"/>
                <w:sz w:val="20"/>
                <w:szCs w:val="20"/>
                <w:color w:val="auto"/>
                <w:w w:val="95"/>
              </w:rPr>
              <w:t>Three Months Ended June 30,</w:t>
            </w:r>
          </w:p>
        </w:tc>
        <w:tc>
          <w:tcPr>
            <w:tcW w:w="12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r>
      <w:tr>
        <w:trPr>
          <w:trHeight w:val="237"/>
        </w:trPr>
        <w:tc>
          <w:tcPr>
            <w:tcW w:w="49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20"/>
                <w:szCs w:val="20"/>
                <w:color w:val="auto"/>
              </w:rPr>
              <w:t>2020</w:t>
            </w:r>
          </w:p>
        </w:tc>
        <w:tc>
          <w:tcPr>
            <w:tcW w:w="130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20"/>
                <w:szCs w:val="20"/>
                <w:color w:val="auto"/>
              </w:rPr>
              <w:t>2019</w:t>
            </w:r>
          </w:p>
        </w:tc>
        <w:tc>
          <w:tcPr>
            <w:tcW w:w="12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36"/>
        </w:trPr>
        <w:tc>
          <w:tcPr>
            <w:tcW w:w="49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2"/>
          </w:tcPr>
          <w:p>
            <w:pPr>
              <w:jc w:val="right"/>
              <w:ind w:right="720"/>
              <w:spacing w:after="0"/>
              <w:rPr>
                <w:sz w:val="20"/>
                <w:szCs w:val="20"/>
                <w:color w:val="auto"/>
              </w:rPr>
            </w:pPr>
            <w:r>
              <w:rPr>
                <w:rFonts w:ascii="Arial" w:cs="Arial" w:eastAsia="Arial" w:hAnsi="Arial"/>
                <w:sz w:val="20"/>
                <w:szCs w:val="20"/>
                <w:color w:val="auto"/>
              </w:rPr>
              <w:t>Amount</w:t>
            </w:r>
          </w:p>
        </w:tc>
        <w:tc>
          <w:tcPr>
            <w:tcW w:w="130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w w:val="92"/>
              </w:rPr>
              <w:t>% of Revenues</w:t>
            </w:r>
          </w:p>
        </w:tc>
        <w:tc>
          <w:tcPr>
            <w:tcW w:w="260" w:type="dxa"/>
            <w:vAlign w:val="bottom"/>
            <w:tcBorders>
              <w:bottom w:val="single" w:sz="8" w:color="auto"/>
            </w:tcBorders>
            <w:gridSpan w:val="2"/>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2"/>
          </w:tcPr>
          <w:p>
            <w:pPr>
              <w:jc w:val="right"/>
              <w:ind w:right="700"/>
              <w:spacing w:after="0"/>
              <w:rPr>
                <w:sz w:val="20"/>
                <w:szCs w:val="20"/>
                <w:color w:val="auto"/>
              </w:rPr>
            </w:pPr>
            <w:r>
              <w:rPr>
                <w:rFonts w:ascii="Arial" w:cs="Arial" w:eastAsia="Arial" w:hAnsi="Arial"/>
                <w:sz w:val="20"/>
                <w:szCs w:val="20"/>
                <w:color w:val="auto"/>
              </w:rPr>
              <w:t>Amount</w:t>
            </w:r>
          </w:p>
        </w:tc>
        <w:tc>
          <w:tcPr>
            <w:tcW w:w="128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92"/>
              </w:rPr>
              <w:t>% of Revenues</w:t>
            </w:r>
          </w:p>
        </w:tc>
        <w:tc>
          <w:tcPr>
            <w:tcW w:w="120" w:type="dxa"/>
            <w:vAlign w:val="bottom"/>
          </w:tcPr>
          <w:p>
            <w:pPr>
              <w:spacing w:after="0"/>
              <w:rPr>
                <w:sz w:val="20"/>
                <w:szCs w:val="20"/>
                <w:color w:val="auto"/>
              </w:rPr>
            </w:pPr>
          </w:p>
        </w:tc>
      </w:tr>
      <w:tr>
        <w:trPr>
          <w:trHeight w:val="237"/>
        </w:trPr>
        <w:tc>
          <w:tcPr>
            <w:tcW w:w="4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40" w:type="dxa"/>
            <w:vAlign w:val="bottom"/>
            <w:gridSpan w:val="6"/>
          </w:tcPr>
          <w:p>
            <w:pPr>
              <w:jc w:val="right"/>
              <w:ind w:right="1020"/>
              <w:spacing w:after="0"/>
              <w:rPr>
                <w:sz w:val="20"/>
                <w:szCs w:val="20"/>
                <w:color w:val="auto"/>
              </w:rPr>
            </w:pPr>
            <w:r>
              <w:rPr>
                <w:rFonts w:ascii="Arial" w:cs="Arial" w:eastAsia="Arial" w:hAnsi="Arial"/>
                <w:sz w:val="20"/>
                <w:szCs w:val="20"/>
                <w:i w:val="1"/>
                <w:iCs w:val="1"/>
                <w:color w:val="auto"/>
              </w:rPr>
              <w:t>(Dollars in Millions)</w:t>
            </w: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3"/>
        </w:trPr>
        <w:tc>
          <w:tcPr>
            <w:tcW w:w="4900" w:type="dxa"/>
            <w:vAlign w:val="bottom"/>
            <w:shd w:val="clear" w:color="auto" w:fill="CFF0FC"/>
          </w:tcPr>
          <w:p>
            <w:pPr>
              <w:spacing w:after="0"/>
              <w:rPr>
                <w:sz w:val="20"/>
                <w:szCs w:val="20"/>
                <w:color w:val="auto"/>
              </w:rPr>
            </w:pPr>
            <w:r>
              <w:rPr>
                <w:rFonts w:ascii="Arial" w:cs="Arial" w:eastAsia="Arial" w:hAnsi="Arial"/>
                <w:sz w:val="20"/>
                <w:szCs w:val="20"/>
                <w:b w:val="1"/>
                <w:bCs w:val="1"/>
                <w:color w:val="auto"/>
              </w:rPr>
              <w:t>Total revenues:</w:t>
            </w:r>
          </w:p>
        </w:tc>
        <w:tc>
          <w:tcPr>
            <w:tcW w:w="22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243"/>
        </w:trPr>
        <w:tc>
          <w:tcPr>
            <w:tcW w:w="4900" w:type="dxa"/>
            <w:vAlign w:val="bottom"/>
          </w:tcPr>
          <w:p>
            <w:pPr>
              <w:spacing w:after="0"/>
              <w:rPr>
                <w:sz w:val="20"/>
                <w:szCs w:val="20"/>
                <w:color w:val="auto"/>
              </w:rPr>
            </w:pPr>
            <w:r>
              <w:rPr>
                <w:rFonts w:ascii="Arial" w:cs="Arial" w:eastAsia="Arial" w:hAnsi="Arial"/>
                <w:sz w:val="20"/>
                <w:szCs w:val="20"/>
                <w:color w:val="auto"/>
              </w:rPr>
              <w:t>Building Materials Business:</w:t>
            </w: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3"/>
        </w:trPr>
        <w:tc>
          <w:tcPr>
            <w:tcW w:w="4900" w:type="dxa"/>
            <w:vAlign w:val="bottom"/>
            <w:shd w:val="clear" w:color="auto" w:fill="CFF0FC"/>
          </w:tcPr>
          <w:p>
            <w:pPr>
              <w:ind w:left="140"/>
              <w:spacing w:after="0"/>
              <w:rPr>
                <w:sz w:val="20"/>
                <w:szCs w:val="20"/>
                <w:color w:val="auto"/>
              </w:rPr>
            </w:pPr>
            <w:r>
              <w:rPr>
                <w:rFonts w:ascii="Arial" w:cs="Arial" w:eastAsia="Arial" w:hAnsi="Arial"/>
                <w:sz w:val="20"/>
                <w:szCs w:val="20"/>
                <w:color w:val="auto"/>
              </w:rPr>
              <w:t>Products and services</w:t>
            </w:r>
          </w:p>
        </w:tc>
        <w:tc>
          <w:tcPr>
            <w:tcW w:w="22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243"/>
        </w:trPr>
        <w:tc>
          <w:tcPr>
            <w:tcW w:w="4900" w:type="dxa"/>
            <w:vAlign w:val="bottom"/>
          </w:tcPr>
          <w:p>
            <w:pPr>
              <w:ind w:left="380"/>
              <w:spacing w:after="0"/>
              <w:rPr>
                <w:sz w:val="20"/>
                <w:szCs w:val="20"/>
                <w:color w:val="auto"/>
              </w:rPr>
            </w:pPr>
            <w:r>
              <w:rPr>
                <w:rFonts w:ascii="Arial" w:cs="Arial" w:eastAsia="Arial" w:hAnsi="Arial"/>
                <w:sz w:val="20"/>
                <w:szCs w:val="20"/>
                <w:color w:val="auto"/>
              </w:rPr>
              <w:t>Mid-America Group</w:t>
            </w: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3"/>
        </w:trPr>
        <w:tc>
          <w:tcPr>
            <w:tcW w:w="4900" w:type="dxa"/>
            <w:vAlign w:val="bottom"/>
            <w:shd w:val="clear" w:color="auto" w:fill="CFF0FC"/>
          </w:tcPr>
          <w:p>
            <w:pPr>
              <w:ind w:left="620"/>
              <w:spacing w:after="0"/>
              <w:rPr>
                <w:sz w:val="20"/>
                <w:szCs w:val="20"/>
                <w:color w:val="auto"/>
              </w:rPr>
            </w:pPr>
            <w:r>
              <w:rPr>
                <w:rFonts w:ascii="Arial" w:cs="Arial" w:eastAsia="Arial" w:hAnsi="Arial"/>
                <w:sz w:val="20"/>
                <w:szCs w:val="20"/>
                <w:color w:val="auto"/>
              </w:rPr>
              <w:t>Aggregates</w:t>
            </w:r>
          </w:p>
        </w:tc>
        <w:tc>
          <w:tcPr>
            <w:tcW w:w="2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362.9</w:t>
            </w:r>
          </w:p>
        </w:tc>
        <w:tc>
          <w:tcPr>
            <w:tcW w:w="360" w:type="dxa"/>
            <w:vAlign w:val="bottom"/>
            <w:shd w:val="clear" w:color="auto" w:fill="CFF0FC"/>
          </w:tcPr>
          <w:p>
            <w:pPr>
              <w:spacing w:after="0"/>
              <w:rPr>
                <w:sz w:val="21"/>
                <w:szCs w:val="21"/>
                <w:color w:val="auto"/>
              </w:rPr>
            </w:pPr>
          </w:p>
        </w:tc>
        <w:tc>
          <w:tcPr>
            <w:tcW w:w="1780" w:type="dxa"/>
            <w:vAlign w:val="bottom"/>
            <w:gridSpan w:val="4"/>
            <w:shd w:val="clear" w:color="auto" w:fill="CFF0FC"/>
          </w:tcPr>
          <w:p>
            <w:pPr>
              <w:jc w:val="right"/>
              <w:ind w:right="63"/>
              <w:spacing w:after="0"/>
              <w:rPr>
                <w:sz w:val="20"/>
                <w:szCs w:val="20"/>
                <w:color w:val="auto"/>
              </w:rPr>
            </w:pPr>
            <w:r>
              <w:rPr>
                <w:rFonts w:ascii="Arial" w:cs="Arial" w:eastAsia="Arial" w:hAnsi="Arial"/>
                <w:sz w:val="20"/>
                <w:szCs w:val="20"/>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381.9</w:t>
            </w:r>
          </w:p>
        </w:tc>
        <w:tc>
          <w:tcPr>
            <w:tcW w:w="32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243"/>
        </w:trPr>
        <w:tc>
          <w:tcPr>
            <w:tcW w:w="4900" w:type="dxa"/>
            <w:vAlign w:val="bottom"/>
          </w:tcPr>
          <w:p>
            <w:pPr>
              <w:ind w:left="380"/>
              <w:spacing w:after="0"/>
              <w:rPr>
                <w:sz w:val="20"/>
                <w:szCs w:val="20"/>
                <w:color w:val="auto"/>
              </w:rPr>
            </w:pPr>
            <w:r>
              <w:rPr>
                <w:rFonts w:ascii="Arial" w:cs="Arial" w:eastAsia="Arial" w:hAnsi="Arial"/>
                <w:sz w:val="20"/>
                <w:szCs w:val="20"/>
                <w:color w:val="auto"/>
              </w:rPr>
              <w:t>Southeast Group</w:t>
            </w: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3"/>
        </w:trPr>
        <w:tc>
          <w:tcPr>
            <w:tcW w:w="4900" w:type="dxa"/>
            <w:vAlign w:val="bottom"/>
            <w:shd w:val="clear" w:color="auto" w:fill="CFF0FC"/>
          </w:tcPr>
          <w:p>
            <w:pPr>
              <w:ind w:left="620"/>
              <w:spacing w:after="0"/>
              <w:rPr>
                <w:sz w:val="20"/>
                <w:szCs w:val="20"/>
                <w:color w:val="auto"/>
              </w:rPr>
            </w:pPr>
            <w:r>
              <w:rPr>
                <w:rFonts w:ascii="Arial" w:cs="Arial" w:eastAsia="Arial" w:hAnsi="Arial"/>
                <w:sz w:val="20"/>
                <w:szCs w:val="20"/>
                <w:color w:val="auto"/>
              </w:rPr>
              <w:t>Aggregates</w:t>
            </w:r>
          </w:p>
        </w:tc>
        <w:tc>
          <w:tcPr>
            <w:tcW w:w="2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136.8</w:t>
            </w:r>
          </w:p>
        </w:tc>
        <w:tc>
          <w:tcPr>
            <w:tcW w:w="36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132.0</w:t>
            </w:r>
          </w:p>
        </w:tc>
        <w:tc>
          <w:tcPr>
            <w:tcW w:w="32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243"/>
        </w:trPr>
        <w:tc>
          <w:tcPr>
            <w:tcW w:w="4900" w:type="dxa"/>
            <w:vAlign w:val="bottom"/>
          </w:tcPr>
          <w:p>
            <w:pPr>
              <w:ind w:left="380"/>
              <w:spacing w:after="0"/>
              <w:rPr>
                <w:sz w:val="20"/>
                <w:szCs w:val="20"/>
                <w:color w:val="auto"/>
              </w:rPr>
            </w:pPr>
            <w:r>
              <w:rPr>
                <w:rFonts w:ascii="Arial" w:cs="Arial" w:eastAsia="Arial" w:hAnsi="Arial"/>
                <w:sz w:val="20"/>
                <w:szCs w:val="20"/>
                <w:color w:val="auto"/>
              </w:rPr>
              <w:t>West Group</w:t>
            </w: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3"/>
        </w:trPr>
        <w:tc>
          <w:tcPr>
            <w:tcW w:w="4900" w:type="dxa"/>
            <w:vAlign w:val="bottom"/>
            <w:shd w:val="clear" w:color="auto" w:fill="CFF0FC"/>
          </w:tcPr>
          <w:p>
            <w:pPr>
              <w:ind w:left="620"/>
              <w:spacing w:after="0"/>
              <w:rPr>
                <w:sz w:val="20"/>
                <w:szCs w:val="20"/>
                <w:color w:val="auto"/>
              </w:rPr>
            </w:pPr>
            <w:r>
              <w:rPr>
                <w:rFonts w:ascii="Arial" w:cs="Arial" w:eastAsia="Arial" w:hAnsi="Arial"/>
                <w:sz w:val="20"/>
                <w:szCs w:val="20"/>
                <w:color w:val="auto"/>
              </w:rPr>
              <w:t>Aggregates</w:t>
            </w:r>
          </w:p>
        </w:tc>
        <w:tc>
          <w:tcPr>
            <w:tcW w:w="2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255.2</w:t>
            </w:r>
          </w:p>
        </w:tc>
        <w:tc>
          <w:tcPr>
            <w:tcW w:w="36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243.9</w:t>
            </w:r>
          </w:p>
        </w:tc>
        <w:tc>
          <w:tcPr>
            <w:tcW w:w="32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243"/>
        </w:trPr>
        <w:tc>
          <w:tcPr>
            <w:tcW w:w="4900" w:type="dxa"/>
            <w:vAlign w:val="bottom"/>
          </w:tcPr>
          <w:p>
            <w:pPr>
              <w:ind w:left="620"/>
              <w:spacing w:after="0"/>
              <w:rPr>
                <w:sz w:val="20"/>
                <w:szCs w:val="20"/>
                <w:color w:val="auto"/>
              </w:rPr>
            </w:pPr>
            <w:r>
              <w:rPr>
                <w:rFonts w:ascii="Arial" w:cs="Arial" w:eastAsia="Arial" w:hAnsi="Arial"/>
                <w:sz w:val="20"/>
                <w:szCs w:val="20"/>
                <w:color w:val="auto"/>
              </w:rPr>
              <w:t>Cement</w:t>
            </w: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109.5</w:t>
            </w:r>
          </w:p>
        </w:tc>
        <w:tc>
          <w:tcPr>
            <w:tcW w:w="3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112.3</w:t>
            </w: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3"/>
        </w:trPr>
        <w:tc>
          <w:tcPr>
            <w:tcW w:w="4900" w:type="dxa"/>
            <w:vAlign w:val="bottom"/>
            <w:shd w:val="clear" w:color="auto" w:fill="CFF0FC"/>
          </w:tcPr>
          <w:p>
            <w:pPr>
              <w:ind w:left="620"/>
              <w:spacing w:after="0"/>
              <w:rPr>
                <w:sz w:val="20"/>
                <w:szCs w:val="20"/>
                <w:color w:val="auto"/>
              </w:rPr>
            </w:pPr>
            <w:r>
              <w:rPr>
                <w:rFonts w:ascii="Arial" w:cs="Arial" w:eastAsia="Arial" w:hAnsi="Arial"/>
                <w:sz w:val="20"/>
                <w:szCs w:val="20"/>
                <w:color w:val="auto"/>
              </w:rPr>
              <w:t>Ready mixed concrete</w:t>
            </w:r>
          </w:p>
        </w:tc>
        <w:tc>
          <w:tcPr>
            <w:tcW w:w="2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245.1</w:t>
            </w:r>
          </w:p>
        </w:tc>
        <w:tc>
          <w:tcPr>
            <w:tcW w:w="36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241.2</w:t>
            </w:r>
          </w:p>
        </w:tc>
        <w:tc>
          <w:tcPr>
            <w:tcW w:w="32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243"/>
        </w:trPr>
        <w:tc>
          <w:tcPr>
            <w:tcW w:w="4900" w:type="dxa"/>
            <w:vAlign w:val="bottom"/>
          </w:tcPr>
          <w:p>
            <w:pPr>
              <w:ind w:left="620"/>
              <w:spacing w:after="0"/>
              <w:rPr>
                <w:sz w:val="20"/>
                <w:szCs w:val="20"/>
                <w:color w:val="auto"/>
              </w:rPr>
            </w:pPr>
            <w:r>
              <w:rPr>
                <w:rFonts w:ascii="Arial" w:cs="Arial" w:eastAsia="Arial" w:hAnsi="Arial"/>
                <w:sz w:val="20"/>
                <w:szCs w:val="20"/>
                <w:color w:val="auto"/>
              </w:rPr>
              <w:t>Asphalt and paving</w:t>
            </w: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107.0</w:t>
            </w:r>
          </w:p>
        </w:tc>
        <w:tc>
          <w:tcPr>
            <w:tcW w:w="3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82.2</w:t>
            </w: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3"/>
        </w:trPr>
        <w:tc>
          <w:tcPr>
            <w:tcW w:w="4900" w:type="dxa"/>
            <w:vAlign w:val="bottom"/>
            <w:shd w:val="clear" w:color="auto" w:fill="CFF0FC"/>
          </w:tcPr>
          <w:p>
            <w:pPr>
              <w:ind w:left="380"/>
              <w:spacing w:after="0"/>
              <w:rPr>
                <w:sz w:val="20"/>
                <w:szCs w:val="20"/>
                <w:color w:val="auto"/>
              </w:rPr>
            </w:pPr>
            <w:r>
              <w:rPr>
                <w:rFonts w:ascii="Arial" w:cs="Arial" w:eastAsia="Arial" w:hAnsi="Arial"/>
                <w:sz w:val="20"/>
                <w:szCs w:val="20"/>
                <w:color w:val="auto"/>
              </w:rPr>
              <w:t>Less: Interproduct revenues</w:t>
            </w:r>
          </w:p>
        </w:tc>
        <w:tc>
          <w:tcPr>
            <w:tcW w:w="22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80"/>
              <w:spacing w:after="0"/>
              <w:rPr>
                <w:sz w:val="20"/>
                <w:szCs w:val="20"/>
                <w:color w:val="auto"/>
              </w:rPr>
            </w:pPr>
            <w:r>
              <w:rPr>
                <w:rFonts w:ascii="Arial" w:cs="Arial" w:eastAsia="Arial" w:hAnsi="Arial"/>
                <w:sz w:val="20"/>
                <w:szCs w:val="20"/>
                <w:color w:val="auto"/>
              </w:rPr>
              <w:t>(75.9)</w:t>
            </w:r>
          </w:p>
        </w:tc>
        <w:tc>
          <w:tcPr>
            <w:tcW w:w="1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260"/>
              <w:spacing w:after="0"/>
              <w:rPr>
                <w:sz w:val="20"/>
                <w:szCs w:val="20"/>
                <w:color w:val="auto"/>
              </w:rPr>
            </w:pPr>
            <w:r>
              <w:rPr>
                <w:rFonts w:ascii="Arial" w:cs="Arial" w:eastAsia="Arial" w:hAnsi="Arial"/>
                <w:sz w:val="20"/>
                <w:szCs w:val="20"/>
                <w:color w:val="auto"/>
              </w:rPr>
              <w:t>(67.8)</w:t>
            </w:r>
          </w:p>
        </w:tc>
        <w:tc>
          <w:tcPr>
            <w:tcW w:w="1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237"/>
        </w:trPr>
        <w:tc>
          <w:tcPr>
            <w:tcW w:w="4900" w:type="dxa"/>
            <w:vAlign w:val="bottom"/>
            <w:tcBorders>
              <w:bottom w:val="single" w:sz="8" w:color="CFF0FC"/>
            </w:tcBorders>
          </w:tcPr>
          <w:p>
            <w:pPr>
              <w:ind w:left="380"/>
              <w:spacing w:after="0"/>
              <w:rPr>
                <w:sz w:val="20"/>
                <w:szCs w:val="20"/>
                <w:color w:val="auto"/>
              </w:rPr>
            </w:pPr>
            <w:r>
              <w:rPr>
                <w:rFonts w:ascii="Arial" w:cs="Arial" w:eastAsia="Arial" w:hAnsi="Arial"/>
                <w:sz w:val="20"/>
                <w:szCs w:val="20"/>
                <w:color w:val="auto"/>
              </w:rPr>
              <w:t>West Group Total</w:t>
            </w:r>
          </w:p>
        </w:tc>
        <w:tc>
          <w:tcPr>
            <w:tcW w:w="22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640.9</w:t>
            </w:r>
          </w:p>
        </w:tc>
        <w:tc>
          <w:tcPr>
            <w:tcW w:w="360" w:type="dxa"/>
            <w:vAlign w:val="bottom"/>
            <w:tcBorders>
              <w:bottom w:val="single" w:sz="8" w:color="CFF0FC"/>
            </w:tcBorders>
          </w:tcPr>
          <w:p>
            <w:pPr>
              <w:spacing w:after="0"/>
              <w:rPr>
                <w:sz w:val="20"/>
                <w:szCs w:val="20"/>
                <w:color w:val="auto"/>
              </w:rPr>
            </w:pPr>
          </w:p>
        </w:tc>
        <w:tc>
          <w:tcPr>
            <w:tcW w:w="1300" w:type="dxa"/>
            <w:vAlign w:val="bottom"/>
            <w:tcBorders>
              <w:bottom w:val="single" w:sz="8" w:color="CFF0FC"/>
            </w:tcBorders>
          </w:tcPr>
          <w:p>
            <w:pPr>
              <w:spacing w:after="0"/>
              <w:rPr>
                <w:sz w:val="20"/>
                <w:szCs w:val="20"/>
                <w:color w:val="auto"/>
              </w:rPr>
            </w:pPr>
          </w:p>
        </w:tc>
        <w:tc>
          <w:tcPr>
            <w:tcW w:w="24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611.8</w:t>
            </w:r>
          </w:p>
        </w:tc>
        <w:tc>
          <w:tcPr>
            <w:tcW w:w="320" w:type="dxa"/>
            <w:vAlign w:val="bottom"/>
            <w:tcBorders>
              <w:bottom w:val="single" w:sz="8" w:color="CFF0FC"/>
            </w:tcBorders>
          </w:tcPr>
          <w:p>
            <w:pPr>
              <w:spacing w:after="0"/>
              <w:rPr>
                <w:sz w:val="20"/>
                <w:szCs w:val="20"/>
                <w:color w:val="auto"/>
              </w:rPr>
            </w:pPr>
          </w:p>
        </w:tc>
        <w:tc>
          <w:tcPr>
            <w:tcW w:w="1280" w:type="dxa"/>
            <w:vAlign w:val="bottom"/>
            <w:tcBorders>
              <w:bottom w:val="single" w:sz="8" w:color="CFF0FC"/>
            </w:tcBorders>
          </w:tcPr>
          <w:p>
            <w:pPr>
              <w:spacing w:after="0"/>
              <w:rPr>
                <w:sz w:val="20"/>
                <w:szCs w:val="20"/>
                <w:color w:val="auto"/>
              </w:rPr>
            </w:pPr>
          </w:p>
        </w:tc>
        <w:tc>
          <w:tcPr>
            <w:tcW w:w="120" w:type="dxa"/>
            <w:vAlign w:val="bottom"/>
            <w:tcBorders>
              <w:bottom w:val="single" w:sz="8" w:color="CFF0FC"/>
            </w:tcBorders>
          </w:tcPr>
          <w:p>
            <w:pPr>
              <w:spacing w:after="0"/>
              <w:rPr>
                <w:sz w:val="20"/>
                <w:szCs w:val="20"/>
                <w:color w:val="auto"/>
              </w:rPr>
            </w:pPr>
          </w:p>
        </w:tc>
      </w:tr>
      <w:tr>
        <w:trPr>
          <w:trHeight w:val="236"/>
        </w:trPr>
        <w:tc>
          <w:tcPr>
            <w:tcW w:w="4900" w:type="dxa"/>
            <w:vAlign w:val="bottom"/>
            <w:shd w:val="clear" w:color="auto" w:fill="CFF0FC"/>
          </w:tcPr>
          <w:p>
            <w:pPr>
              <w:ind w:left="140"/>
              <w:spacing w:after="0"/>
              <w:rPr>
                <w:sz w:val="20"/>
                <w:szCs w:val="20"/>
                <w:color w:val="auto"/>
              </w:rPr>
            </w:pPr>
            <w:r>
              <w:rPr>
                <w:rFonts w:ascii="Arial" w:cs="Arial" w:eastAsia="Arial" w:hAnsi="Arial"/>
                <w:sz w:val="20"/>
                <w:szCs w:val="20"/>
                <w:color w:val="auto"/>
              </w:rPr>
              <w:t>Products and services</w:t>
            </w:r>
          </w:p>
        </w:tc>
        <w:tc>
          <w:tcPr>
            <w:tcW w:w="22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1,140.6</w:t>
            </w:r>
          </w:p>
        </w:tc>
        <w:tc>
          <w:tcPr>
            <w:tcW w:w="36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1,125.7</w:t>
            </w:r>
          </w:p>
        </w:tc>
        <w:tc>
          <w:tcPr>
            <w:tcW w:w="32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43"/>
        </w:trPr>
        <w:tc>
          <w:tcPr>
            <w:tcW w:w="4900" w:type="dxa"/>
            <w:vAlign w:val="bottom"/>
            <w:tcBorders>
              <w:bottom w:val="single" w:sz="8" w:color="CFF0FC"/>
            </w:tcBorders>
          </w:tcPr>
          <w:p>
            <w:pPr>
              <w:ind w:left="140"/>
              <w:spacing w:after="0"/>
              <w:rPr>
                <w:sz w:val="20"/>
                <w:szCs w:val="20"/>
                <w:color w:val="auto"/>
              </w:rPr>
            </w:pPr>
            <w:r>
              <w:rPr>
                <w:rFonts w:ascii="Arial" w:cs="Arial" w:eastAsia="Arial" w:hAnsi="Arial"/>
                <w:sz w:val="20"/>
                <w:szCs w:val="20"/>
                <w:color w:val="auto"/>
              </w:rPr>
              <w:t>Freight</w:t>
            </w:r>
          </w:p>
        </w:tc>
        <w:tc>
          <w:tcPr>
            <w:tcW w:w="2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76.4</w:t>
            </w:r>
          </w:p>
        </w:tc>
        <w:tc>
          <w:tcPr>
            <w:tcW w:w="360" w:type="dxa"/>
            <w:vAlign w:val="bottom"/>
            <w:tcBorders>
              <w:bottom w:val="single" w:sz="8" w:color="CFF0FC"/>
            </w:tcBorders>
          </w:tcPr>
          <w:p>
            <w:pPr>
              <w:spacing w:after="0"/>
              <w:rPr>
                <w:sz w:val="21"/>
                <w:szCs w:val="21"/>
                <w:color w:val="auto"/>
              </w:rPr>
            </w:pPr>
          </w:p>
        </w:tc>
        <w:tc>
          <w:tcPr>
            <w:tcW w:w="1300" w:type="dxa"/>
            <w:vAlign w:val="bottom"/>
            <w:tcBorders>
              <w:bottom w:val="single" w:sz="8" w:color="CFF0FC"/>
            </w:tcBorders>
          </w:tcPr>
          <w:p>
            <w:pPr>
              <w:spacing w:after="0"/>
              <w:rPr>
                <w:sz w:val="21"/>
                <w:szCs w:val="21"/>
                <w:color w:val="auto"/>
              </w:rPr>
            </w:pPr>
          </w:p>
        </w:tc>
        <w:tc>
          <w:tcPr>
            <w:tcW w:w="24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77.5</w:t>
            </w:r>
          </w:p>
        </w:tc>
        <w:tc>
          <w:tcPr>
            <w:tcW w:w="320" w:type="dxa"/>
            <w:vAlign w:val="bottom"/>
            <w:tcBorders>
              <w:bottom w:val="single" w:sz="8" w:color="CFF0FC"/>
            </w:tcBorders>
          </w:tcPr>
          <w:p>
            <w:pPr>
              <w:spacing w:after="0"/>
              <w:rPr>
                <w:sz w:val="21"/>
                <w:szCs w:val="21"/>
                <w:color w:val="auto"/>
              </w:rPr>
            </w:pPr>
          </w:p>
        </w:tc>
        <w:tc>
          <w:tcPr>
            <w:tcW w:w="1280" w:type="dxa"/>
            <w:vAlign w:val="bottom"/>
            <w:tcBorders>
              <w:bottom w:val="single" w:sz="8" w:color="CFF0FC"/>
            </w:tcBorders>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r>
      <w:tr>
        <w:trPr>
          <w:trHeight w:val="236"/>
        </w:trPr>
        <w:tc>
          <w:tcPr>
            <w:tcW w:w="4900" w:type="dxa"/>
            <w:vAlign w:val="bottom"/>
            <w:shd w:val="clear" w:color="auto" w:fill="CFF0FC"/>
          </w:tcPr>
          <w:p>
            <w:pPr>
              <w:spacing w:after="0"/>
              <w:rPr>
                <w:sz w:val="20"/>
                <w:szCs w:val="20"/>
                <w:color w:val="auto"/>
              </w:rPr>
            </w:pPr>
            <w:r>
              <w:rPr>
                <w:rFonts w:ascii="Arial" w:cs="Arial" w:eastAsia="Arial" w:hAnsi="Arial"/>
                <w:sz w:val="20"/>
                <w:szCs w:val="20"/>
                <w:color w:val="auto"/>
              </w:rPr>
              <w:t>Total Building Materials Business</w:t>
            </w:r>
          </w:p>
        </w:tc>
        <w:tc>
          <w:tcPr>
            <w:tcW w:w="22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1,217.0</w:t>
            </w:r>
          </w:p>
        </w:tc>
        <w:tc>
          <w:tcPr>
            <w:tcW w:w="36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1,203.2</w:t>
            </w:r>
          </w:p>
        </w:tc>
        <w:tc>
          <w:tcPr>
            <w:tcW w:w="32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37"/>
        </w:trPr>
        <w:tc>
          <w:tcPr>
            <w:tcW w:w="4900" w:type="dxa"/>
            <w:vAlign w:val="bottom"/>
          </w:tcPr>
          <w:p>
            <w:pPr>
              <w:spacing w:after="0"/>
              <w:rPr>
                <w:sz w:val="20"/>
                <w:szCs w:val="20"/>
                <w:color w:val="auto"/>
              </w:rPr>
            </w:pPr>
            <w:r>
              <w:rPr>
                <w:rFonts w:ascii="Arial" w:cs="Arial" w:eastAsia="Arial" w:hAnsi="Arial"/>
                <w:sz w:val="20"/>
                <w:szCs w:val="20"/>
                <w:color w:val="auto"/>
              </w:rPr>
              <w:t>Magnesia Specialties Business:</w:t>
            </w: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3"/>
        </w:trPr>
        <w:tc>
          <w:tcPr>
            <w:tcW w:w="4900" w:type="dxa"/>
            <w:vAlign w:val="bottom"/>
            <w:shd w:val="clear" w:color="auto" w:fill="CFF0FC"/>
          </w:tcPr>
          <w:p>
            <w:pPr>
              <w:ind w:left="140"/>
              <w:spacing w:after="0"/>
              <w:rPr>
                <w:sz w:val="20"/>
                <w:szCs w:val="20"/>
                <w:color w:val="auto"/>
              </w:rPr>
            </w:pPr>
            <w:r>
              <w:rPr>
                <w:rFonts w:ascii="Arial" w:cs="Arial" w:eastAsia="Arial" w:hAnsi="Arial"/>
                <w:sz w:val="20"/>
                <w:szCs w:val="20"/>
                <w:color w:val="auto"/>
              </w:rPr>
              <w:t>Products</w:t>
            </w:r>
          </w:p>
        </w:tc>
        <w:tc>
          <w:tcPr>
            <w:tcW w:w="2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48.9</w:t>
            </w:r>
          </w:p>
        </w:tc>
        <w:tc>
          <w:tcPr>
            <w:tcW w:w="36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70.4</w:t>
            </w:r>
          </w:p>
        </w:tc>
        <w:tc>
          <w:tcPr>
            <w:tcW w:w="32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243"/>
        </w:trPr>
        <w:tc>
          <w:tcPr>
            <w:tcW w:w="4900" w:type="dxa"/>
            <w:vAlign w:val="bottom"/>
            <w:tcBorders>
              <w:bottom w:val="single" w:sz="8" w:color="CFF0FC"/>
            </w:tcBorders>
          </w:tcPr>
          <w:p>
            <w:pPr>
              <w:ind w:left="140"/>
              <w:spacing w:after="0"/>
              <w:rPr>
                <w:sz w:val="20"/>
                <w:szCs w:val="20"/>
                <w:color w:val="auto"/>
              </w:rPr>
            </w:pPr>
            <w:r>
              <w:rPr>
                <w:rFonts w:ascii="Arial" w:cs="Arial" w:eastAsia="Arial" w:hAnsi="Arial"/>
                <w:sz w:val="20"/>
                <w:szCs w:val="20"/>
                <w:color w:val="auto"/>
              </w:rPr>
              <w:t>Freight</w:t>
            </w:r>
          </w:p>
        </w:tc>
        <w:tc>
          <w:tcPr>
            <w:tcW w:w="2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4.7</w:t>
            </w:r>
          </w:p>
        </w:tc>
        <w:tc>
          <w:tcPr>
            <w:tcW w:w="360" w:type="dxa"/>
            <w:vAlign w:val="bottom"/>
            <w:tcBorders>
              <w:bottom w:val="single" w:sz="8" w:color="CFF0FC"/>
            </w:tcBorders>
          </w:tcPr>
          <w:p>
            <w:pPr>
              <w:spacing w:after="0"/>
              <w:rPr>
                <w:sz w:val="21"/>
                <w:szCs w:val="21"/>
                <w:color w:val="auto"/>
              </w:rPr>
            </w:pPr>
          </w:p>
        </w:tc>
        <w:tc>
          <w:tcPr>
            <w:tcW w:w="1300" w:type="dxa"/>
            <w:vAlign w:val="bottom"/>
            <w:tcBorders>
              <w:bottom w:val="single" w:sz="8" w:color="CFF0FC"/>
            </w:tcBorders>
          </w:tcPr>
          <w:p>
            <w:pPr>
              <w:spacing w:after="0"/>
              <w:rPr>
                <w:sz w:val="21"/>
                <w:szCs w:val="21"/>
                <w:color w:val="auto"/>
              </w:rPr>
            </w:pPr>
          </w:p>
        </w:tc>
        <w:tc>
          <w:tcPr>
            <w:tcW w:w="24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5.9</w:t>
            </w:r>
          </w:p>
        </w:tc>
        <w:tc>
          <w:tcPr>
            <w:tcW w:w="320" w:type="dxa"/>
            <w:vAlign w:val="bottom"/>
            <w:tcBorders>
              <w:bottom w:val="single" w:sz="8" w:color="CFF0FC"/>
            </w:tcBorders>
          </w:tcPr>
          <w:p>
            <w:pPr>
              <w:spacing w:after="0"/>
              <w:rPr>
                <w:sz w:val="21"/>
                <w:szCs w:val="21"/>
                <w:color w:val="auto"/>
              </w:rPr>
            </w:pPr>
          </w:p>
        </w:tc>
        <w:tc>
          <w:tcPr>
            <w:tcW w:w="1280" w:type="dxa"/>
            <w:vAlign w:val="bottom"/>
            <w:tcBorders>
              <w:bottom w:val="single" w:sz="8" w:color="CFF0FC"/>
            </w:tcBorders>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r>
      <w:tr>
        <w:trPr>
          <w:trHeight w:val="237"/>
        </w:trPr>
        <w:tc>
          <w:tcPr>
            <w:tcW w:w="4900" w:type="dxa"/>
            <w:vAlign w:val="bottom"/>
            <w:shd w:val="clear" w:color="auto" w:fill="CFF0FC"/>
          </w:tcPr>
          <w:p>
            <w:pPr>
              <w:spacing w:after="0"/>
              <w:rPr>
                <w:sz w:val="20"/>
                <w:szCs w:val="20"/>
                <w:color w:val="auto"/>
              </w:rPr>
            </w:pPr>
            <w:r>
              <w:rPr>
                <w:rFonts w:ascii="Arial" w:cs="Arial" w:eastAsia="Arial" w:hAnsi="Arial"/>
                <w:sz w:val="20"/>
                <w:szCs w:val="20"/>
                <w:color w:val="auto"/>
              </w:rPr>
              <w:t>Total Magnesia Specialties Business</w:t>
            </w:r>
          </w:p>
        </w:tc>
        <w:tc>
          <w:tcPr>
            <w:tcW w:w="22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53.6</w:t>
            </w:r>
          </w:p>
        </w:tc>
        <w:tc>
          <w:tcPr>
            <w:tcW w:w="36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76.3</w:t>
            </w:r>
          </w:p>
        </w:tc>
        <w:tc>
          <w:tcPr>
            <w:tcW w:w="32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36"/>
        </w:trPr>
        <w:tc>
          <w:tcPr>
            <w:tcW w:w="4900" w:type="dxa"/>
            <w:vAlign w:val="bottom"/>
          </w:tcPr>
          <w:p>
            <w:pPr>
              <w:spacing w:after="0"/>
              <w:rPr>
                <w:sz w:val="20"/>
                <w:szCs w:val="20"/>
                <w:color w:val="auto"/>
              </w:rPr>
            </w:pPr>
            <w:r>
              <w:rPr>
                <w:rFonts w:ascii="Arial" w:cs="Arial" w:eastAsia="Arial" w:hAnsi="Arial"/>
                <w:sz w:val="20"/>
                <w:szCs w:val="20"/>
                <w:color w:val="auto"/>
              </w:rPr>
              <w:t>Total</w:t>
            </w:r>
          </w:p>
        </w:tc>
        <w:tc>
          <w:tcPr>
            <w:tcW w:w="220" w:type="dxa"/>
            <w:vAlign w:val="bottom"/>
          </w:tcPr>
          <w:p>
            <w:pPr>
              <w:jc w:val="right"/>
              <w:ind w:right="21"/>
              <w:spacing w:after="0"/>
              <w:rPr>
                <w:sz w:val="20"/>
                <w:szCs w:val="20"/>
                <w:color w:val="auto"/>
              </w:rPr>
            </w:pPr>
            <w:r>
              <w:rPr>
                <w:rFonts w:ascii="Arial" w:cs="Arial" w:eastAsia="Arial" w:hAnsi="Arial"/>
                <w:sz w:val="20"/>
                <w:szCs w:val="20"/>
                <w:color w:val="auto"/>
                <w:w w:val="71"/>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1,270.6</w:t>
            </w:r>
          </w:p>
        </w:tc>
        <w:tc>
          <w:tcPr>
            <w:tcW w:w="3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60" w:type="dxa"/>
            <w:vAlign w:val="bottom"/>
            <w:gridSpan w:val="2"/>
          </w:tcPr>
          <w:p>
            <w:pPr>
              <w:spacing w:after="0"/>
              <w:rPr>
                <w:sz w:val="20"/>
                <w:szCs w:val="20"/>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1,279.5</w:t>
            </w:r>
          </w:p>
        </w:tc>
        <w:tc>
          <w:tcPr>
            <w:tcW w:w="3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0"/>
        </w:trPr>
        <w:tc>
          <w:tcPr>
            <w:tcW w:w="49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27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June 30, 2020</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Second Quarter Ended June 30, 2020</w:t>
      </w:r>
    </w:p>
    <w:p>
      <w:pPr>
        <w:jc w:val="center"/>
        <w:spacing w:after="0"/>
        <w:rPr>
          <w:sz w:val="20"/>
          <w:szCs w:val="20"/>
          <w:color w:val="auto"/>
        </w:rPr>
      </w:pPr>
      <w:r>
        <w:rPr>
          <w:rFonts w:ascii="Arial" w:cs="Arial" w:eastAsia="Arial" w:hAnsi="Arial"/>
          <w:sz w:val="20"/>
          <w:szCs w:val="20"/>
          <w:color w:val="auto"/>
        </w:rPr>
        <w:t>(Continued)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9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3240" w:type="dxa"/>
            <w:vAlign w:val="bottom"/>
            <w:tcBorders>
              <w:bottom w:val="single" w:sz="8" w:color="auto"/>
            </w:tcBorders>
            <w:gridSpan w:val="7"/>
          </w:tcPr>
          <w:p>
            <w:pPr>
              <w:jc w:val="right"/>
              <w:ind w:right="660"/>
              <w:spacing w:after="0"/>
              <w:rPr>
                <w:sz w:val="20"/>
                <w:szCs w:val="20"/>
                <w:color w:val="auto"/>
              </w:rPr>
            </w:pPr>
            <w:r>
              <w:rPr>
                <w:rFonts w:ascii="Arial" w:cs="Arial" w:eastAsia="Arial" w:hAnsi="Arial"/>
                <w:sz w:val="20"/>
                <w:szCs w:val="20"/>
                <w:color w:val="auto"/>
                <w:w w:val="95"/>
              </w:rPr>
              <w:t>Three Months Ended June 30,</w:t>
            </w:r>
          </w:p>
        </w:tc>
        <w:tc>
          <w:tcPr>
            <w:tcW w:w="128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9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20"/>
                <w:szCs w:val="20"/>
                <w:color w:val="auto"/>
              </w:rPr>
              <w:t>2020</w:t>
            </w:r>
          </w:p>
        </w:tc>
        <w:tc>
          <w:tcPr>
            <w:tcW w:w="130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20"/>
                <w:szCs w:val="20"/>
                <w:color w:val="auto"/>
              </w:rPr>
              <w:t>2019</w:t>
            </w:r>
          </w:p>
        </w:tc>
        <w:tc>
          <w:tcPr>
            <w:tcW w:w="12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9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2"/>
          </w:tcPr>
          <w:p>
            <w:pPr>
              <w:jc w:val="right"/>
              <w:ind w:right="720"/>
              <w:spacing w:after="0"/>
              <w:rPr>
                <w:sz w:val="20"/>
                <w:szCs w:val="20"/>
                <w:color w:val="auto"/>
              </w:rPr>
            </w:pPr>
            <w:r>
              <w:rPr>
                <w:rFonts w:ascii="Arial" w:cs="Arial" w:eastAsia="Arial" w:hAnsi="Arial"/>
                <w:sz w:val="20"/>
                <w:szCs w:val="20"/>
                <w:color w:val="auto"/>
              </w:rPr>
              <w:t>Amount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8"/>
              </w:rPr>
              <w:t>% of Revenues</w:t>
            </w:r>
          </w:p>
        </w:tc>
        <w:tc>
          <w:tcPr>
            <w:tcW w:w="2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right"/>
              <w:ind w:right="700"/>
              <w:spacing w:after="0"/>
              <w:rPr>
                <w:sz w:val="20"/>
                <w:szCs w:val="20"/>
                <w:color w:val="auto"/>
              </w:rPr>
            </w:pPr>
            <w:r>
              <w:rPr>
                <w:rFonts w:ascii="Arial" w:cs="Arial" w:eastAsia="Arial" w:hAnsi="Arial"/>
                <w:sz w:val="20"/>
                <w:szCs w:val="20"/>
                <w:color w:val="auto"/>
              </w:rPr>
              <w:t>Amount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6"/>
              </w:rPr>
              <w:t>% of Revenues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4900" w:type="dxa"/>
            <w:vAlign w:val="bottom"/>
            <w:vMerge w:val="restart"/>
          </w:tcPr>
          <w:p>
            <w:pPr>
              <w:spacing w:after="0"/>
              <w:rPr>
                <w:sz w:val="20"/>
                <w:szCs w:val="20"/>
                <w:color w:val="auto"/>
              </w:rPr>
            </w:pPr>
            <w:r>
              <w:rPr>
                <w:rFonts w:ascii="Arial" w:cs="Arial" w:eastAsia="Arial" w:hAnsi="Arial"/>
                <w:sz w:val="20"/>
                <w:szCs w:val="20"/>
                <w:b w:val="1"/>
                <w:bCs w:val="1"/>
                <w:color w:val="auto"/>
              </w:rPr>
              <w:t>Gross profit (loss):</w:t>
            </w: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40" w:type="dxa"/>
            <w:vAlign w:val="bottom"/>
            <w:gridSpan w:val="7"/>
          </w:tcPr>
          <w:p>
            <w:pPr>
              <w:jc w:val="right"/>
              <w:ind w:right="1020"/>
              <w:spacing w:after="0"/>
              <w:rPr>
                <w:sz w:val="20"/>
                <w:szCs w:val="20"/>
                <w:color w:val="auto"/>
              </w:rPr>
            </w:pPr>
            <w:r>
              <w:rPr>
                <w:rFonts w:ascii="Arial" w:cs="Arial" w:eastAsia="Arial" w:hAnsi="Arial"/>
                <w:sz w:val="20"/>
                <w:szCs w:val="20"/>
                <w:i w:val="1"/>
                <w:iCs w:val="1"/>
                <w:color w:val="auto"/>
              </w:rPr>
              <w:t>(Dollars in Millions)</w:t>
            </w:r>
          </w:p>
        </w:tc>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490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4900" w:type="dxa"/>
            <w:vAlign w:val="bottom"/>
          </w:tcPr>
          <w:p>
            <w:pPr>
              <w:spacing w:after="0"/>
              <w:rPr>
                <w:sz w:val="20"/>
                <w:szCs w:val="20"/>
                <w:color w:val="auto"/>
              </w:rPr>
            </w:pPr>
            <w:r>
              <w:rPr>
                <w:rFonts w:ascii="Arial" w:cs="Arial" w:eastAsia="Arial" w:hAnsi="Arial"/>
                <w:sz w:val="20"/>
                <w:szCs w:val="20"/>
                <w:color w:val="auto"/>
              </w:rPr>
              <w:t>Building Materials Business:</w:t>
            </w: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00" w:type="dxa"/>
            <w:vAlign w:val="bottom"/>
            <w:shd w:val="clear" w:color="auto" w:fill="CFF0FC"/>
          </w:tcPr>
          <w:p>
            <w:pPr>
              <w:ind w:left="140"/>
              <w:spacing w:after="0"/>
              <w:rPr>
                <w:sz w:val="20"/>
                <w:szCs w:val="20"/>
                <w:color w:val="auto"/>
              </w:rPr>
            </w:pPr>
            <w:r>
              <w:rPr>
                <w:rFonts w:ascii="Arial" w:cs="Arial" w:eastAsia="Arial" w:hAnsi="Arial"/>
                <w:sz w:val="20"/>
                <w:szCs w:val="20"/>
                <w:color w:val="auto"/>
              </w:rPr>
              <w:t>Products and services</w:t>
            </w:r>
          </w:p>
        </w:tc>
        <w:tc>
          <w:tcPr>
            <w:tcW w:w="22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00" w:type="dxa"/>
            <w:vAlign w:val="bottom"/>
          </w:tcPr>
          <w:p>
            <w:pPr>
              <w:ind w:left="380"/>
              <w:spacing w:after="0"/>
              <w:rPr>
                <w:sz w:val="20"/>
                <w:szCs w:val="20"/>
                <w:color w:val="auto"/>
              </w:rPr>
            </w:pPr>
            <w:r>
              <w:rPr>
                <w:rFonts w:ascii="Arial" w:cs="Arial" w:eastAsia="Arial" w:hAnsi="Arial"/>
                <w:sz w:val="20"/>
                <w:szCs w:val="20"/>
                <w:color w:val="auto"/>
              </w:rPr>
              <w:t>Mid-America Group</w:t>
            </w: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00" w:type="dxa"/>
            <w:vAlign w:val="bottom"/>
            <w:shd w:val="clear" w:color="auto" w:fill="CFF0FC"/>
          </w:tcPr>
          <w:p>
            <w:pPr>
              <w:ind w:left="620"/>
              <w:spacing w:after="0"/>
              <w:rPr>
                <w:sz w:val="20"/>
                <w:szCs w:val="20"/>
                <w:color w:val="auto"/>
              </w:rPr>
            </w:pPr>
            <w:r>
              <w:rPr>
                <w:rFonts w:ascii="Arial" w:cs="Arial" w:eastAsia="Arial" w:hAnsi="Arial"/>
                <w:sz w:val="20"/>
                <w:szCs w:val="20"/>
                <w:color w:val="auto"/>
              </w:rPr>
              <w:t>Aggregates</w:t>
            </w:r>
          </w:p>
        </w:tc>
        <w:tc>
          <w:tcPr>
            <w:tcW w:w="2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152.6</w:t>
            </w:r>
          </w:p>
        </w:tc>
        <w:tc>
          <w:tcPr>
            <w:tcW w:w="36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42.0</w:t>
            </w:r>
          </w:p>
        </w:tc>
        <w:tc>
          <w:tcPr>
            <w:tcW w:w="480" w:type="dxa"/>
            <w:vAlign w:val="bottom"/>
            <w:gridSpan w:val="2"/>
            <w:shd w:val="clear" w:color="auto" w:fill="CFF0FC"/>
          </w:tcPr>
          <w:p>
            <w:pPr>
              <w:jc w:val="right"/>
              <w:ind w:right="41"/>
              <w:spacing w:after="0"/>
              <w:rPr>
                <w:sz w:val="20"/>
                <w:szCs w:val="20"/>
                <w:color w:val="auto"/>
              </w:rPr>
            </w:pPr>
            <w:r>
              <w:rPr>
                <w:rFonts w:ascii="Arial" w:cs="Arial" w:eastAsia="Arial" w:hAnsi="Arial"/>
                <w:sz w:val="20"/>
                <w:szCs w:val="20"/>
                <w:color w:val="auto"/>
              </w:rPr>
              <w:t>$</w:t>
            </w:r>
          </w:p>
        </w:tc>
        <w:tc>
          <w:tcPr>
            <w:tcW w:w="1140" w:type="dxa"/>
            <w:vAlign w:val="bottom"/>
            <w:gridSpan w:val="3"/>
            <w:shd w:val="clear" w:color="auto" w:fill="CFF0FC"/>
          </w:tcPr>
          <w:p>
            <w:pPr>
              <w:jc w:val="right"/>
              <w:spacing w:after="0"/>
              <w:rPr>
                <w:sz w:val="20"/>
                <w:szCs w:val="20"/>
                <w:color w:val="auto"/>
              </w:rPr>
            </w:pPr>
            <w:r>
              <w:rPr>
                <w:rFonts w:ascii="Arial" w:cs="Arial" w:eastAsia="Arial" w:hAnsi="Arial"/>
                <w:sz w:val="20"/>
                <w:szCs w:val="20"/>
                <w:color w:val="auto"/>
              </w:rPr>
              <w:t>155.2</w:t>
            </w:r>
          </w:p>
        </w:tc>
        <w:tc>
          <w:tcPr>
            <w:tcW w:w="32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40.5</w:t>
            </w: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00" w:type="dxa"/>
            <w:vAlign w:val="bottom"/>
          </w:tcPr>
          <w:p>
            <w:pPr>
              <w:ind w:left="380"/>
              <w:spacing w:after="0"/>
              <w:rPr>
                <w:sz w:val="20"/>
                <w:szCs w:val="20"/>
                <w:color w:val="auto"/>
              </w:rPr>
            </w:pPr>
            <w:r>
              <w:rPr>
                <w:rFonts w:ascii="Arial" w:cs="Arial" w:eastAsia="Arial" w:hAnsi="Arial"/>
                <w:sz w:val="20"/>
                <w:szCs w:val="20"/>
                <w:color w:val="auto"/>
              </w:rPr>
              <w:t>Southeast Group</w:t>
            </w: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00" w:type="dxa"/>
            <w:vAlign w:val="bottom"/>
            <w:shd w:val="clear" w:color="auto" w:fill="CFF0FC"/>
          </w:tcPr>
          <w:p>
            <w:pPr>
              <w:ind w:left="620"/>
              <w:spacing w:after="0"/>
              <w:rPr>
                <w:sz w:val="20"/>
                <w:szCs w:val="20"/>
                <w:color w:val="auto"/>
              </w:rPr>
            </w:pPr>
            <w:r>
              <w:rPr>
                <w:rFonts w:ascii="Arial" w:cs="Arial" w:eastAsia="Arial" w:hAnsi="Arial"/>
                <w:sz w:val="20"/>
                <w:szCs w:val="20"/>
                <w:color w:val="auto"/>
              </w:rPr>
              <w:t>Aggregates</w:t>
            </w:r>
          </w:p>
        </w:tc>
        <w:tc>
          <w:tcPr>
            <w:tcW w:w="2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41.4</w:t>
            </w:r>
          </w:p>
        </w:tc>
        <w:tc>
          <w:tcPr>
            <w:tcW w:w="36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30.2</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40" w:type="dxa"/>
            <w:vAlign w:val="bottom"/>
            <w:gridSpan w:val="3"/>
            <w:shd w:val="clear" w:color="auto" w:fill="CFF0FC"/>
          </w:tcPr>
          <w:p>
            <w:pPr>
              <w:jc w:val="right"/>
              <w:spacing w:after="0"/>
              <w:rPr>
                <w:sz w:val="20"/>
                <w:szCs w:val="20"/>
                <w:color w:val="auto"/>
              </w:rPr>
            </w:pPr>
            <w:r>
              <w:rPr>
                <w:rFonts w:ascii="Arial" w:cs="Arial" w:eastAsia="Arial" w:hAnsi="Arial"/>
                <w:sz w:val="20"/>
                <w:szCs w:val="20"/>
                <w:color w:val="auto"/>
              </w:rPr>
              <w:t>38.1</w:t>
            </w:r>
          </w:p>
        </w:tc>
        <w:tc>
          <w:tcPr>
            <w:tcW w:w="32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28.9</w:t>
            </w: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00" w:type="dxa"/>
            <w:vAlign w:val="bottom"/>
          </w:tcPr>
          <w:p>
            <w:pPr>
              <w:ind w:left="380"/>
              <w:spacing w:after="0"/>
              <w:rPr>
                <w:sz w:val="20"/>
                <w:szCs w:val="20"/>
                <w:color w:val="auto"/>
              </w:rPr>
            </w:pPr>
            <w:r>
              <w:rPr>
                <w:rFonts w:ascii="Arial" w:cs="Arial" w:eastAsia="Arial" w:hAnsi="Arial"/>
                <w:sz w:val="20"/>
                <w:szCs w:val="20"/>
                <w:color w:val="auto"/>
              </w:rPr>
              <w:t>West Group</w:t>
            </w: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00" w:type="dxa"/>
            <w:vAlign w:val="bottom"/>
            <w:shd w:val="clear" w:color="auto" w:fill="CFF0FC"/>
          </w:tcPr>
          <w:p>
            <w:pPr>
              <w:ind w:left="620"/>
              <w:spacing w:after="0"/>
              <w:rPr>
                <w:sz w:val="20"/>
                <w:szCs w:val="20"/>
                <w:color w:val="auto"/>
              </w:rPr>
            </w:pPr>
            <w:r>
              <w:rPr>
                <w:rFonts w:ascii="Arial" w:cs="Arial" w:eastAsia="Arial" w:hAnsi="Arial"/>
                <w:sz w:val="20"/>
                <w:szCs w:val="20"/>
                <w:color w:val="auto"/>
              </w:rPr>
              <w:t>Aggregates</w:t>
            </w:r>
          </w:p>
        </w:tc>
        <w:tc>
          <w:tcPr>
            <w:tcW w:w="2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74.0</w:t>
            </w:r>
          </w:p>
        </w:tc>
        <w:tc>
          <w:tcPr>
            <w:tcW w:w="36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29.0</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40" w:type="dxa"/>
            <w:vAlign w:val="bottom"/>
            <w:gridSpan w:val="3"/>
            <w:shd w:val="clear" w:color="auto" w:fill="CFF0FC"/>
          </w:tcPr>
          <w:p>
            <w:pPr>
              <w:jc w:val="right"/>
              <w:spacing w:after="0"/>
              <w:rPr>
                <w:sz w:val="20"/>
                <w:szCs w:val="20"/>
                <w:color w:val="auto"/>
              </w:rPr>
            </w:pPr>
            <w:r>
              <w:rPr>
                <w:rFonts w:ascii="Arial" w:cs="Arial" w:eastAsia="Arial" w:hAnsi="Arial"/>
                <w:sz w:val="20"/>
                <w:szCs w:val="20"/>
                <w:color w:val="auto"/>
              </w:rPr>
              <w:t>58.2</w:t>
            </w:r>
          </w:p>
        </w:tc>
        <w:tc>
          <w:tcPr>
            <w:tcW w:w="32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24.0</w:t>
            </w: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00" w:type="dxa"/>
            <w:vAlign w:val="bottom"/>
          </w:tcPr>
          <w:p>
            <w:pPr>
              <w:ind w:left="620"/>
              <w:spacing w:after="0"/>
              <w:rPr>
                <w:sz w:val="20"/>
                <w:szCs w:val="20"/>
                <w:color w:val="auto"/>
              </w:rPr>
            </w:pPr>
            <w:r>
              <w:rPr>
                <w:rFonts w:ascii="Arial" w:cs="Arial" w:eastAsia="Arial" w:hAnsi="Arial"/>
                <w:sz w:val="20"/>
                <w:szCs w:val="20"/>
                <w:color w:val="auto"/>
              </w:rPr>
              <w:t>Cement</w:t>
            </w: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43.4</w:t>
            </w:r>
          </w:p>
        </w:tc>
        <w:tc>
          <w:tcPr>
            <w:tcW w:w="3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39.7</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gridSpan w:val="3"/>
          </w:tcPr>
          <w:p>
            <w:pPr>
              <w:jc w:val="right"/>
              <w:spacing w:after="0"/>
              <w:rPr>
                <w:sz w:val="20"/>
                <w:szCs w:val="20"/>
                <w:color w:val="auto"/>
              </w:rPr>
            </w:pPr>
            <w:r>
              <w:rPr>
                <w:rFonts w:ascii="Arial" w:cs="Arial" w:eastAsia="Arial" w:hAnsi="Arial"/>
                <w:sz w:val="20"/>
                <w:szCs w:val="20"/>
                <w:color w:val="auto"/>
              </w:rPr>
              <w:t>42.2</w:t>
            </w: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37.6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00" w:type="dxa"/>
            <w:vAlign w:val="bottom"/>
            <w:shd w:val="clear" w:color="auto" w:fill="CFF0FC"/>
          </w:tcPr>
          <w:p>
            <w:pPr>
              <w:ind w:left="620"/>
              <w:spacing w:after="0"/>
              <w:rPr>
                <w:sz w:val="20"/>
                <w:szCs w:val="20"/>
                <w:color w:val="auto"/>
              </w:rPr>
            </w:pPr>
            <w:r>
              <w:rPr>
                <w:rFonts w:ascii="Arial" w:cs="Arial" w:eastAsia="Arial" w:hAnsi="Arial"/>
                <w:sz w:val="20"/>
                <w:szCs w:val="20"/>
                <w:color w:val="auto"/>
              </w:rPr>
              <w:t>Ready mixed concrete</w:t>
            </w:r>
          </w:p>
        </w:tc>
        <w:tc>
          <w:tcPr>
            <w:tcW w:w="2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26.1</w:t>
            </w:r>
          </w:p>
        </w:tc>
        <w:tc>
          <w:tcPr>
            <w:tcW w:w="36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10.6</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40" w:type="dxa"/>
            <w:vAlign w:val="bottom"/>
            <w:gridSpan w:val="3"/>
            <w:shd w:val="clear" w:color="auto" w:fill="CFF0FC"/>
          </w:tcPr>
          <w:p>
            <w:pPr>
              <w:jc w:val="right"/>
              <w:spacing w:after="0"/>
              <w:rPr>
                <w:sz w:val="20"/>
                <w:szCs w:val="20"/>
                <w:color w:val="auto"/>
              </w:rPr>
            </w:pPr>
            <w:r>
              <w:rPr>
                <w:rFonts w:ascii="Arial" w:cs="Arial" w:eastAsia="Arial" w:hAnsi="Arial"/>
                <w:sz w:val="20"/>
                <w:szCs w:val="20"/>
                <w:color w:val="auto"/>
              </w:rPr>
              <w:t>19.0</w:t>
            </w:r>
          </w:p>
        </w:tc>
        <w:tc>
          <w:tcPr>
            <w:tcW w:w="32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7.9</w:t>
            </w: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00" w:type="dxa"/>
            <w:vAlign w:val="bottom"/>
            <w:tcBorders>
              <w:bottom w:val="single" w:sz="8" w:color="CFF0FC"/>
            </w:tcBorders>
          </w:tcPr>
          <w:p>
            <w:pPr>
              <w:ind w:left="620"/>
              <w:spacing w:after="0"/>
              <w:rPr>
                <w:sz w:val="20"/>
                <w:szCs w:val="20"/>
                <w:color w:val="auto"/>
              </w:rPr>
            </w:pPr>
            <w:r>
              <w:rPr>
                <w:rFonts w:ascii="Arial" w:cs="Arial" w:eastAsia="Arial" w:hAnsi="Arial"/>
                <w:sz w:val="20"/>
                <w:szCs w:val="20"/>
                <w:color w:val="auto"/>
              </w:rPr>
              <w:t>Asphalt and paving</w:t>
            </w:r>
          </w:p>
        </w:tc>
        <w:tc>
          <w:tcPr>
            <w:tcW w:w="2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21.9</w:t>
            </w:r>
          </w:p>
        </w:tc>
        <w:tc>
          <w:tcPr>
            <w:tcW w:w="360" w:type="dxa"/>
            <w:vAlign w:val="bottom"/>
            <w:tcBorders>
              <w:bottom w:val="single" w:sz="8" w:color="CFF0FC"/>
            </w:tcBorders>
          </w:tcPr>
          <w:p>
            <w:pPr>
              <w:spacing w:after="0"/>
              <w:rPr>
                <w:sz w:val="21"/>
                <w:szCs w:val="21"/>
                <w:color w:val="auto"/>
              </w:rPr>
            </w:pPr>
          </w:p>
        </w:tc>
        <w:tc>
          <w:tcPr>
            <w:tcW w:w="1300" w:type="dxa"/>
            <w:vAlign w:val="bottom"/>
            <w:tcBorders>
              <w:bottom w:val="single" w:sz="8" w:color="CFF0FC"/>
            </w:tcBorders>
          </w:tcPr>
          <w:p>
            <w:pPr>
              <w:jc w:val="right"/>
              <w:spacing w:after="0"/>
              <w:rPr>
                <w:sz w:val="20"/>
                <w:szCs w:val="20"/>
                <w:color w:val="auto"/>
              </w:rPr>
            </w:pPr>
            <w:r>
              <w:rPr>
                <w:rFonts w:ascii="Arial" w:cs="Arial" w:eastAsia="Arial" w:hAnsi="Arial"/>
                <w:sz w:val="20"/>
                <w:szCs w:val="20"/>
                <w:color w:val="auto"/>
              </w:rPr>
              <w:t>20.4</w:t>
            </w:r>
          </w:p>
        </w:tc>
        <w:tc>
          <w:tcPr>
            <w:tcW w:w="24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20"/>
                <w:szCs w:val="20"/>
                <w:color w:val="auto"/>
              </w:rPr>
              <w:t>15.7</w:t>
            </w:r>
          </w:p>
        </w:tc>
        <w:tc>
          <w:tcPr>
            <w:tcW w:w="320" w:type="dxa"/>
            <w:vAlign w:val="bottom"/>
            <w:tcBorders>
              <w:bottom w:val="single" w:sz="8" w:color="CFF0FC"/>
            </w:tcBorders>
          </w:tcPr>
          <w:p>
            <w:pPr>
              <w:spacing w:after="0"/>
              <w:rPr>
                <w:sz w:val="21"/>
                <w:szCs w:val="21"/>
                <w:color w:val="auto"/>
              </w:rPr>
            </w:pPr>
          </w:p>
        </w:tc>
        <w:tc>
          <w:tcPr>
            <w:tcW w:w="1280" w:type="dxa"/>
            <w:vAlign w:val="bottom"/>
            <w:tcBorders>
              <w:bottom w:val="single" w:sz="8" w:color="CFF0FC"/>
            </w:tcBorders>
          </w:tcPr>
          <w:p>
            <w:pPr>
              <w:jc w:val="right"/>
              <w:spacing w:after="0"/>
              <w:rPr>
                <w:sz w:val="20"/>
                <w:szCs w:val="20"/>
                <w:color w:val="auto"/>
              </w:rPr>
            </w:pPr>
            <w:r>
              <w:rPr>
                <w:rFonts w:ascii="Arial" w:cs="Arial" w:eastAsia="Arial" w:hAnsi="Arial"/>
                <w:sz w:val="20"/>
                <w:szCs w:val="20"/>
                <w:color w:val="auto"/>
              </w:rPr>
              <w:t>19.2</w:t>
            </w:r>
          </w:p>
        </w:tc>
        <w:tc>
          <w:tcPr>
            <w:tcW w:w="2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900" w:type="dxa"/>
            <w:vAlign w:val="bottom"/>
            <w:shd w:val="clear" w:color="auto" w:fill="CFF0FC"/>
          </w:tcPr>
          <w:p>
            <w:pPr>
              <w:ind w:left="380"/>
              <w:spacing w:after="0"/>
              <w:rPr>
                <w:sz w:val="20"/>
                <w:szCs w:val="20"/>
                <w:color w:val="auto"/>
              </w:rPr>
            </w:pPr>
            <w:r>
              <w:rPr>
                <w:rFonts w:ascii="Arial" w:cs="Arial" w:eastAsia="Arial" w:hAnsi="Arial"/>
                <w:sz w:val="20"/>
                <w:szCs w:val="20"/>
                <w:color w:val="auto"/>
              </w:rPr>
              <w:t>West Group Total</w:t>
            </w:r>
          </w:p>
        </w:tc>
        <w:tc>
          <w:tcPr>
            <w:tcW w:w="22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165.4</w:t>
            </w:r>
          </w:p>
        </w:tc>
        <w:tc>
          <w:tcPr>
            <w:tcW w:w="36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25.8</w:t>
            </w:r>
          </w:p>
        </w:tc>
        <w:tc>
          <w:tcPr>
            <w:tcW w:w="240" w:type="dxa"/>
            <w:vAlign w:val="bottom"/>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20"/>
                <w:szCs w:val="20"/>
                <w:color w:val="auto"/>
              </w:rPr>
              <w:t>135.1</w:t>
            </w:r>
          </w:p>
        </w:tc>
        <w:tc>
          <w:tcPr>
            <w:tcW w:w="32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22.2</w:t>
            </w: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900" w:type="dxa"/>
            <w:vAlign w:val="bottom"/>
          </w:tcPr>
          <w:p>
            <w:pPr>
              <w:ind w:left="140"/>
              <w:spacing w:after="0"/>
              <w:rPr>
                <w:sz w:val="20"/>
                <w:szCs w:val="20"/>
                <w:color w:val="auto"/>
              </w:rPr>
            </w:pPr>
            <w:r>
              <w:rPr>
                <w:rFonts w:ascii="Arial" w:cs="Arial" w:eastAsia="Arial" w:hAnsi="Arial"/>
                <w:sz w:val="20"/>
                <w:szCs w:val="20"/>
                <w:color w:val="auto"/>
              </w:rPr>
              <w:t>Products and services</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359.4</w:t>
            </w:r>
          </w:p>
        </w:tc>
        <w:tc>
          <w:tcPr>
            <w:tcW w:w="3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31.5</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3"/>
          </w:tcPr>
          <w:p>
            <w:pPr>
              <w:jc w:val="right"/>
              <w:spacing w:after="0"/>
              <w:rPr>
                <w:sz w:val="20"/>
                <w:szCs w:val="20"/>
                <w:color w:val="auto"/>
              </w:rPr>
            </w:pPr>
            <w:r>
              <w:rPr>
                <w:rFonts w:ascii="Arial" w:cs="Arial" w:eastAsia="Arial" w:hAnsi="Arial"/>
                <w:sz w:val="20"/>
                <w:szCs w:val="20"/>
                <w:color w:val="auto"/>
              </w:rPr>
              <w:t>328.4</w:t>
            </w:r>
          </w:p>
        </w:tc>
        <w:tc>
          <w:tcPr>
            <w:tcW w:w="3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29.2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900" w:type="dxa"/>
            <w:vAlign w:val="bottom"/>
            <w:shd w:val="clear" w:color="auto" w:fill="CFF0FC"/>
          </w:tcPr>
          <w:p>
            <w:pPr>
              <w:ind w:left="140"/>
              <w:spacing w:after="0"/>
              <w:rPr>
                <w:sz w:val="20"/>
                <w:szCs w:val="20"/>
                <w:color w:val="auto"/>
              </w:rPr>
            </w:pPr>
            <w:r>
              <w:rPr>
                <w:rFonts w:ascii="Arial" w:cs="Arial" w:eastAsia="Arial" w:hAnsi="Arial"/>
                <w:sz w:val="20"/>
                <w:szCs w:val="20"/>
                <w:color w:val="auto"/>
              </w:rPr>
              <w:t>Freight</w:t>
            </w:r>
          </w:p>
        </w:tc>
        <w:tc>
          <w:tcPr>
            <w:tcW w:w="22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80"/>
              <w:spacing w:after="0"/>
              <w:rPr>
                <w:sz w:val="20"/>
                <w:szCs w:val="20"/>
                <w:color w:val="auto"/>
              </w:rPr>
            </w:pPr>
            <w:r>
              <w:rPr>
                <w:rFonts w:ascii="Arial" w:cs="Arial" w:eastAsia="Arial" w:hAnsi="Arial"/>
                <w:sz w:val="20"/>
                <w:szCs w:val="20"/>
                <w:color w:val="auto"/>
              </w:rPr>
              <w:t>(0.3)</w:t>
            </w:r>
          </w:p>
        </w:tc>
        <w:tc>
          <w:tcPr>
            <w:tcW w:w="1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40" w:type="dxa"/>
            <w:vAlign w:val="bottom"/>
            <w:gridSpan w:val="3"/>
            <w:shd w:val="clear" w:color="auto" w:fill="CFF0FC"/>
          </w:tcPr>
          <w:p>
            <w:pPr>
              <w:jc w:val="right"/>
              <w:spacing w:after="0"/>
              <w:rPr>
                <w:sz w:val="20"/>
                <w:szCs w:val="20"/>
                <w:color w:val="auto"/>
              </w:rPr>
            </w:pPr>
            <w:r>
              <w:rPr>
                <w:rFonts w:ascii="Arial" w:cs="Arial" w:eastAsia="Arial" w:hAnsi="Arial"/>
                <w:sz w:val="20"/>
                <w:szCs w:val="20"/>
                <w:color w:val="auto"/>
              </w:rPr>
              <w:t>0.2</w:t>
            </w:r>
          </w:p>
        </w:tc>
        <w:tc>
          <w:tcPr>
            <w:tcW w:w="32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900" w:type="dxa"/>
            <w:vAlign w:val="bottom"/>
            <w:tcBorders>
              <w:bottom w:val="single" w:sz="8" w:color="CFF0FC"/>
            </w:tcBorders>
          </w:tcPr>
          <w:p>
            <w:pPr>
              <w:spacing w:after="0"/>
              <w:rPr>
                <w:sz w:val="20"/>
                <w:szCs w:val="20"/>
                <w:color w:val="auto"/>
              </w:rPr>
            </w:pPr>
            <w:r>
              <w:rPr>
                <w:rFonts w:ascii="Arial" w:cs="Arial" w:eastAsia="Arial" w:hAnsi="Arial"/>
                <w:sz w:val="20"/>
                <w:szCs w:val="20"/>
                <w:color w:val="auto"/>
              </w:rPr>
              <w:t>Total Building Materials Business</w:t>
            </w:r>
          </w:p>
        </w:tc>
        <w:tc>
          <w:tcPr>
            <w:tcW w:w="22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359.1</w:t>
            </w:r>
          </w:p>
        </w:tc>
        <w:tc>
          <w:tcPr>
            <w:tcW w:w="360" w:type="dxa"/>
            <w:vAlign w:val="bottom"/>
            <w:tcBorders>
              <w:bottom w:val="single" w:sz="8" w:color="CFF0FC"/>
            </w:tcBorders>
          </w:tcPr>
          <w:p>
            <w:pPr>
              <w:spacing w:after="0"/>
              <w:rPr>
                <w:sz w:val="20"/>
                <w:szCs w:val="20"/>
                <w:color w:val="auto"/>
              </w:rPr>
            </w:pPr>
          </w:p>
        </w:tc>
        <w:tc>
          <w:tcPr>
            <w:tcW w:w="1300" w:type="dxa"/>
            <w:vAlign w:val="bottom"/>
            <w:tcBorders>
              <w:bottom w:val="single" w:sz="8" w:color="CFF0FC"/>
            </w:tcBorders>
          </w:tcPr>
          <w:p>
            <w:pPr>
              <w:jc w:val="right"/>
              <w:spacing w:after="0"/>
              <w:rPr>
                <w:sz w:val="20"/>
                <w:szCs w:val="20"/>
                <w:color w:val="auto"/>
              </w:rPr>
            </w:pPr>
            <w:r>
              <w:rPr>
                <w:rFonts w:ascii="Arial" w:cs="Arial" w:eastAsia="Arial" w:hAnsi="Arial"/>
                <w:sz w:val="20"/>
                <w:szCs w:val="20"/>
                <w:color w:val="auto"/>
              </w:rPr>
              <w:t>29.5</w:t>
            </w:r>
          </w:p>
        </w:tc>
        <w:tc>
          <w:tcPr>
            <w:tcW w:w="240" w:type="dxa"/>
            <w:vAlign w:val="bottom"/>
            <w:tcBorders>
              <w:bottom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20"/>
                <w:szCs w:val="20"/>
                <w:color w:val="auto"/>
              </w:rPr>
              <w:t>328.6</w:t>
            </w:r>
          </w:p>
        </w:tc>
        <w:tc>
          <w:tcPr>
            <w:tcW w:w="320" w:type="dxa"/>
            <w:vAlign w:val="bottom"/>
            <w:tcBorders>
              <w:bottom w:val="single" w:sz="8" w:color="CFF0FC"/>
            </w:tcBorders>
          </w:tcPr>
          <w:p>
            <w:pPr>
              <w:spacing w:after="0"/>
              <w:rPr>
                <w:sz w:val="20"/>
                <w:szCs w:val="20"/>
                <w:color w:val="auto"/>
              </w:rPr>
            </w:pPr>
          </w:p>
        </w:tc>
        <w:tc>
          <w:tcPr>
            <w:tcW w:w="1280" w:type="dxa"/>
            <w:vAlign w:val="bottom"/>
            <w:tcBorders>
              <w:bottom w:val="single" w:sz="8" w:color="CFF0FC"/>
            </w:tcBorders>
          </w:tcPr>
          <w:p>
            <w:pPr>
              <w:jc w:val="right"/>
              <w:spacing w:after="0"/>
              <w:rPr>
                <w:sz w:val="20"/>
                <w:szCs w:val="20"/>
                <w:color w:val="auto"/>
              </w:rPr>
            </w:pPr>
            <w:r>
              <w:rPr>
                <w:rFonts w:ascii="Arial" w:cs="Arial" w:eastAsia="Arial" w:hAnsi="Arial"/>
                <w:sz w:val="20"/>
                <w:szCs w:val="20"/>
                <w:color w:val="auto"/>
              </w:rPr>
              <w:t>27.3</w:t>
            </w:r>
          </w:p>
        </w:tc>
        <w:tc>
          <w:tcPr>
            <w:tcW w:w="2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900" w:type="dxa"/>
            <w:vAlign w:val="bottom"/>
            <w:shd w:val="clear" w:color="auto" w:fill="CFF0FC"/>
          </w:tcPr>
          <w:p>
            <w:pPr>
              <w:spacing w:after="0"/>
              <w:rPr>
                <w:sz w:val="20"/>
                <w:szCs w:val="20"/>
                <w:color w:val="auto"/>
              </w:rPr>
            </w:pPr>
            <w:r>
              <w:rPr>
                <w:rFonts w:ascii="Arial" w:cs="Arial" w:eastAsia="Arial" w:hAnsi="Arial"/>
                <w:sz w:val="20"/>
                <w:szCs w:val="20"/>
                <w:color w:val="auto"/>
              </w:rPr>
              <w:t>Magnesia Specialties Business:</w:t>
            </w:r>
          </w:p>
        </w:tc>
        <w:tc>
          <w:tcPr>
            <w:tcW w:w="22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900" w:type="dxa"/>
            <w:vAlign w:val="bottom"/>
          </w:tcPr>
          <w:p>
            <w:pPr>
              <w:ind w:left="140"/>
              <w:spacing w:after="0"/>
              <w:rPr>
                <w:sz w:val="20"/>
                <w:szCs w:val="20"/>
                <w:color w:val="auto"/>
              </w:rPr>
            </w:pPr>
            <w:r>
              <w:rPr>
                <w:rFonts w:ascii="Arial" w:cs="Arial" w:eastAsia="Arial" w:hAnsi="Arial"/>
                <w:sz w:val="20"/>
                <w:szCs w:val="20"/>
                <w:color w:val="auto"/>
              </w:rPr>
              <w:t>Products</w:t>
            </w: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18.2</w:t>
            </w:r>
          </w:p>
        </w:tc>
        <w:tc>
          <w:tcPr>
            <w:tcW w:w="3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37.3</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gridSpan w:val="3"/>
          </w:tcPr>
          <w:p>
            <w:pPr>
              <w:jc w:val="right"/>
              <w:spacing w:after="0"/>
              <w:rPr>
                <w:sz w:val="20"/>
                <w:szCs w:val="20"/>
                <w:color w:val="auto"/>
              </w:rPr>
            </w:pPr>
            <w:r>
              <w:rPr>
                <w:rFonts w:ascii="Arial" w:cs="Arial" w:eastAsia="Arial" w:hAnsi="Arial"/>
                <w:sz w:val="20"/>
                <w:szCs w:val="20"/>
                <w:color w:val="auto"/>
              </w:rPr>
              <w:t>29.2</w:t>
            </w: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41.5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00" w:type="dxa"/>
            <w:vAlign w:val="bottom"/>
            <w:shd w:val="clear" w:color="auto" w:fill="CFF0FC"/>
          </w:tcPr>
          <w:p>
            <w:pPr>
              <w:ind w:left="140"/>
              <w:spacing w:after="0"/>
              <w:rPr>
                <w:sz w:val="20"/>
                <w:szCs w:val="20"/>
                <w:color w:val="auto"/>
              </w:rPr>
            </w:pPr>
            <w:r>
              <w:rPr>
                <w:rFonts w:ascii="Arial" w:cs="Arial" w:eastAsia="Arial" w:hAnsi="Arial"/>
                <w:sz w:val="20"/>
                <w:szCs w:val="20"/>
                <w:color w:val="auto"/>
              </w:rPr>
              <w:t>Freight</w:t>
            </w:r>
          </w:p>
        </w:tc>
        <w:tc>
          <w:tcPr>
            <w:tcW w:w="22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80"/>
              <w:spacing w:after="0"/>
              <w:rPr>
                <w:sz w:val="20"/>
                <w:szCs w:val="20"/>
                <w:color w:val="auto"/>
              </w:rPr>
            </w:pPr>
            <w:r>
              <w:rPr>
                <w:rFonts w:ascii="Arial" w:cs="Arial" w:eastAsia="Arial" w:hAnsi="Arial"/>
                <w:sz w:val="20"/>
                <w:szCs w:val="20"/>
                <w:color w:val="auto"/>
              </w:rPr>
              <w:t>(1.3)</w:t>
            </w:r>
          </w:p>
        </w:tc>
        <w:tc>
          <w:tcPr>
            <w:tcW w:w="1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60" w:type="dxa"/>
            <w:vAlign w:val="bottom"/>
            <w:gridSpan w:val="4"/>
            <w:shd w:val="clear" w:color="auto" w:fill="CFF0FC"/>
          </w:tcPr>
          <w:p>
            <w:pPr>
              <w:jc w:val="right"/>
              <w:ind w:right="260"/>
              <w:spacing w:after="0"/>
              <w:rPr>
                <w:sz w:val="20"/>
                <w:szCs w:val="20"/>
                <w:color w:val="auto"/>
              </w:rPr>
            </w:pPr>
            <w:r>
              <w:rPr>
                <w:rFonts w:ascii="Arial" w:cs="Arial" w:eastAsia="Arial" w:hAnsi="Arial"/>
                <w:sz w:val="20"/>
                <w:szCs w:val="20"/>
                <w:color w:val="auto"/>
              </w:rPr>
              <w:t>(1.1)</w:t>
            </w:r>
          </w:p>
        </w:tc>
        <w:tc>
          <w:tcPr>
            <w:tcW w:w="12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900" w:type="dxa"/>
            <w:vAlign w:val="bottom"/>
            <w:tcBorders>
              <w:bottom w:val="single" w:sz="8" w:color="CFF0FC"/>
            </w:tcBorders>
          </w:tcPr>
          <w:p>
            <w:pPr>
              <w:spacing w:after="0"/>
              <w:rPr>
                <w:sz w:val="20"/>
                <w:szCs w:val="20"/>
                <w:color w:val="auto"/>
              </w:rPr>
            </w:pPr>
            <w:r>
              <w:rPr>
                <w:rFonts w:ascii="Arial" w:cs="Arial" w:eastAsia="Arial" w:hAnsi="Arial"/>
                <w:sz w:val="20"/>
                <w:szCs w:val="20"/>
                <w:color w:val="auto"/>
              </w:rPr>
              <w:t>Total Magnesia Specialties Business</w:t>
            </w:r>
          </w:p>
        </w:tc>
        <w:tc>
          <w:tcPr>
            <w:tcW w:w="22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16.9</w:t>
            </w:r>
          </w:p>
        </w:tc>
        <w:tc>
          <w:tcPr>
            <w:tcW w:w="360" w:type="dxa"/>
            <w:vAlign w:val="bottom"/>
            <w:tcBorders>
              <w:bottom w:val="single" w:sz="8" w:color="CFF0FC"/>
            </w:tcBorders>
          </w:tcPr>
          <w:p>
            <w:pPr>
              <w:spacing w:after="0"/>
              <w:rPr>
                <w:sz w:val="20"/>
                <w:szCs w:val="20"/>
                <w:color w:val="auto"/>
              </w:rPr>
            </w:pPr>
          </w:p>
        </w:tc>
        <w:tc>
          <w:tcPr>
            <w:tcW w:w="1300" w:type="dxa"/>
            <w:vAlign w:val="bottom"/>
            <w:tcBorders>
              <w:bottom w:val="single" w:sz="8" w:color="CFF0FC"/>
            </w:tcBorders>
          </w:tcPr>
          <w:p>
            <w:pPr>
              <w:jc w:val="right"/>
              <w:spacing w:after="0"/>
              <w:rPr>
                <w:sz w:val="20"/>
                <w:szCs w:val="20"/>
                <w:color w:val="auto"/>
              </w:rPr>
            </w:pPr>
            <w:r>
              <w:rPr>
                <w:rFonts w:ascii="Arial" w:cs="Arial" w:eastAsia="Arial" w:hAnsi="Arial"/>
                <w:sz w:val="20"/>
                <w:szCs w:val="20"/>
                <w:color w:val="auto"/>
              </w:rPr>
              <w:t>31.5</w:t>
            </w:r>
          </w:p>
        </w:tc>
        <w:tc>
          <w:tcPr>
            <w:tcW w:w="240" w:type="dxa"/>
            <w:vAlign w:val="bottom"/>
            <w:tcBorders>
              <w:bottom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20"/>
                <w:szCs w:val="20"/>
                <w:color w:val="auto"/>
              </w:rPr>
              <w:t>28.1</w:t>
            </w:r>
          </w:p>
        </w:tc>
        <w:tc>
          <w:tcPr>
            <w:tcW w:w="320" w:type="dxa"/>
            <w:vAlign w:val="bottom"/>
            <w:tcBorders>
              <w:bottom w:val="single" w:sz="8" w:color="CFF0FC"/>
            </w:tcBorders>
          </w:tcPr>
          <w:p>
            <w:pPr>
              <w:spacing w:after="0"/>
              <w:rPr>
                <w:sz w:val="20"/>
                <w:szCs w:val="20"/>
                <w:color w:val="auto"/>
              </w:rPr>
            </w:pPr>
          </w:p>
        </w:tc>
        <w:tc>
          <w:tcPr>
            <w:tcW w:w="1280" w:type="dxa"/>
            <w:vAlign w:val="bottom"/>
            <w:tcBorders>
              <w:bottom w:val="single" w:sz="8" w:color="CFF0FC"/>
            </w:tcBorders>
          </w:tcPr>
          <w:p>
            <w:pPr>
              <w:jc w:val="right"/>
              <w:spacing w:after="0"/>
              <w:rPr>
                <w:sz w:val="20"/>
                <w:szCs w:val="20"/>
                <w:color w:val="auto"/>
              </w:rPr>
            </w:pPr>
            <w:r>
              <w:rPr>
                <w:rFonts w:ascii="Arial" w:cs="Arial" w:eastAsia="Arial" w:hAnsi="Arial"/>
                <w:sz w:val="20"/>
                <w:szCs w:val="20"/>
                <w:color w:val="auto"/>
              </w:rPr>
              <w:t>36.8</w:t>
            </w:r>
          </w:p>
        </w:tc>
        <w:tc>
          <w:tcPr>
            <w:tcW w:w="2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900" w:type="dxa"/>
            <w:vAlign w:val="bottom"/>
            <w:shd w:val="clear" w:color="auto" w:fill="CFF0FC"/>
          </w:tcPr>
          <w:p>
            <w:pPr>
              <w:spacing w:after="0"/>
              <w:rPr>
                <w:sz w:val="20"/>
                <w:szCs w:val="20"/>
                <w:color w:val="auto"/>
              </w:rPr>
            </w:pPr>
            <w:r>
              <w:rPr>
                <w:rFonts w:ascii="Arial" w:cs="Arial" w:eastAsia="Arial" w:hAnsi="Arial"/>
                <w:sz w:val="20"/>
                <w:szCs w:val="20"/>
                <w:color w:val="auto"/>
              </w:rPr>
              <w:t>Corporate</w:t>
            </w:r>
          </w:p>
        </w:tc>
        <w:tc>
          <w:tcPr>
            <w:tcW w:w="22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4.5</w:t>
            </w:r>
          </w:p>
        </w:tc>
        <w:tc>
          <w:tcPr>
            <w:tcW w:w="36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20"/>
                <w:szCs w:val="20"/>
                <w:color w:val="auto"/>
              </w:rPr>
              <w:t>0.2</w:t>
            </w:r>
          </w:p>
        </w:tc>
        <w:tc>
          <w:tcPr>
            <w:tcW w:w="32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900" w:type="dxa"/>
            <w:vAlign w:val="bottom"/>
          </w:tcPr>
          <w:p>
            <w:pPr>
              <w:spacing w:after="0"/>
              <w:rPr>
                <w:sz w:val="20"/>
                <w:szCs w:val="20"/>
                <w:color w:val="auto"/>
              </w:rPr>
            </w:pPr>
            <w:r>
              <w:rPr>
                <w:rFonts w:ascii="Arial" w:cs="Arial" w:eastAsia="Arial" w:hAnsi="Arial"/>
                <w:sz w:val="20"/>
                <w:szCs w:val="20"/>
                <w:color w:val="auto"/>
              </w:rPr>
              <w:t>Total</w:t>
            </w:r>
          </w:p>
        </w:tc>
        <w:tc>
          <w:tcPr>
            <w:tcW w:w="22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380.5</w:t>
            </w:r>
          </w:p>
        </w:tc>
        <w:tc>
          <w:tcPr>
            <w:tcW w:w="3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29.9</w:t>
            </w:r>
          </w:p>
        </w:tc>
        <w:tc>
          <w:tcPr>
            <w:tcW w:w="240" w:type="dxa"/>
            <w:vAlign w:val="bottom"/>
          </w:tcPr>
          <w:p>
            <w:pPr>
              <w:spacing w:after="0"/>
              <w:rPr>
                <w:sz w:val="20"/>
                <w:szCs w:val="20"/>
                <w:color w:val="auto"/>
              </w:rPr>
            </w:pPr>
          </w:p>
        </w:tc>
        <w:tc>
          <w:tcPr>
            <w:tcW w:w="24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w w:val="71"/>
              </w:rPr>
              <w:t>$</w:t>
            </w: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20"/>
                <w:szCs w:val="20"/>
                <w:color w:val="auto"/>
              </w:rPr>
              <w:t>356.9</w:t>
            </w:r>
          </w:p>
        </w:tc>
        <w:tc>
          <w:tcPr>
            <w:tcW w:w="3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27.9</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00" w:type="dxa"/>
            <w:vAlign w:val="bottom"/>
            <w:vMerge w:val="restart"/>
          </w:tcPr>
          <w:p>
            <w:pPr>
              <w:spacing w:after="0"/>
              <w:rPr>
                <w:sz w:val="20"/>
                <w:szCs w:val="20"/>
                <w:color w:val="auto"/>
              </w:rPr>
            </w:pPr>
            <w:r>
              <w:rPr>
                <w:rFonts w:ascii="Arial" w:cs="Arial" w:eastAsia="Arial" w:hAnsi="Arial"/>
                <w:sz w:val="20"/>
                <w:szCs w:val="20"/>
                <w:i w:val="1"/>
                <w:iCs w:val="1"/>
                <w:color w:val="auto"/>
              </w:rPr>
              <w:t>Aggregates Products Gross Profit Rollforward</w:t>
            </w: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0"/>
        </w:trPr>
        <w:tc>
          <w:tcPr>
            <w:tcW w:w="49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7900" w:type="dxa"/>
            <w:vAlign w:val="bottom"/>
            <w:gridSpan w:val="5"/>
          </w:tcPr>
          <w:p>
            <w:pPr>
              <w:spacing w:after="0"/>
              <w:rPr>
                <w:sz w:val="20"/>
                <w:szCs w:val="20"/>
                <w:color w:val="auto"/>
              </w:rPr>
            </w:pPr>
            <w:r>
              <w:rPr>
                <w:rFonts w:ascii="Arial" w:cs="Arial" w:eastAsia="Arial" w:hAnsi="Arial"/>
                <w:sz w:val="20"/>
                <w:szCs w:val="20"/>
                <w:color w:val="auto"/>
                <w:w w:val="97"/>
              </w:rPr>
              <w:t>The following presents a rollforward of aggregates products gross profit (dollars in millions):</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
        </w:trPr>
        <w:tc>
          <w:tcPr>
            <w:tcW w:w="5120" w:type="dxa"/>
            <w:vAlign w:val="bottom"/>
            <w:gridSpan w:val="2"/>
          </w:tcPr>
          <w:p>
            <w:pPr>
              <w:spacing w:after="0"/>
              <w:rPr>
                <w:sz w:val="5"/>
                <w:szCs w:val="5"/>
                <w:color w:val="auto"/>
              </w:rPr>
            </w:pPr>
          </w:p>
        </w:tc>
        <w:tc>
          <w:tcPr>
            <w:tcW w:w="1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3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300" w:type="dxa"/>
            <w:vAlign w:val="bottom"/>
            <w:gridSpan w:val="2"/>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5120" w:type="dxa"/>
            <w:vAlign w:val="bottom"/>
            <w:gridSpan w:val="2"/>
            <w:shd w:val="clear" w:color="auto" w:fill="CFF0FC"/>
          </w:tcPr>
          <w:p>
            <w:pPr>
              <w:spacing w:after="0"/>
              <w:rPr>
                <w:sz w:val="20"/>
                <w:szCs w:val="20"/>
                <w:color w:val="auto"/>
              </w:rPr>
            </w:pPr>
            <w:r>
              <w:rPr>
                <w:rFonts w:ascii="Arial" w:cs="Arial" w:eastAsia="Arial" w:hAnsi="Arial"/>
                <w:sz w:val="20"/>
                <w:szCs w:val="20"/>
                <w:color w:val="auto"/>
                <w:w w:val="91"/>
              </w:rPr>
              <w:t>Aggregates products gross profit, quarter ended June 30, 2019</w:t>
            </w:r>
          </w:p>
        </w:tc>
        <w:tc>
          <w:tcPr>
            <w:tcW w:w="11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40" w:type="dxa"/>
            <w:vAlign w:val="bottom"/>
            <w:gridSpan w:val="3"/>
            <w:shd w:val="clear" w:color="auto" w:fill="CFF0FC"/>
          </w:tcPr>
          <w:p>
            <w:pPr>
              <w:jc w:val="right"/>
              <w:ind w:right="223"/>
              <w:spacing w:after="0"/>
              <w:rPr>
                <w:sz w:val="20"/>
                <w:szCs w:val="20"/>
                <w:color w:val="auto"/>
              </w:rPr>
            </w:pPr>
            <w:r>
              <w:rPr>
                <w:rFonts w:ascii="Arial" w:cs="Arial" w:eastAsia="Arial" w:hAnsi="Arial"/>
                <w:sz w:val="20"/>
                <w:szCs w:val="20"/>
                <w:color w:val="auto"/>
              </w:rPr>
              <w:t>$</w:t>
            </w:r>
          </w:p>
        </w:tc>
        <w:tc>
          <w:tcPr>
            <w:tcW w:w="3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251.5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900" w:type="dxa"/>
            <w:vAlign w:val="bottom"/>
            <w:vMerge w:val="restart"/>
          </w:tcPr>
          <w:p>
            <w:pPr>
              <w:ind w:left="260"/>
              <w:spacing w:after="0"/>
              <w:rPr>
                <w:sz w:val="20"/>
                <w:szCs w:val="20"/>
                <w:color w:val="auto"/>
              </w:rPr>
            </w:pPr>
            <w:r>
              <w:rPr>
                <w:rFonts w:ascii="Arial" w:cs="Arial" w:eastAsia="Arial" w:hAnsi="Arial"/>
                <w:sz w:val="20"/>
                <w:szCs w:val="20"/>
                <w:color w:val="auto"/>
              </w:rPr>
              <w:t>Volume</w:t>
            </w: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30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90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0" w:type="dxa"/>
            <w:vAlign w:val="bottom"/>
            <w:gridSpan w:val="3"/>
          </w:tcPr>
          <w:p>
            <w:pPr>
              <w:jc w:val="right"/>
              <w:ind w:right="40"/>
              <w:spacing w:after="0"/>
              <w:rPr>
                <w:sz w:val="20"/>
                <w:szCs w:val="20"/>
                <w:color w:val="auto"/>
              </w:rPr>
            </w:pPr>
            <w:r>
              <w:rPr>
                <w:rFonts w:ascii="Arial" w:cs="Arial" w:eastAsia="Arial" w:hAnsi="Arial"/>
                <w:sz w:val="20"/>
                <w:szCs w:val="20"/>
                <w:color w:val="auto"/>
              </w:rPr>
              <w:t>(14.6)</w:t>
            </w:r>
          </w:p>
        </w:tc>
        <w:tc>
          <w:tcPr>
            <w:tcW w:w="0" w:type="dxa"/>
            <w:vAlign w:val="bottom"/>
          </w:tcPr>
          <w:p>
            <w:pPr>
              <w:spacing w:after="0"/>
              <w:rPr>
                <w:sz w:val="1"/>
                <w:szCs w:val="1"/>
                <w:color w:val="auto"/>
              </w:rPr>
            </w:pPr>
          </w:p>
        </w:tc>
      </w:tr>
      <w:tr>
        <w:trPr>
          <w:trHeight w:val="243"/>
        </w:trPr>
        <w:tc>
          <w:tcPr>
            <w:tcW w:w="4900" w:type="dxa"/>
            <w:vAlign w:val="bottom"/>
            <w:shd w:val="clear" w:color="auto" w:fill="CFF0FC"/>
          </w:tcPr>
          <w:p>
            <w:pPr>
              <w:ind w:left="260"/>
              <w:spacing w:after="0"/>
              <w:rPr>
                <w:sz w:val="20"/>
                <w:szCs w:val="20"/>
                <w:color w:val="auto"/>
              </w:rPr>
            </w:pPr>
            <w:r>
              <w:rPr>
                <w:rFonts w:ascii="Arial" w:cs="Arial" w:eastAsia="Arial" w:hAnsi="Arial"/>
                <w:sz w:val="20"/>
                <w:szCs w:val="20"/>
                <w:color w:val="auto"/>
              </w:rPr>
              <w:t>Pricing</w:t>
            </w:r>
          </w:p>
        </w:tc>
        <w:tc>
          <w:tcPr>
            <w:tcW w:w="22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24.1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00" w:type="dxa"/>
            <w:vAlign w:val="bottom"/>
            <w:tcBorders>
              <w:bottom w:val="single" w:sz="8" w:color="CFF0FC"/>
            </w:tcBorders>
          </w:tcPr>
          <w:p>
            <w:pPr>
              <w:ind w:left="260"/>
              <w:spacing w:after="0"/>
              <w:rPr>
                <w:sz w:val="20"/>
                <w:szCs w:val="20"/>
                <w:color w:val="auto"/>
              </w:rPr>
            </w:pPr>
            <w:r>
              <w:rPr>
                <w:rFonts w:ascii="Arial" w:cs="Arial" w:eastAsia="Arial" w:hAnsi="Arial"/>
                <w:sz w:val="20"/>
                <w:szCs w:val="20"/>
                <w:color w:val="auto"/>
              </w:rPr>
              <w:t xml:space="preserve">Operational performance </w:t>
            </w:r>
            <w:r>
              <w:rPr>
                <w:rFonts w:ascii="Arial" w:cs="Arial" w:eastAsia="Arial" w:hAnsi="Arial"/>
                <w:sz w:val="16"/>
                <w:szCs w:val="16"/>
                <w:color w:val="auto"/>
              </w:rPr>
              <w:t>(1)</w:t>
            </w:r>
          </w:p>
        </w:tc>
        <w:tc>
          <w:tcPr>
            <w:tcW w:w="220" w:type="dxa"/>
            <w:vAlign w:val="bottom"/>
            <w:tcBorders>
              <w:bottom w:val="single" w:sz="8" w:color="CFF0FC"/>
            </w:tcBorders>
          </w:tcPr>
          <w:p>
            <w:pPr>
              <w:spacing w:after="0"/>
              <w:rPr>
                <w:sz w:val="21"/>
                <w:szCs w:val="21"/>
                <w:color w:val="auto"/>
              </w:rPr>
            </w:pPr>
          </w:p>
        </w:tc>
        <w:tc>
          <w:tcPr>
            <w:tcW w:w="1120" w:type="dxa"/>
            <w:vAlign w:val="bottom"/>
            <w:tcBorders>
              <w:bottom w:val="single" w:sz="8" w:color="CFF0FC"/>
            </w:tcBorders>
          </w:tcPr>
          <w:p>
            <w:pPr>
              <w:spacing w:after="0"/>
              <w:rPr>
                <w:sz w:val="21"/>
                <w:szCs w:val="21"/>
                <w:color w:val="auto"/>
              </w:rPr>
            </w:pPr>
          </w:p>
        </w:tc>
        <w:tc>
          <w:tcPr>
            <w:tcW w:w="360" w:type="dxa"/>
            <w:vAlign w:val="bottom"/>
            <w:tcBorders>
              <w:bottom w:val="single" w:sz="8" w:color="CFF0FC"/>
            </w:tcBorders>
          </w:tcPr>
          <w:p>
            <w:pPr>
              <w:spacing w:after="0"/>
              <w:rPr>
                <w:sz w:val="21"/>
                <w:szCs w:val="21"/>
                <w:color w:val="auto"/>
              </w:rPr>
            </w:pPr>
          </w:p>
        </w:tc>
        <w:tc>
          <w:tcPr>
            <w:tcW w:w="1300" w:type="dxa"/>
            <w:vAlign w:val="bottom"/>
            <w:tcBorders>
              <w:bottom w:val="single" w:sz="8" w:color="CFF0FC"/>
            </w:tcBorders>
          </w:tcPr>
          <w:p>
            <w:pPr>
              <w:spacing w:after="0"/>
              <w:rPr>
                <w:sz w:val="21"/>
                <w:szCs w:val="21"/>
                <w:color w:val="auto"/>
              </w:rPr>
            </w:pPr>
          </w:p>
        </w:tc>
        <w:tc>
          <w:tcPr>
            <w:tcW w:w="240" w:type="dxa"/>
            <w:vAlign w:val="bottom"/>
            <w:tcBorders>
              <w:bottom w:val="single" w:sz="8" w:color="CFF0FC"/>
            </w:tcBorders>
          </w:tcPr>
          <w:p>
            <w:pPr>
              <w:spacing w:after="0"/>
              <w:rPr>
                <w:sz w:val="21"/>
                <w:szCs w:val="21"/>
                <w:color w:val="auto"/>
              </w:rPr>
            </w:pPr>
          </w:p>
        </w:tc>
        <w:tc>
          <w:tcPr>
            <w:tcW w:w="240" w:type="dxa"/>
            <w:vAlign w:val="bottom"/>
            <w:tcBorders>
              <w:bottom w:val="single" w:sz="8" w:color="CFF0FC"/>
            </w:tcBorders>
          </w:tcPr>
          <w:p>
            <w:pPr>
              <w:spacing w:after="0"/>
              <w:rPr>
                <w:sz w:val="21"/>
                <w:szCs w:val="21"/>
                <w:color w:val="auto"/>
              </w:rPr>
            </w:pPr>
          </w:p>
        </w:tc>
        <w:tc>
          <w:tcPr>
            <w:tcW w:w="74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20"/>
                <w:szCs w:val="20"/>
                <w:color w:val="auto"/>
              </w:rPr>
              <w:t>7.0</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900" w:type="dxa"/>
            <w:vAlign w:val="bottom"/>
            <w:shd w:val="clear" w:color="auto" w:fill="CFF0FC"/>
          </w:tcPr>
          <w:p>
            <w:pPr>
              <w:spacing w:after="0"/>
              <w:rPr>
                <w:sz w:val="20"/>
                <w:szCs w:val="20"/>
                <w:color w:val="auto"/>
              </w:rPr>
            </w:pPr>
            <w:r>
              <w:rPr>
                <w:rFonts w:ascii="Arial" w:cs="Arial" w:eastAsia="Arial" w:hAnsi="Arial"/>
                <w:sz w:val="20"/>
                <w:szCs w:val="20"/>
                <w:color w:val="auto"/>
              </w:rPr>
              <w:t>Change in aggregates products gross profit</w:t>
            </w:r>
          </w:p>
        </w:tc>
        <w:tc>
          <w:tcPr>
            <w:tcW w:w="22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30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16.5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120" w:type="dxa"/>
            <w:vAlign w:val="bottom"/>
            <w:gridSpan w:val="2"/>
          </w:tcPr>
          <w:p>
            <w:pPr>
              <w:spacing w:after="0"/>
              <w:rPr>
                <w:sz w:val="20"/>
                <w:szCs w:val="20"/>
                <w:color w:val="auto"/>
              </w:rPr>
            </w:pPr>
            <w:r>
              <w:rPr>
                <w:rFonts w:ascii="Arial" w:cs="Arial" w:eastAsia="Arial" w:hAnsi="Arial"/>
                <w:sz w:val="20"/>
                <w:szCs w:val="20"/>
                <w:color w:val="auto"/>
                <w:w w:val="91"/>
              </w:rPr>
              <w:t>Aggregates products gross profit, quarter ended June 30, 2020</w:t>
            </w:r>
          </w:p>
        </w:tc>
        <w:tc>
          <w:tcPr>
            <w:tcW w:w="1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gridSpan w:val="2"/>
          </w:tcPr>
          <w:p>
            <w:pPr>
              <w:spacing w:after="0"/>
              <w:rPr>
                <w:sz w:val="20"/>
                <w:szCs w:val="20"/>
                <w:color w:val="auto"/>
              </w:rPr>
            </w:pPr>
          </w:p>
        </w:tc>
        <w:tc>
          <w:tcPr>
            <w:tcW w:w="380" w:type="dxa"/>
            <w:vAlign w:val="bottom"/>
          </w:tcPr>
          <w:p>
            <w:pPr>
              <w:jc w:val="right"/>
              <w:ind w:right="223"/>
              <w:spacing w:after="0"/>
              <w:rPr>
                <w:sz w:val="20"/>
                <w:szCs w:val="20"/>
                <w:color w:val="auto"/>
              </w:rPr>
            </w:pPr>
            <w:r>
              <w:rPr>
                <w:rFonts w:ascii="Arial" w:cs="Arial" w:eastAsia="Arial" w:hAnsi="Arial"/>
                <w:sz w:val="15"/>
                <w:szCs w:val="15"/>
                <w:color w:val="auto"/>
                <w:w w:val="71"/>
              </w:rPr>
              <w:t>$</w:t>
            </w:r>
          </w:p>
        </w:tc>
        <w:tc>
          <w:tcPr>
            <w:tcW w:w="320" w:type="dxa"/>
            <w:vAlign w:val="bottom"/>
          </w:tcPr>
          <w:p>
            <w:pPr>
              <w:spacing w:after="0"/>
              <w:rPr>
                <w:sz w:val="20"/>
                <w:szCs w:val="20"/>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20"/>
                <w:szCs w:val="20"/>
                <w:color w:val="auto"/>
              </w:rPr>
              <w:t>268.0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 w:lineRule="exact"/>
        <w:rPr>
          <w:sz w:val="20"/>
          <w:szCs w:val="20"/>
          <w:color w:val="auto"/>
        </w:rPr>
      </w:pPr>
    </w:p>
    <w:p>
      <w:pPr>
        <w:ind w:left="380" w:hanging="372"/>
        <w:spacing w:after="0"/>
        <w:tabs>
          <w:tab w:leader="none" w:pos="380" w:val="left"/>
        </w:tabs>
        <w:numPr>
          <w:ilvl w:val="0"/>
          <w:numId w:val="12"/>
        </w:numPr>
        <w:rPr>
          <w:rFonts w:ascii="Arial" w:cs="Arial" w:eastAsia="Arial" w:hAnsi="Arial"/>
          <w:sz w:val="15"/>
          <w:szCs w:val="15"/>
          <w:i w:val="1"/>
          <w:iCs w:val="1"/>
          <w:color w:val="auto"/>
        </w:rPr>
      </w:pPr>
      <w:r>
        <w:rPr>
          <w:rFonts w:ascii="Arial" w:cs="Arial" w:eastAsia="Arial" w:hAnsi="Arial"/>
          <w:sz w:val="18"/>
          <w:szCs w:val="18"/>
          <w:i w:val="1"/>
          <w:iCs w:val="1"/>
          <w:color w:val="auto"/>
        </w:rPr>
        <w:t>Inclusive of cost increases/decreases, product and geographic mix and other operating impacts</w:t>
      </w:r>
    </w:p>
    <w:p>
      <w:pPr>
        <w:spacing w:after="0" w:line="200" w:lineRule="exact"/>
        <w:rPr>
          <w:rFonts w:ascii="Arial" w:cs="Arial" w:eastAsia="Arial" w:hAnsi="Arial"/>
          <w:sz w:val="15"/>
          <w:szCs w:val="15"/>
          <w:i w:val="1"/>
          <w:iCs w:val="1"/>
          <w:color w:val="auto"/>
        </w:rPr>
      </w:pPr>
    </w:p>
    <w:p>
      <w:pPr>
        <w:spacing w:after="0" w:line="360" w:lineRule="exact"/>
        <w:rPr>
          <w:rFonts w:ascii="Arial" w:cs="Arial" w:eastAsia="Arial" w:hAnsi="Arial"/>
          <w:sz w:val="15"/>
          <w:szCs w:val="15"/>
          <w:i w:val="1"/>
          <w:iCs w:val="1"/>
          <w:color w:val="auto"/>
        </w:rPr>
      </w:pPr>
    </w:p>
    <w:p>
      <w:pPr>
        <w:ind w:left="5080"/>
        <w:spacing w:after="0"/>
        <w:rPr>
          <w:rFonts w:ascii="Arial" w:cs="Arial" w:eastAsia="Arial" w:hAnsi="Arial"/>
          <w:sz w:val="15"/>
          <w:szCs w:val="15"/>
          <w:i w:val="1"/>
          <w:iCs w:val="1"/>
          <w:color w:val="auto"/>
        </w:rPr>
      </w:pPr>
      <w:r>
        <w:rPr>
          <w:rFonts w:ascii="Arial" w:cs="Arial" w:eastAsia="Arial" w:hAnsi="Arial"/>
          <w:sz w:val="20"/>
          <w:szCs w:val="20"/>
          <w:color w:val="auto"/>
        </w:rPr>
        <w:t>Page 28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June 30, 2020</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Second Quarter Ended June 30, 2020</w:t>
      </w:r>
    </w:p>
    <w:p>
      <w:pPr>
        <w:jc w:val="center"/>
        <w:spacing w:after="0"/>
        <w:rPr>
          <w:sz w:val="20"/>
          <w:szCs w:val="20"/>
          <w:color w:val="auto"/>
        </w:rPr>
      </w:pPr>
      <w:r>
        <w:rPr>
          <w:rFonts w:ascii="Arial" w:cs="Arial" w:eastAsia="Arial" w:hAnsi="Arial"/>
          <w:sz w:val="20"/>
          <w:szCs w:val="20"/>
          <w:color w:val="auto"/>
        </w:rPr>
        <w:t>(Continued)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2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3240" w:type="dxa"/>
            <w:vAlign w:val="bottom"/>
            <w:tcBorders>
              <w:bottom w:val="single" w:sz="8" w:color="auto"/>
            </w:tcBorders>
            <w:gridSpan w:val="6"/>
          </w:tcPr>
          <w:p>
            <w:pPr>
              <w:ind w:left="100"/>
              <w:spacing w:after="0"/>
              <w:rPr>
                <w:sz w:val="20"/>
                <w:szCs w:val="20"/>
                <w:color w:val="auto"/>
              </w:rPr>
            </w:pPr>
            <w:r>
              <w:rPr>
                <w:rFonts w:ascii="Arial" w:cs="Arial" w:eastAsia="Arial" w:hAnsi="Arial"/>
                <w:sz w:val="20"/>
                <w:szCs w:val="20"/>
                <w:color w:val="auto"/>
              </w:rPr>
              <w:t>Three Months Ended June 30,</w:t>
            </w:r>
          </w:p>
        </w:tc>
        <w:tc>
          <w:tcPr>
            <w:tcW w:w="11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r>
      <w:tr>
        <w:trPr>
          <w:trHeight w:val="237"/>
        </w:trPr>
        <w:tc>
          <w:tcPr>
            <w:tcW w:w="4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20"/>
                <w:szCs w:val="20"/>
                <w:color w:val="auto"/>
              </w:rPr>
              <w:t>2020</w:t>
            </w:r>
          </w:p>
        </w:tc>
        <w:tc>
          <w:tcPr>
            <w:tcW w:w="120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20"/>
                <w:szCs w:val="20"/>
                <w:color w:val="auto"/>
              </w:rPr>
              <w:t>2019</w:t>
            </w:r>
          </w:p>
        </w:tc>
        <w:tc>
          <w:tcPr>
            <w:tcW w:w="11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0"/>
        </w:trPr>
        <w:tc>
          <w:tcPr>
            <w:tcW w:w="4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ind w:left="320"/>
              <w:spacing w:after="0" w:line="220" w:lineRule="exact"/>
              <w:rPr>
                <w:sz w:val="20"/>
                <w:szCs w:val="20"/>
                <w:color w:val="auto"/>
              </w:rPr>
            </w:pPr>
            <w:r>
              <w:rPr>
                <w:rFonts w:ascii="Arial" w:cs="Arial" w:eastAsia="Arial" w:hAnsi="Arial"/>
                <w:sz w:val="20"/>
                <w:szCs w:val="20"/>
                <w:color w:val="auto"/>
              </w:rPr>
              <w:t>% of</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80" w:type="dxa"/>
            <w:vAlign w:val="bottom"/>
          </w:tcPr>
          <w:p>
            <w:pPr>
              <w:jc w:val="center"/>
              <w:ind w:right="101"/>
              <w:spacing w:after="0" w:line="220" w:lineRule="exact"/>
              <w:rPr>
                <w:sz w:val="20"/>
                <w:szCs w:val="20"/>
                <w:color w:val="auto"/>
              </w:rPr>
            </w:pPr>
            <w:r>
              <w:rPr>
                <w:rFonts w:ascii="Arial" w:cs="Arial" w:eastAsia="Arial" w:hAnsi="Arial"/>
                <w:sz w:val="20"/>
                <w:szCs w:val="20"/>
                <w:color w:val="auto"/>
                <w:w w:val="94"/>
              </w:rPr>
              <w:t>% of</w:t>
            </w:r>
          </w:p>
        </w:tc>
        <w:tc>
          <w:tcPr>
            <w:tcW w:w="120" w:type="dxa"/>
            <w:vAlign w:val="bottom"/>
          </w:tcPr>
          <w:p>
            <w:pPr>
              <w:spacing w:after="0"/>
              <w:rPr>
                <w:sz w:val="19"/>
                <w:szCs w:val="19"/>
                <w:color w:val="auto"/>
              </w:rPr>
            </w:pPr>
          </w:p>
        </w:tc>
      </w:tr>
      <w:tr>
        <w:trPr>
          <w:trHeight w:val="246"/>
        </w:trPr>
        <w:tc>
          <w:tcPr>
            <w:tcW w:w="42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gridSpan w:val="2"/>
          </w:tcPr>
          <w:p>
            <w:pPr>
              <w:jc w:val="right"/>
              <w:ind w:right="820"/>
              <w:spacing w:after="0"/>
              <w:rPr>
                <w:sz w:val="20"/>
                <w:szCs w:val="20"/>
                <w:color w:val="auto"/>
              </w:rPr>
            </w:pPr>
            <w:r>
              <w:rPr>
                <w:rFonts w:ascii="Arial" w:cs="Arial" w:eastAsia="Arial" w:hAnsi="Arial"/>
                <w:sz w:val="20"/>
                <w:szCs w:val="20"/>
                <w:color w:val="auto"/>
              </w:rPr>
              <w:t>Amount</w:t>
            </w:r>
          </w:p>
        </w:tc>
        <w:tc>
          <w:tcPr>
            <w:tcW w:w="1440" w:type="dxa"/>
            <w:vAlign w:val="bottom"/>
            <w:gridSpan w:val="2"/>
          </w:tcPr>
          <w:p>
            <w:pPr>
              <w:ind w:left="120"/>
              <w:spacing w:after="0"/>
              <w:rPr>
                <w:sz w:val="20"/>
                <w:szCs w:val="20"/>
                <w:color w:val="auto"/>
              </w:rPr>
            </w:pPr>
            <w:r>
              <w:rPr>
                <w:rFonts w:ascii="Arial" w:cs="Arial" w:eastAsia="Arial" w:hAnsi="Arial"/>
                <w:sz w:val="20"/>
                <w:szCs w:val="20"/>
                <w:color w:val="auto"/>
              </w:rPr>
              <w:t>Revenues</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gridSpan w:val="2"/>
          </w:tcPr>
          <w:p>
            <w:pPr>
              <w:jc w:val="right"/>
              <w:ind w:right="800"/>
              <w:spacing w:after="0"/>
              <w:rPr>
                <w:sz w:val="20"/>
                <w:szCs w:val="20"/>
                <w:color w:val="auto"/>
              </w:rPr>
            </w:pPr>
            <w:r>
              <w:rPr>
                <w:rFonts w:ascii="Arial" w:cs="Arial" w:eastAsia="Arial" w:hAnsi="Arial"/>
                <w:sz w:val="20"/>
                <w:szCs w:val="20"/>
                <w:color w:val="auto"/>
              </w:rPr>
              <w:t>Amount</w:t>
            </w:r>
          </w:p>
        </w:tc>
        <w:tc>
          <w:tcPr>
            <w:tcW w:w="1300" w:type="dxa"/>
            <w:vAlign w:val="bottom"/>
            <w:gridSpan w:val="2"/>
          </w:tcPr>
          <w:p>
            <w:pPr>
              <w:jc w:val="center"/>
              <w:ind w:right="300"/>
              <w:spacing w:after="0"/>
              <w:rPr>
                <w:sz w:val="20"/>
                <w:szCs w:val="20"/>
                <w:color w:val="auto"/>
              </w:rPr>
            </w:pPr>
            <w:r>
              <w:rPr>
                <w:rFonts w:ascii="Arial" w:cs="Arial" w:eastAsia="Arial" w:hAnsi="Arial"/>
                <w:sz w:val="20"/>
                <w:szCs w:val="20"/>
                <w:color w:val="auto"/>
                <w:w w:val="84"/>
              </w:rPr>
              <w:t>Revenues</w:t>
            </w:r>
          </w:p>
        </w:tc>
      </w:tr>
      <w:tr>
        <w:trPr>
          <w:trHeight w:val="237"/>
        </w:trPr>
        <w:tc>
          <w:tcPr>
            <w:tcW w:w="4260" w:type="dxa"/>
            <w:vAlign w:val="bottom"/>
            <w:tcBorders>
              <w:top w:val="single" w:sz="8" w:color="CFF0FC"/>
            </w:tcBorders>
            <w:shd w:val="clear" w:color="auto" w:fill="CFF0FC"/>
          </w:tcPr>
          <w:p>
            <w:pPr>
              <w:spacing w:after="0"/>
              <w:rPr>
                <w:sz w:val="20"/>
                <w:szCs w:val="20"/>
                <w:color w:val="auto"/>
              </w:rPr>
            </w:pPr>
          </w:p>
        </w:tc>
        <w:tc>
          <w:tcPr>
            <w:tcW w:w="620" w:type="dxa"/>
            <w:vAlign w:val="bottom"/>
            <w:tcBorders>
              <w:top w:val="single" w:sz="8" w:color="CFF0FC"/>
            </w:tcBorders>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1140" w:type="dxa"/>
            <w:vAlign w:val="bottom"/>
            <w:tcBorders>
              <w:top w:val="single" w:sz="8" w:color="auto"/>
            </w:tcBorders>
            <w:shd w:val="clear" w:color="auto" w:fill="CFF0FC"/>
          </w:tcPr>
          <w:p>
            <w:pPr>
              <w:spacing w:after="0"/>
              <w:rPr>
                <w:sz w:val="20"/>
                <w:szCs w:val="20"/>
                <w:color w:val="auto"/>
              </w:rPr>
            </w:pPr>
          </w:p>
        </w:tc>
        <w:tc>
          <w:tcPr>
            <w:tcW w:w="460" w:type="dxa"/>
            <w:vAlign w:val="bottom"/>
            <w:tcBorders>
              <w:top w:val="single" w:sz="8" w:color="auto"/>
            </w:tcBorders>
            <w:shd w:val="clear" w:color="auto" w:fill="CFF0FC"/>
          </w:tcPr>
          <w:p>
            <w:pPr>
              <w:spacing w:after="0"/>
              <w:rPr>
                <w:sz w:val="20"/>
                <w:szCs w:val="20"/>
                <w:color w:val="auto"/>
              </w:rPr>
            </w:pPr>
          </w:p>
        </w:tc>
        <w:tc>
          <w:tcPr>
            <w:tcW w:w="3240" w:type="dxa"/>
            <w:vAlign w:val="bottom"/>
            <w:tcBorders>
              <w:top w:val="single" w:sz="8" w:color="auto"/>
            </w:tcBorders>
            <w:gridSpan w:val="6"/>
            <w:shd w:val="clear" w:color="auto" w:fill="CFF0FC"/>
          </w:tcPr>
          <w:p>
            <w:pPr>
              <w:jc w:val="right"/>
              <w:ind w:right="1120"/>
              <w:spacing w:after="0"/>
              <w:rPr>
                <w:sz w:val="20"/>
                <w:szCs w:val="20"/>
                <w:color w:val="auto"/>
              </w:rPr>
            </w:pPr>
            <w:r>
              <w:rPr>
                <w:rFonts w:ascii="Arial" w:cs="Arial" w:eastAsia="Arial" w:hAnsi="Arial"/>
                <w:sz w:val="20"/>
                <w:szCs w:val="20"/>
                <w:i w:val="1"/>
                <w:iCs w:val="1"/>
                <w:color w:val="auto"/>
              </w:rPr>
              <w:t>(Dollars in Millions)</w:t>
            </w:r>
          </w:p>
        </w:tc>
        <w:tc>
          <w:tcPr>
            <w:tcW w:w="1180" w:type="dxa"/>
            <w:vAlign w:val="bottom"/>
            <w:tcBorders>
              <w:top w:val="single" w:sz="8" w:color="auto"/>
            </w:tcBorders>
            <w:shd w:val="clear" w:color="auto" w:fill="CFF0FC"/>
          </w:tcPr>
          <w:p>
            <w:pPr>
              <w:spacing w:after="0"/>
              <w:rPr>
                <w:sz w:val="20"/>
                <w:szCs w:val="20"/>
                <w:color w:val="auto"/>
              </w:rPr>
            </w:pPr>
          </w:p>
        </w:tc>
        <w:tc>
          <w:tcPr>
            <w:tcW w:w="120" w:type="dxa"/>
            <w:vAlign w:val="bottom"/>
            <w:tcBorders>
              <w:top w:val="single" w:sz="8" w:color="CFF0FC"/>
            </w:tcBorders>
            <w:shd w:val="clear" w:color="auto" w:fill="CFF0FC"/>
          </w:tcPr>
          <w:p>
            <w:pPr>
              <w:spacing w:after="0"/>
              <w:rPr>
                <w:sz w:val="20"/>
                <w:szCs w:val="20"/>
                <w:color w:val="auto"/>
              </w:rPr>
            </w:pPr>
          </w:p>
        </w:tc>
      </w:tr>
      <w:tr>
        <w:trPr>
          <w:trHeight w:val="243"/>
        </w:trPr>
        <w:tc>
          <w:tcPr>
            <w:tcW w:w="4260" w:type="dxa"/>
            <w:vAlign w:val="bottom"/>
          </w:tcPr>
          <w:p>
            <w:pPr>
              <w:spacing w:after="0"/>
              <w:rPr>
                <w:sz w:val="20"/>
                <w:szCs w:val="20"/>
                <w:color w:val="auto"/>
              </w:rPr>
            </w:pPr>
            <w:r>
              <w:rPr>
                <w:rFonts w:ascii="Arial" w:cs="Arial" w:eastAsia="Arial" w:hAnsi="Arial"/>
                <w:sz w:val="20"/>
                <w:szCs w:val="20"/>
                <w:b w:val="1"/>
                <w:bCs w:val="1"/>
                <w:color w:val="auto"/>
              </w:rPr>
              <w:t>Selling, general &amp; administrative expenses:</w:t>
            </w:r>
          </w:p>
        </w:tc>
        <w:tc>
          <w:tcPr>
            <w:tcW w:w="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3"/>
        </w:trPr>
        <w:tc>
          <w:tcPr>
            <w:tcW w:w="4260" w:type="dxa"/>
            <w:vAlign w:val="bottom"/>
            <w:shd w:val="clear" w:color="auto" w:fill="CFF0FC"/>
          </w:tcPr>
          <w:p>
            <w:pPr>
              <w:spacing w:after="0"/>
              <w:rPr>
                <w:sz w:val="20"/>
                <w:szCs w:val="20"/>
                <w:color w:val="auto"/>
              </w:rPr>
            </w:pPr>
            <w:r>
              <w:rPr>
                <w:rFonts w:ascii="Arial" w:cs="Arial" w:eastAsia="Arial" w:hAnsi="Arial"/>
                <w:sz w:val="20"/>
                <w:szCs w:val="20"/>
                <w:color w:val="auto"/>
              </w:rPr>
              <w:t>Building Materials Business:</w:t>
            </w:r>
          </w:p>
        </w:tc>
        <w:tc>
          <w:tcPr>
            <w:tcW w:w="6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243"/>
        </w:trPr>
        <w:tc>
          <w:tcPr>
            <w:tcW w:w="4260" w:type="dxa"/>
            <w:vAlign w:val="bottom"/>
          </w:tcPr>
          <w:p>
            <w:pPr>
              <w:ind w:left="260"/>
              <w:spacing w:after="0"/>
              <w:rPr>
                <w:sz w:val="20"/>
                <w:szCs w:val="20"/>
                <w:color w:val="auto"/>
              </w:rPr>
            </w:pPr>
            <w:r>
              <w:rPr>
                <w:rFonts w:ascii="Arial" w:cs="Arial" w:eastAsia="Arial" w:hAnsi="Arial"/>
                <w:sz w:val="20"/>
                <w:szCs w:val="20"/>
                <w:color w:val="auto"/>
              </w:rPr>
              <w:t>Mid-America Group</w:t>
            </w:r>
          </w:p>
        </w:tc>
        <w:tc>
          <w:tcPr>
            <w:tcW w:w="840" w:type="dxa"/>
            <w:vAlign w:val="bottom"/>
            <w:gridSpan w:val="2"/>
          </w:tcPr>
          <w:p>
            <w:pPr>
              <w:jc w:val="right"/>
              <w:ind w:right="21"/>
              <w:spacing w:after="0"/>
              <w:rPr>
                <w:sz w:val="20"/>
                <w:szCs w:val="20"/>
                <w:color w:val="auto"/>
              </w:rPr>
            </w:pPr>
            <w:r>
              <w:rPr>
                <w:rFonts w:ascii="Arial" w:cs="Arial" w:eastAsia="Arial" w:hAnsi="Arial"/>
                <w:sz w:val="20"/>
                <w:szCs w:val="20"/>
                <w:color w:val="auto"/>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17.6</w:t>
            </w:r>
          </w:p>
        </w:tc>
        <w:tc>
          <w:tcPr>
            <w:tcW w:w="4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gridSpan w:val="2"/>
          </w:tcPr>
          <w:p>
            <w:pPr>
              <w:jc w:val="right"/>
              <w:ind w:right="63"/>
              <w:spacing w:after="0"/>
              <w:rPr>
                <w:sz w:val="20"/>
                <w:szCs w:val="20"/>
                <w:color w:val="auto"/>
              </w:rPr>
            </w:pPr>
            <w:r>
              <w:rPr>
                <w:rFonts w:ascii="Arial" w:cs="Arial" w:eastAsia="Arial" w:hAnsi="Arial"/>
                <w:sz w:val="20"/>
                <w:szCs w:val="20"/>
                <w:color w:val="auto"/>
                <w:w w:val="71"/>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15.5</w:t>
            </w:r>
          </w:p>
        </w:tc>
        <w:tc>
          <w:tcPr>
            <w:tcW w:w="4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3"/>
        </w:trPr>
        <w:tc>
          <w:tcPr>
            <w:tcW w:w="42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Southeast Group</w:t>
            </w:r>
          </w:p>
        </w:tc>
        <w:tc>
          <w:tcPr>
            <w:tcW w:w="6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6.8</w:t>
            </w:r>
          </w:p>
        </w:tc>
        <w:tc>
          <w:tcPr>
            <w:tcW w:w="4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5.4</w:t>
            </w:r>
          </w:p>
        </w:tc>
        <w:tc>
          <w:tcPr>
            <w:tcW w:w="42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243"/>
        </w:trPr>
        <w:tc>
          <w:tcPr>
            <w:tcW w:w="4260" w:type="dxa"/>
            <w:vAlign w:val="bottom"/>
            <w:tcBorders>
              <w:bottom w:val="single" w:sz="8" w:color="CFF0FC"/>
            </w:tcBorders>
          </w:tcPr>
          <w:p>
            <w:pPr>
              <w:ind w:left="260"/>
              <w:spacing w:after="0"/>
              <w:rPr>
                <w:sz w:val="20"/>
                <w:szCs w:val="20"/>
                <w:color w:val="auto"/>
              </w:rPr>
            </w:pPr>
            <w:r>
              <w:rPr>
                <w:rFonts w:ascii="Arial" w:cs="Arial" w:eastAsia="Arial" w:hAnsi="Arial"/>
                <w:sz w:val="20"/>
                <w:szCs w:val="20"/>
                <w:color w:val="auto"/>
              </w:rPr>
              <w:t>West Group</w:t>
            </w:r>
          </w:p>
        </w:tc>
        <w:tc>
          <w:tcPr>
            <w:tcW w:w="62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32.7</w:t>
            </w:r>
          </w:p>
        </w:tc>
        <w:tc>
          <w:tcPr>
            <w:tcW w:w="460" w:type="dxa"/>
            <w:vAlign w:val="bottom"/>
            <w:tcBorders>
              <w:bottom w:val="single" w:sz="8" w:color="CFF0FC"/>
            </w:tcBorders>
          </w:tcPr>
          <w:p>
            <w:pPr>
              <w:spacing w:after="0"/>
              <w:rPr>
                <w:sz w:val="21"/>
                <w:szCs w:val="21"/>
                <w:color w:val="auto"/>
              </w:rPr>
            </w:pPr>
          </w:p>
        </w:tc>
        <w:tc>
          <w:tcPr>
            <w:tcW w:w="1200" w:type="dxa"/>
            <w:vAlign w:val="bottom"/>
            <w:tcBorders>
              <w:bottom w:val="single" w:sz="8" w:color="CFF0FC"/>
            </w:tcBorders>
          </w:tcPr>
          <w:p>
            <w:pPr>
              <w:spacing w:after="0"/>
              <w:rPr>
                <w:sz w:val="21"/>
                <w:szCs w:val="21"/>
                <w:color w:val="auto"/>
              </w:rPr>
            </w:pPr>
          </w:p>
        </w:tc>
        <w:tc>
          <w:tcPr>
            <w:tcW w:w="24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27.7</w:t>
            </w:r>
          </w:p>
        </w:tc>
        <w:tc>
          <w:tcPr>
            <w:tcW w:w="420" w:type="dxa"/>
            <w:vAlign w:val="bottom"/>
            <w:tcBorders>
              <w:bottom w:val="single" w:sz="8" w:color="CFF0FC"/>
            </w:tcBorders>
          </w:tcPr>
          <w:p>
            <w:pPr>
              <w:spacing w:after="0"/>
              <w:rPr>
                <w:sz w:val="21"/>
                <w:szCs w:val="21"/>
                <w:color w:val="auto"/>
              </w:rPr>
            </w:pPr>
          </w:p>
        </w:tc>
        <w:tc>
          <w:tcPr>
            <w:tcW w:w="1180" w:type="dxa"/>
            <w:vAlign w:val="bottom"/>
            <w:tcBorders>
              <w:bottom w:val="single" w:sz="8" w:color="CFF0FC"/>
            </w:tcBorders>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r>
      <w:tr>
        <w:trPr>
          <w:trHeight w:val="236"/>
        </w:trPr>
        <w:tc>
          <w:tcPr>
            <w:tcW w:w="4260" w:type="dxa"/>
            <w:vAlign w:val="bottom"/>
            <w:shd w:val="clear" w:color="auto" w:fill="CFF0FC"/>
          </w:tcPr>
          <w:p>
            <w:pPr>
              <w:spacing w:after="0"/>
              <w:rPr>
                <w:sz w:val="20"/>
                <w:szCs w:val="20"/>
                <w:color w:val="auto"/>
              </w:rPr>
            </w:pPr>
            <w:r>
              <w:rPr>
                <w:rFonts w:ascii="Arial" w:cs="Arial" w:eastAsia="Arial" w:hAnsi="Arial"/>
                <w:sz w:val="20"/>
                <w:szCs w:val="20"/>
                <w:color w:val="auto"/>
              </w:rPr>
              <w:t>Total Building Materials Business</w:t>
            </w:r>
          </w:p>
        </w:tc>
        <w:tc>
          <w:tcPr>
            <w:tcW w:w="6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57.1</w:t>
            </w:r>
          </w:p>
        </w:tc>
        <w:tc>
          <w:tcPr>
            <w:tcW w:w="4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48.6</w:t>
            </w:r>
          </w:p>
        </w:tc>
        <w:tc>
          <w:tcPr>
            <w:tcW w:w="42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43"/>
        </w:trPr>
        <w:tc>
          <w:tcPr>
            <w:tcW w:w="4260" w:type="dxa"/>
            <w:vAlign w:val="bottom"/>
          </w:tcPr>
          <w:p>
            <w:pPr>
              <w:spacing w:after="0"/>
              <w:rPr>
                <w:sz w:val="20"/>
                <w:szCs w:val="20"/>
                <w:color w:val="auto"/>
              </w:rPr>
            </w:pPr>
            <w:r>
              <w:rPr>
                <w:rFonts w:ascii="Arial" w:cs="Arial" w:eastAsia="Arial" w:hAnsi="Arial"/>
                <w:sz w:val="20"/>
                <w:szCs w:val="20"/>
                <w:color w:val="auto"/>
              </w:rPr>
              <w:t>Magnesia Specialties</w:t>
            </w:r>
          </w:p>
        </w:tc>
        <w:tc>
          <w:tcPr>
            <w:tcW w:w="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3.4</w:t>
            </w:r>
          </w:p>
        </w:tc>
        <w:tc>
          <w:tcPr>
            <w:tcW w:w="4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2.8</w:t>
            </w:r>
          </w:p>
        </w:tc>
        <w:tc>
          <w:tcPr>
            <w:tcW w:w="4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3"/>
        </w:trPr>
        <w:tc>
          <w:tcPr>
            <w:tcW w:w="4260" w:type="dxa"/>
            <w:vAlign w:val="bottom"/>
            <w:shd w:val="clear" w:color="auto" w:fill="CFF0FC"/>
          </w:tcPr>
          <w:p>
            <w:pPr>
              <w:spacing w:after="0"/>
              <w:rPr>
                <w:sz w:val="20"/>
                <w:szCs w:val="20"/>
                <w:color w:val="auto"/>
              </w:rPr>
            </w:pPr>
            <w:r>
              <w:rPr>
                <w:rFonts w:ascii="Arial" w:cs="Arial" w:eastAsia="Arial" w:hAnsi="Arial"/>
                <w:sz w:val="20"/>
                <w:szCs w:val="20"/>
                <w:color w:val="auto"/>
              </w:rPr>
              <w:t>Corporate</w:t>
            </w:r>
          </w:p>
        </w:tc>
        <w:tc>
          <w:tcPr>
            <w:tcW w:w="620" w:type="dxa"/>
            <w:vAlign w:val="bottom"/>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10.7</w:t>
            </w:r>
          </w:p>
        </w:tc>
        <w:tc>
          <w:tcPr>
            <w:tcW w:w="4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21.0</w:t>
            </w:r>
          </w:p>
        </w:tc>
        <w:tc>
          <w:tcPr>
            <w:tcW w:w="42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277"/>
        </w:trPr>
        <w:tc>
          <w:tcPr>
            <w:tcW w:w="4260" w:type="dxa"/>
            <w:vAlign w:val="bottom"/>
            <w:tcBorders>
              <w:bottom w:val="single" w:sz="8" w:color="CFF0FC"/>
            </w:tcBorders>
          </w:tcPr>
          <w:p>
            <w:pPr>
              <w:spacing w:after="0"/>
              <w:rPr>
                <w:sz w:val="20"/>
                <w:szCs w:val="20"/>
                <w:color w:val="auto"/>
              </w:rPr>
            </w:pPr>
            <w:r>
              <w:rPr>
                <w:rFonts w:ascii="Arial" w:cs="Arial" w:eastAsia="Arial" w:hAnsi="Arial"/>
                <w:sz w:val="20"/>
                <w:szCs w:val="20"/>
                <w:color w:val="auto"/>
              </w:rPr>
              <w:t>Total</w:t>
            </w:r>
          </w:p>
        </w:tc>
        <w:tc>
          <w:tcPr>
            <w:tcW w:w="620" w:type="dxa"/>
            <w:vAlign w:val="bottom"/>
            <w:tcBorders>
              <w:bottom w:val="single" w:sz="8" w:color="CFF0FC"/>
            </w:tcBorders>
          </w:tcPr>
          <w:p>
            <w:pPr>
              <w:spacing w:after="0"/>
              <w:rPr>
                <w:sz w:val="24"/>
                <w:szCs w:val="24"/>
                <w:color w:val="auto"/>
              </w:rPr>
            </w:pPr>
          </w:p>
        </w:tc>
        <w:tc>
          <w:tcPr>
            <w:tcW w:w="22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71.2</w:t>
            </w:r>
          </w:p>
        </w:tc>
        <w:tc>
          <w:tcPr>
            <w:tcW w:w="460" w:type="dxa"/>
            <w:vAlign w:val="bottom"/>
            <w:tcBorders>
              <w:bottom w:val="single" w:sz="8" w:color="CFF0FC"/>
            </w:tcBorders>
          </w:tcPr>
          <w:p>
            <w:pPr>
              <w:spacing w:after="0"/>
              <w:rPr>
                <w:sz w:val="24"/>
                <w:szCs w:val="24"/>
                <w:color w:val="auto"/>
              </w:rPr>
            </w:pPr>
          </w:p>
        </w:tc>
        <w:tc>
          <w:tcPr>
            <w:tcW w:w="1200" w:type="dxa"/>
            <w:vAlign w:val="bottom"/>
            <w:tcBorders>
              <w:bottom w:val="single" w:sz="8" w:color="CFF0FC"/>
            </w:tcBorders>
          </w:tcPr>
          <w:p>
            <w:pPr>
              <w:jc w:val="right"/>
              <w:spacing w:after="0"/>
              <w:rPr>
                <w:sz w:val="20"/>
                <w:szCs w:val="20"/>
                <w:color w:val="auto"/>
              </w:rPr>
            </w:pPr>
            <w:r>
              <w:rPr>
                <w:rFonts w:ascii="Arial" w:cs="Arial" w:eastAsia="Arial" w:hAnsi="Arial"/>
                <w:sz w:val="20"/>
                <w:szCs w:val="20"/>
                <w:color w:val="auto"/>
              </w:rPr>
              <w:t>5.6</w:t>
            </w:r>
          </w:p>
        </w:tc>
        <w:tc>
          <w:tcPr>
            <w:tcW w:w="240" w:type="dxa"/>
            <w:vAlign w:val="bottom"/>
            <w:tcBorders>
              <w:bottom w:val="single" w:sz="8" w:color="CFF0FC"/>
            </w:tcBorders>
          </w:tcPr>
          <w:p>
            <w:pPr>
              <w:spacing w:after="0"/>
              <w:rPr>
                <w:sz w:val="24"/>
                <w:szCs w:val="24"/>
                <w:color w:val="auto"/>
              </w:rPr>
            </w:pPr>
          </w:p>
        </w:tc>
        <w:tc>
          <w:tcPr>
            <w:tcW w:w="20" w:type="dxa"/>
            <w:vAlign w:val="bottom"/>
            <w:tcBorders>
              <w:bottom w:val="single" w:sz="8" w:color="CFF0FC"/>
            </w:tcBorders>
          </w:tcPr>
          <w:p>
            <w:pPr>
              <w:spacing w:after="0"/>
              <w:rPr>
                <w:sz w:val="24"/>
                <w:szCs w:val="24"/>
                <w:color w:val="auto"/>
              </w:rPr>
            </w:pPr>
          </w:p>
        </w:tc>
        <w:tc>
          <w:tcPr>
            <w:tcW w:w="22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72.4</w:t>
            </w:r>
          </w:p>
        </w:tc>
        <w:tc>
          <w:tcPr>
            <w:tcW w:w="420" w:type="dxa"/>
            <w:vAlign w:val="bottom"/>
            <w:tcBorders>
              <w:bottom w:val="single" w:sz="8" w:color="CFF0FC"/>
            </w:tcBorders>
          </w:tcPr>
          <w:p>
            <w:pPr>
              <w:spacing w:after="0"/>
              <w:rPr>
                <w:sz w:val="24"/>
                <w:szCs w:val="24"/>
                <w:color w:val="auto"/>
              </w:rPr>
            </w:pPr>
          </w:p>
        </w:tc>
        <w:tc>
          <w:tcPr>
            <w:tcW w:w="1180" w:type="dxa"/>
            <w:vAlign w:val="bottom"/>
            <w:tcBorders>
              <w:bottom w:val="single" w:sz="8" w:color="CFF0FC"/>
            </w:tcBorders>
          </w:tcPr>
          <w:p>
            <w:pPr>
              <w:jc w:val="right"/>
              <w:spacing w:after="0"/>
              <w:rPr>
                <w:sz w:val="20"/>
                <w:szCs w:val="20"/>
                <w:color w:val="auto"/>
              </w:rPr>
            </w:pPr>
            <w:r>
              <w:rPr>
                <w:rFonts w:ascii="Arial" w:cs="Arial" w:eastAsia="Arial" w:hAnsi="Arial"/>
                <w:sz w:val="20"/>
                <w:szCs w:val="20"/>
                <w:color w:val="auto"/>
              </w:rPr>
              <w:t>5.7</w:t>
            </w:r>
          </w:p>
        </w:tc>
        <w:tc>
          <w:tcPr>
            <w:tcW w:w="120" w:type="dxa"/>
            <w:vAlign w:val="bottom"/>
            <w:tcBorders>
              <w:bottom w:val="single" w:sz="8" w:color="CFF0FC"/>
            </w:tcBorders>
          </w:tcPr>
          <w:p>
            <w:pPr>
              <w:spacing w:after="0"/>
              <w:rPr>
                <w:sz w:val="24"/>
                <w:szCs w:val="24"/>
                <w:color w:val="auto"/>
              </w:rPr>
            </w:pPr>
          </w:p>
        </w:tc>
      </w:tr>
      <w:tr>
        <w:trPr>
          <w:trHeight w:val="223"/>
        </w:trPr>
        <w:tc>
          <w:tcPr>
            <w:tcW w:w="42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43"/>
        </w:trPr>
        <w:tc>
          <w:tcPr>
            <w:tcW w:w="4260" w:type="dxa"/>
            <w:vAlign w:val="bottom"/>
          </w:tcPr>
          <w:p>
            <w:pPr>
              <w:spacing w:after="0"/>
              <w:rPr>
                <w:sz w:val="20"/>
                <w:szCs w:val="20"/>
                <w:color w:val="auto"/>
              </w:rPr>
            </w:pPr>
            <w:r>
              <w:rPr>
                <w:rFonts w:ascii="Arial" w:cs="Arial" w:eastAsia="Arial" w:hAnsi="Arial"/>
                <w:sz w:val="20"/>
                <w:szCs w:val="20"/>
                <w:b w:val="1"/>
                <w:bCs w:val="1"/>
                <w:color w:val="auto"/>
              </w:rPr>
              <w:t>Earnings (Loss) from operations:</w:t>
            </w:r>
          </w:p>
        </w:tc>
        <w:tc>
          <w:tcPr>
            <w:tcW w:w="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3"/>
        </w:trPr>
        <w:tc>
          <w:tcPr>
            <w:tcW w:w="4260" w:type="dxa"/>
            <w:vAlign w:val="bottom"/>
            <w:shd w:val="clear" w:color="auto" w:fill="CFF0FC"/>
          </w:tcPr>
          <w:p>
            <w:pPr>
              <w:spacing w:after="0"/>
              <w:rPr>
                <w:sz w:val="20"/>
                <w:szCs w:val="20"/>
                <w:color w:val="auto"/>
              </w:rPr>
            </w:pPr>
            <w:r>
              <w:rPr>
                <w:rFonts w:ascii="Arial" w:cs="Arial" w:eastAsia="Arial" w:hAnsi="Arial"/>
                <w:sz w:val="20"/>
                <w:szCs w:val="20"/>
                <w:color w:val="auto"/>
              </w:rPr>
              <w:t>Building Materials Business:</w:t>
            </w:r>
          </w:p>
        </w:tc>
        <w:tc>
          <w:tcPr>
            <w:tcW w:w="6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243"/>
        </w:trPr>
        <w:tc>
          <w:tcPr>
            <w:tcW w:w="4260" w:type="dxa"/>
            <w:vAlign w:val="bottom"/>
          </w:tcPr>
          <w:p>
            <w:pPr>
              <w:ind w:left="260"/>
              <w:spacing w:after="0"/>
              <w:rPr>
                <w:sz w:val="20"/>
                <w:szCs w:val="20"/>
                <w:color w:val="auto"/>
              </w:rPr>
            </w:pPr>
            <w:r>
              <w:rPr>
                <w:rFonts w:ascii="Arial" w:cs="Arial" w:eastAsia="Arial" w:hAnsi="Arial"/>
                <w:sz w:val="20"/>
                <w:szCs w:val="20"/>
                <w:color w:val="auto"/>
              </w:rPr>
              <w:t>Mid-America Group</w:t>
            </w:r>
          </w:p>
        </w:tc>
        <w:tc>
          <w:tcPr>
            <w:tcW w:w="840" w:type="dxa"/>
            <w:vAlign w:val="bottom"/>
            <w:gridSpan w:val="2"/>
          </w:tcPr>
          <w:p>
            <w:pPr>
              <w:jc w:val="right"/>
              <w:ind w:right="21"/>
              <w:spacing w:after="0"/>
              <w:rPr>
                <w:sz w:val="20"/>
                <w:szCs w:val="20"/>
                <w:color w:val="auto"/>
              </w:rPr>
            </w:pPr>
            <w:r>
              <w:rPr>
                <w:rFonts w:ascii="Arial" w:cs="Arial" w:eastAsia="Arial" w:hAnsi="Arial"/>
                <w:sz w:val="20"/>
                <w:szCs w:val="20"/>
                <w:color w:val="auto"/>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136.2</w:t>
            </w:r>
          </w:p>
        </w:tc>
        <w:tc>
          <w:tcPr>
            <w:tcW w:w="4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gridSpan w:val="2"/>
          </w:tcPr>
          <w:p>
            <w:pPr>
              <w:jc w:val="right"/>
              <w:ind w:right="63"/>
              <w:spacing w:after="0"/>
              <w:rPr>
                <w:sz w:val="20"/>
                <w:szCs w:val="20"/>
                <w:color w:val="auto"/>
              </w:rPr>
            </w:pPr>
            <w:r>
              <w:rPr>
                <w:rFonts w:ascii="Arial" w:cs="Arial" w:eastAsia="Arial" w:hAnsi="Arial"/>
                <w:sz w:val="20"/>
                <w:szCs w:val="20"/>
                <w:color w:val="auto"/>
                <w:w w:val="71"/>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141.3</w:t>
            </w:r>
          </w:p>
        </w:tc>
        <w:tc>
          <w:tcPr>
            <w:tcW w:w="4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3"/>
        </w:trPr>
        <w:tc>
          <w:tcPr>
            <w:tcW w:w="42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Southeast Group</w:t>
            </w:r>
          </w:p>
        </w:tc>
        <w:tc>
          <w:tcPr>
            <w:tcW w:w="6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33.7</w:t>
            </w:r>
          </w:p>
        </w:tc>
        <w:tc>
          <w:tcPr>
            <w:tcW w:w="4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32.7</w:t>
            </w:r>
          </w:p>
        </w:tc>
        <w:tc>
          <w:tcPr>
            <w:tcW w:w="42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243"/>
        </w:trPr>
        <w:tc>
          <w:tcPr>
            <w:tcW w:w="4260" w:type="dxa"/>
            <w:vAlign w:val="bottom"/>
            <w:tcBorders>
              <w:bottom w:val="single" w:sz="8" w:color="CFF0FC"/>
            </w:tcBorders>
          </w:tcPr>
          <w:p>
            <w:pPr>
              <w:ind w:left="260"/>
              <w:spacing w:after="0"/>
              <w:rPr>
                <w:sz w:val="20"/>
                <w:szCs w:val="20"/>
                <w:color w:val="auto"/>
              </w:rPr>
            </w:pPr>
            <w:r>
              <w:rPr>
                <w:rFonts w:ascii="Arial" w:cs="Arial" w:eastAsia="Arial" w:hAnsi="Arial"/>
                <w:sz w:val="20"/>
                <w:szCs w:val="20"/>
                <w:color w:val="auto"/>
              </w:rPr>
              <w:t>West Group</w:t>
            </w:r>
          </w:p>
        </w:tc>
        <w:tc>
          <w:tcPr>
            <w:tcW w:w="62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133.2</w:t>
            </w:r>
          </w:p>
        </w:tc>
        <w:tc>
          <w:tcPr>
            <w:tcW w:w="460" w:type="dxa"/>
            <w:vAlign w:val="bottom"/>
            <w:tcBorders>
              <w:bottom w:val="single" w:sz="8" w:color="CFF0FC"/>
            </w:tcBorders>
          </w:tcPr>
          <w:p>
            <w:pPr>
              <w:spacing w:after="0"/>
              <w:rPr>
                <w:sz w:val="21"/>
                <w:szCs w:val="21"/>
                <w:color w:val="auto"/>
              </w:rPr>
            </w:pPr>
          </w:p>
        </w:tc>
        <w:tc>
          <w:tcPr>
            <w:tcW w:w="1200" w:type="dxa"/>
            <w:vAlign w:val="bottom"/>
            <w:tcBorders>
              <w:bottom w:val="single" w:sz="8" w:color="CFF0FC"/>
            </w:tcBorders>
          </w:tcPr>
          <w:p>
            <w:pPr>
              <w:spacing w:after="0"/>
              <w:rPr>
                <w:sz w:val="21"/>
                <w:szCs w:val="21"/>
                <w:color w:val="auto"/>
              </w:rPr>
            </w:pPr>
          </w:p>
        </w:tc>
        <w:tc>
          <w:tcPr>
            <w:tcW w:w="24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110.6</w:t>
            </w:r>
          </w:p>
        </w:tc>
        <w:tc>
          <w:tcPr>
            <w:tcW w:w="420" w:type="dxa"/>
            <w:vAlign w:val="bottom"/>
            <w:tcBorders>
              <w:bottom w:val="single" w:sz="8" w:color="CFF0FC"/>
            </w:tcBorders>
          </w:tcPr>
          <w:p>
            <w:pPr>
              <w:spacing w:after="0"/>
              <w:rPr>
                <w:sz w:val="21"/>
                <w:szCs w:val="21"/>
                <w:color w:val="auto"/>
              </w:rPr>
            </w:pPr>
          </w:p>
        </w:tc>
        <w:tc>
          <w:tcPr>
            <w:tcW w:w="1180" w:type="dxa"/>
            <w:vAlign w:val="bottom"/>
            <w:tcBorders>
              <w:bottom w:val="single" w:sz="8" w:color="CFF0FC"/>
            </w:tcBorders>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r>
      <w:tr>
        <w:trPr>
          <w:trHeight w:val="236"/>
        </w:trPr>
        <w:tc>
          <w:tcPr>
            <w:tcW w:w="4260" w:type="dxa"/>
            <w:vAlign w:val="bottom"/>
            <w:shd w:val="clear" w:color="auto" w:fill="CFF0FC"/>
          </w:tcPr>
          <w:p>
            <w:pPr>
              <w:spacing w:after="0"/>
              <w:rPr>
                <w:sz w:val="20"/>
                <w:szCs w:val="20"/>
                <w:color w:val="auto"/>
              </w:rPr>
            </w:pPr>
            <w:r>
              <w:rPr>
                <w:rFonts w:ascii="Arial" w:cs="Arial" w:eastAsia="Arial" w:hAnsi="Arial"/>
                <w:sz w:val="20"/>
                <w:szCs w:val="20"/>
                <w:color w:val="auto"/>
              </w:rPr>
              <w:t>Total Building Materials Business</w:t>
            </w:r>
          </w:p>
        </w:tc>
        <w:tc>
          <w:tcPr>
            <w:tcW w:w="6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303.1</w:t>
            </w:r>
          </w:p>
        </w:tc>
        <w:tc>
          <w:tcPr>
            <w:tcW w:w="4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284.6</w:t>
            </w:r>
          </w:p>
        </w:tc>
        <w:tc>
          <w:tcPr>
            <w:tcW w:w="42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43"/>
        </w:trPr>
        <w:tc>
          <w:tcPr>
            <w:tcW w:w="4260" w:type="dxa"/>
            <w:vAlign w:val="bottom"/>
          </w:tcPr>
          <w:p>
            <w:pPr>
              <w:spacing w:after="0"/>
              <w:rPr>
                <w:sz w:val="20"/>
                <w:szCs w:val="20"/>
                <w:color w:val="auto"/>
              </w:rPr>
            </w:pPr>
            <w:r>
              <w:rPr>
                <w:rFonts w:ascii="Arial" w:cs="Arial" w:eastAsia="Arial" w:hAnsi="Arial"/>
                <w:sz w:val="20"/>
                <w:szCs w:val="20"/>
                <w:color w:val="auto"/>
              </w:rPr>
              <w:t>Magnesia Specialties</w:t>
            </w:r>
          </w:p>
        </w:tc>
        <w:tc>
          <w:tcPr>
            <w:tcW w:w="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13.2</w:t>
            </w:r>
          </w:p>
        </w:tc>
        <w:tc>
          <w:tcPr>
            <w:tcW w:w="4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25.2</w:t>
            </w:r>
          </w:p>
        </w:tc>
        <w:tc>
          <w:tcPr>
            <w:tcW w:w="4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3"/>
        </w:trPr>
        <w:tc>
          <w:tcPr>
            <w:tcW w:w="4260" w:type="dxa"/>
            <w:vAlign w:val="bottom"/>
            <w:shd w:val="clear" w:color="auto" w:fill="CFF0FC"/>
          </w:tcPr>
          <w:p>
            <w:pPr>
              <w:spacing w:after="0"/>
              <w:rPr>
                <w:sz w:val="20"/>
                <w:szCs w:val="20"/>
                <w:color w:val="auto"/>
              </w:rPr>
            </w:pPr>
            <w:r>
              <w:rPr>
                <w:rFonts w:ascii="Arial" w:cs="Arial" w:eastAsia="Arial" w:hAnsi="Arial"/>
                <w:sz w:val="20"/>
                <w:szCs w:val="20"/>
                <w:color w:val="auto"/>
              </w:rPr>
              <w:t>Corporate</w:t>
            </w:r>
          </w:p>
        </w:tc>
        <w:tc>
          <w:tcPr>
            <w:tcW w:w="6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00" w:type="dxa"/>
            <w:vAlign w:val="bottom"/>
            <w:gridSpan w:val="2"/>
            <w:shd w:val="clear" w:color="auto" w:fill="CFF0FC"/>
          </w:tcPr>
          <w:p>
            <w:pPr>
              <w:jc w:val="right"/>
              <w:ind w:right="400"/>
              <w:spacing w:after="0"/>
              <w:rPr>
                <w:sz w:val="20"/>
                <w:szCs w:val="20"/>
                <w:color w:val="auto"/>
              </w:rPr>
            </w:pPr>
            <w:r>
              <w:rPr>
                <w:rFonts w:ascii="Arial" w:cs="Arial" w:eastAsia="Arial" w:hAnsi="Arial"/>
                <w:sz w:val="20"/>
                <w:szCs w:val="20"/>
                <w:color w:val="auto"/>
              </w:rPr>
              <w:t>(9.9)</w:t>
            </w:r>
          </w:p>
        </w:tc>
        <w:tc>
          <w:tcPr>
            <w:tcW w:w="1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jc w:val="right"/>
              <w:ind w:right="360"/>
              <w:spacing w:after="0"/>
              <w:rPr>
                <w:sz w:val="20"/>
                <w:szCs w:val="20"/>
                <w:color w:val="auto"/>
              </w:rPr>
            </w:pPr>
            <w:r>
              <w:rPr>
                <w:rFonts w:ascii="Arial" w:cs="Arial" w:eastAsia="Arial" w:hAnsi="Arial"/>
                <w:sz w:val="20"/>
                <w:szCs w:val="20"/>
                <w:color w:val="auto"/>
              </w:rPr>
              <w:t>(23.9)</w:t>
            </w:r>
          </w:p>
        </w:tc>
        <w:tc>
          <w:tcPr>
            <w:tcW w:w="1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236"/>
        </w:trPr>
        <w:tc>
          <w:tcPr>
            <w:tcW w:w="4260" w:type="dxa"/>
            <w:vAlign w:val="bottom"/>
          </w:tcPr>
          <w:p>
            <w:pPr>
              <w:spacing w:after="0"/>
              <w:rPr>
                <w:sz w:val="20"/>
                <w:szCs w:val="20"/>
                <w:color w:val="auto"/>
              </w:rPr>
            </w:pPr>
            <w:r>
              <w:rPr>
                <w:rFonts w:ascii="Arial" w:cs="Arial" w:eastAsia="Arial" w:hAnsi="Arial"/>
                <w:sz w:val="20"/>
                <w:szCs w:val="20"/>
                <w:color w:val="auto"/>
              </w:rPr>
              <w:t>Total</w:t>
            </w:r>
          </w:p>
        </w:tc>
        <w:tc>
          <w:tcPr>
            <w:tcW w:w="62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20"/>
                <w:szCs w:val="20"/>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306.4</w:t>
            </w:r>
          </w:p>
        </w:tc>
        <w:tc>
          <w:tcPr>
            <w:tcW w:w="4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24.1</w:t>
            </w:r>
          </w:p>
        </w:tc>
        <w:tc>
          <w:tcPr>
            <w:tcW w:w="2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285.9</w:t>
            </w:r>
          </w:p>
        </w:tc>
        <w:tc>
          <w:tcPr>
            <w:tcW w:w="4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22.3</w:t>
            </w:r>
          </w:p>
        </w:tc>
        <w:tc>
          <w:tcPr>
            <w:tcW w:w="120" w:type="dxa"/>
            <w:vAlign w:val="bottom"/>
          </w:tcPr>
          <w:p>
            <w:pPr>
              <w:spacing w:after="0"/>
              <w:rPr>
                <w:sz w:val="20"/>
                <w:szCs w:val="20"/>
                <w:color w:val="auto"/>
              </w:rPr>
            </w:pPr>
          </w:p>
        </w:tc>
      </w:tr>
      <w:tr>
        <w:trPr>
          <w:trHeight w:val="20"/>
        </w:trPr>
        <w:tc>
          <w:tcPr>
            <w:tcW w:w="4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29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June 30, 2020</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Second Quarter Ended June 30, 2020</w:t>
      </w:r>
    </w:p>
    <w:p>
      <w:pPr>
        <w:jc w:val="center"/>
        <w:spacing w:after="0"/>
        <w:rPr>
          <w:sz w:val="20"/>
          <w:szCs w:val="20"/>
          <w:color w:val="auto"/>
        </w:rPr>
      </w:pPr>
      <w:r>
        <w:rPr>
          <w:rFonts w:ascii="Arial" w:cs="Arial" w:eastAsia="Arial" w:hAnsi="Arial"/>
          <w:sz w:val="20"/>
          <w:szCs w:val="20"/>
          <w:color w:val="auto"/>
        </w:rPr>
        <w:t>(Continued)</w:t>
      </w:r>
    </w:p>
    <w:p>
      <w:pPr>
        <w:spacing w:after="0" w:line="13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Building Materials Business</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tables present aggregates products volume and pricing variance data and shipments data by segment:</w:t>
      </w:r>
    </w:p>
    <w:p>
      <w:pPr>
        <w:spacing w:after="0" w:line="243" w:lineRule="exact"/>
        <w:rPr>
          <w:sz w:val="20"/>
          <w:szCs w:val="20"/>
          <w:color w:val="auto"/>
        </w:rPr>
      </w:pPr>
    </w:p>
    <w:p>
      <w:pPr>
        <w:jc w:val="center"/>
        <w:ind w:left="6620"/>
        <w:spacing w:after="0"/>
        <w:rPr>
          <w:sz w:val="20"/>
          <w:szCs w:val="20"/>
          <w:color w:val="auto"/>
        </w:rPr>
      </w:pPr>
      <w:r>
        <w:rPr>
          <w:rFonts w:ascii="Arial" w:cs="Arial" w:eastAsia="Arial" w:hAnsi="Arial"/>
          <w:sz w:val="20"/>
          <w:szCs w:val="20"/>
          <w:color w:val="auto"/>
        </w:rPr>
        <w:t>Three Months Ended</w:t>
      </w:r>
    </w:p>
    <w:p>
      <w:pPr>
        <w:spacing w:after="0" w:line="20" w:lineRule="exact"/>
        <w:rPr>
          <w:sz w:val="20"/>
          <w:szCs w:val="20"/>
          <w:color w:val="auto"/>
        </w:rPr>
      </w:pPr>
    </w:p>
    <w:p>
      <w:pPr>
        <w:jc w:val="center"/>
        <w:ind w:left="6620"/>
        <w:spacing w:after="0"/>
        <w:rPr>
          <w:sz w:val="20"/>
          <w:szCs w:val="20"/>
          <w:color w:val="auto"/>
        </w:rPr>
      </w:pPr>
      <w:r>
        <w:rPr>
          <w:rFonts w:ascii="Arial" w:cs="Arial" w:eastAsia="Arial" w:hAnsi="Arial"/>
          <w:sz w:val="20"/>
          <w:szCs w:val="20"/>
          <w:color w:val="auto"/>
        </w:rPr>
        <w:t>June 30, 2020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840" w:type="dxa"/>
            <w:vAlign w:val="bottom"/>
            <w:tcBorders>
              <w:bottom w:val="single" w:sz="8" w:color="CFF0FC"/>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20"/>
                <w:szCs w:val="20"/>
                <w:color w:val="auto"/>
              </w:rPr>
              <w:t>Volume</w:t>
            </w:r>
          </w:p>
        </w:tc>
        <w:tc>
          <w:tcPr>
            <w:tcW w:w="72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bottom w:val="single" w:sz="8" w:color="CFF0FC"/>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20"/>
                <w:szCs w:val="20"/>
                <w:color w:val="auto"/>
              </w:rPr>
              <w:t>Pricing</w:t>
            </w:r>
          </w:p>
        </w:tc>
        <w:tc>
          <w:tcPr>
            <w:tcW w:w="56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840" w:type="dxa"/>
            <w:vAlign w:val="bottom"/>
            <w:shd w:val="clear" w:color="auto" w:fill="CFF0FC"/>
          </w:tcPr>
          <w:p>
            <w:pPr>
              <w:spacing w:after="0"/>
              <w:rPr>
                <w:sz w:val="20"/>
                <w:szCs w:val="20"/>
                <w:color w:val="auto"/>
              </w:rPr>
            </w:pPr>
            <w:r>
              <w:rPr>
                <w:rFonts w:ascii="Arial" w:cs="Arial" w:eastAsia="Arial" w:hAnsi="Arial"/>
                <w:sz w:val="20"/>
                <w:szCs w:val="20"/>
                <w:b w:val="1"/>
                <w:bCs w:val="1"/>
                <w:color w:val="auto"/>
              </w:rPr>
              <w:t xml:space="preserve">Volume/Pricing variance </w:t>
            </w:r>
            <w:r>
              <w:rPr>
                <w:rFonts w:ascii="Arial" w:cs="Arial" w:eastAsia="Arial" w:hAnsi="Arial"/>
                <w:sz w:val="16"/>
                <w:szCs w:val="16"/>
                <w:color w:val="auto"/>
              </w:rPr>
              <w:t>(1)</w:t>
            </w:r>
          </w:p>
        </w:tc>
        <w:tc>
          <w:tcPr>
            <w:tcW w:w="26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240" w:type="dxa"/>
            <w:vAlign w:val="bottom"/>
            <w:gridSpan w:val="3"/>
          </w:tcPr>
          <w:p>
            <w:pPr>
              <w:ind w:left="260"/>
              <w:spacing w:after="0"/>
              <w:rPr>
                <w:sz w:val="20"/>
                <w:szCs w:val="20"/>
                <w:color w:val="auto"/>
              </w:rPr>
            </w:pPr>
            <w:r>
              <w:rPr>
                <w:rFonts w:ascii="Arial" w:cs="Arial" w:eastAsia="Arial" w:hAnsi="Arial"/>
                <w:sz w:val="20"/>
                <w:szCs w:val="20"/>
                <w:color w:val="auto"/>
              </w:rPr>
              <w:t>Mid-America Group</w:t>
            </w:r>
          </w:p>
        </w:tc>
        <w:tc>
          <w:tcPr>
            <w:tcW w:w="720" w:type="dxa"/>
            <w:vAlign w:val="bottom"/>
          </w:tcPr>
          <w:p>
            <w:pPr>
              <w:jc w:val="right"/>
              <w:spacing w:after="0"/>
              <w:rPr>
                <w:sz w:val="20"/>
                <w:szCs w:val="20"/>
                <w:color w:val="auto"/>
              </w:rPr>
            </w:pPr>
            <w:r>
              <w:rPr>
                <w:rFonts w:ascii="Arial" w:cs="Arial" w:eastAsia="Arial" w:hAnsi="Arial"/>
                <w:sz w:val="20"/>
                <w:szCs w:val="20"/>
                <w:color w:val="auto"/>
              </w:rPr>
              <w:t>(7.2)%</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20"/>
                <w:szCs w:val="20"/>
                <w:color w:val="auto"/>
              </w:rPr>
              <w:t>2.3%</w:t>
            </w:r>
          </w:p>
        </w:tc>
        <w:tc>
          <w:tcPr>
            <w:tcW w:w="0" w:type="dxa"/>
            <w:vAlign w:val="bottom"/>
          </w:tcPr>
          <w:p>
            <w:pPr>
              <w:spacing w:after="0"/>
              <w:rPr>
                <w:sz w:val="1"/>
                <w:szCs w:val="1"/>
                <w:color w:val="auto"/>
              </w:rPr>
            </w:pPr>
          </w:p>
        </w:tc>
      </w:tr>
      <w:tr>
        <w:trPr>
          <w:trHeight w:val="243"/>
        </w:trPr>
        <w:tc>
          <w:tcPr>
            <w:tcW w:w="8240" w:type="dxa"/>
            <w:vAlign w:val="bottom"/>
            <w:gridSpan w:val="3"/>
            <w:shd w:val="clear" w:color="auto" w:fill="CFF0FC"/>
          </w:tcPr>
          <w:p>
            <w:pPr>
              <w:ind w:left="260"/>
              <w:spacing w:after="0"/>
              <w:rPr>
                <w:sz w:val="20"/>
                <w:szCs w:val="20"/>
                <w:color w:val="auto"/>
              </w:rPr>
            </w:pPr>
            <w:r>
              <w:rPr>
                <w:rFonts w:ascii="Arial" w:cs="Arial" w:eastAsia="Arial" w:hAnsi="Arial"/>
                <w:sz w:val="20"/>
                <w:szCs w:val="20"/>
                <w:color w:val="auto"/>
              </w:rPr>
              <w:t>Southeast Group</w:t>
            </w:r>
          </w:p>
        </w:tc>
        <w:tc>
          <w:tcPr>
            <w:tcW w:w="7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3.0%</w:t>
            </w: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66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0.7%</w:t>
            </w:r>
          </w:p>
        </w:tc>
        <w:tc>
          <w:tcPr>
            <w:tcW w:w="0" w:type="dxa"/>
            <w:vAlign w:val="bottom"/>
          </w:tcPr>
          <w:p>
            <w:pPr>
              <w:spacing w:after="0"/>
              <w:rPr>
                <w:sz w:val="1"/>
                <w:szCs w:val="1"/>
                <w:color w:val="auto"/>
              </w:rPr>
            </w:pPr>
          </w:p>
        </w:tc>
      </w:tr>
      <w:tr>
        <w:trPr>
          <w:trHeight w:val="243"/>
        </w:trPr>
        <w:tc>
          <w:tcPr>
            <w:tcW w:w="8240" w:type="dxa"/>
            <w:vAlign w:val="bottom"/>
            <w:gridSpan w:val="3"/>
          </w:tcPr>
          <w:p>
            <w:pPr>
              <w:ind w:left="260"/>
              <w:spacing w:after="0"/>
              <w:rPr>
                <w:sz w:val="20"/>
                <w:szCs w:val="20"/>
                <w:color w:val="auto"/>
              </w:rPr>
            </w:pPr>
            <w:r>
              <w:rPr>
                <w:rFonts w:ascii="Arial" w:cs="Arial" w:eastAsia="Arial" w:hAnsi="Arial"/>
                <w:sz w:val="20"/>
                <w:szCs w:val="20"/>
                <w:color w:val="auto"/>
              </w:rPr>
              <w:t>West Group</w:t>
            </w:r>
          </w:p>
        </w:tc>
        <w:tc>
          <w:tcPr>
            <w:tcW w:w="720" w:type="dxa"/>
            <w:vAlign w:val="bottom"/>
          </w:tcPr>
          <w:p>
            <w:pPr>
              <w:jc w:val="right"/>
              <w:spacing w:after="0"/>
              <w:rPr>
                <w:sz w:val="20"/>
                <w:szCs w:val="20"/>
                <w:color w:val="auto"/>
              </w:rPr>
            </w:pPr>
            <w:r>
              <w:rPr>
                <w:rFonts w:ascii="Arial" w:cs="Arial" w:eastAsia="Arial" w:hAnsi="Arial"/>
                <w:sz w:val="20"/>
                <w:szCs w:val="20"/>
                <w:color w:val="auto"/>
              </w:rPr>
              <w:t>(1.0)%</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20"/>
                <w:szCs w:val="20"/>
                <w:color w:val="auto"/>
              </w:rPr>
              <w:t>5.5%</w:t>
            </w:r>
          </w:p>
        </w:tc>
        <w:tc>
          <w:tcPr>
            <w:tcW w:w="0" w:type="dxa"/>
            <w:vAlign w:val="bottom"/>
          </w:tcPr>
          <w:p>
            <w:pPr>
              <w:spacing w:after="0"/>
              <w:rPr>
                <w:sz w:val="1"/>
                <w:szCs w:val="1"/>
                <w:color w:val="auto"/>
              </w:rPr>
            </w:pPr>
          </w:p>
        </w:tc>
      </w:tr>
      <w:tr>
        <w:trPr>
          <w:trHeight w:val="243"/>
        </w:trPr>
        <w:tc>
          <w:tcPr>
            <w:tcW w:w="8240" w:type="dxa"/>
            <w:vAlign w:val="bottom"/>
            <w:gridSpan w:val="3"/>
            <w:shd w:val="clear" w:color="auto" w:fill="CFF0FC"/>
          </w:tcPr>
          <w:p>
            <w:pPr>
              <w:spacing w:after="0"/>
              <w:rPr>
                <w:sz w:val="20"/>
                <w:szCs w:val="20"/>
                <w:color w:val="auto"/>
              </w:rPr>
            </w:pPr>
            <w:r>
              <w:rPr>
                <w:rFonts w:ascii="Arial" w:cs="Arial" w:eastAsia="Arial" w:hAnsi="Arial"/>
                <w:sz w:val="20"/>
                <w:szCs w:val="20"/>
                <w:color w:val="auto"/>
              </w:rPr>
              <w:t>Total Aggregates Operations</w:t>
            </w:r>
            <w:r>
              <w:rPr>
                <w:rFonts w:ascii="Arial" w:cs="Arial" w:eastAsia="Arial" w:hAnsi="Arial"/>
                <w:sz w:val="16"/>
                <w:szCs w:val="16"/>
                <w:color w:val="auto"/>
              </w:rPr>
              <w:t>(2)</w:t>
            </w:r>
          </w:p>
        </w:tc>
        <w:tc>
          <w:tcPr>
            <w:tcW w:w="7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(3.7)%</w:t>
            </w: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66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3.3%</w:t>
            </w:r>
          </w:p>
        </w:tc>
        <w:tc>
          <w:tcPr>
            <w:tcW w:w="0" w:type="dxa"/>
            <w:vAlign w:val="bottom"/>
          </w:tcPr>
          <w:p>
            <w:pPr>
              <w:spacing w:after="0"/>
              <w:rPr>
                <w:sz w:val="1"/>
                <w:szCs w:val="1"/>
                <w:color w:val="auto"/>
              </w:rPr>
            </w:pPr>
          </w:p>
        </w:tc>
      </w:tr>
      <w:tr>
        <w:trPr>
          <w:trHeight w:val="456"/>
        </w:trPr>
        <w:tc>
          <w:tcPr>
            <w:tcW w:w="6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340" w:type="dxa"/>
            <w:vAlign w:val="bottom"/>
            <w:gridSpan w:val="5"/>
          </w:tcPr>
          <w:p>
            <w:pPr>
              <w:jc w:val="center"/>
              <w:ind w:right="501"/>
              <w:spacing w:after="0"/>
              <w:rPr>
                <w:sz w:val="20"/>
                <w:szCs w:val="20"/>
                <w:color w:val="auto"/>
              </w:rPr>
            </w:pPr>
            <w:r>
              <w:rPr>
                <w:rFonts w:ascii="Arial" w:cs="Arial" w:eastAsia="Arial" w:hAnsi="Arial"/>
                <w:sz w:val="20"/>
                <w:szCs w:val="20"/>
                <w:color w:val="auto"/>
                <w:w w:val="88"/>
              </w:rPr>
              <w:t>Three Months Ended</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68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2340" w:type="dxa"/>
            <w:vAlign w:val="bottom"/>
            <w:tcBorders>
              <w:bottom w:val="single" w:sz="8" w:color="auto"/>
            </w:tcBorders>
            <w:gridSpan w:val="5"/>
          </w:tcPr>
          <w:p>
            <w:pPr>
              <w:jc w:val="center"/>
              <w:ind w:right="501"/>
              <w:spacing w:after="0"/>
              <w:rPr>
                <w:sz w:val="20"/>
                <w:szCs w:val="20"/>
                <w:color w:val="auto"/>
              </w:rPr>
            </w:pPr>
            <w:r>
              <w:rPr>
                <w:rFonts w:ascii="Arial" w:cs="Arial" w:eastAsia="Arial" w:hAnsi="Arial"/>
                <w:sz w:val="20"/>
                <w:szCs w:val="20"/>
                <w:color w:val="auto"/>
                <w:w w:val="85"/>
              </w:rPr>
              <w:t>June 30,</w:t>
            </w:r>
          </w:p>
        </w:tc>
        <w:tc>
          <w:tcPr>
            <w:tcW w:w="5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100" w:type="dxa"/>
            <w:vAlign w:val="bottom"/>
            <w:gridSpan w:val="2"/>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2020</w:t>
            </w:r>
          </w:p>
        </w:tc>
        <w:tc>
          <w:tcPr>
            <w:tcW w:w="2340" w:type="dxa"/>
            <w:vAlign w:val="bottom"/>
            <w:tcBorders>
              <w:bottom w:val="single" w:sz="8" w:color="auto"/>
            </w:tcBorders>
            <w:gridSpan w:val="5"/>
          </w:tcPr>
          <w:p>
            <w:pPr>
              <w:jc w:val="right"/>
              <w:ind w:right="81"/>
              <w:spacing w:after="0"/>
              <w:rPr>
                <w:sz w:val="20"/>
                <w:szCs w:val="20"/>
                <w:color w:val="auto"/>
              </w:rPr>
            </w:pPr>
            <w:r>
              <w:rPr>
                <w:rFonts w:ascii="Arial" w:cs="Arial" w:eastAsia="Arial" w:hAnsi="Arial"/>
                <w:sz w:val="20"/>
                <w:szCs w:val="20"/>
                <w:color w:val="auto"/>
              </w:rPr>
              <w:t>2019</w:t>
            </w:r>
          </w:p>
        </w:tc>
        <w:tc>
          <w:tcPr>
            <w:tcW w:w="5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8240" w:type="dxa"/>
            <w:vAlign w:val="bottom"/>
            <w:gridSpan w:val="3"/>
            <w:vMerge w:val="restart"/>
          </w:tcPr>
          <w:p>
            <w:pPr>
              <w:spacing w:after="0"/>
              <w:rPr>
                <w:sz w:val="20"/>
                <w:szCs w:val="20"/>
                <w:color w:val="auto"/>
              </w:rPr>
            </w:pPr>
            <w:r>
              <w:rPr>
                <w:rFonts w:ascii="Arial" w:cs="Arial" w:eastAsia="Arial" w:hAnsi="Arial"/>
                <w:sz w:val="20"/>
                <w:szCs w:val="20"/>
                <w:b w:val="1"/>
                <w:bCs w:val="1"/>
                <w:color w:val="auto"/>
              </w:rPr>
              <w:t>Shipments</w:t>
            </w:r>
          </w:p>
        </w:tc>
        <w:tc>
          <w:tcPr>
            <w:tcW w:w="2340" w:type="dxa"/>
            <w:vAlign w:val="bottom"/>
            <w:gridSpan w:val="5"/>
          </w:tcPr>
          <w:p>
            <w:pPr>
              <w:jc w:val="center"/>
              <w:ind w:right="501"/>
              <w:spacing w:after="0"/>
              <w:rPr>
                <w:sz w:val="20"/>
                <w:szCs w:val="20"/>
                <w:color w:val="auto"/>
              </w:rPr>
            </w:pPr>
            <w:r>
              <w:rPr>
                <w:rFonts w:ascii="Arial" w:cs="Arial" w:eastAsia="Arial" w:hAnsi="Arial"/>
                <w:sz w:val="20"/>
                <w:szCs w:val="20"/>
                <w:i w:val="1"/>
                <w:iCs w:val="1"/>
                <w:color w:val="auto"/>
                <w:w w:val="93"/>
              </w:rPr>
              <w:t>(Tons in Millions)</w:t>
            </w: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8240" w:type="dxa"/>
            <w:vAlign w:val="bottom"/>
            <w:gridSpan w:val="3"/>
            <w:vMerge w:val="continue"/>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8240" w:type="dxa"/>
            <w:vAlign w:val="bottom"/>
            <w:gridSpan w:val="3"/>
          </w:tcPr>
          <w:p>
            <w:pPr>
              <w:ind w:left="260"/>
              <w:spacing w:after="0"/>
              <w:rPr>
                <w:sz w:val="20"/>
                <w:szCs w:val="20"/>
                <w:color w:val="auto"/>
              </w:rPr>
            </w:pPr>
            <w:r>
              <w:rPr>
                <w:rFonts w:ascii="Arial" w:cs="Arial" w:eastAsia="Arial" w:hAnsi="Arial"/>
                <w:sz w:val="20"/>
                <w:szCs w:val="20"/>
                <w:color w:val="auto"/>
              </w:rPr>
              <w:t>Mid-America Group</w:t>
            </w:r>
          </w:p>
        </w:tc>
        <w:tc>
          <w:tcPr>
            <w:tcW w:w="720" w:type="dxa"/>
            <w:vAlign w:val="bottom"/>
          </w:tcPr>
          <w:p>
            <w:pPr>
              <w:jc w:val="right"/>
              <w:spacing w:after="0"/>
              <w:rPr>
                <w:sz w:val="20"/>
                <w:szCs w:val="20"/>
                <w:color w:val="auto"/>
              </w:rPr>
            </w:pPr>
            <w:r>
              <w:rPr>
                <w:rFonts w:ascii="Arial" w:cs="Arial" w:eastAsia="Arial" w:hAnsi="Arial"/>
                <w:sz w:val="20"/>
                <w:szCs w:val="20"/>
                <w:color w:val="auto"/>
              </w:rPr>
              <w:t>25.6</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20"/>
                <w:szCs w:val="20"/>
                <w:color w:val="auto"/>
              </w:rPr>
              <w:t>27.6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40" w:type="dxa"/>
            <w:vAlign w:val="bottom"/>
            <w:gridSpan w:val="3"/>
            <w:shd w:val="clear" w:color="auto" w:fill="CFF0FC"/>
          </w:tcPr>
          <w:p>
            <w:pPr>
              <w:ind w:left="260"/>
              <w:spacing w:after="0"/>
              <w:rPr>
                <w:sz w:val="20"/>
                <w:szCs w:val="20"/>
                <w:color w:val="auto"/>
              </w:rPr>
            </w:pPr>
            <w:r>
              <w:rPr>
                <w:rFonts w:ascii="Arial" w:cs="Arial" w:eastAsia="Arial" w:hAnsi="Arial"/>
                <w:sz w:val="20"/>
                <w:szCs w:val="20"/>
                <w:color w:val="auto"/>
              </w:rPr>
              <w:t>Southeast Group</w:t>
            </w:r>
          </w:p>
        </w:tc>
        <w:tc>
          <w:tcPr>
            <w:tcW w:w="7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7.4</w:t>
            </w: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40" w:type="dxa"/>
            <w:vAlign w:val="bottom"/>
            <w:gridSpan w:val="3"/>
          </w:tcPr>
          <w:p>
            <w:pPr>
              <w:ind w:left="260"/>
              <w:spacing w:after="0"/>
              <w:rPr>
                <w:sz w:val="20"/>
                <w:szCs w:val="20"/>
                <w:color w:val="auto"/>
              </w:rPr>
            </w:pPr>
            <w:r>
              <w:rPr>
                <w:rFonts w:ascii="Arial" w:cs="Arial" w:eastAsia="Arial" w:hAnsi="Arial"/>
                <w:sz w:val="20"/>
                <w:szCs w:val="20"/>
                <w:color w:val="auto"/>
              </w:rPr>
              <w:t>West Group</w:t>
            </w:r>
          </w:p>
        </w:tc>
        <w:tc>
          <w:tcPr>
            <w:tcW w:w="720" w:type="dxa"/>
            <w:vAlign w:val="bottom"/>
          </w:tcPr>
          <w:p>
            <w:pPr>
              <w:jc w:val="right"/>
              <w:spacing w:after="0"/>
              <w:rPr>
                <w:sz w:val="20"/>
                <w:szCs w:val="20"/>
                <w:color w:val="auto"/>
              </w:rPr>
            </w:pPr>
            <w:r>
              <w:rPr>
                <w:rFonts w:ascii="Arial" w:cs="Arial" w:eastAsia="Arial" w:hAnsi="Arial"/>
                <w:sz w:val="20"/>
                <w:szCs w:val="20"/>
                <w:color w:val="auto"/>
              </w:rPr>
              <w:t>18.2</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20"/>
                <w:szCs w:val="20"/>
                <w:color w:val="auto"/>
              </w:rPr>
              <w:t>18.4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10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20"/>
                <w:szCs w:val="20"/>
                <w:color w:val="auto"/>
              </w:rPr>
              <w:t>Total Aggregates Operations</w:t>
            </w:r>
            <w:r>
              <w:rPr>
                <w:rFonts w:ascii="Arial" w:cs="Arial" w:eastAsia="Arial" w:hAnsi="Arial"/>
                <w:sz w:val="16"/>
                <w:szCs w:val="16"/>
                <w:color w:val="auto"/>
              </w:rPr>
              <w:t>(2)</w:t>
            </w:r>
          </w:p>
        </w:tc>
        <w:tc>
          <w:tcPr>
            <w:tcW w:w="1140" w:type="dxa"/>
            <w:vAlign w:val="bottom"/>
            <w:tcBorders>
              <w:top w:val="single" w:sz="8" w:color="auto"/>
              <w:bottom w:val="single" w:sz="8" w:color="auto"/>
            </w:tcBorders>
            <w:shd w:val="clear" w:color="auto" w:fill="CFF0FC"/>
          </w:tcPr>
          <w:p>
            <w:pPr>
              <w:spacing w:after="0"/>
              <w:rPr>
                <w:sz w:val="20"/>
                <w:szCs w:val="20"/>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51.2</w:t>
            </w:r>
          </w:p>
        </w:tc>
        <w:tc>
          <w:tcPr>
            <w:tcW w:w="20" w:type="dxa"/>
            <w:vAlign w:val="bottom"/>
            <w:tcBorders>
              <w:top w:val="single" w:sz="8" w:color="CFF0FC"/>
              <w:bottom w:val="single" w:sz="8" w:color="CFF0FC"/>
            </w:tcBorders>
            <w:shd w:val="clear" w:color="auto" w:fill="CFF0FC"/>
          </w:tcPr>
          <w:p>
            <w:pPr>
              <w:spacing w:after="0"/>
              <w:rPr>
                <w:sz w:val="20"/>
                <w:szCs w:val="20"/>
                <w:color w:val="auto"/>
              </w:rPr>
            </w:pPr>
          </w:p>
        </w:tc>
        <w:tc>
          <w:tcPr>
            <w:tcW w:w="200" w:type="dxa"/>
            <w:vAlign w:val="bottom"/>
            <w:tcBorders>
              <w:top w:val="single" w:sz="8" w:color="CFF0FC"/>
              <w:bottom w:val="single" w:sz="8" w:color="CFF0FC"/>
            </w:tcBorders>
            <w:shd w:val="clear" w:color="auto" w:fill="CFF0FC"/>
          </w:tcPr>
          <w:p>
            <w:pPr>
              <w:spacing w:after="0"/>
              <w:rPr>
                <w:sz w:val="20"/>
                <w:szCs w:val="20"/>
                <w:color w:val="auto"/>
              </w:rPr>
            </w:pPr>
          </w:p>
        </w:tc>
        <w:tc>
          <w:tcPr>
            <w:tcW w:w="80" w:type="dxa"/>
            <w:vAlign w:val="bottom"/>
            <w:tcBorders>
              <w:top w:val="single" w:sz="8" w:color="CFF0FC"/>
              <w:bottom w:val="single" w:sz="8" w:color="CFF0FC"/>
            </w:tcBorders>
            <w:shd w:val="clear" w:color="auto" w:fill="CFF0FC"/>
          </w:tcPr>
          <w:p>
            <w:pPr>
              <w:spacing w:after="0"/>
              <w:rPr>
                <w:sz w:val="20"/>
                <w:szCs w:val="20"/>
                <w:color w:val="auto"/>
              </w:rPr>
            </w:pPr>
          </w:p>
        </w:tc>
        <w:tc>
          <w:tcPr>
            <w:tcW w:w="1320" w:type="dxa"/>
            <w:vAlign w:val="bottom"/>
            <w:tcBorders>
              <w:top w:val="single" w:sz="8" w:color="auto"/>
              <w:bottom w:val="single" w:sz="8" w:color="auto"/>
            </w:tcBorders>
            <w:shd w:val="clear" w:color="auto" w:fill="CFF0FC"/>
          </w:tcPr>
          <w:p>
            <w:pPr>
              <w:spacing w:after="0"/>
              <w:rPr>
                <w:sz w:val="20"/>
                <w:szCs w:val="20"/>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53.2</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240" w:hanging="226"/>
        <w:spacing w:after="0"/>
        <w:tabs>
          <w:tab w:leader="none" w:pos="240" w:val="left"/>
        </w:tabs>
        <w:numPr>
          <w:ilvl w:val="0"/>
          <w:numId w:val="13"/>
        </w:numPr>
        <w:rPr>
          <w:rFonts w:ascii="Arial" w:cs="Arial" w:eastAsia="Arial" w:hAnsi="Arial"/>
          <w:sz w:val="15"/>
          <w:szCs w:val="15"/>
          <w:i w:val="1"/>
          <w:iCs w:val="1"/>
          <w:color w:val="auto"/>
        </w:rPr>
      </w:pPr>
      <w:r>
        <w:rPr>
          <w:rFonts w:ascii="Arial" w:cs="Arial" w:eastAsia="Arial" w:hAnsi="Arial"/>
          <w:sz w:val="18"/>
          <w:szCs w:val="18"/>
          <w:i w:val="1"/>
          <w:iCs w:val="1"/>
          <w:color w:val="auto"/>
        </w:rPr>
        <w:t>Volume/pricing variances reflect the percentage increase/(decrease) from the comparable period in the prior year.</w:t>
      </w:r>
    </w:p>
    <w:p>
      <w:pPr>
        <w:spacing w:after="0" w:line="23" w:lineRule="exact"/>
        <w:rPr>
          <w:rFonts w:ascii="Arial" w:cs="Arial" w:eastAsia="Arial" w:hAnsi="Arial"/>
          <w:sz w:val="15"/>
          <w:szCs w:val="15"/>
          <w:i w:val="1"/>
          <w:iCs w:val="1"/>
          <w:color w:val="auto"/>
        </w:rPr>
      </w:pPr>
    </w:p>
    <w:p>
      <w:pPr>
        <w:ind w:left="240" w:hanging="232"/>
        <w:spacing w:after="0"/>
        <w:tabs>
          <w:tab w:leader="none" w:pos="240" w:val="left"/>
        </w:tabs>
        <w:numPr>
          <w:ilvl w:val="0"/>
          <w:numId w:val="13"/>
        </w:numPr>
        <w:rPr>
          <w:rFonts w:ascii="Arial" w:cs="Arial" w:eastAsia="Arial" w:hAnsi="Arial"/>
          <w:sz w:val="15"/>
          <w:szCs w:val="15"/>
          <w:i w:val="1"/>
          <w:iCs w:val="1"/>
          <w:color w:val="auto"/>
        </w:rPr>
      </w:pPr>
      <w:r>
        <w:rPr>
          <w:rFonts w:ascii="Arial" w:cs="Arial" w:eastAsia="Arial" w:hAnsi="Arial"/>
          <w:sz w:val="18"/>
          <w:szCs w:val="18"/>
          <w:i w:val="1"/>
          <w:iCs w:val="1"/>
          <w:color w:val="auto"/>
        </w:rPr>
        <w:t>Total aggregates operations include acquisitions from the date of acquisition and divestitures through the date of disposal.</w:t>
      </w:r>
    </w:p>
    <w:p>
      <w:pPr>
        <w:spacing w:after="0" w:line="208" w:lineRule="exact"/>
        <w:rPr>
          <w:sz w:val="20"/>
          <w:szCs w:val="20"/>
          <w:color w:val="auto"/>
        </w:rPr>
      </w:pPr>
    </w:p>
    <w:p>
      <w:pPr>
        <w:jc w:val="both"/>
        <w:ind w:left="380"/>
        <w:spacing w:after="0" w:line="255" w:lineRule="auto"/>
        <w:rPr>
          <w:sz w:val="20"/>
          <w:szCs w:val="20"/>
          <w:color w:val="auto"/>
        </w:rPr>
      </w:pPr>
      <w:r>
        <w:rPr>
          <w:rFonts w:ascii="Arial" w:cs="Arial" w:eastAsia="Arial" w:hAnsi="Arial"/>
          <w:sz w:val="19"/>
          <w:szCs w:val="19"/>
          <w:color w:val="auto"/>
        </w:rPr>
        <w:t>Mid-America Group shipments decreased 7.2%, driven by near-record rainfall across much of its footprint, limited COVID-19 impacts and anticipated lower infrastructure shipments in portions of North Carolina. Geographic mix limited pricing growth to 2.3% as the Central Division, which has lower selling prices relative to the consolidated average, contributed a higher percentage of second-quarter shipments to the Group. Shipments for the Southeast Group increased 3.0%, as the Florida Department of Transportation (DOT) accelerated certain transportation projects to leverage construction efficiencies driven by lower vehicle traffic during the COVID-19 shelter-in-place orders, along with continued strength in warehouse, data center and distribution facility construction. These favorable trends were partially offset by weather-impacted construction delays. Product mix, reflecting a higher percentage of lower-priced base shipments, limited pricing growth to 0.7%. West Group shipments decreased 1.0%, with double-digit growth in North Texas and Colorado offset by the completion of certain Gulf Coast liquefied natural gas (LNG) projects and reduced energy-sector shipments. Pricing improved 5.5%.</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30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June 30, 2020</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Second Quarter Ended June 30, 2020</w:t>
      </w:r>
    </w:p>
    <w:p>
      <w:pPr>
        <w:jc w:val="center"/>
        <w:spacing w:after="0"/>
        <w:rPr>
          <w:sz w:val="20"/>
          <w:szCs w:val="20"/>
          <w:color w:val="auto"/>
        </w:rPr>
      </w:pPr>
      <w:r>
        <w:rPr>
          <w:rFonts w:ascii="Arial" w:cs="Arial" w:eastAsia="Arial" w:hAnsi="Arial"/>
          <w:sz w:val="20"/>
          <w:szCs w:val="20"/>
          <w:color w:val="auto"/>
        </w:rPr>
        <w:t>(Continued)</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presents shipments data for the Building Materials business by product line:</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6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520" w:type="dxa"/>
            <w:vAlign w:val="bottom"/>
            <w:gridSpan w:val="8"/>
          </w:tcPr>
          <w:p>
            <w:pPr>
              <w:jc w:val="center"/>
              <w:ind w:right="120"/>
              <w:spacing w:after="0"/>
              <w:rPr>
                <w:sz w:val="20"/>
                <w:szCs w:val="20"/>
                <w:color w:val="auto"/>
              </w:rPr>
            </w:pPr>
            <w:r>
              <w:rPr>
                <w:rFonts w:ascii="Arial" w:cs="Arial" w:eastAsia="Arial" w:hAnsi="Arial"/>
                <w:sz w:val="20"/>
                <w:szCs w:val="20"/>
                <w:color w:val="auto"/>
                <w:w w:val="89"/>
              </w:rPr>
              <w:t>Three Months Ended</w:t>
            </w:r>
          </w:p>
        </w:tc>
        <w:tc>
          <w:tcPr>
            <w:tcW w:w="0" w:type="dxa"/>
            <w:vAlign w:val="bottom"/>
          </w:tcPr>
          <w:p>
            <w:pPr>
              <w:spacing w:after="0"/>
              <w:rPr>
                <w:sz w:val="1"/>
                <w:szCs w:val="1"/>
                <w:color w:val="auto"/>
              </w:rPr>
            </w:pPr>
          </w:p>
        </w:tc>
      </w:tr>
      <w:tr>
        <w:trPr>
          <w:trHeight w:val="246"/>
        </w:trPr>
        <w:tc>
          <w:tcPr>
            <w:tcW w:w="56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20" w:type="dxa"/>
            <w:vAlign w:val="bottom"/>
            <w:tcBorders>
              <w:bottom w:val="single" w:sz="8" w:color="auto"/>
            </w:tcBorders>
            <w:gridSpan w:val="5"/>
          </w:tcPr>
          <w:p>
            <w:pPr>
              <w:jc w:val="center"/>
              <w:ind w:left="1161"/>
              <w:spacing w:after="0"/>
              <w:rPr>
                <w:sz w:val="20"/>
                <w:szCs w:val="20"/>
                <w:color w:val="auto"/>
              </w:rPr>
            </w:pPr>
            <w:r>
              <w:rPr>
                <w:rFonts w:ascii="Arial" w:cs="Arial" w:eastAsia="Arial" w:hAnsi="Arial"/>
                <w:sz w:val="20"/>
                <w:szCs w:val="20"/>
                <w:color w:val="auto"/>
                <w:w w:val="85"/>
              </w:rPr>
              <w:t>June 30,</w:t>
            </w:r>
          </w:p>
        </w:tc>
        <w:tc>
          <w:tcPr>
            <w:tcW w:w="11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Borders>
              <w:bottom w:val="single" w:sz="8" w:color="auto"/>
            </w:tcBorders>
          </w:tcPr>
          <w:p>
            <w:pPr>
              <w:jc w:val="right"/>
              <w:ind w:right="481"/>
              <w:spacing w:after="0"/>
              <w:rPr>
                <w:sz w:val="20"/>
                <w:szCs w:val="20"/>
                <w:color w:val="auto"/>
              </w:rPr>
            </w:pPr>
            <w:r>
              <w:rPr>
                <w:rFonts w:ascii="Arial" w:cs="Arial" w:eastAsia="Arial" w:hAnsi="Arial"/>
                <w:sz w:val="20"/>
                <w:szCs w:val="20"/>
                <w:color w:val="auto"/>
              </w:rPr>
              <w:t>2020</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41"/>
              <w:spacing w:after="0"/>
              <w:rPr>
                <w:sz w:val="20"/>
                <w:szCs w:val="20"/>
                <w:color w:val="auto"/>
              </w:rPr>
            </w:pPr>
            <w:r>
              <w:rPr>
                <w:rFonts w:ascii="Arial" w:cs="Arial" w:eastAsia="Arial" w:hAnsi="Arial"/>
                <w:sz w:val="20"/>
                <w:szCs w:val="20"/>
                <w:color w:val="auto"/>
              </w:rPr>
              <w:t>2019</w:t>
            </w:r>
          </w:p>
        </w:tc>
        <w:tc>
          <w:tcPr>
            <w:tcW w:w="1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600" w:type="dxa"/>
            <w:vAlign w:val="bottom"/>
          </w:tcPr>
          <w:p>
            <w:pPr>
              <w:spacing w:after="0"/>
              <w:rPr>
                <w:sz w:val="20"/>
                <w:szCs w:val="20"/>
                <w:color w:val="auto"/>
              </w:rPr>
            </w:pPr>
            <w:r>
              <w:rPr>
                <w:rFonts w:ascii="Arial" w:cs="Arial" w:eastAsia="Arial" w:hAnsi="Arial"/>
                <w:sz w:val="20"/>
                <w:szCs w:val="20"/>
                <w:b w:val="1"/>
                <w:bCs w:val="1"/>
                <w:color w:val="auto"/>
              </w:rPr>
              <w:t>Shipments</w:t>
            </w:r>
          </w:p>
        </w:tc>
        <w:tc>
          <w:tcPr>
            <w:tcW w:w="3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600" w:type="dxa"/>
            <w:vAlign w:val="bottom"/>
            <w:shd w:val="clear" w:color="auto" w:fill="CFF0FC"/>
          </w:tcPr>
          <w:p>
            <w:pPr>
              <w:spacing w:after="0"/>
              <w:rPr>
                <w:sz w:val="20"/>
                <w:szCs w:val="20"/>
                <w:color w:val="auto"/>
              </w:rPr>
            </w:pPr>
            <w:r>
              <w:rPr>
                <w:rFonts w:ascii="Arial" w:cs="Arial" w:eastAsia="Arial" w:hAnsi="Arial"/>
                <w:sz w:val="20"/>
                <w:szCs w:val="20"/>
                <w:color w:val="auto"/>
              </w:rPr>
              <w:t>Aggregates (in millions):</w:t>
            </w:r>
          </w:p>
        </w:tc>
        <w:tc>
          <w:tcPr>
            <w:tcW w:w="38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56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380"/>
              <w:spacing w:after="0"/>
              <w:rPr>
                <w:sz w:val="20"/>
                <w:szCs w:val="20"/>
                <w:color w:val="auto"/>
              </w:rPr>
            </w:pPr>
            <w:r>
              <w:rPr>
                <w:rFonts w:ascii="Arial" w:cs="Arial" w:eastAsia="Arial" w:hAnsi="Arial"/>
                <w:sz w:val="20"/>
                <w:szCs w:val="20"/>
                <w:color w:val="auto"/>
              </w:rPr>
              <w:t>Tons to external customers</w:t>
            </w:r>
          </w:p>
        </w:tc>
        <w:tc>
          <w:tcPr>
            <w:tcW w:w="3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47.9</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20"/>
                <w:szCs w:val="20"/>
                <w:color w:val="auto"/>
              </w:rPr>
              <w:t>50.5</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shd w:val="clear" w:color="auto" w:fill="CFF0FC"/>
          </w:tcPr>
          <w:p>
            <w:pPr>
              <w:ind w:left="380"/>
              <w:spacing w:after="0"/>
              <w:rPr>
                <w:sz w:val="20"/>
                <w:szCs w:val="20"/>
                <w:color w:val="auto"/>
              </w:rPr>
            </w:pPr>
            <w:r>
              <w:rPr>
                <w:rFonts w:ascii="Arial" w:cs="Arial" w:eastAsia="Arial" w:hAnsi="Arial"/>
                <w:sz w:val="20"/>
                <w:szCs w:val="20"/>
                <w:color w:val="auto"/>
              </w:rPr>
              <w:t>Internal tons used in other product lines</w:t>
            </w:r>
          </w:p>
        </w:tc>
        <w:tc>
          <w:tcPr>
            <w:tcW w:w="38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3.3</w:t>
            </w:r>
          </w:p>
        </w:tc>
        <w:tc>
          <w:tcPr>
            <w:tcW w:w="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2.7</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5600" w:type="dxa"/>
            <w:vAlign w:val="bottom"/>
            <w:tcBorders>
              <w:bottom w:val="single" w:sz="8" w:color="CFF0FC"/>
            </w:tcBorders>
          </w:tcPr>
          <w:p>
            <w:pPr>
              <w:ind w:left="140"/>
              <w:spacing w:after="0"/>
              <w:rPr>
                <w:sz w:val="20"/>
                <w:szCs w:val="20"/>
                <w:color w:val="auto"/>
              </w:rPr>
            </w:pPr>
            <w:r>
              <w:rPr>
                <w:rFonts w:ascii="Arial" w:cs="Arial" w:eastAsia="Arial" w:hAnsi="Arial"/>
                <w:sz w:val="20"/>
                <w:szCs w:val="20"/>
                <w:color w:val="auto"/>
              </w:rPr>
              <w:t>Total aggregates tons</w:t>
            </w:r>
          </w:p>
        </w:tc>
        <w:tc>
          <w:tcPr>
            <w:tcW w:w="380" w:type="dxa"/>
            <w:vAlign w:val="bottom"/>
            <w:tcBorders>
              <w:bottom w:val="single" w:sz="8" w:color="CFF0FC"/>
            </w:tcBorders>
          </w:tcPr>
          <w:p>
            <w:pPr>
              <w:spacing w:after="0"/>
              <w:rPr>
                <w:sz w:val="24"/>
                <w:szCs w:val="24"/>
                <w:color w:val="auto"/>
              </w:rPr>
            </w:pPr>
          </w:p>
        </w:tc>
        <w:tc>
          <w:tcPr>
            <w:tcW w:w="1340" w:type="dxa"/>
            <w:vAlign w:val="bottom"/>
            <w:tcBorders>
              <w:bottom w:val="single" w:sz="8" w:color="CFF0FC"/>
            </w:tcBorders>
          </w:tcPr>
          <w:p>
            <w:pPr>
              <w:spacing w:after="0"/>
              <w:rPr>
                <w:sz w:val="24"/>
                <w:szCs w:val="24"/>
                <w:color w:val="auto"/>
              </w:rPr>
            </w:pPr>
          </w:p>
        </w:tc>
        <w:tc>
          <w:tcPr>
            <w:tcW w:w="280" w:type="dxa"/>
            <w:vAlign w:val="bottom"/>
            <w:tcBorders>
              <w:bottom w:val="single" w:sz="8" w:color="CFF0FC"/>
            </w:tcBorders>
          </w:tcPr>
          <w:p>
            <w:pPr>
              <w:spacing w:after="0"/>
              <w:rPr>
                <w:sz w:val="24"/>
                <w:szCs w:val="24"/>
                <w:color w:val="auto"/>
              </w:rPr>
            </w:pPr>
          </w:p>
        </w:tc>
        <w:tc>
          <w:tcPr>
            <w:tcW w:w="120" w:type="dxa"/>
            <w:vAlign w:val="bottom"/>
            <w:tcBorders>
              <w:bottom w:val="single" w:sz="8" w:color="CFF0FC"/>
            </w:tcBorders>
          </w:tcPr>
          <w:p>
            <w:pPr>
              <w:spacing w:after="0"/>
              <w:rPr>
                <w:sz w:val="24"/>
                <w:szCs w:val="2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51.2</w:t>
            </w:r>
          </w:p>
        </w:tc>
        <w:tc>
          <w:tcPr>
            <w:tcW w:w="40" w:type="dxa"/>
            <w:vAlign w:val="bottom"/>
            <w:tcBorders>
              <w:bottom w:val="single" w:sz="8" w:color="CFF0FC"/>
            </w:tcBorders>
          </w:tcPr>
          <w:p>
            <w:pPr>
              <w:spacing w:after="0"/>
              <w:rPr>
                <w:sz w:val="24"/>
                <w:szCs w:val="24"/>
                <w:color w:val="auto"/>
              </w:rPr>
            </w:pPr>
          </w:p>
        </w:tc>
        <w:tc>
          <w:tcPr>
            <w:tcW w:w="240" w:type="dxa"/>
            <w:vAlign w:val="bottom"/>
            <w:tcBorders>
              <w:bottom w:val="single" w:sz="8" w:color="CFF0FC"/>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20"/>
                <w:szCs w:val="20"/>
                <w:color w:val="auto"/>
              </w:rPr>
              <w:t>53.2</w:t>
            </w:r>
          </w:p>
        </w:tc>
        <w:tc>
          <w:tcPr>
            <w:tcW w:w="120" w:type="dxa"/>
            <w:vAlign w:val="bottom"/>
            <w:tcBorders>
              <w:bottom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6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20"/>
                <w:szCs w:val="20"/>
                <w:color w:val="auto"/>
              </w:rPr>
              <w:t>Cement (in millions):</w:t>
            </w:r>
          </w:p>
        </w:tc>
        <w:tc>
          <w:tcPr>
            <w:tcW w:w="3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shd w:val="clear" w:color="auto" w:fill="CFF0FC"/>
          </w:tcPr>
          <w:p>
            <w:pPr>
              <w:ind w:left="140"/>
              <w:spacing w:after="0"/>
              <w:rPr>
                <w:sz w:val="20"/>
                <w:szCs w:val="20"/>
                <w:color w:val="auto"/>
              </w:rPr>
            </w:pPr>
            <w:r>
              <w:rPr>
                <w:rFonts w:ascii="Arial" w:cs="Arial" w:eastAsia="Arial" w:hAnsi="Arial"/>
                <w:sz w:val="20"/>
                <w:szCs w:val="20"/>
                <w:color w:val="auto"/>
              </w:rPr>
              <w:t>Tons to external customers</w:t>
            </w:r>
          </w:p>
        </w:tc>
        <w:tc>
          <w:tcPr>
            <w:tcW w:w="38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0.7</w:t>
            </w:r>
          </w:p>
        </w:tc>
        <w:tc>
          <w:tcPr>
            <w:tcW w:w="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0.7</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FF0FC"/>
            </w:tcBorders>
          </w:tcPr>
          <w:p>
            <w:pPr>
              <w:ind w:left="140"/>
              <w:spacing w:after="0"/>
              <w:rPr>
                <w:sz w:val="20"/>
                <w:szCs w:val="20"/>
                <w:color w:val="auto"/>
              </w:rPr>
            </w:pPr>
            <w:r>
              <w:rPr>
                <w:rFonts w:ascii="Arial" w:cs="Arial" w:eastAsia="Arial" w:hAnsi="Arial"/>
                <w:sz w:val="20"/>
                <w:szCs w:val="20"/>
                <w:color w:val="auto"/>
              </w:rPr>
              <w:t>Internal tons used in ready mixed concrete</w:t>
            </w:r>
          </w:p>
        </w:tc>
        <w:tc>
          <w:tcPr>
            <w:tcW w:w="380" w:type="dxa"/>
            <w:vAlign w:val="bottom"/>
            <w:tcBorders>
              <w:bottom w:val="single" w:sz="8" w:color="CFF0FC"/>
            </w:tcBorders>
          </w:tcPr>
          <w:p>
            <w:pPr>
              <w:spacing w:after="0"/>
              <w:rPr>
                <w:sz w:val="21"/>
                <w:szCs w:val="21"/>
                <w:color w:val="auto"/>
              </w:rPr>
            </w:pPr>
          </w:p>
        </w:tc>
        <w:tc>
          <w:tcPr>
            <w:tcW w:w="1340" w:type="dxa"/>
            <w:vAlign w:val="bottom"/>
            <w:tcBorders>
              <w:bottom w:val="single" w:sz="8" w:color="CFF0FC"/>
            </w:tcBorders>
          </w:tcPr>
          <w:p>
            <w:pPr>
              <w:spacing w:after="0"/>
              <w:rPr>
                <w:sz w:val="21"/>
                <w:szCs w:val="21"/>
                <w:color w:val="auto"/>
              </w:rPr>
            </w:pPr>
          </w:p>
        </w:tc>
        <w:tc>
          <w:tcPr>
            <w:tcW w:w="280" w:type="dxa"/>
            <w:vAlign w:val="bottom"/>
            <w:tcBorders>
              <w:bottom w:val="single" w:sz="8" w:color="CFF0FC"/>
            </w:tcBorders>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0.3</w:t>
            </w:r>
          </w:p>
        </w:tc>
        <w:tc>
          <w:tcPr>
            <w:tcW w:w="40" w:type="dxa"/>
            <w:vAlign w:val="bottom"/>
            <w:tcBorders>
              <w:bottom w:val="single" w:sz="8" w:color="CFF0FC"/>
            </w:tcBorders>
          </w:tcPr>
          <w:p>
            <w:pPr>
              <w:spacing w:after="0"/>
              <w:rPr>
                <w:sz w:val="21"/>
                <w:szCs w:val="21"/>
                <w:color w:val="auto"/>
              </w:rPr>
            </w:pPr>
          </w:p>
        </w:tc>
        <w:tc>
          <w:tcPr>
            <w:tcW w:w="240" w:type="dxa"/>
            <w:vAlign w:val="bottom"/>
            <w:tcBorders>
              <w:bottom w:val="single" w:sz="8" w:color="CFF0FC"/>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20"/>
                <w:szCs w:val="20"/>
                <w:color w:val="auto"/>
              </w:rPr>
              <w:t>0.3</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Total cement tons</w:t>
            </w:r>
          </w:p>
        </w:tc>
        <w:tc>
          <w:tcPr>
            <w:tcW w:w="380" w:type="dxa"/>
            <w:vAlign w:val="bottom"/>
            <w:tcBorders>
              <w:bottom w:val="single" w:sz="8" w:color="CFF0FC"/>
            </w:tcBorders>
            <w:shd w:val="clear" w:color="auto" w:fill="CFF0FC"/>
          </w:tcPr>
          <w:p>
            <w:pPr>
              <w:spacing w:after="0"/>
              <w:rPr>
                <w:sz w:val="20"/>
                <w:szCs w:val="20"/>
                <w:color w:val="auto"/>
              </w:rPr>
            </w:pPr>
          </w:p>
        </w:tc>
        <w:tc>
          <w:tcPr>
            <w:tcW w:w="134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1.0</w:t>
            </w:r>
          </w:p>
        </w:tc>
        <w:tc>
          <w:tcPr>
            <w:tcW w:w="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28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1.0</w:t>
            </w:r>
          </w:p>
        </w:tc>
        <w:tc>
          <w:tcPr>
            <w:tcW w:w="1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6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Ready Mixed Concrete (in millions of cubic yards)</w:t>
            </w:r>
          </w:p>
        </w:tc>
        <w:tc>
          <w:tcPr>
            <w:tcW w:w="380" w:type="dxa"/>
            <w:vAlign w:val="bottom"/>
            <w:tcBorders>
              <w:bottom w:val="single" w:sz="8" w:color="CFF0FC"/>
            </w:tcBorders>
            <w:shd w:val="clear" w:color="auto" w:fill="CFF0FC"/>
          </w:tcPr>
          <w:p>
            <w:pPr>
              <w:spacing w:after="0"/>
              <w:rPr>
                <w:sz w:val="21"/>
                <w:szCs w:val="21"/>
                <w:color w:val="auto"/>
              </w:rPr>
            </w:pPr>
          </w:p>
        </w:tc>
        <w:tc>
          <w:tcPr>
            <w:tcW w:w="13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2.2</w:t>
            </w:r>
          </w:p>
        </w:tc>
        <w:tc>
          <w:tcPr>
            <w:tcW w:w="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2.2</w:t>
            </w:r>
          </w:p>
        </w:tc>
        <w:tc>
          <w:tcPr>
            <w:tcW w:w="1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6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600" w:type="dxa"/>
            <w:vAlign w:val="bottom"/>
            <w:shd w:val="clear" w:color="auto" w:fill="CFF0FC"/>
          </w:tcPr>
          <w:p>
            <w:pPr>
              <w:spacing w:after="0"/>
              <w:rPr>
                <w:sz w:val="20"/>
                <w:szCs w:val="20"/>
                <w:color w:val="auto"/>
              </w:rPr>
            </w:pPr>
            <w:r>
              <w:rPr>
                <w:rFonts w:ascii="Arial" w:cs="Arial" w:eastAsia="Arial" w:hAnsi="Arial"/>
                <w:sz w:val="20"/>
                <w:szCs w:val="20"/>
                <w:color w:val="auto"/>
              </w:rPr>
              <w:t>Asphalt (in millions):</w:t>
            </w:r>
          </w:p>
        </w:tc>
        <w:tc>
          <w:tcPr>
            <w:tcW w:w="38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56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260"/>
              <w:spacing w:after="0"/>
              <w:rPr>
                <w:sz w:val="20"/>
                <w:szCs w:val="20"/>
                <w:color w:val="auto"/>
              </w:rPr>
            </w:pPr>
            <w:r>
              <w:rPr>
                <w:rFonts w:ascii="Arial" w:cs="Arial" w:eastAsia="Arial" w:hAnsi="Arial"/>
                <w:sz w:val="20"/>
                <w:szCs w:val="20"/>
                <w:color w:val="auto"/>
              </w:rPr>
              <w:t>Tons to external customers</w:t>
            </w:r>
          </w:p>
        </w:tc>
        <w:tc>
          <w:tcPr>
            <w:tcW w:w="3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0.2</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20"/>
                <w:szCs w:val="20"/>
                <w:color w:val="auto"/>
              </w:rPr>
              <w:t>0.2</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shd w:val="clear" w:color="auto" w:fill="CFF0FC"/>
          </w:tcPr>
          <w:p>
            <w:pPr>
              <w:ind w:left="260"/>
              <w:spacing w:after="0"/>
              <w:rPr>
                <w:sz w:val="20"/>
                <w:szCs w:val="20"/>
                <w:color w:val="auto"/>
              </w:rPr>
            </w:pPr>
            <w:r>
              <w:rPr>
                <w:rFonts w:ascii="Arial" w:cs="Arial" w:eastAsia="Arial" w:hAnsi="Arial"/>
                <w:sz w:val="20"/>
                <w:szCs w:val="20"/>
                <w:color w:val="auto"/>
              </w:rPr>
              <w:t>Internal tons used in paving business</w:t>
            </w:r>
          </w:p>
        </w:tc>
        <w:tc>
          <w:tcPr>
            <w:tcW w:w="38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0.9</w:t>
            </w:r>
          </w:p>
        </w:tc>
        <w:tc>
          <w:tcPr>
            <w:tcW w:w="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0.6</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600" w:type="dxa"/>
            <w:vAlign w:val="bottom"/>
          </w:tcPr>
          <w:p>
            <w:pPr>
              <w:spacing w:after="0"/>
              <w:rPr>
                <w:sz w:val="20"/>
                <w:szCs w:val="20"/>
                <w:color w:val="auto"/>
              </w:rPr>
            </w:pPr>
            <w:r>
              <w:rPr>
                <w:rFonts w:ascii="Arial" w:cs="Arial" w:eastAsia="Arial" w:hAnsi="Arial"/>
                <w:sz w:val="20"/>
                <w:szCs w:val="20"/>
                <w:color w:val="auto"/>
              </w:rPr>
              <w:t>Total asphalt tons</w:t>
            </w:r>
          </w:p>
        </w:tc>
        <w:tc>
          <w:tcPr>
            <w:tcW w:w="3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20"/>
                <w:szCs w:val="20"/>
                <w:color w:val="auto"/>
              </w:rPr>
              <w:t>0.8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320" w:type="dxa"/>
            <w:vAlign w:val="bottom"/>
            <w:gridSpan w:val="3"/>
            <w:vMerge w:val="restart"/>
          </w:tcPr>
          <w:p>
            <w:pPr>
              <w:spacing w:after="0"/>
              <w:rPr>
                <w:sz w:val="20"/>
                <w:szCs w:val="20"/>
                <w:color w:val="auto"/>
              </w:rPr>
            </w:pPr>
            <w:r>
              <w:rPr>
                <w:rFonts w:ascii="Arial" w:cs="Arial" w:eastAsia="Arial" w:hAnsi="Arial"/>
                <w:sz w:val="20"/>
                <w:szCs w:val="20"/>
                <w:color w:val="auto"/>
                <w:w w:val="92"/>
              </w:rPr>
              <w:t>The average selling price by product line for the Building Materials business is as follows:</w:t>
            </w: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3"/>
        </w:trPr>
        <w:tc>
          <w:tcPr>
            <w:tcW w:w="7320" w:type="dxa"/>
            <w:vAlign w:val="bottom"/>
            <w:gridSpan w:val="3"/>
            <w:vMerge w:val="continue"/>
          </w:tcPr>
          <w:p>
            <w:pPr>
              <w:spacing w:after="0"/>
              <w:rPr>
                <w:sz w:val="24"/>
                <w:szCs w:val="24"/>
                <w:color w:val="auto"/>
              </w:rPr>
            </w:pPr>
          </w:p>
        </w:tc>
        <w:tc>
          <w:tcPr>
            <w:tcW w:w="2520" w:type="dxa"/>
            <w:vAlign w:val="bottom"/>
            <w:gridSpan w:val="7"/>
            <w:vMerge w:val="restart"/>
          </w:tcPr>
          <w:p>
            <w:pPr>
              <w:jc w:val="center"/>
              <w:ind w:right="600"/>
              <w:spacing w:after="0"/>
              <w:rPr>
                <w:sz w:val="20"/>
                <w:szCs w:val="20"/>
                <w:color w:val="auto"/>
              </w:rPr>
            </w:pPr>
            <w:r>
              <w:rPr>
                <w:rFonts w:ascii="Arial" w:cs="Arial" w:eastAsia="Arial" w:hAnsi="Arial"/>
                <w:sz w:val="20"/>
                <w:szCs w:val="20"/>
                <w:color w:val="auto"/>
                <w:w w:val="89"/>
              </w:rPr>
              <w:t>Three Months Ended</w:t>
            </w: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5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520" w:type="dxa"/>
            <w:vAlign w:val="bottom"/>
            <w:gridSpan w:val="7"/>
            <w:vMerge w:val="continue"/>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56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120" w:type="dxa"/>
            <w:vAlign w:val="bottom"/>
            <w:tcBorders>
              <w:bottom w:val="single" w:sz="8" w:color="auto"/>
            </w:tcBorders>
            <w:gridSpan w:val="5"/>
          </w:tcPr>
          <w:p>
            <w:pPr>
              <w:jc w:val="center"/>
              <w:ind w:right="980"/>
              <w:spacing w:after="0"/>
              <w:rPr>
                <w:sz w:val="20"/>
                <w:szCs w:val="20"/>
                <w:color w:val="auto"/>
              </w:rPr>
            </w:pPr>
            <w:r>
              <w:rPr>
                <w:rFonts w:ascii="Arial" w:cs="Arial" w:eastAsia="Arial" w:hAnsi="Arial"/>
                <w:sz w:val="20"/>
                <w:szCs w:val="20"/>
                <w:color w:val="auto"/>
                <w:w w:val="85"/>
              </w:rPr>
              <w:t>June 30,</w:t>
            </w:r>
          </w:p>
        </w:tc>
        <w:tc>
          <w:tcPr>
            <w:tcW w:w="114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600" w:type="dxa"/>
            <w:vAlign w:val="bottom"/>
            <w:tcBorders>
              <w:bottom w:val="single" w:sz="8" w:color="CFF0FC"/>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81"/>
              <w:spacing w:after="0"/>
              <w:rPr>
                <w:sz w:val="20"/>
                <w:szCs w:val="20"/>
                <w:color w:val="auto"/>
              </w:rPr>
            </w:pPr>
            <w:r>
              <w:rPr>
                <w:rFonts w:ascii="Arial" w:cs="Arial" w:eastAsia="Arial" w:hAnsi="Arial"/>
                <w:sz w:val="20"/>
                <w:szCs w:val="20"/>
                <w:color w:val="auto"/>
              </w:rPr>
              <w:t>2020</w:t>
            </w:r>
          </w:p>
        </w:tc>
        <w:tc>
          <w:tcPr>
            <w:tcW w:w="28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521"/>
              <w:spacing w:after="0"/>
              <w:rPr>
                <w:sz w:val="20"/>
                <w:szCs w:val="20"/>
                <w:color w:val="auto"/>
              </w:rPr>
            </w:pPr>
            <w:r>
              <w:rPr>
                <w:rFonts w:ascii="Arial" w:cs="Arial" w:eastAsia="Arial" w:hAnsi="Arial"/>
                <w:sz w:val="20"/>
                <w:szCs w:val="20"/>
                <w:color w:val="auto"/>
              </w:rPr>
              <w:t>2019</w:t>
            </w:r>
          </w:p>
        </w:tc>
        <w:tc>
          <w:tcPr>
            <w:tcW w:w="40" w:type="dxa"/>
            <w:vAlign w:val="bottom"/>
            <w:tcBorders>
              <w:bottom w:val="single" w:sz="8" w:color="auto"/>
            </w:tcBorders>
          </w:tcPr>
          <w:p>
            <w:pPr>
              <w:spacing w:after="0"/>
              <w:rPr>
                <w:sz w:val="20"/>
                <w:szCs w:val="20"/>
                <w:color w:val="auto"/>
              </w:rPr>
            </w:pPr>
          </w:p>
        </w:tc>
        <w:tc>
          <w:tcPr>
            <w:tcW w:w="240" w:type="dxa"/>
            <w:vAlign w:val="bottom"/>
            <w:tcBorders>
              <w:bottom w:val="single" w:sz="8" w:color="CFF0FC"/>
            </w:tcBorders>
          </w:tcPr>
          <w:p>
            <w:pPr>
              <w:spacing w:after="0"/>
              <w:rPr>
                <w:sz w:val="20"/>
                <w:szCs w:val="20"/>
                <w:color w:val="auto"/>
              </w:rPr>
            </w:pPr>
          </w:p>
        </w:tc>
        <w:tc>
          <w:tcPr>
            <w:tcW w:w="12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61"/>
              <w:spacing w:after="0"/>
              <w:rPr>
                <w:sz w:val="20"/>
                <w:szCs w:val="20"/>
                <w:color w:val="auto"/>
              </w:rPr>
            </w:pPr>
            <w:r>
              <w:rPr>
                <w:rFonts w:ascii="Arial" w:cs="Arial" w:eastAsia="Arial" w:hAnsi="Arial"/>
                <w:sz w:val="20"/>
                <w:szCs w:val="20"/>
                <w:color w:val="auto"/>
                <w:w w:val="87"/>
              </w:rPr>
              <w:t>% Change</w:t>
            </w:r>
          </w:p>
        </w:tc>
        <w:tc>
          <w:tcPr>
            <w:tcW w:w="260" w:type="dxa"/>
            <w:vAlign w:val="bottom"/>
            <w:tcBorders>
              <w:bottom w:val="single" w:sz="8" w:color="CFF0FC"/>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600" w:type="dxa"/>
            <w:vAlign w:val="bottom"/>
            <w:shd w:val="clear" w:color="auto" w:fill="CFF0FC"/>
          </w:tcPr>
          <w:p>
            <w:pPr>
              <w:spacing w:after="0"/>
              <w:rPr>
                <w:sz w:val="20"/>
                <w:szCs w:val="20"/>
                <w:color w:val="auto"/>
              </w:rPr>
            </w:pPr>
            <w:r>
              <w:rPr>
                <w:rFonts w:ascii="Arial" w:cs="Arial" w:eastAsia="Arial" w:hAnsi="Arial"/>
                <w:sz w:val="20"/>
                <w:szCs w:val="20"/>
                <w:color w:val="auto"/>
              </w:rPr>
              <w:t>Aggregates (per ton)</w:t>
            </w:r>
          </w:p>
        </w:tc>
        <w:tc>
          <w:tcPr>
            <w:tcW w:w="3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w w:val="71"/>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14.66</w:t>
            </w:r>
          </w:p>
        </w:tc>
        <w:tc>
          <w:tcPr>
            <w:tcW w:w="28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60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14.18</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00" w:type="dxa"/>
            <w:vAlign w:val="bottom"/>
            <w:gridSpan w:val="3"/>
            <w:shd w:val="clear" w:color="auto" w:fill="CFF0FC"/>
          </w:tcPr>
          <w:p>
            <w:pPr>
              <w:jc w:val="right"/>
              <w:ind w:right="100"/>
              <w:spacing w:after="0"/>
              <w:rPr>
                <w:sz w:val="20"/>
                <w:szCs w:val="20"/>
                <w:color w:val="auto"/>
              </w:rPr>
            </w:pPr>
            <w:r>
              <w:rPr>
                <w:rFonts w:ascii="Arial" w:cs="Arial" w:eastAsia="Arial" w:hAnsi="Arial"/>
                <w:sz w:val="20"/>
                <w:szCs w:val="20"/>
                <w:color w:val="auto"/>
              </w:rPr>
              <w:t>3.3%</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20"/>
                <w:szCs w:val="20"/>
                <w:color w:val="auto"/>
              </w:rPr>
              <w:t>Cement (per ton)</w:t>
            </w:r>
          </w:p>
        </w:tc>
        <w:tc>
          <w:tcPr>
            <w:tcW w:w="380" w:type="dxa"/>
            <w:vAlign w:val="bottom"/>
          </w:tcPr>
          <w:p>
            <w:pPr>
              <w:jc w:val="right"/>
              <w:ind w:right="181"/>
              <w:spacing w:after="0"/>
              <w:rPr>
                <w:sz w:val="20"/>
                <w:szCs w:val="20"/>
                <w:color w:val="auto"/>
              </w:rPr>
            </w:pPr>
            <w:r>
              <w:rPr>
                <w:rFonts w:ascii="Arial" w:cs="Arial" w:eastAsia="Arial" w:hAnsi="Arial"/>
                <w:sz w:val="20"/>
                <w:szCs w:val="20"/>
                <w:color w:val="auto"/>
                <w:w w:val="71"/>
              </w:rPr>
              <w:t>$</w:t>
            </w:r>
          </w:p>
        </w:tc>
        <w:tc>
          <w:tcPr>
            <w:tcW w:w="1340" w:type="dxa"/>
            <w:vAlign w:val="bottom"/>
          </w:tcPr>
          <w:p>
            <w:pPr>
              <w:jc w:val="right"/>
              <w:spacing w:after="0"/>
              <w:rPr>
                <w:sz w:val="20"/>
                <w:szCs w:val="20"/>
                <w:color w:val="auto"/>
              </w:rPr>
            </w:pPr>
            <w:r>
              <w:rPr>
                <w:rFonts w:ascii="Arial" w:cs="Arial" w:eastAsia="Arial" w:hAnsi="Arial"/>
                <w:sz w:val="20"/>
                <w:szCs w:val="20"/>
                <w:color w:val="auto"/>
              </w:rPr>
              <w:t>114.34</w:t>
            </w:r>
          </w:p>
        </w:tc>
        <w:tc>
          <w:tcPr>
            <w:tcW w:w="40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600" w:type="dxa"/>
            <w:vAlign w:val="bottom"/>
            <w:gridSpan w:val="2"/>
          </w:tcPr>
          <w:p>
            <w:pPr>
              <w:jc w:val="right"/>
              <w:ind w:right="20"/>
              <w:spacing w:after="0"/>
              <w:rPr>
                <w:sz w:val="20"/>
                <w:szCs w:val="20"/>
                <w:color w:val="auto"/>
              </w:rPr>
            </w:pPr>
            <w:r>
              <w:rPr>
                <w:rFonts w:ascii="Arial" w:cs="Arial" w:eastAsia="Arial" w:hAnsi="Arial"/>
                <w:sz w:val="20"/>
                <w:szCs w:val="20"/>
                <w:color w:val="auto"/>
              </w:rPr>
              <w:t>114.17</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gridSpan w:val="3"/>
          </w:tcPr>
          <w:p>
            <w:pPr>
              <w:jc w:val="right"/>
              <w:ind w:right="100"/>
              <w:spacing w:after="0"/>
              <w:rPr>
                <w:sz w:val="20"/>
                <w:szCs w:val="20"/>
                <w:color w:val="auto"/>
              </w:rPr>
            </w:pPr>
            <w:r>
              <w:rPr>
                <w:rFonts w:ascii="Arial" w:cs="Arial" w:eastAsia="Arial" w:hAnsi="Arial"/>
                <w:sz w:val="20"/>
                <w:szCs w:val="20"/>
                <w:color w:val="auto"/>
              </w:rPr>
              <w:t>0.1%</w:t>
            </w:r>
          </w:p>
        </w:tc>
        <w:tc>
          <w:tcPr>
            <w:tcW w:w="0" w:type="dxa"/>
            <w:vAlign w:val="bottom"/>
          </w:tcPr>
          <w:p>
            <w:pPr>
              <w:spacing w:after="0"/>
              <w:rPr>
                <w:sz w:val="1"/>
                <w:szCs w:val="1"/>
                <w:color w:val="auto"/>
              </w:rPr>
            </w:pPr>
          </w:p>
        </w:tc>
      </w:tr>
      <w:tr>
        <w:trPr>
          <w:trHeight w:val="243"/>
        </w:trPr>
        <w:tc>
          <w:tcPr>
            <w:tcW w:w="5600" w:type="dxa"/>
            <w:vAlign w:val="bottom"/>
            <w:shd w:val="clear" w:color="auto" w:fill="CFF0FC"/>
          </w:tcPr>
          <w:p>
            <w:pPr>
              <w:spacing w:after="0"/>
              <w:rPr>
                <w:sz w:val="20"/>
                <w:szCs w:val="20"/>
                <w:color w:val="auto"/>
              </w:rPr>
            </w:pPr>
            <w:r>
              <w:rPr>
                <w:rFonts w:ascii="Arial" w:cs="Arial" w:eastAsia="Arial" w:hAnsi="Arial"/>
                <w:sz w:val="20"/>
                <w:szCs w:val="20"/>
                <w:color w:val="auto"/>
              </w:rPr>
              <w:t>Ready Mixed Concrete (per cubic yard)</w:t>
            </w:r>
          </w:p>
        </w:tc>
        <w:tc>
          <w:tcPr>
            <w:tcW w:w="3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w w:val="71"/>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112.89</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60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111.39</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0" w:type="dxa"/>
            <w:vAlign w:val="bottom"/>
            <w:gridSpan w:val="3"/>
            <w:shd w:val="clear" w:color="auto" w:fill="CFF0FC"/>
          </w:tcPr>
          <w:p>
            <w:pPr>
              <w:jc w:val="right"/>
              <w:ind w:right="100"/>
              <w:spacing w:after="0"/>
              <w:rPr>
                <w:sz w:val="20"/>
                <w:szCs w:val="20"/>
                <w:color w:val="auto"/>
              </w:rPr>
            </w:pPr>
            <w:r>
              <w:rPr>
                <w:rFonts w:ascii="Arial" w:cs="Arial" w:eastAsia="Arial" w:hAnsi="Arial"/>
                <w:sz w:val="20"/>
                <w:szCs w:val="20"/>
                <w:color w:val="auto"/>
              </w:rPr>
              <w:t>1.3%</w:t>
            </w:r>
          </w:p>
        </w:tc>
        <w:tc>
          <w:tcPr>
            <w:tcW w:w="0" w:type="dxa"/>
            <w:vAlign w:val="bottom"/>
          </w:tcPr>
          <w:p>
            <w:pPr>
              <w:spacing w:after="0"/>
              <w:rPr>
                <w:sz w:val="1"/>
                <w:szCs w:val="1"/>
                <w:color w:val="auto"/>
              </w:rPr>
            </w:pPr>
          </w:p>
        </w:tc>
      </w:tr>
      <w:tr>
        <w:trPr>
          <w:trHeight w:val="250"/>
        </w:trPr>
        <w:tc>
          <w:tcPr>
            <w:tcW w:w="5600" w:type="dxa"/>
            <w:vAlign w:val="bottom"/>
          </w:tcPr>
          <w:p>
            <w:pPr>
              <w:spacing w:after="0"/>
              <w:rPr>
                <w:sz w:val="20"/>
                <w:szCs w:val="20"/>
                <w:color w:val="auto"/>
              </w:rPr>
            </w:pPr>
            <w:r>
              <w:rPr>
                <w:rFonts w:ascii="Arial" w:cs="Arial" w:eastAsia="Arial" w:hAnsi="Arial"/>
                <w:sz w:val="20"/>
                <w:szCs w:val="20"/>
                <w:color w:val="auto"/>
              </w:rPr>
              <w:t>Asphalt (per ton)</w:t>
            </w:r>
          </w:p>
        </w:tc>
        <w:tc>
          <w:tcPr>
            <w:tcW w:w="380" w:type="dxa"/>
            <w:vAlign w:val="bottom"/>
          </w:tcPr>
          <w:p>
            <w:pPr>
              <w:jc w:val="right"/>
              <w:ind w:right="181"/>
              <w:spacing w:after="0"/>
              <w:rPr>
                <w:sz w:val="20"/>
                <w:szCs w:val="20"/>
                <w:color w:val="auto"/>
              </w:rPr>
            </w:pPr>
            <w:r>
              <w:rPr>
                <w:rFonts w:ascii="Arial" w:cs="Arial" w:eastAsia="Arial" w:hAnsi="Arial"/>
                <w:sz w:val="20"/>
                <w:szCs w:val="20"/>
                <w:color w:val="auto"/>
                <w:w w:val="71"/>
              </w:rPr>
              <w:t>$</w:t>
            </w:r>
          </w:p>
        </w:tc>
        <w:tc>
          <w:tcPr>
            <w:tcW w:w="1340" w:type="dxa"/>
            <w:vAlign w:val="bottom"/>
          </w:tcPr>
          <w:p>
            <w:pPr>
              <w:jc w:val="right"/>
              <w:spacing w:after="0"/>
              <w:rPr>
                <w:sz w:val="20"/>
                <w:szCs w:val="20"/>
                <w:color w:val="auto"/>
              </w:rPr>
            </w:pPr>
            <w:r>
              <w:rPr>
                <w:rFonts w:ascii="Arial" w:cs="Arial" w:eastAsia="Arial" w:hAnsi="Arial"/>
                <w:sz w:val="20"/>
                <w:szCs w:val="20"/>
                <w:color w:val="auto"/>
              </w:rPr>
              <w:t>46.54</w:t>
            </w:r>
          </w:p>
        </w:tc>
        <w:tc>
          <w:tcPr>
            <w:tcW w:w="40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600" w:type="dxa"/>
            <w:vAlign w:val="bottom"/>
            <w:gridSpan w:val="2"/>
          </w:tcPr>
          <w:p>
            <w:pPr>
              <w:jc w:val="right"/>
              <w:ind w:right="20"/>
              <w:spacing w:after="0"/>
              <w:rPr>
                <w:sz w:val="20"/>
                <w:szCs w:val="20"/>
                <w:color w:val="auto"/>
              </w:rPr>
            </w:pPr>
            <w:r>
              <w:rPr>
                <w:rFonts w:ascii="Arial" w:cs="Arial" w:eastAsia="Arial" w:hAnsi="Arial"/>
                <w:sz w:val="20"/>
                <w:szCs w:val="20"/>
                <w:color w:val="auto"/>
              </w:rPr>
              <w:t>47.22</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gridSpan w:val="3"/>
          </w:tcPr>
          <w:p>
            <w:pPr>
              <w:jc w:val="right"/>
              <w:ind w:right="20"/>
              <w:spacing w:after="0"/>
              <w:rPr>
                <w:sz w:val="20"/>
                <w:szCs w:val="20"/>
                <w:color w:val="auto"/>
              </w:rPr>
            </w:pPr>
            <w:r>
              <w:rPr>
                <w:rFonts w:ascii="Arial" w:cs="Arial" w:eastAsia="Arial" w:hAnsi="Arial"/>
                <w:sz w:val="20"/>
                <w:szCs w:val="20"/>
                <w:color w:val="auto"/>
              </w:rPr>
              <w:t>(1.4)%</w:t>
            </w:r>
          </w:p>
        </w:tc>
        <w:tc>
          <w:tcPr>
            <w:tcW w:w="0" w:type="dxa"/>
            <w:vAlign w:val="bottom"/>
          </w:tcPr>
          <w:p>
            <w:pPr>
              <w:spacing w:after="0"/>
              <w:rPr>
                <w:sz w:val="1"/>
                <w:szCs w:val="1"/>
                <w:color w:val="auto"/>
              </w:rPr>
            </w:pPr>
          </w:p>
        </w:tc>
      </w:tr>
    </w:tbl>
    <w:p>
      <w:pPr>
        <w:spacing w:after="0" w:line="19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Aggregates End-Use Markets</w:t>
      </w:r>
    </w:p>
    <w:p>
      <w:pPr>
        <w:spacing w:after="0" w:line="108"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Aggregates shipments to the infrastructure market increased modestly. The Company benefited from large transportation projects in Texas, Colorado and Florida, as most state DOTs continued to advance transportation projects during the COVID-19 shelter-in-place orders. However, consistent with expectations prior to COVID-19, North Carolina DOT temporarily suspended awards for certain transportation projects in response to funding issues specific to weather-related disaster spending and Map Act settlements. The infrastructure market accounted for 38% of second-quarter aggregates shipments, which is below the Company’s most recent ten-year annual average of 45%.</w:t>
      </w:r>
    </w:p>
    <w:p>
      <w:pPr>
        <w:spacing w:after="0" w:line="5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Aggregates shipments to the nonresidential market declined following double-digit growth in commercial and heavy industrial construction activity in the prior-year quarter. Precipitation and temporary project delays hindered otherwise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31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June 30, 2020</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Second Quarter Ended June 30, 2020</w:t>
      </w:r>
    </w:p>
    <w:p>
      <w:pPr>
        <w:jc w:val="center"/>
        <w:spacing w:after="0"/>
        <w:rPr>
          <w:sz w:val="20"/>
          <w:szCs w:val="20"/>
          <w:color w:val="auto"/>
        </w:rPr>
      </w:pPr>
      <w:r>
        <w:rPr>
          <w:rFonts w:ascii="Arial" w:cs="Arial" w:eastAsia="Arial" w:hAnsi="Arial"/>
          <w:sz w:val="20"/>
          <w:szCs w:val="20"/>
          <w:color w:val="auto"/>
        </w:rPr>
        <w:t>(Continued)</w:t>
      </w:r>
    </w:p>
    <w:p>
      <w:pPr>
        <w:spacing w:after="0" w:line="24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robust distribution center, warehouse and data center construction activity. The Company also experienced reduced energy-related shipments due to the completion of certain windfarm and LNG projects, as well as lower overall demand to the shale sector. The nonresidential market represented 32% of second-quarter aggregates shipments.</w:t>
      </w:r>
    </w:p>
    <w:p>
      <w:pPr>
        <w:spacing w:after="0" w:line="78"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Aggregates shipments to the residential market increased, with notable growth throughout Texas, as well as in Denver and Charlotte. Following a brief COVID-19-related pause in activity by national homebuilders, housing construction returned to pre-COVID levels, reflective of pent-up demand, low available inventories and favorable interest rates. The residential market accounted for 24% of second-quarter aggregates shipments.</w:t>
      </w:r>
    </w:p>
    <w:p>
      <w:pPr>
        <w:spacing w:after="0" w:line="8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ChemRock/Rail market accounted for the remaining 6% of second-quarter aggregates shipments. Volumes to this end use increased, driven by improved ballast shipments to the Class I western railroads.</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Building Materials Business Product Lines</w:t>
      </w:r>
    </w:p>
    <w:p>
      <w:pPr>
        <w:spacing w:after="0" w:line="108"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Second-quarter aggregates shipments declined 3.7% compared with prior-year quarter volumes that benefited from carryover work from an extraordinarily wet 2018. Near-record wet weather resulted in a double-digit shipment decline in the Mid-Atlantic division. Pricing improved 3.3% compared with the prior-year quarter, with all divisions contributing to the growth. Aggregates product gross margin increased 230 basis points to 35.5%, largely driven by improved pricing, production efficiencies and lower diesel fuel costs.</w:t>
      </w:r>
    </w:p>
    <w:p>
      <w:pPr>
        <w:spacing w:after="0" w:line="6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Second-quarter cement shipments decreased 2.7%, driven by reduced demand for West Texas oil-well specialty cement products caused by historically low oil prices. While cement pricing increased in North Texas, Houston, and portions of Central Texas, notably lower sales of higher-priced oil-well specialty cement products limited overall pricing growth to 0.1% compared with prior-year quarter. Cement product gross margin expanded 210 basis points over the prior-year quarter to 39.7%, driven by reduced fuel costs and improved kiln reliability.</w:t>
      </w:r>
    </w:p>
    <w:p>
      <w:pPr>
        <w:spacing w:after="0" w:line="53"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Ready mixed concrete shipments and pricing improved 0.3% and 1.3%, respectively, in the second quarter compared with the prior-year quarter. Shipments in the prior-year quarter included 168,000 cubic yards from the Southwest Ready Mix Division’s business in the Arkansas, Louisiana and eastern Texas (ArkLaTex) areas that was divested in January 2020. Excluding these divested operations in the prior period, shipment volumes increased 8.7%. Lower delivery expenses and improved leveraging of costs along with cost reduction initiatives drove a 270-basis-point increase in gross margin. Asphalt volume increased 34.6% versus an extremely weather-challenged prior-year quarter. Asphalt pricing decreased 1.4% due to unfavorable product mix from a higher percentage of shipments to lower-priced municipal projects.</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Magnesia Specialties Business</w:t>
      </w:r>
    </w:p>
    <w:p>
      <w:pPr>
        <w:spacing w:after="0" w:line="108"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Magnesia Specialties product revenues decreased 30.6% to $48.9 million. Lime and periclase shipments to the steel industry declined in response to the COVID-19-induced shutdown of domestic auto manufacturers. Additionally, domestic and international demand for chemicals products slowed due to COVID-19. Product gross profit was $18.2 million compared with $29.2 million. Product gross margin was 37.3% compared with 41.5%. Second-quarter earnings from operations were $13.2 million in 2020 compared with $25.2 million in 2019.</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Consolidated Operating Results</w:t>
      </w:r>
    </w:p>
    <w:p>
      <w:pPr>
        <w:spacing w:after="0" w:line="108"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Consolidated SG&amp;A for second quarter 2020 was 5.6% of total revenues compared with 5.7% in the prior-year quarter. During second-quarter 2020, the Company incurred $3.4 million in COVID-19 related expenses for enhanced cleaning and sanitizing protocols across the Company’s operations, which are recorded in SG&amp;A. Earnings from operations for the quarter were $306.4 million in 2020 compared with $285.9 million in 2019.</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32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June 30, 2020</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Second Quarter Ended June 30, 2020</w:t>
      </w:r>
    </w:p>
    <w:p>
      <w:pPr>
        <w:jc w:val="center"/>
        <w:spacing w:after="0"/>
        <w:rPr>
          <w:sz w:val="20"/>
          <w:szCs w:val="20"/>
          <w:color w:val="auto"/>
        </w:rPr>
      </w:pPr>
      <w:r>
        <w:rPr>
          <w:rFonts w:ascii="Arial" w:cs="Arial" w:eastAsia="Arial" w:hAnsi="Arial"/>
          <w:sz w:val="20"/>
          <w:szCs w:val="20"/>
          <w:color w:val="auto"/>
        </w:rPr>
        <w:t>(Continued)</w:t>
      </w:r>
    </w:p>
    <w:p>
      <w:pPr>
        <w:spacing w:after="0" w:line="240"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Among other items, other operating income and expenses, net, includes gains and losses on the sale of assets; recoveries and write-offs related to customer accounts receivable; rental, royalty and services income; accretion expense, depreciation expense and gains and losses related to asset retirement obligations. For the second quarter, consolidated other operating income and expenses, net, was an expense of $2.4 million in 2020 and income of $1.4 million in 2019. The income in 2019 reflected the reversal of $4.2 million of accruals for unclaimed property contingencies.</w:t>
      </w:r>
    </w:p>
    <w:p>
      <w:pPr>
        <w:spacing w:after="0" w:line="86"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Other nonoperating income and expenses, net, includes interest income; pension and postretirement benefit cost excluding service cost; foreign currency transaction gains and losses; equity earnings or losses from nonconsolidated affiliates and other miscellaneous income and expenses. For the second quarter, other nonoperating expenses and income, net, was income of $3.8 million and expense of $13.2 million in 2020 and 2019, respectively. The expense in 2019 was primarily due to a $15.7 million ($12.0 million net of tax) out-of-period correction of a Company-identified overstatement of the investment balance for a nonconsolidated equity affiliate.</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color w:val="auto"/>
        </w:rPr>
        <w:t>Financial highlights for the six months ended June 30, 2020 (unless noted, all comparisons are versus the prior-year period):</w:t>
      </w:r>
    </w:p>
    <w:p>
      <w:pPr>
        <w:spacing w:after="0" w:line="108" w:lineRule="exact"/>
        <w:rPr>
          <w:sz w:val="20"/>
          <w:szCs w:val="20"/>
          <w:color w:val="auto"/>
        </w:rPr>
      </w:pPr>
    </w:p>
    <w:p>
      <w:pPr>
        <w:ind w:left="740" w:hanging="368"/>
        <w:spacing w:after="0"/>
        <w:tabs>
          <w:tab w:leader="none" w:pos="740" w:val="left"/>
        </w:tabs>
        <w:numPr>
          <w:ilvl w:val="0"/>
          <w:numId w:val="14"/>
        </w:numPr>
        <w:rPr>
          <w:rFonts w:ascii="Arial" w:cs="Arial" w:eastAsia="Arial" w:hAnsi="Arial"/>
          <w:sz w:val="20"/>
          <w:szCs w:val="20"/>
          <w:color w:val="007DC6"/>
        </w:rPr>
      </w:pPr>
      <w:r>
        <w:rPr>
          <w:rFonts w:ascii="Arial" w:cs="Arial" w:eastAsia="Arial" w:hAnsi="Arial"/>
          <w:sz w:val="20"/>
          <w:szCs w:val="20"/>
          <w:color w:val="auto"/>
        </w:rPr>
        <w:t>Consolidated total revenues of $2,228.9 million compared with $2,218.4 million</w:t>
      </w:r>
    </w:p>
    <w:p>
      <w:pPr>
        <w:spacing w:after="0" w:line="15" w:lineRule="exact"/>
        <w:rPr>
          <w:rFonts w:ascii="Arial" w:cs="Arial" w:eastAsia="Arial" w:hAnsi="Arial"/>
          <w:sz w:val="20"/>
          <w:szCs w:val="20"/>
          <w:color w:val="007DC6"/>
        </w:rPr>
      </w:pPr>
    </w:p>
    <w:p>
      <w:pPr>
        <w:ind w:left="740" w:hanging="368"/>
        <w:spacing w:after="0" w:line="239" w:lineRule="auto"/>
        <w:tabs>
          <w:tab w:leader="none" w:pos="740" w:val="left"/>
        </w:tabs>
        <w:numPr>
          <w:ilvl w:val="0"/>
          <w:numId w:val="14"/>
        </w:numPr>
        <w:rPr>
          <w:rFonts w:ascii="Arial" w:cs="Arial" w:eastAsia="Arial" w:hAnsi="Arial"/>
          <w:sz w:val="20"/>
          <w:szCs w:val="20"/>
          <w:color w:val="007DC6"/>
        </w:rPr>
      </w:pPr>
      <w:r>
        <w:rPr>
          <w:rFonts w:ascii="Arial" w:cs="Arial" w:eastAsia="Arial" w:hAnsi="Arial"/>
          <w:sz w:val="20"/>
          <w:szCs w:val="20"/>
          <w:color w:val="auto"/>
        </w:rPr>
        <w:t>Building Materials business products and services revenues of $1,971.7 million compared with $1,934.9 million, and Magnesia Specialties products revenues of $108.8 million compared with $139.5 million</w:t>
      </w:r>
    </w:p>
    <w:p>
      <w:pPr>
        <w:ind w:left="740" w:hanging="368"/>
        <w:spacing w:after="0"/>
        <w:tabs>
          <w:tab w:leader="none" w:pos="740" w:val="left"/>
        </w:tabs>
        <w:numPr>
          <w:ilvl w:val="0"/>
          <w:numId w:val="14"/>
        </w:numPr>
        <w:rPr>
          <w:rFonts w:ascii="Arial" w:cs="Arial" w:eastAsia="Arial" w:hAnsi="Arial"/>
          <w:sz w:val="20"/>
          <w:szCs w:val="20"/>
          <w:color w:val="007DC6"/>
        </w:rPr>
      </w:pPr>
      <w:r>
        <w:rPr>
          <w:rFonts w:ascii="Arial" w:cs="Arial" w:eastAsia="Arial" w:hAnsi="Arial"/>
          <w:sz w:val="20"/>
          <w:szCs w:val="20"/>
          <w:color w:val="auto"/>
        </w:rPr>
        <w:t>Consolidated gross profit of $522.9 million compared with $499.8 million</w:t>
      </w:r>
    </w:p>
    <w:p>
      <w:pPr>
        <w:ind w:left="740" w:hanging="368"/>
        <w:spacing w:after="0"/>
        <w:tabs>
          <w:tab w:leader="none" w:pos="740" w:val="left"/>
        </w:tabs>
        <w:numPr>
          <w:ilvl w:val="0"/>
          <w:numId w:val="14"/>
        </w:numPr>
        <w:rPr>
          <w:rFonts w:ascii="Arial" w:cs="Arial" w:eastAsia="Arial" w:hAnsi="Arial"/>
          <w:sz w:val="20"/>
          <w:szCs w:val="20"/>
          <w:color w:val="007DC6"/>
        </w:rPr>
      </w:pPr>
      <w:r>
        <w:rPr>
          <w:rFonts w:ascii="Arial" w:cs="Arial" w:eastAsia="Arial" w:hAnsi="Arial"/>
          <w:sz w:val="20"/>
          <w:szCs w:val="20"/>
          <w:color w:val="auto"/>
        </w:rPr>
        <w:t>Consolidated earnings from operations of $364.2 million compared with $355.1 million</w:t>
      </w:r>
    </w:p>
    <w:p>
      <w:pPr>
        <w:ind w:left="740" w:hanging="368"/>
        <w:spacing w:after="0"/>
        <w:tabs>
          <w:tab w:leader="none" w:pos="740" w:val="left"/>
        </w:tabs>
        <w:numPr>
          <w:ilvl w:val="0"/>
          <w:numId w:val="14"/>
        </w:numPr>
        <w:rPr>
          <w:rFonts w:ascii="Arial" w:cs="Arial" w:eastAsia="Arial" w:hAnsi="Arial"/>
          <w:sz w:val="20"/>
          <w:szCs w:val="20"/>
          <w:color w:val="007DC6"/>
        </w:rPr>
      </w:pPr>
      <w:r>
        <w:rPr>
          <w:rFonts w:ascii="Arial" w:cs="Arial" w:eastAsia="Arial" w:hAnsi="Arial"/>
          <w:sz w:val="20"/>
          <w:szCs w:val="20"/>
          <w:color w:val="auto"/>
        </w:rPr>
        <w:t>Net earnings attributable to Martin Marietta of $243.5 million compared with $232.3 million</w:t>
      </w:r>
    </w:p>
    <w:p>
      <w:pPr>
        <w:ind w:left="740" w:hanging="368"/>
        <w:spacing w:after="0"/>
        <w:tabs>
          <w:tab w:leader="none" w:pos="740" w:val="left"/>
        </w:tabs>
        <w:numPr>
          <w:ilvl w:val="0"/>
          <w:numId w:val="14"/>
        </w:numPr>
        <w:rPr>
          <w:rFonts w:ascii="Arial" w:cs="Arial" w:eastAsia="Arial" w:hAnsi="Arial"/>
          <w:sz w:val="20"/>
          <w:szCs w:val="20"/>
          <w:color w:val="007DC6"/>
        </w:rPr>
      </w:pPr>
      <w:r>
        <w:rPr>
          <w:rFonts w:ascii="Arial" w:cs="Arial" w:eastAsia="Arial" w:hAnsi="Arial"/>
          <w:sz w:val="20"/>
          <w:szCs w:val="20"/>
          <w:color w:val="auto"/>
        </w:rPr>
        <w:t>Consolidated Adjusted EBITDA of $556.0 million compared with $536.7 million</w:t>
      </w:r>
    </w:p>
    <w:p>
      <w:pPr>
        <w:ind w:left="740" w:hanging="368"/>
        <w:spacing w:after="0"/>
        <w:tabs>
          <w:tab w:leader="none" w:pos="740" w:val="left"/>
        </w:tabs>
        <w:numPr>
          <w:ilvl w:val="0"/>
          <w:numId w:val="14"/>
        </w:numPr>
        <w:rPr>
          <w:rFonts w:ascii="Arial" w:cs="Arial" w:eastAsia="Arial" w:hAnsi="Arial"/>
          <w:sz w:val="20"/>
          <w:szCs w:val="20"/>
          <w:color w:val="007DC6"/>
        </w:rPr>
      </w:pPr>
      <w:r>
        <w:rPr>
          <w:rFonts w:ascii="Arial" w:cs="Arial" w:eastAsia="Arial" w:hAnsi="Arial"/>
          <w:sz w:val="20"/>
          <w:szCs w:val="20"/>
          <w:color w:val="auto"/>
        </w:rPr>
        <w:t>Earnings per diluted share of $3.90 compared with $3.69</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33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June 30, 2020</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Second Quarter Ended June 30, 2020</w:t>
      </w:r>
    </w:p>
    <w:p>
      <w:pPr>
        <w:jc w:val="center"/>
        <w:spacing w:after="0"/>
        <w:rPr>
          <w:sz w:val="20"/>
          <w:szCs w:val="20"/>
          <w:color w:val="auto"/>
        </w:rPr>
      </w:pPr>
      <w:r>
        <w:rPr>
          <w:rFonts w:ascii="Arial" w:cs="Arial" w:eastAsia="Arial" w:hAnsi="Arial"/>
          <w:sz w:val="20"/>
          <w:szCs w:val="20"/>
          <w:color w:val="auto"/>
        </w:rPr>
        <w:t>(Continued)</w:t>
      </w:r>
    </w:p>
    <w:p>
      <w:pPr>
        <w:spacing w:after="0" w:line="348" w:lineRule="exact"/>
        <w:rPr>
          <w:sz w:val="20"/>
          <w:szCs w:val="20"/>
          <w:color w:val="auto"/>
        </w:rPr>
      </w:pPr>
    </w:p>
    <w:p>
      <w:pPr>
        <w:jc w:val="both"/>
        <w:spacing w:after="0" w:line="328" w:lineRule="auto"/>
        <w:rPr>
          <w:sz w:val="20"/>
          <w:szCs w:val="20"/>
          <w:color w:val="auto"/>
        </w:rPr>
      </w:pPr>
      <w:r>
        <w:rPr>
          <w:rFonts w:ascii="Arial" w:cs="Arial" w:eastAsia="Arial" w:hAnsi="Arial"/>
          <w:sz w:val="16"/>
          <w:szCs w:val="16"/>
          <w:color w:val="auto"/>
        </w:rPr>
        <w:t>The following tables present total revenues, gross profit (loss), SG&amp;A expenses and earnings (loss) from operations data for the Company and its reportable segments by product line for the six months ended June 30, 2020 and 2019. In each case, the data is stated as a percentage of revenues of the Company or the relevant segment or product line, as the case may be. Prior-year segment information has been reclassified to conform to the operations and management reporting structure change effective January 1, 2020 (see Note 1 to financial statements).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7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3340" w:type="dxa"/>
            <w:vAlign w:val="bottom"/>
            <w:tcBorders>
              <w:bottom w:val="single" w:sz="8" w:color="auto"/>
            </w:tcBorders>
            <w:gridSpan w:val="6"/>
          </w:tcPr>
          <w:p>
            <w:pPr>
              <w:jc w:val="right"/>
              <w:ind w:right="800"/>
              <w:spacing w:after="0"/>
              <w:rPr>
                <w:sz w:val="20"/>
                <w:szCs w:val="20"/>
                <w:color w:val="auto"/>
              </w:rPr>
            </w:pPr>
            <w:r>
              <w:rPr>
                <w:rFonts w:ascii="Arial" w:cs="Arial" w:eastAsia="Arial" w:hAnsi="Arial"/>
                <w:sz w:val="20"/>
                <w:szCs w:val="20"/>
                <w:color w:val="auto"/>
              </w:rPr>
              <w:t>Six Months Ended June 30,</w:t>
            </w:r>
          </w:p>
        </w:tc>
        <w:tc>
          <w:tcPr>
            <w:tcW w:w="13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r>
      <w:tr>
        <w:trPr>
          <w:trHeight w:val="237"/>
        </w:trPr>
        <w:tc>
          <w:tcPr>
            <w:tcW w:w="47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20"/>
                <w:szCs w:val="20"/>
                <w:color w:val="auto"/>
              </w:rPr>
              <w:t>2020</w:t>
            </w:r>
          </w:p>
        </w:tc>
        <w:tc>
          <w:tcPr>
            <w:tcW w:w="13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20"/>
                <w:szCs w:val="20"/>
                <w:color w:val="auto"/>
              </w:rPr>
              <w:t>2019</w:t>
            </w:r>
          </w:p>
        </w:tc>
        <w:tc>
          <w:tcPr>
            <w:tcW w:w="13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37"/>
        </w:trPr>
        <w:tc>
          <w:tcPr>
            <w:tcW w:w="47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2"/>
          </w:tcPr>
          <w:p>
            <w:pPr>
              <w:jc w:val="right"/>
              <w:ind w:right="720"/>
              <w:spacing w:after="0"/>
              <w:rPr>
                <w:sz w:val="20"/>
                <w:szCs w:val="20"/>
                <w:color w:val="auto"/>
              </w:rPr>
            </w:pPr>
            <w:r>
              <w:rPr>
                <w:rFonts w:ascii="Arial" w:cs="Arial" w:eastAsia="Arial" w:hAnsi="Arial"/>
                <w:sz w:val="20"/>
                <w:szCs w:val="20"/>
                <w:color w:val="auto"/>
              </w:rPr>
              <w:t>Amount</w:t>
            </w:r>
          </w:p>
        </w:tc>
        <w:tc>
          <w:tcPr>
            <w:tcW w:w="132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w w:val="94"/>
              </w:rPr>
              <w:t>% of Revenues</w:t>
            </w:r>
          </w:p>
        </w:tc>
        <w:tc>
          <w:tcPr>
            <w:tcW w:w="280" w:type="dxa"/>
            <w:vAlign w:val="bottom"/>
            <w:tcBorders>
              <w:bottom w:val="single" w:sz="8" w:color="auto"/>
            </w:tcBorders>
            <w:gridSpan w:val="2"/>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2"/>
          </w:tcPr>
          <w:p>
            <w:pPr>
              <w:jc w:val="right"/>
              <w:ind w:right="740"/>
              <w:spacing w:after="0"/>
              <w:rPr>
                <w:sz w:val="20"/>
                <w:szCs w:val="20"/>
                <w:color w:val="auto"/>
              </w:rPr>
            </w:pPr>
            <w:r>
              <w:rPr>
                <w:rFonts w:ascii="Arial" w:cs="Arial" w:eastAsia="Arial" w:hAnsi="Arial"/>
                <w:sz w:val="20"/>
                <w:szCs w:val="20"/>
                <w:color w:val="auto"/>
              </w:rPr>
              <w:t>Amount</w:t>
            </w:r>
          </w:p>
        </w:tc>
        <w:tc>
          <w:tcPr>
            <w:tcW w:w="132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w w:val="94"/>
              </w:rPr>
              <w:t>% of Revenues</w:t>
            </w:r>
          </w:p>
        </w:tc>
        <w:tc>
          <w:tcPr>
            <w:tcW w:w="120" w:type="dxa"/>
            <w:vAlign w:val="bottom"/>
          </w:tcPr>
          <w:p>
            <w:pPr>
              <w:spacing w:after="0"/>
              <w:rPr>
                <w:sz w:val="20"/>
                <w:szCs w:val="20"/>
                <w:color w:val="auto"/>
              </w:rPr>
            </w:pPr>
          </w:p>
        </w:tc>
      </w:tr>
      <w:tr>
        <w:trPr>
          <w:trHeight w:val="237"/>
        </w:trPr>
        <w:tc>
          <w:tcPr>
            <w:tcW w:w="4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340" w:type="dxa"/>
            <w:vAlign w:val="bottom"/>
            <w:gridSpan w:val="6"/>
          </w:tcPr>
          <w:p>
            <w:pPr>
              <w:jc w:val="right"/>
              <w:ind w:right="1060"/>
              <w:spacing w:after="0"/>
              <w:rPr>
                <w:sz w:val="20"/>
                <w:szCs w:val="20"/>
                <w:color w:val="auto"/>
              </w:rPr>
            </w:pPr>
            <w:r>
              <w:rPr>
                <w:rFonts w:ascii="Arial" w:cs="Arial" w:eastAsia="Arial" w:hAnsi="Arial"/>
                <w:sz w:val="20"/>
                <w:szCs w:val="20"/>
                <w:i w:val="1"/>
                <w:iCs w:val="1"/>
                <w:color w:val="auto"/>
              </w:rPr>
              <w:t>(Dollars in Millions)</w:t>
            </w: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3"/>
        </w:trPr>
        <w:tc>
          <w:tcPr>
            <w:tcW w:w="4700" w:type="dxa"/>
            <w:vAlign w:val="bottom"/>
            <w:shd w:val="clear" w:color="auto" w:fill="CFF0FC"/>
          </w:tcPr>
          <w:p>
            <w:pPr>
              <w:spacing w:after="0"/>
              <w:rPr>
                <w:sz w:val="20"/>
                <w:szCs w:val="20"/>
                <w:color w:val="auto"/>
              </w:rPr>
            </w:pPr>
            <w:r>
              <w:rPr>
                <w:rFonts w:ascii="Arial" w:cs="Arial" w:eastAsia="Arial" w:hAnsi="Arial"/>
                <w:sz w:val="20"/>
                <w:szCs w:val="20"/>
                <w:b w:val="1"/>
                <w:bCs w:val="1"/>
                <w:color w:val="auto"/>
              </w:rPr>
              <w:t>Total revenues:</w:t>
            </w:r>
          </w:p>
        </w:tc>
        <w:tc>
          <w:tcPr>
            <w:tcW w:w="24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243"/>
        </w:trPr>
        <w:tc>
          <w:tcPr>
            <w:tcW w:w="4700" w:type="dxa"/>
            <w:vAlign w:val="bottom"/>
          </w:tcPr>
          <w:p>
            <w:pPr>
              <w:spacing w:after="0"/>
              <w:rPr>
                <w:sz w:val="20"/>
                <w:szCs w:val="20"/>
                <w:color w:val="auto"/>
              </w:rPr>
            </w:pPr>
            <w:r>
              <w:rPr>
                <w:rFonts w:ascii="Arial" w:cs="Arial" w:eastAsia="Arial" w:hAnsi="Arial"/>
                <w:sz w:val="20"/>
                <w:szCs w:val="20"/>
                <w:color w:val="auto"/>
              </w:rPr>
              <w:t>Building Materials Business:</w:t>
            </w: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3"/>
        </w:trPr>
        <w:tc>
          <w:tcPr>
            <w:tcW w:w="4700" w:type="dxa"/>
            <w:vAlign w:val="bottom"/>
            <w:shd w:val="clear" w:color="auto" w:fill="CFF0FC"/>
          </w:tcPr>
          <w:p>
            <w:pPr>
              <w:ind w:left="140"/>
              <w:spacing w:after="0"/>
              <w:rPr>
                <w:sz w:val="20"/>
                <w:szCs w:val="20"/>
                <w:color w:val="auto"/>
              </w:rPr>
            </w:pPr>
            <w:r>
              <w:rPr>
                <w:rFonts w:ascii="Arial" w:cs="Arial" w:eastAsia="Arial" w:hAnsi="Arial"/>
                <w:sz w:val="20"/>
                <w:szCs w:val="20"/>
                <w:color w:val="auto"/>
              </w:rPr>
              <w:t>Products and services</w:t>
            </w:r>
          </w:p>
        </w:tc>
        <w:tc>
          <w:tcPr>
            <w:tcW w:w="24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20"/>
                <w:szCs w:val="20"/>
                <w:color w:val="auto"/>
              </w:rPr>
              <w:t>Mid-America Group</w:t>
            </w: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3"/>
        </w:trPr>
        <w:tc>
          <w:tcPr>
            <w:tcW w:w="4700" w:type="dxa"/>
            <w:vAlign w:val="bottom"/>
            <w:shd w:val="clear" w:color="auto" w:fill="CFF0FC"/>
          </w:tcPr>
          <w:p>
            <w:pPr>
              <w:ind w:left="620"/>
              <w:spacing w:after="0"/>
              <w:rPr>
                <w:sz w:val="20"/>
                <w:szCs w:val="20"/>
                <w:color w:val="auto"/>
              </w:rPr>
            </w:pPr>
            <w:r>
              <w:rPr>
                <w:rFonts w:ascii="Arial" w:cs="Arial" w:eastAsia="Arial" w:hAnsi="Arial"/>
                <w:sz w:val="20"/>
                <w:szCs w:val="20"/>
                <w:color w:val="auto"/>
              </w:rPr>
              <w:t>Aggregates</w:t>
            </w:r>
          </w:p>
        </w:tc>
        <w:tc>
          <w:tcPr>
            <w:tcW w:w="2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603.9</w:t>
            </w:r>
          </w:p>
        </w:tc>
        <w:tc>
          <w:tcPr>
            <w:tcW w:w="340" w:type="dxa"/>
            <w:vAlign w:val="bottom"/>
            <w:shd w:val="clear" w:color="auto" w:fill="CFF0FC"/>
          </w:tcPr>
          <w:p>
            <w:pPr>
              <w:spacing w:after="0"/>
              <w:rPr>
                <w:sz w:val="21"/>
                <w:szCs w:val="21"/>
                <w:color w:val="auto"/>
              </w:rPr>
            </w:pPr>
          </w:p>
        </w:tc>
        <w:tc>
          <w:tcPr>
            <w:tcW w:w="1820" w:type="dxa"/>
            <w:vAlign w:val="bottom"/>
            <w:gridSpan w:val="4"/>
            <w:shd w:val="clear" w:color="auto" w:fill="CFF0FC"/>
          </w:tcPr>
          <w:p>
            <w:pPr>
              <w:jc w:val="right"/>
              <w:ind w:right="63"/>
              <w:spacing w:after="0"/>
              <w:rPr>
                <w:sz w:val="20"/>
                <w:szCs w:val="20"/>
                <w:color w:val="auto"/>
              </w:rPr>
            </w:pPr>
            <w:r>
              <w:rPr>
                <w:rFonts w:ascii="Arial" w:cs="Arial" w:eastAsia="Arial" w:hAnsi="Arial"/>
                <w:sz w:val="20"/>
                <w:szCs w:val="20"/>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611.5</w:t>
            </w:r>
          </w:p>
        </w:tc>
        <w:tc>
          <w:tcPr>
            <w:tcW w:w="34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20"/>
                <w:szCs w:val="20"/>
                <w:color w:val="auto"/>
              </w:rPr>
              <w:t>Southeast Group</w:t>
            </w: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3"/>
        </w:trPr>
        <w:tc>
          <w:tcPr>
            <w:tcW w:w="4700" w:type="dxa"/>
            <w:vAlign w:val="bottom"/>
            <w:shd w:val="clear" w:color="auto" w:fill="CFF0FC"/>
          </w:tcPr>
          <w:p>
            <w:pPr>
              <w:ind w:left="620"/>
              <w:spacing w:after="0"/>
              <w:rPr>
                <w:sz w:val="20"/>
                <w:szCs w:val="20"/>
                <w:color w:val="auto"/>
              </w:rPr>
            </w:pPr>
            <w:r>
              <w:rPr>
                <w:rFonts w:ascii="Arial" w:cs="Arial" w:eastAsia="Arial" w:hAnsi="Arial"/>
                <w:sz w:val="20"/>
                <w:szCs w:val="20"/>
                <w:color w:val="auto"/>
              </w:rPr>
              <w:t>Aggregates</w:t>
            </w:r>
          </w:p>
        </w:tc>
        <w:tc>
          <w:tcPr>
            <w:tcW w:w="24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253.7</w:t>
            </w:r>
          </w:p>
        </w:tc>
        <w:tc>
          <w:tcPr>
            <w:tcW w:w="34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247.4</w:t>
            </w:r>
          </w:p>
        </w:tc>
        <w:tc>
          <w:tcPr>
            <w:tcW w:w="34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20"/>
                <w:szCs w:val="20"/>
                <w:color w:val="auto"/>
              </w:rPr>
              <w:t>West Group</w:t>
            </w: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3"/>
        </w:trPr>
        <w:tc>
          <w:tcPr>
            <w:tcW w:w="4700" w:type="dxa"/>
            <w:vAlign w:val="bottom"/>
            <w:shd w:val="clear" w:color="auto" w:fill="CFF0FC"/>
          </w:tcPr>
          <w:p>
            <w:pPr>
              <w:ind w:left="620"/>
              <w:spacing w:after="0"/>
              <w:rPr>
                <w:sz w:val="20"/>
                <w:szCs w:val="20"/>
                <w:color w:val="auto"/>
              </w:rPr>
            </w:pPr>
            <w:r>
              <w:rPr>
                <w:rFonts w:ascii="Arial" w:cs="Arial" w:eastAsia="Arial" w:hAnsi="Arial"/>
                <w:sz w:val="20"/>
                <w:szCs w:val="20"/>
                <w:color w:val="auto"/>
              </w:rPr>
              <w:t>Aggregates</w:t>
            </w:r>
          </w:p>
        </w:tc>
        <w:tc>
          <w:tcPr>
            <w:tcW w:w="24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467.6</w:t>
            </w:r>
          </w:p>
        </w:tc>
        <w:tc>
          <w:tcPr>
            <w:tcW w:w="34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443.8</w:t>
            </w:r>
          </w:p>
        </w:tc>
        <w:tc>
          <w:tcPr>
            <w:tcW w:w="34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243"/>
        </w:trPr>
        <w:tc>
          <w:tcPr>
            <w:tcW w:w="4700" w:type="dxa"/>
            <w:vAlign w:val="bottom"/>
          </w:tcPr>
          <w:p>
            <w:pPr>
              <w:ind w:left="620"/>
              <w:spacing w:after="0"/>
              <w:rPr>
                <w:sz w:val="20"/>
                <w:szCs w:val="20"/>
                <w:color w:val="auto"/>
              </w:rPr>
            </w:pPr>
            <w:r>
              <w:rPr>
                <w:rFonts w:ascii="Arial" w:cs="Arial" w:eastAsia="Arial" w:hAnsi="Arial"/>
                <w:sz w:val="20"/>
                <w:szCs w:val="20"/>
                <w:color w:val="auto"/>
              </w:rPr>
              <w:t>Cement</w:t>
            </w: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216.1</w:t>
            </w:r>
          </w:p>
        </w:tc>
        <w:tc>
          <w:tcPr>
            <w:tcW w:w="3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211.4</w:t>
            </w:r>
          </w:p>
        </w:tc>
        <w:tc>
          <w:tcPr>
            <w:tcW w:w="3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3"/>
        </w:trPr>
        <w:tc>
          <w:tcPr>
            <w:tcW w:w="4700" w:type="dxa"/>
            <w:vAlign w:val="bottom"/>
            <w:shd w:val="clear" w:color="auto" w:fill="CFF0FC"/>
          </w:tcPr>
          <w:p>
            <w:pPr>
              <w:ind w:left="620"/>
              <w:spacing w:after="0"/>
              <w:rPr>
                <w:sz w:val="20"/>
                <w:szCs w:val="20"/>
                <w:color w:val="auto"/>
              </w:rPr>
            </w:pPr>
            <w:r>
              <w:rPr>
                <w:rFonts w:ascii="Arial" w:cs="Arial" w:eastAsia="Arial" w:hAnsi="Arial"/>
                <w:sz w:val="20"/>
                <w:szCs w:val="20"/>
                <w:color w:val="auto"/>
              </w:rPr>
              <w:t>Ready mixed concrete</w:t>
            </w:r>
          </w:p>
        </w:tc>
        <w:tc>
          <w:tcPr>
            <w:tcW w:w="24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434.8</w:t>
            </w:r>
          </w:p>
        </w:tc>
        <w:tc>
          <w:tcPr>
            <w:tcW w:w="34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452.3</w:t>
            </w:r>
          </w:p>
        </w:tc>
        <w:tc>
          <w:tcPr>
            <w:tcW w:w="34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243"/>
        </w:trPr>
        <w:tc>
          <w:tcPr>
            <w:tcW w:w="4700" w:type="dxa"/>
            <w:vAlign w:val="bottom"/>
          </w:tcPr>
          <w:p>
            <w:pPr>
              <w:ind w:left="620"/>
              <w:spacing w:after="0"/>
              <w:rPr>
                <w:sz w:val="20"/>
                <w:szCs w:val="20"/>
                <w:color w:val="auto"/>
              </w:rPr>
            </w:pPr>
            <w:r>
              <w:rPr>
                <w:rFonts w:ascii="Arial" w:cs="Arial" w:eastAsia="Arial" w:hAnsi="Arial"/>
                <w:sz w:val="20"/>
                <w:szCs w:val="20"/>
                <w:color w:val="auto"/>
              </w:rPr>
              <w:t>Asphalt and paving</w:t>
            </w: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125.1</w:t>
            </w:r>
          </w:p>
        </w:tc>
        <w:tc>
          <w:tcPr>
            <w:tcW w:w="3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94.6</w:t>
            </w:r>
          </w:p>
        </w:tc>
        <w:tc>
          <w:tcPr>
            <w:tcW w:w="3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3"/>
        </w:trPr>
        <w:tc>
          <w:tcPr>
            <w:tcW w:w="4700" w:type="dxa"/>
            <w:vAlign w:val="bottom"/>
            <w:shd w:val="clear" w:color="auto" w:fill="CFF0FC"/>
          </w:tcPr>
          <w:p>
            <w:pPr>
              <w:ind w:left="380"/>
              <w:spacing w:after="0"/>
              <w:rPr>
                <w:sz w:val="20"/>
                <w:szCs w:val="20"/>
                <w:color w:val="auto"/>
              </w:rPr>
            </w:pPr>
            <w:r>
              <w:rPr>
                <w:rFonts w:ascii="Arial" w:cs="Arial" w:eastAsia="Arial" w:hAnsi="Arial"/>
                <w:sz w:val="20"/>
                <w:szCs w:val="20"/>
                <w:color w:val="auto"/>
              </w:rPr>
              <w:t>Less: Interproduct revenues</w:t>
            </w:r>
          </w:p>
        </w:tc>
        <w:tc>
          <w:tcPr>
            <w:tcW w:w="24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280"/>
              <w:spacing w:after="0"/>
              <w:rPr>
                <w:sz w:val="20"/>
                <w:szCs w:val="20"/>
                <w:color w:val="auto"/>
              </w:rPr>
            </w:pPr>
            <w:r>
              <w:rPr>
                <w:rFonts w:ascii="Arial" w:cs="Arial" w:eastAsia="Arial" w:hAnsi="Arial"/>
                <w:sz w:val="20"/>
                <w:szCs w:val="20"/>
                <w:color w:val="auto"/>
              </w:rPr>
              <w:t>(129.5)</w:t>
            </w:r>
          </w:p>
        </w:tc>
        <w:tc>
          <w:tcPr>
            <w:tcW w:w="13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280"/>
              <w:spacing w:after="0"/>
              <w:rPr>
                <w:sz w:val="20"/>
                <w:szCs w:val="20"/>
                <w:color w:val="auto"/>
              </w:rPr>
            </w:pPr>
            <w:r>
              <w:rPr>
                <w:rFonts w:ascii="Arial" w:cs="Arial" w:eastAsia="Arial" w:hAnsi="Arial"/>
                <w:sz w:val="20"/>
                <w:szCs w:val="20"/>
                <w:color w:val="auto"/>
              </w:rPr>
              <w:t>(126.1)</w:t>
            </w:r>
          </w:p>
        </w:tc>
        <w:tc>
          <w:tcPr>
            <w:tcW w:w="13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236"/>
        </w:trPr>
        <w:tc>
          <w:tcPr>
            <w:tcW w:w="4700" w:type="dxa"/>
            <w:vAlign w:val="bottom"/>
            <w:tcBorders>
              <w:bottom w:val="single" w:sz="8" w:color="CFF0FC"/>
            </w:tcBorders>
          </w:tcPr>
          <w:p>
            <w:pPr>
              <w:ind w:left="380"/>
              <w:spacing w:after="0"/>
              <w:rPr>
                <w:sz w:val="20"/>
                <w:szCs w:val="20"/>
                <w:color w:val="auto"/>
              </w:rPr>
            </w:pPr>
            <w:r>
              <w:rPr>
                <w:rFonts w:ascii="Arial" w:cs="Arial" w:eastAsia="Arial" w:hAnsi="Arial"/>
                <w:sz w:val="20"/>
                <w:szCs w:val="20"/>
                <w:color w:val="auto"/>
              </w:rPr>
              <w:t>West Group Total</w:t>
            </w:r>
          </w:p>
        </w:tc>
        <w:tc>
          <w:tcPr>
            <w:tcW w:w="24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1,114.1</w:t>
            </w:r>
          </w:p>
        </w:tc>
        <w:tc>
          <w:tcPr>
            <w:tcW w:w="340" w:type="dxa"/>
            <w:vAlign w:val="bottom"/>
            <w:tcBorders>
              <w:bottom w:val="single" w:sz="8" w:color="CFF0FC"/>
            </w:tcBorders>
          </w:tcPr>
          <w:p>
            <w:pPr>
              <w:spacing w:after="0"/>
              <w:rPr>
                <w:sz w:val="20"/>
                <w:szCs w:val="20"/>
                <w:color w:val="auto"/>
              </w:rPr>
            </w:pPr>
          </w:p>
        </w:tc>
        <w:tc>
          <w:tcPr>
            <w:tcW w:w="1320" w:type="dxa"/>
            <w:vAlign w:val="bottom"/>
            <w:tcBorders>
              <w:bottom w:val="single" w:sz="8" w:color="CFF0FC"/>
            </w:tcBorders>
          </w:tcPr>
          <w:p>
            <w:pPr>
              <w:spacing w:after="0"/>
              <w:rPr>
                <w:sz w:val="20"/>
                <w:szCs w:val="20"/>
                <w:color w:val="auto"/>
              </w:rPr>
            </w:pPr>
          </w:p>
        </w:tc>
        <w:tc>
          <w:tcPr>
            <w:tcW w:w="26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1,076.0</w:t>
            </w:r>
          </w:p>
        </w:tc>
        <w:tc>
          <w:tcPr>
            <w:tcW w:w="340" w:type="dxa"/>
            <w:vAlign w:val="bottom"/>
            <w:tcBorders>
              <w:bottom w:val="single" w:sz="8" w:color="CFF0FC"/>
            </w:tcBorders>
          </w:tcPr>
          <w:p>
            <w:pPr>
              <w:spacing w:after="0"/>
              <w:rPr>
                <w:sz w:val="20"/>
                <w:szCs w:val="20"/>
                <w:color w:val="auto"/>
              </w:rPr>
            </w:pPr>
          </w:p>
        </w:tc>
        <w:tc>
          <w:tcPr>
            <w:tcW w:w="1320" w:type="dxa"/>
            <w:vAlign w:val="bottom"/>
            <w:tcBorders>
              <w:bottom w:val="single" w:sz="8" w:color="CFF0FC"/>
            </w:tcBorders>
          </w:tcPr>
          <w:p>
            <w:pPr>
              <w:spacing w:after="0"/>
              <w:rPr>
                <w:sz w:val="20"/>
                <w:szCs w:val="20"/>
                <w:color w:val="auto"/>
              </w:rPr>
            </w:pPr>
          </w:p>
        </w:tc>
        <w:tc>
          <w:tcPr>
            <w:tcW w:w="120" w:type="dxa"/>
            <w:vAlign w:val="bottom"/>
            <w:tcBorders>
              <w:bottom w:val="single" w:sz="8" w:color="CFF0FC"/>
            </w:tcBorders>
          </w:tcPr>
          <w:p>
            <w:pPr>
              <w:spacing w:after="0"/>
              <w:rPr>
                <w:sz w:val="20"/>
                <w:szCs w:val="20"/>
                <w:color w:val="auto"/>
              </w:rPr>
            </w:pPr>
          </w:p>
        </w:tc>
      </w:tr>
      <w:tr>
        <w:trPr>
          <w:trHeight w:val="237"/>
        </w:trPr>
        <w:tc>
          <w:tcPr>
            <w:tcW w:w="4700" w:type="dxa"/>
            <w:vAlign w:val="bottom"/>
            <w:shd w:val="clear" w:color="auto" w:fill="CFF0FC"/>
          </w:tcPr>
          <w:p>
            <w:pPr>
              <w:ind w:left="140"/>
              <w:spacing w:after="0"/>
              <w:rPr>
                <w:sz w:val="20"/>
                <w:szCs w:val="20"/>
                <w:color w:val="auto"/>
              </w:rPr>
            </w:pPr>
            <w:r>
              <w:rPr>
                <w:rFonts w:ascii="Arial" w:cs="Arial" w:eastAsia="Arial" w:hAnsi="Arial"/>
                <w:sz w:val="20"/>
                <w:szCs w:val="20"/>
                <w:color w:val="auto"/>
              </w:rPr>
              <w:t>Products and services</w:t>
            </w:r>
          </w:p>
        </w:tc>
        <w:tc>
          <w:tcPr>
            <w:tcW w:w="24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1,971.7</w:t>
            </w:r>
          </w:p>
        </w:tc>
        <w:tc>
          <w:tcPr>
            <w:tcW w:w="34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1,934.9</w:t>
            </w:r>
          </w:p>
        </w:tc>
        <w:tc>
          <w:tcPr>
            <w:tcW w:w="34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43"/>
        </w:trPr>
        <w:tc>
          <w:tcPr>
            <w:tcW w:w="4700" w:type="dxa"/>
            <w:vAlign w:val="bottom"/>
            <w:tcBorders>
              <w:bottom w:val="single" w:sz="8" w:color="CFF0FC"/>
            </w:tcBorders>
          </w:tcPr>
          <w:p>
            <w:pPr>
              <w:ind w:left="140"/>
              <w:spacing w:after="0"/>
              <w:rPr>
                <w:sz w:val="20"/>
                <w:szCs w:val="20"/>
                <w:color w:val="auto"/>
              </w:rPr>
            </w:pPr>
            <w:r>
              <w:rPr>
                <w:rFonts w:ascii="Arial" w:cs="Arial" w:eastAsia="Arial" w:hAnsi="Arial"/>
                <w:sz w:val="20"/>
                <w:szCs w:val="20"/>
                <w:color w:val="auto"/>
              </w:rPr>
              <w:t>Freight</w:t>
            </w:r>
          </w:p>
        </w:tc>
        <w:tc>
          <w:tcPr>
            <w:tcW w:w="2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137.9</w:t>
            </w:r>
          </w:p>
        </w:tc>
        <w:tc>
          <w:tcPr>
            <w:tcW w:w="340" w:type="dxa"/>
            <w:vAlign w:val="bottom"/>
            <w:tcBorders>
              <w:bottom w:val="single" w:sz="8" w:color="CFF0FC"/>
            </w:tcBorders>
          </w:tcPr>
          <w:p>
            <w:pPr>
              <w:spacing w:after="0"/>
              <w:rPr>
                <w:sz w:val="21"/>
                <w:szCs w:val="21"/>
                <w:color w:val="auto"/>
              </w:rPr>
            </w:pPr>
          </w:p>
        </w:tc>
        <w:tc>
          <w:tcPr>
            <w:tcW w:w="1320" w:type="dxa"/>
            <w:vAlign w:val="bottom"/>
            <w:tcBorders>
              <w:bottom w:val="single" w:sz="8" w:color="CFF0FC"/>
            </w:tcBorders>
          </w:tcPr>
          <w:p>
            <w:pPr>
              <w:spacing w:after="0"/>
              <w:rPr>
                <w:sz w:val="21"/>
                <w:szCs w:val="21"/>
                <w:color w:val="auto"/>
              </w:rPr>
            </w:pPr>
          </w:p>
        </w:tc>
        <w:tc>
          <w:tcPr>
            <w:tcW w:w="26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133.2</w:t>
            </w:r>
          </w:p>
        </w:tc>
        <w:tc>
          <w:tcPr>
            <w:tcW w:w="340" w:type="dxa"/>
            <w:vAlign w:val="bottom"/>
            <w:tcBorders>
              <w:bottom w:val="single" w:sz="8" w:color="CFF0FC"/>
            </w:tcBorders>
          </w:tcPr>
          <w:p>
            <w:pPr>
              <w:spacing w:after="0"/>
              <w:rPr>
                <w:sz w:val="21"/>
                <w:szCs w:val="21"/>
                <w:color w:val="auto"/>
              </w:rPr>
            </w:pPr>
          </w:p>
        </w:tc>
        <w:tc>
          <w:tcPr>
            <w:tcW w:w="1320" w:type="dxa"/>
            <w:vAlign w:val="bottom"/>
            <w:tcBorders>
              <w:bottom w:val="single" w:sz="8" w:color="CFF0FC"/>
            </w:tcBorders>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r>
      <w:tr>
        <w:trPr>
          <w:trHeight w:val="236"/>
        </w:trPr>
        <w:tc>
          <w:tcPr>
            <w:tcW w:w="4700" w:type="dxa"/>
            <w:vAlign w:val="bottom"/>
            <w:shd w:val="clear" w:color="auto" w:fill="CFF0FC"/>
          </w:tcPr>
          <w:p>
            <w:pPr>
              <w:spacing w:after="0"/>
              <w:rPr>
                <w:sz w:val="20"/>
                <w:szCs w:val="20"/>
                <w:color w:val="auto"/>
              </w:rPr>
            </w:pPr>
            <w:r>
              <w:rPr>
                <w:rFonts w:ascii="Arial" w:cs="Arial" w:eastAsia="Arial" w:hAnsi="Arial"/>
                <w:sz w:val="20"/>
                <w:szCs w:val="20"/>
                <w:color w:val="auto"/>
              </w:rPr>
              <w:t>Total Building Materials Business</w:t>
            </w:r>
          </w:p>
        </w:tc>
        <w:tc>
          <w:tcPr>
            <w:tcW w:w="24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2,109.6</w:t>
            </w:r>
          </w:p>
        </w:tc>
        <w:tc>
          <w:tcPr>
            <w:tcW w:w="34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2,068.1</w:t>
            </w:r>
          </w:p>
        </w:tc>
        <w:tc>
          <w:tcPr>
            <w:tcW w:w="34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43"/>
        </w:trPr>
        <w:tc>
          <w:tcPr>
            <w:tcW w:w="4700" w:type="dxa"/>
            <w:vAlign w:val="bottom"/>
          </w:tcPr>
          <w:p>
            <w:pPr>
              <w:spacing w:after="0"/>
              <w:rPr>
                <w:sz w:val="20"/>
                <w:szCs w:val="20"/>
                <w:color w:val="auto"/>
              </w:rPr>
            </w:pPr>
            <w:r>
              <w:rPr>
                <w:rFonts w:ascii="Arial" w:cs="Arial" w:eastAsia="Arial" w:hAnsi="Arial"/>
                <w:sz w:val="20"/>
                <w:szCs w:val="20"/>
                <w:color w:val="auto"/>
              </w:rPr>
              <w:t>Magnesia Specialties:</w:t>
            </w: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3"/>
        </w:trPr>
        <w:tc>
          <w:tcPr>
            <w:tcW w:w="4700" w:type="dxa"/>
            <w:vAlign w:val="bottom"/>
            <w:shd w:val="clear" w:color="auto" w:fill="CFF0FC"/>
          </w:tcPr>
          <w:p>
            <w:pPr>
              <w:ind w:left="140"/>
              <w:spacing w:after="0"/>
              <w:rPr>
                <w:sz w:val="20"/>
                <w:szCs w:val="20"/>
                <w:color w:val="auto"/>
              </w:rPr>
            </w:pPr>
            <w:r>
              <w:rPr>
                <w:rFonts w:ascii="Arial" w:cs="Arial" w:eastAsia="Arial" w:hAnsi="Arial"/>
                <w:sz w:val="20"/>
                <w:szCs w:val="20"/>
                <w:color w:val="auto"/>
              </w:rPr>
              <w:t>Products</w:t>
            </w:r>
          </w:p>
        </w:tc>
        <w:tc>
          <w:tcPr>
            <w:tcW w:w="24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108.8</w:t>
            </w:r>
          </w:p>
        </w:tc>
        <w:tc>
          <w:tcPr>
            <w:tcW w:w="34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139.5</w:t>
            </w:r>
          </w:p>
        </w:tc>
        <w:tc>
          <w:tcPr>
            <w:tcW w:w="34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243"/>
        </w:trPr>
        <w:tc>
          <w:tcPr>
            <w:tcW w:w="4700" w:type="dxa"/>
            <w:vAlign w:val="bottom"/>
            <w:tcBorders>
              <w:bottom w:val="single" w:sz="8" w:color="CFF0FC"/>
            </w:tcBorders>
          </w:tcPr>
          <w:p>
            <w:pPr>
              <w:ind w:left="140"/>
              <w:spacing w:after="0"/>
              <w:rPr>
                <w:sz w:val="20"/>
                <w:szCs w:val="20"/>
                <w:color w:val="auto"/>
              </w:rPr>
            </w:pPr>
            <w:r>
              <w:rPr>
                <w:rFonts w:ascii="Arial" w:cs="Arial" w:eastAsia="Arial" w:hAnsi="Arial"/>
                <w:sz w:val="20"/>
                <w:szCs w:val="20"/>
                <w:color w:val="auto"/>
              </w:rPr>
              <w:t>Freight</w:t>
            </w:r>
          </w:p>
        </w:tc>
        <w:tc>
          <w:tcPr>
            <w:tcW w:w="2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10.5</w:t>
            </w:r>
          </w:p>
        </w:tc>
        <w:tc>
          <w:tcPr>
            <w:tcW w:w="340" w:type="dxa"/>
            <w:vAlign w:val="bottom"/>
            <w:tcBorders>
              <w:bottom w:val="single" w:sz="8" w:color="CFF0FC"/>
            </w:tcBorders>
          </w:tcPr>
          <w:p>
            <w:pPr>
              <w:spacing w:after="0"/>
              <w:rPr>
                <w:sz w:val="21"/>
                <w:szCs w:val="21"/>
                <w:color w:val="auto"/>
              </w:rPr>
            </w:pPr>
          </w:p>
        </w:tc>
        <w:tc>
          <w:tcPr>
            <w:tcW w:w="1320" w:type="dxa"/>
            <w:vAlign w:val="bottom"/>
            <w:tcBorders>
              <w:bottom w:val="single" w:sz="8" w:color="CFF0FC"/>
            </w:tcBorders>
          </w:tcPr>
          <w:p>
            <w:pPr>
              <w:spacing w:after="0"/>
              <w:rPr>
                <w:sz w:val="21"/>
                <w:szCs w:val="21"/>
                <w:color w:val="auto"/>
              </w:rPr>
            </w:pPr>
          </w:p>
        </w:tc>
        <w:tc>
          <w:tcPr>
            <w:tcW w:w="26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10.8</w:t>
            </w:r>
          </w:p>
        </w:tc>
        <w:tc>
          <w:tcPr>
            <w:tcW w:w="340" w:type="dxa"/>
            <w:vAlign w:val="bottom"/>
            <w:tcBorders>
              <w:bottom w:val="single" w:sz="8" w:color="CFF0FC"/>
            </w:tcBorders>
          </w:tcPr>
          <w:p>
            <w:pPr>
              <w:spacing w:after="0"/>
              <w:rPr>
                <w:sz w:val="21"/>
                <w:szCs w:val="21"/>
                <w:color w:val="auto"/>
              </w:rPr>
            </w:pPr>
          </w:p>
        </w:tc>
        <w:tc>
          <w:tcPr>
            <w:tcW w:w="1320" w:type="dxa"/>
            <w:vAlign w:val="bottom"/>
            <w:tcBorders>
              <w:bottom w:val="single" w:sz="8" w:color="CFF0FC"/>
            </w:tcBorders>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r>
      <w:tr>
        <w:trPr>
          <w:trHeight w:val="236"/>
        </w:trPr>
        <w:tc>
          <w:tcPr>
            <w:tcW w:w="4700" w:type="dxa"/>
            <w:vAlign w:val="bottom"/>
            <w:shd w:val="clear" w:color="auto" w:fill="CFF0FC"/>
          </w:tcPr>
          <w:p>
            <w:pPr>
              <w:spacing w:after="0"/>
              <w:rPr>
                <w:sz w:val="20"/>
                <w:szCs w:val="20"/>
                <w:color w:val="auto"/>
              </w:rPr>
            </w:pPr>
            <w:r>
              <w:rPr>
                <w:rFonts w:ascii="Arial" w:cs="Arial" w:eastAsia="Arial" w:hAnsi="Arial"/>
                <w:sz w:val="20"/>
                <w:szCs w:val="20"/>
                <w:color w:val="auto"/>
              </w:rPr>
              <w:t>Total Magnesia Specialties Business</w:t>
            </w:r>
          </w:p>
        </w:tc>
        <w:tc>
          <w:tcPr>
            <w:tcW w:w="240" w:type="dxa"/>
            <w:vAlign w:val="bottom"/>
            <w:tcBorders>
              <w:bottom w:val="single" w:sz="8" w:color="auto"/>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119.3</w:t>
            </w:r>
          </w:p>
        </w:tc>
        <w:tc>
          <w:tcPr>
            <w:tcW w:w="34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150.3</w:t>
            </w:r>
          </w:p>
        </w:tc>
        <w:tc>
          <w:tcPr>
            <w:tcW w:w="34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37"/>
        </w:trPr>
        <w:tc>
          <w:tcPr>
            <w:tcW w:w="4700" w:type="dxa"/>
            <w:vAlign w:val="bottom"/>
          </w:tcPr>
          <w:p>
            <w:pPr>
              <w:spacing w:after="0"/>
              <w:rPr>
                <w:sz w:val="20"/>
                <w:szCs w:val="20"/>
                <w:color w:val="auto"/>
              </w:rPr>
            </w:pPr>
            <w:r>
              <w:rPr>
                <w:rFonts w:ascii="Arial" w:cs="Arial" w:eastAsia="Arial" w:hAnsi="Arial"/>
                <w:sz w:val="20"/>
                <w:szCs w:val="20"/>
                <w:color w:val="auto"/>
              </w:rPr>
              <w:t>Total</w:t>
            </w:r>
          </w:p>
        </w:tc>
        <w:tc>
          <w:tcPr>
            <w:tcW w:w="240" w:type="dxa"/>
            <w:vAlign w:val="bottom"/>
          </w:tcPr>
          <w:p>
            <w:pPr>
              <w:jc w:val="right"/>
              <w:ind w:right="41"/>
              <w:spacing w:after="0"/>
              <w:rPr>
                <w:sz w:val="20"/>
                <w:szCs w:val="20"/>
                <w:color w:val="auto"/>
              </w:rPr>
            </w:pPr>
            <w:r>
              <w:rPr>
                <w:rFonts w:ascii="Arial" w:cs="Arial" w:eastAsia="Arial" w:hAnsi="Arial"/>
                <w:sz w:val="20"/>
                <w:szCs w:val="20"/>
                <w:color w:val="auto"/>
                <w:w w:val="71"/>
              </w:rPr>
              <w:t>$</w:t>
            </w:r>
          </w:p>
        </w:tc>
        <w:tc>
          <w:tcPr>
            <w:tcW w:w="1180" w:type="dxa"/>
            <w:vAlign w:val="bottom"/>
          </w:tcPr>
          <w:p>
            <w:pPr>
              <w:jc w:val="right"/>
              <w:spacing w:after="0"/>
              <w:rPr>
                <w:sz w:val="20"/>
                <w:szCs w:val="20"/>
                <w:color w:val="auto"/>
              </w:rPr>
            </w:pPr>
            <w:r>
              <w:rPr>
                <w:rFonts w:ascii="Arial" w:cs="Arial" w:eastAsia="Arial" w:hAnsi="Arial"/>
                <w:sz w:val="20"/>
                <w:szCs w:val="20"/>
                <w:color w:val="auto"/>
              </w:rPr>
              <w:t>2,228.9</w:t>
            </w:r>
          </w:p>
        </w:tc>
        <w:tc>
          <w:tcPr>
            <w:tcW w:w="3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80" w:type="dxa"/>
            <w:vAlign w:val="bottom"/>
            <w:gridSpan w:val="2"/>
          </w:tcPr>
          <w:p>
            <w:pPr>
              <w:spacing w:after="0"/>
              <w:rPr>
                <w:sz w:val="20"/>
                <w:szCs w:val="20"/>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20"/>
                <w:szCs w:val="20"/>
                <w:color w:val="auto"/>
              </w:rPr>
              <w:t>2,218.4</w:t>
            </w:r>
          </w:p>
        </w:tc>
        <w:tc>
          <w:tcPr>
            <w:tcW w:w="3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0"/>
        </w:trPr>
        <w:tc>
          <w:tcPr>
            <w:tcW w:w="47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34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June 30, 2020</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Second Quarter Ended June 30, 2020</w:t>
      </w:r>
    </w:p>
    <w:p>
      <w:pPr>
        <w:jc w:val="center"/>
        <w:spacing w:after="0"/>
        <w:rPr>
          <w:sz w:val="20"/>
          <w:szCs w:val="20"/>
          <w:color w:val="auto"/>
        </w:rPr>
      </w:pPr>
      <w:r>
        <w:rPr>
          <w:rFonts w:ascii="Arial" w:cs="Arial" w:eastAsia="Arial" w:hAnsi="Arial"/>
          <w:sz w:val="20"/>
          <w:szCs w:val="20"/>
          <w:color w:val="auto"/>
        </w:rPr>
        <w:t>(Continued)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700" w:type="dxa"/>
            <w:vAlign w:val="bottom"/>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3340" w:type="dxa"/>
            <w:vAlign w:val="bottom"/>
            <w:tcBorders>
              <w:bottom w:val="single" w:sz="8" w:color="auto"/>
            </w:tcBorders>
            <w:gridSpan w:val="6"/>
          </w:tcPr>
          <w:p>
            <w:pPr>
              <w:jc w:val="right"/>
              <w:ind w:right="800"/>
              <w:spacing w:after="0"/>
              <w:rPr>
                <w:sz w:val="20"/>
                <w:szCs w:val="20"/>
                <w:color w:val="auto"/>
              </w:rPr>
            </w:pPr>
            <w:r>
              <w:rPr>
                <w:rFonts w:ascii="Arial" w:cs="Arial" w:eastAsia="Arial" w:hAnsi="Arial"/>
                <w:sz w:val="20"/>
                <w:szCs w:val="20"/>
                <w:color w:val="auto"/>
              </w:rPr>
              <w:t>Six Months Ended June 30,</w:t>
            </w:r>
          </w:p>
        </w:tc>
        <w:tc>
          <w:tcPr>
            <w:tcW w:w="132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20"/>
                <w:szCs w:val="20"/>
                <w:color w:val="auto"/>
              </w:rPr>
              <w:t>2020</w:t>
            </w:r>
          </w:p>
        </w:tc>
        <w:tc>
          <w:tcPr>
            <w:tcW w:w="13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20"/>
                <w:szCs w:val="20"/>
                <w:color w:val="auto"/>
              </w:rPr>
              <w:t>2019</w:t>
            </w:r>
          </w:p>
        </w:tc>
        <w:tc>
          <w:tcPr>
            <w:tcW w:w="13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1760" w:type="dxa"/>
            <w:vAlign w:val="bottom"/>
            <w:tcBorders>
              <w:bottom w:val="single" w:sz="8" w:color="auto"/>
            </w:tcBorders>
            <w:gridSpan w:val="3"/>
          </w:tcPr>
          <w:p>
            <w:pPr>
              <w:jc w:val="right"/>
              <w:ind w:right="720"/>
              <w:spacing w:after="0"/>
              <w:rPr>
                <w:sz w:val="20"/>
                <w:szCs w:val="20"/>
                <w:color w:val="auto"/>
              </w:rPr>
            </w:pPr>
            <w:r>
              <w:rPr>
                <w:rFonts w:ascii="Arial" w:cs="Arial" w:eastAsia="Arial" w:hAnsi="Arial"/>
                <w:sz w:val="20"/>
                <w:szCs w:val="20"/>
                <w:color w:val="auto"/>
              </w:rPr>
              <w:t>Amount</w:t>
            </w:r>
          </w:p>
        </w:tc>
        <w:tc>
          <w:tcPr>
            <w:tcW w:w="13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w w:val="88"/>
              </w:rPr>
              <w:t>% of Revenues</w:t>
            </w:r>
          </w:p>
        </w:tc>
        <w:tc>
          <w:tcPr>
            <w:tcW w:w="2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right"/>
              <w:ind w:right="740"/>
              <w:spacing w:after="0"/>
              <w:rPr>
                <w:sz w:val="20"/>
                <w:szCs w:val="20"/>
                <w:color w:val="auto"/>
              </w:rPr>
            </w:pPr>
            <w:r>
              <w:rPr>
                <w:rFonts w:ascii="Arial" w:cs="Arial" w:eastAsia="Arial" w:hAnsi="Arial"/>
                <w:sz w:val="20"/>
                <w:szCs w:val="20"/>
                <w:color w:val="auto"/>
              </w:rPr>
              <w:t>Amount</w:t>
            </w:r>
          </w:p>
        </w:tc>
        <w:tc>
          <w:tcPr>
            <w:tcW w:w="132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w w:val="86"/>
              </w:rPr>
              <w:t>% of Revenues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4700" w:type="dxa"/>
            <w:vAlign w:val="bottom"/>
            <w:vMerge w:val="restart"/>
          </w:tcPr>
          <w:p>
            <w:pPr>
              <w:spacing w:after="0"/>
              <w:rPr>
                <w:sz w:val="20"/>
                <w:szCs w:val="20"/>
                <w:color w:val="auto"/>
              </w:rPr>
            </w:pPr>
            <w:r>
              <w:rPr>
                <w:rFonts w:ascii="Arial" w:cs="Arial" w:eastAsia="Arial" w:hAnsi="Arial"/>
                <w:sz w:val="20"/>
                <w:szCs w:val="20"/>
                <w:b w:val="1"/>
                <w:bCs w:val="1"/>
                <w:color w:val="auto"/>
              </w:rPr>
              <w:t>Gross profit (loss):</w:t>
            </w: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340" w:type="dxa"/>
            <w:vAlign w:val="bottom"/>
            <w:gridSpan w:val="6"/>
          </w:tcPr>
          <w:p>
            <w:pPr>
              <w:jc w:val="right"/>
              <w:ind w:right="1060"/>
              <w:spacing w:after="0"/>
              <w:rPr>
                <w:sz w:val="20"/>
                <w:szCs w:val="20"/>
                <w:color w:val="auto"/>
              </w:rPr>
            </w:pPr>
            <w:r>
              <w:rPr>
                <w:rFonts w:ascii="Arial" w:cs="Arial" w:eastAsia="Arial" w:hAnsi="Arial"/>
                <w:sz w:val="20"/>
                <w:szCs w:val="20"/>
                <w:i w:val="1"/>
                <w:iCs w:val="1"/>
                <w:color w:val="auto"/>
              </w:rPr>
              <w:t>(Dollars in Millions)</w:t>
            </w:r>
          </w:p>
        </w:tc>
        <w:tc>
          <w:tcPr>
            <w:tcW w:w="1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700" w:type="dxa"/>
            <w:vAlign w:val="bottom"/>
            <w:vMerge w:val="continue"/>
          </w:tcPr>
          <w:p>
            <w:pPr>
              <w:spacing w:after="0"/>
              <w:rPr>
                <w:sz w:val="20"/>
                <w:szCs w:val="20"/>
                <w:color w:val="auto"/>
              </w:rPr>
            </w:pPr>
          </w:p>
        </w:tc>
        <w:tc>
          <w:tcPr>
            <w:tcW w:w="7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00" w:type="dxa"/>
            <w:vAlign w:val="bottom"/>
            <w:shd w:val="clear" w:color="auto" w:fill="CFF0FC"/>
          </w:tcPr>
          <w:p>
            <w:pPr>
              <w:spacing w:after="0"/>
              <w:rPr>
                <w:sz w:val="20"/>
                <w:szCs w:val="20"/>
                <w:color w:val="auto"/>
              </w:rPr>
            </w:pPr>
            <w:r>
              <w:rPr>
                <w:rFonts w:ascii="Arial" w:cs="Arial" w:eastAsia="Arial" w:hAnsi="Arial"/>
                <w:sz w:val="20"/>
                <w:szCs w:val="20"/>
                <w:color w:val="auto"/>
              </w:rPr>
              <w:t>Building Materials Business:</w:t>
            </w:r>
          </w:p>
        </w:tc>
        <w:tc>
          <w:tcPr>
            <w:tcW w:w="74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140"/>
              <w:spacing w:after="0"/>
              <w:rPr>
                <w:sz w:val="20"/>
                <w:szCs w:val="20"/>
                <w:color w:val="auto"/>
              </w:rPr>
            </w:pPr>
            <w:r>
              <w:rPr>
                <w:rFonts w:ascii="Arial" w:cs="Arial" w:eastAsia="Arial" w:hAnsi="Arial"/>
                <w:sz w:val="20"/>
                <w:szCs w:val="20"/>
                <w:color w:val="auto"/>
              </w:rPr>
              <w:t>Products and services</w:t>
            </w: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shd w:val="clear" w:color="auto" w:fill="CFF0FC"/>
          </w:tcPr>
          <w:p>
            <w:pPr>
              <w:ind w:left="380"/>
              <w:spacing w:after="0"/>
              <w:rPr>
                <w:sz w:val="20"/>
                <w:szCs w:val="20"/>
                <w:color w:val="auto"/>
              </w:rPr>
            </w:pPr>
            <w:r>
              <w:rPr>
                <w:rFonts w:ascii="Arial" w:cs="Arial" w:eastAsia="Arial" w:hAnsi="Arial"/>
                <w:sz w:val="20"/>
                <w:szCs w:val="20"/>
                <w:color w:val="auto"/>
              </w:rPr>
              <w:t>Mid-America Group</w:t>
            </w:r>
          </w:p>
        </w:tc>
        <w:tc>
          <w:tcPr>
            <w:tcW w:w="74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620"/>
              <w:spacing w:after="0"/>
              <w:rPr>
                <w:sz w:val="20"/>
                <w:szCs w:val="20"/>
                <w:color w:val="auto"/>
              </w:rPr>
            </w:pPr>
            <w:r>
              <w:rPr>
                <w:rFonts w:ascii="Arial" w:cs="Arial" w:eastAsia="Arial" w:hAnsi="Arial"/>
                <w:sz w:val="20"/>
                <w:szCs w:val="20"/>
                <w:color w:val="auto"/>
              </w:rPr>
              <w:t>Aggregates</w:t>
            </w:r>
          </w:p>
        </w:tc>
        <w:tc>
          <w:tcPr>
            <w:tcW w:w="740" w:type="dxa"/>
            <w:vAlign w:val="bottom"/>
          </w:tcPr>
          <w:p>
            <w:pPr>
              <w:jc w:val="right"/>
              <w:ind w:right="541"/>
              <w:spacing w:after="0"/>
              <w:rPr>
                <w:sz w:val="20"/>
                <w:szCs w:val="20"/>
                <w:color w:val="auto"/>
              </w:rPr>
            </w:pPr>
            <w:r>
              <w:rPr>
                <w:rFonts w:ascii="Arial" w:cs="Arial" w:eastAsia="Arial" w:hAnsi="Arial"/>
                <w:sz w:val="20"/>
                <w:szCs w:val="20"/>
                <w:color w:val="auto"/>
                <w:w w:val="71"/>
              </w:rPr>
              <w:t>$</w:t>
            </w:r>
          </w:p>
        </w:tc>
        <w:tc>
          <w:tcPr>
            <w:tcW w:w="680" w:type="dxa"/>
            <w:vAlign w:val="bottom"/>
          </w:tcPr>
          <w:p>
            <w:pPr>
              <w:jc w:val="right"/>
              <w:spacing w:after="0"/>
              <w:rPr>
                <w:sz w:val="20"/>
                <w:szCs w:val="20"/>
                <w:color w:val="auto"/>
              </w:rPr>
            </w:pPr>
            <w:r>
              <w:rPr>
                <w:rFonts w:ascii="Arial" w:cs="Arial" w:eastAsia="Arial" w:hAnsi="Arial"/>
                <w:sz w:val="20"/>
                <w:szCs w:val="20"/>
                <w:color w:val="auto"/>
              </w:rPr>
              <w:t>190.6</w:t>
            </w: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31.6</w:t>
            </w:r>
          </w:p>
        </w:tc>
        <w:tc>
          <w:tcPr>
            <w:tcW w:w="500" w:type="dxa"/>
            <w:vAlign w:val="bottom"/>
            <w:gridSpan w:val="2"/>
          </w:tcPr>
          <w:p>
            <w:pPr>
              <w:jc w:val="right"/>
              <w:ind w:right="41"/>
              <w:spacing w:after="0"/>
              <w:rPr>
                <w:sz w:val="20"/>
                <w:szCs w:val="20"/>
                <w:color w:val="auto"/>
              </w:rPr>
            </w:pPr>
            <w:r>
              <w:rPr>
                <w:rFonts w:ascii="Arial" w:cs="Arial" w:eastAsia="Arial" w:hAnsi="Arial"/>
                <w:sz w:val="20"/>
                <w:szCs w:val="20"/>
                <w:color w:val="auto"/>
              </w:rPr>
              <w:t>$</w:t>
            </w:r>
          </w:p>
        </w:tc>
        <w:tc>
          <w:tcPr>
            <w:tcW w:w="1180" w:type="dxa"/>
            <w:vAlign w:val="bottom"/>
            <w:gridSpan w:val="2"/>
          </w:tcPr>
          <w:p>
            <w:pPr>
              <w:jc w:val="right"/>
              <w:spacing w:after="0"/>
              <w:rPr>
                <w:sz w:val="20"/>
                <w:szCs w:val="20"/>
                <w:color w:val="auto"/>
              </w:rPr>
            </w:pPr>
            <w:r>
              <w:rPr>
                <w:rFonts w:ascii="Arial" w:cs="Arial" w:eastAsia="Arial" w:hAnsi="Arial"/>
                <w:sz w:val="20"/>
                <w:szCs w:val="20"/>
                <w:color w:val="auto"/>
              </w:rPr>
              <w:t>200.2</w:t>
            </w: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32.6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shd w:val="clear" w:color="auto" w:fill="CFF0FC"/>
          </w:tcPr>
          <w:p>
            <w:pPr>
              <w:ind w:left="380"/>
              <w:spacing w:after="0"/>
              <w:rPr>
                <w:sz w:val="20"/>
                <w:szCs w:val="20"/>
                <w:color w:val="auto"/>
              </w:rPr>
            </w:pPr>
            <w:r>
              <w:rPr>
                <w:rFonts w:ascii="Arial" w:cs="Arial" w:eastAsia="Arial" w:hAnsi="Arial"/>
                <w:sz w:val="20"/>
                <w:szCs w:val="20"/>
                <w:color w:val="auto"/>
              </w:rPr>
              <w:t>Southeast Group</w:t>
            </w:r>
          </w:p>
        </w:tc>
        <w:tc>
          <w:tcPr>
            <w:tcW w:w="74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620"/>
              <w:spacing w:after="0"/>
              <w:rPr>
                <w:sz w:val="20"/>
                <w:szCs w:val="20"/>
                <w:color w:val="auto"/>
              </w:rPr>
            </w:pPr>
            <w:r>
              <w:rPr>
                <w:rFonts w:ascii="Arial" w:cs="Arial" w:eastAsia="Arial" w:hAnsi="Arial"/>
                <w:sz w:val="20"/>
                <w:szCs w:val="20"/>
                <w:color w:val="auto"/>
              </w:rPr>
              <w:t>Aggregates</w:t>
            </w:r>
          </w:p>
        </w:tc>
        <w:tc>
          <w:tcPr>
            <w:tcW w:w="7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rPr>
              <w:t>63.3</w:t>
            </w: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25.0</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gridSpan w:val="2"/>
          </w:tcPr>
          <w:p>
            <w:pPr>
              <w:jc w:val="right"/>
              <w:spacing w:after="0"/>
              <w:rPr>
                <w:sz w:val="20"/>
                <w:szCs w:val="20"/>
                <w:color w:val="auto"/>
              </w:rPr>
            </w:pPr>
            <w:r>
              <w:rPr>
                <w:rFonts w:ascii="Arial" w:cs="Arial" w:eastAsia="Arial" w:hAnsi="Arial"/>
                <w:sz w:val="20"/>
                <w:szCs w:val="20"/>
                <w:color w:val="auto"/>
              </w:rPr>
              <w:t>64.6</w:t>
            </w: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26.1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shd w:val="clear" w:color="auto" w:fill="CFF0FC"/>
          </w:tcPr>
          <w:p>
            <w:pPr>
              <w:ind w:left="380"/>
              <w:spacing w:after="0"/>
              <w:rPr>
                <w:sz w:val="20"/>
                <w:szCs w:val="20"/>
                <w:color w:val="auto"/>
              </w:rPr>
            </w:pPr>
            <w:r>
              <w:rPr>
                <w:rFonts w:ascii="Arial" w:cs="Arial" w:eastAsia="Arial" w:hAnsi="Arial"/>
                <w:sz w:val="20"/>
                <w:szCs w:val="20"/>
                <w:color w:val="auto"/>
              </w:rPr>
              <w:t>West Group</w:t>
            </w:r>
          </w:p>
        </w:tc>
        <w:tc>
          <w:tcPr>
            <w:tcW w:w="74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620"/>
              <w:spacing w:after="0"/>
              <w:rPr>
                <w:sz w:val="20"/>
                <w:szCs w:val="20"/>
                <w:color w:val="auto"/>
              </w:rPr>
            </w:pPr>
            <w:r>
              <w:rPr>
                <w:rFonts w:ascii="Arial" w:cs="Arial" w:eastAsia="Arial" w:hAnsi="Arial"/>
                <w:sz w:val="20"/>
                <w:szCs w:val="20"/>
                <w:color w:val="auto"/>
              </w:rPr>
              <w:t>Aggregates</w:t>
            </w:r>
          </w:p>
        </w:tc>
        <w:tc>
          <w:tcPr>
            <w:tcW w:w="7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rPr>
              <w:t>107.4</w:t>
            </w: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23.0</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gridSpan w:val="2"/>
          </w:tcPr>
          <w:p>
            <w:pPr>
              <w:jc w:val="right"/>
              <w:spacing w:after="0"/>
              <w:rPr>
                <w:sz w:val="20"/>
                <w:szCs w:val="20"/>
                <w:color w:val="auto"/>
              </w:rPr>
            </w:pPr>
            <w:r>
              <w:rPr>
                <w:rFonts w:ascii="Arial" w:cs="Arial" w:eastAsia="Arial" w:hAnsi="Arial"/>
                <w:sz w:val="20"/>
                <w:szCs w:val="20"/>
                <w:color w:val="auto"/>
              </w:rPr>
              <w:t>84.7</w:t>
            </w: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19.2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shd w:val="clear" w:color="auto" w:fill="CFF0FC"/>
          </w:tcPr>
          <w:p>
            <w:pPr>
              <w:ind w:left="620"/>
              <w:spacing w:after="0"/>
              <w:rPr>
                <w:sz w:val="20"/>
                <w:szCs w:val="20"/>
                <w:color w:val="auto"/>
              </w:rPr>
            </w:pPr>
            <w:r>
              <w:rPr>
                <w:rFonts w:ascii="Arial" w:cs="Arial" w:eastAsia="Arial" w:hAnsi="Arial"/>
                <w:sz w:val="20"/>
                <w:szCs w:val="20"/>
                <w:color w:val="auto"/>
              </w:rPr>
              <w:t>Cement</w:t>
            </w:r>
          </w:p>
        </w:tc>
        <w:tc>
          <w:tcPr>
            <w:tcW w:w="74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70.7</w:t>
            </w:r>
          </w:p>
        </w:tc>
        <w:tc>
          <w:tcPr>
            <w:tcW w:w="34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32.7</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56.0</w:t>
            </w:r>
          </w:p>
        </w:tc>
        <w:tc>
          <w:tcPr>
            <w:tcW w:w="34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26.5</w:t>
            </w: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620"/>
              <w:spacing w:after="0"/>
              <w:rPr>
                <w:sz w:val="20"/>
                <w:szCs w:val="20"/>
                <w:color w:val="auto"/>
              </w:rPr>
            </w:pPr>
            <w:r>
              <w:rPr>
                <w:rFonts w:ascii="Arial" w:cs="Arial" w:eastAsia="Arial" w:hAnsi="Arial"/>
                <w:sz w:val="20"/>
                <w:szCs w:val="20"/>
                <w:color w:val="auto"/>
              </w:rPr>
              <w:t>Ready mixed concrete</w:t>
            </w:r>
          </w:p>
        </w:tc>
        <w:tc>
          <w:tcPr>
            <w:tcW w:w="7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rPr>
              <w:t>32.0</w:t>
            </w: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7.4</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gridSpan w:val="2"/>
          </w:tcPr>
          <w:p>
            <w:pPr>
              <w:jc w:val="right"/>
              <w:spacing w:after="0"/>
              <w:rPr>
                <w:sz w:val="20"/>
                <w:szCs w:val="20"/>
                <w:color w:val="auto"/>
              </w:rPr>
            </w:pPr>
            <w:r>
              <w:rPr>
                <w:rFonts w:ascii="Arial" w:cs="Arial" w:eastAsia="Arial" w:hAnsi="Arial"/>
                <w:sz w:val="20"/>
                <w:szCs w:val="20"/>
                <w:color w:val="auto"/>
              </w:rPr>
              <w:t>33.5</w:t>
            </w: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7.4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shd w:val="clear" w:color="auto" w:fill="CFF0FC"/>
          </w:tcPr>
          <w:p>
            <w:pPr>
              <w:ind w:left="620"/>
              <w:spacing w:after="0"/>
              <w:rPr>
                <w:sz w:val="20"/>
                <w:szCs w:val="20"/>
                <w:color w:val="auto"/>
              </w:rPr>
            </w:pPr>
            <w:r>
              <w:rPr>
                <w:rFonts w:ascii="Arial" w:cs="Arial" w:eastAsia="Arial" w:hAnsi="Arial"/>
                <w:sz w:val="20"/>
                <w:szCs w:val="20"/>
                <w:color w:val="auto"/>
              </w:rPr>
              <w:t>Asphalt and paving</w:t>
            </w:r>
          </w:p>
        </w:tc>
        <w:tc>
          <w:tcPr>
            <w:tcW w:w="740" w:type="dxa"/>
            <w:vAlign w:val="bottom"/>
            <w:tcBorders>
              <w:bottom w:val="single" w:sz="8" w:color="auto"/>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13.8</w:t>
            </w:r>
          </w:p>
        </w:tc>
        <w:tc>
          <w:tcPr>
            <w:tcW w:w="34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11.0</w:t>
            </w:r>
          </w:p>
        </w:tc>
        <w:tc>
          <w:tcPr>
            <w:tcW w:w="260" w:type="dxa"/>
            <w:vAlign w:val="bottom"/>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20"/>
                <w:szCs w:val="20"/>
                <w:color w:val="auto"/>
              </w:rPr>
              <w:t>7.4</w:t>
            </w:r>
          </w:p>
        </w:tc>
        <w:tc>
          <w:tcPr>
            <w:tcW w:w="34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7.8</w:t>
            </w: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700" w:type="dxa"/>
            <w:vAlign w:val="bottom"/>
            <w:tcBorders>
              <w:bottom w:val="single" w:sz="8" w:color="CFF0FC"/>
            </w:tcBorders>
          </w:tcPr>
          <w:p>
            <w:pPr>
              <w:ind w:left="380"/>
              <w:spacing w:after="0"/>
              <w:rPr>
                <w:sz w:val="20"/>
                <w:szCs w:val="20"/>
                <w:color w:val="auto"/>
              </w:rPr>
            </w:pPr>
            <w:r>
              <w:rPr>
                <w:rFonts w:ascii="Arial" w:cs="Arial" w:eastAsia="Arial" w:hAnsi="Arial"/>
                <w:sz w:val="20"/>
                <w:szCs w:val="20"/>
                <w:color w:val="auto"/>
              </w:rPr>
              <w:t>West Group Total</w:t>
            </w:r>
          </w:p>
        </w:tc>
        <w:tc>
          <w:tcPr>
            <w:tcW w:w="7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223.9</w:t>
            </w:r>
          </w:p>
        </w:tc>
        <w:tc>
          <w:tcPr>
            <w:tcW w:w="340" w:type="dxa"/>
            <w:vAlign w:val="bottom"/>
            <w:tcBorders>
              <w:bottom w:val="single" w:sz="8" w:color="CFF0FC"/>
            </w:tcBorders>
          </w:tcPr>
          <w:p>
            <w:pPr>
              <w:spacing w:after="0"/>
              <w:rPr>
                <w:sz w:val="20"/>
                <w:szCs w:val="20"/>
                <w:color w:val="auto"/>
              </w:rPr>
            </w:pPr>
          </w:p>
        </w:tc>
        <w:tc>
          <w:tcPr>
            <w:tcW w:w="1320" w:type="dxa"/>
            <w:vAlign w:val="bottom"/>
            <w:tcBorders>
              <w:bottom w:val="single" w:sz="8" w:color="CFF0FC"/>
            </w:tcBorders>
          </w:tcPr>
          <w:p>
            <w:pPr>
              <w:jc w:val="right"/>
              <w:spacing w:after="0"/>
              <w:rPr>
                <w:sz w:val="20"/>
                <w:szCs w:val="20"/>
                <w:color w:val="auto"/>
              </w:rPr>
            </w:pPr>
            <w:r>
              <w:rPr>
                <w:rFonts w:ascii="Arial" w:cs="Arial" w:eastAsia="Arial" w:hAnsi="Arial"/>
                <w:sz w:val="20"/>
                <w:szCs w:val="20"/>
                <w:color w:val="auto"/>
              </w:rPr>
              <w:t>20.1</w:t>
            </w:r>
          </w:p>
        </w:tc>
        <w:tc>
          <w:tcPr>
            <w:tcW w:w="26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rPr>
              <w:t>181.6</w:t>
            </w:r>
          </w:p>
        </w:tc>
        <w:tc>
          <w:tcPr>
            <w:tcW w:w="340" w:type="dxa"/>
            <w:vAlign w:val="bottom"/>
            <w:tcBorders>
              <w:bottom w:val="single" w:sz="8" w:color="CFF0FC"/>
            </w:tcBorders>
          </w:tcPr>
          <w:p>
            <w:pPr>
              <w:spacing w:after="0"/>
              <w:rPr>
                <w:sz w:val="20"/>
                <w:szCs w:val="20"/>
                <w:color w:val="auto"/>
              </w:rPr>
            </w:pPr>
          </w:p>
        </w:tc>
        <w:tc>
          <w:tcPr>
            <w:tcW w:w="1320" w:type="dxa"/>
            <w:vAlign w:val="bottom"/>
            <w:tcBorders>
              <w:bottom w:val="single" w:sz="8" w:color="CFF0FC"/>
            </w:tcBorders>
          </w:tcPr>
          <w:p>
            <w:pPr>
              <w:jc w:val="right"/>
              <w:spacing w:after="0"/>
              <w:rPr>
                <w:sz w:val="20"/>
                <w:szCs w:val="20"/>
                <w:color w:val="auto"/>
              </w:rPr>
            </w:pPr>
            <w:r>
              <w:rPr>
                <w:rFonts w:ascii="Arial" w:cs="Arial" w:eastAsia="Arial" w:hAnsi="Arial"/>
                <w:sz w:val="20"/>
                <w:szCs w:val="20"/>
                <w:color w:val="auto"/>
              </w:rPr>
              <w:t>17.0</w:t>
            </w:r>
          </w:p>
        </w:tc>
        <w:tc>
          <w:tcPr>
            <w:tcW w:w="2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700" w:type="dxa"/>
            <w:vAlign w:val="bottom"/>
            <w:shd w:val="clear" w:color="auto" w:fill="CFF0FC"/>
          </w:tcPr>
          <w:p>
            <w:pPr>
              <w:ind w:left="140"/>
              <w:spacing w:after="0"/>
              <w:rPr>
                <w:sz w:val="20"/>
                <w:szCs w:val="20"/>
                <w:color w:val="auto"/>
              </w:rPr>
            </w:pPr>
            <w:r>
              <w:rPr>
                <w:rFonts w:ascii="Arial" w:cs="Arial" w:eastAsia="Arial" w:hAnsi="Arial"/>
                <w:sz w:val="20"/>
                <w:szCs w:val="20"/>
                <w:color w:val="auto"/>
              </w:rPr>
              <w:t>Products and services</w:t>
            </w:r>
          </w:p>
        </w:tc>
        <w:tc>
          <w:tcPr>
            <w:tcW w:w="74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477.8</w:t>
            </w:r>
          </w:p>
        </w:tc>
        <w:tc>
          <w:tcPr>
            <w:tcW w:w="34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24.2</w:t>
            </w: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446.4</w:t>
            </w:r>
          </w:p>
        </w:tc>
        <w:tc>
          <w:tcPr>
            <w:tcW w:w="34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23.1</w:t>
            </w: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140"/>
              <w:spacing w:after="0"/>
              <w:rPr>
                <w:sz w:val="20"/>
                <w:szCs w:val="20"/>
                <w:color w:val="auto"/>
              </w:rPr>
            </w:pPr>
            <w:r>
              <w:rPr>
                <w:rFonts w:ascii="Arial" w:cs="Arial" w:eastAsia="Arial" w:hAnsi="Arial"/>
                <w:sz w:val="20"/>
                <w:szCs w:val="20"/>
                <w:color w:val="auto"/>
              </w:rPr>
              <w:t>Freight</w:t>
            </w:r>
          </w:p>
        </w:tc>
        <w:tc>
          <w:tcPr>
            <w:tcW w:w="740" w:type="dxa"/>
            <w:vAlign w:val="bottom"/>
          </w:tcPr>
          <w:p>
            <w:pPr>
              <w:spacing w:after="0"/>
              <w:rPr>
                <w:sz w:val="21"/>
                <w:szCs w:val="21"/>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20"/>
                <w:szCs w:val="20"/>
                <w:color w:val="auto"/>
              </w:rPr>
              <w:t>(0.6)</w:t>
            </w:r>
          </w:p>
        </w:tc>
        <w:tc>
          <w:tcPr>
            <w:tcW w:w="1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gridSpan w:val="2"/>
          </w:tcPr>
          <w:p>
            <w:pPr>
              <w:jc w:val="right"/>
              <w:spacing w:after="0"/>
              <w:rPr>
                <w:sz w:val="20"/>
                <w:szCs w:val="20"/>
                <w:color w:val="auto"/>
              </w:rPr>
            </w:pPr>
            <w:r>
              <w:rPr>
                <w:rFonts w:ascii="Arial" w:cs="Arial" w:eastAsia="Arial" w:hAnsi="Arial"/>
                <w:sz w:val="20"/>
                <w:szCs w:val="20"/>
                <w:color w:val="auto"/>
              </w:rPr>
              <w:t>0.1</w:t>
            </w:r>
          </w:p>
        </w:tc>
        <w:tc>
          <w:tcPr>
            <w:tcW w:w="3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20"/>
                <w:szCs w:val="20"/>
                <w:color w:val="auto"/>
              </w:rPr>
              <w:t>Total Building Materials Business</w:t>
            </w:r>
          </w:p>
        </w:tc>
        <w:tc>
          <w:tcPr>
            <w:tcW w:w="740" w:type="dxa"/>
            <w:vAlign w:val="bottom"/>
            <w:tcBorders>
              <w:top w:val="single" w:sz="8" w:color="auto"/>
              <w:bottom w:val="single" w:sz="8" w:color="auto"/>
            </w:tcBorders>
            <w:shd w:val="clear" w:color="auto" w:fill="CFF0FC"/>
          </w:tcPr>
          <w:p>
            <w:pPr>
              <w:spacing w:after="0"/>
              <w:rPr>
                <w:sz w:val="20"/>
                <w:szCs w:val="20"/>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477.2</w:t>
            </w:r>
          </w:p>
        </w:tc>
        <w:tc>
          <w:tcPr>
            <w:tcW w:w="340" w:type="dxa"/>
            <w:vAlign w:val="bottom"/>
            <w:tcBorders>
              <w:top w:val="single" w:sz="8" w:color="CFF0FC"/>
            </w:tcBorders>
            <w:shd w:val="clear" w:color="auto" w:fill="CFF0FC"/>
          </w:tcPr>
          <w:p>
            <w:pPr>
              <w:spacing w:after="0"/>
              <w:rPr>
                <w:sz w:val="20"/>
                <w:szCs w:val="20"/>
                <w:color w:val="auto"/>
              </w:rPr>
            </w:pPr>
          </w:p>
        </w:tc>
        <w:tc>
          <w:tcPr>
            <w:tcW w:w="13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22.6</w:t>
            </w:r>
          </w:p>
        </w:tc>
        <w:tc>
          <w:tcPr>
            <w:tcW w:w="260" w:type="dxa"/>
            <w:vAlign w:val="bottom"/>
            <w:tcBorders>
              <w:top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11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20"/>
                <w:szCs w:val="20"/>
                <w:color w:val="auto"/>
              </w:rPr>
              <w:t>446.5</w:t>
            </w:r>
          </w:p>
        </w:tc>
        <w:tc>
          <w:tcPr>
            <w:tcW w:w="340" w:type="dxa"/>
            <w:vAlign w:val="bottom"/>
            <w:tcBorders>
              <w:top w:val="single" w:sz="8" w:color="CFF0FC"/>
            </w:tcBorders>
            <w:shd w:val="clear" w:color="auto" w:fill="CFF0FC"/>
          </w:tcPr>
          <w:p>
            <w:pPr>
              <w:spacing w:after="0"/>
              <w:rPr>
                <w:sz w:val="20"/>
                <w:szCs w:val="20"/>
                <w:color w:val="auto"/>
              </w:rPr>
            </w:pPr>
          </w:p>
        </w:tc>
        <w:tc>
          <w:tcPr>
            <w:tcW w:w="13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21.6</w:t>
            </w:r>
          </w:p>
        </w:tc>
        <w:tc>
          <w:tcPr>
            <w:tcW w:w="20" w:type="dxa"/>
            <w:vAlign w:val="bottom"/>
            <w:tcBorders>
              <w:top w:val="single" w:sz="8" w:color="CFF0FC"/>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700" w:type="dxa"/>
            <w:vAlign w:val="bottom"/>
          </w:tcPr>
          <w:p>
            <w:pPr>
              <w:spacing w:after="0"/>
              <w:rPr>
                <w:sz w:val="20"/>
                <w:szCs w:val="20"/>
                <w:color w:val="auto"/>
              </w:rPr>
            </w:pPr>
            <w:r>
              <w:rPr>
                <w:rFonts w:ascii="Arial" w:cs="Arial" w:eastAsia="Arial" w:hAnsi="Arial"/>
                <w:sz w:val="20"/>
                <w:szCs w:val="20"/>
                <w:color w:val="auto"/>
              </w:rPr>
              <w:t>Magnesia Specialties:</w:t>
            </w:r>
          </w:p>
        </w:tc>
        <w:tc>
          <w:tcPr>
            <w:tcW w:w="7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00" w:type="dxa"/>
            <w:vAlign w:val="bottom"/>
            <w:shd w:val="clear" w:color="auto" w:fill="CFF0FC"/>
          </w:tcPr>
          <w:p>
            <w:pPr>
              <w:ind w:left="140"/>
              <w:spacing w:after="0"/>
              <w:rPr>
                <w:sz w:val="20"/>
                <w:szCs w:val="20"/>
                <w:color w:val="auto"/>
              </w:rPr>
            </w:pPr>
            <w:r>
              <w:rPr>
                <w:rFonts w:ascii="Arial" w:cs="Arial" w:eastAsia="Arial" w:hAnsi="Arial"/>
                <w:sz w:val="20"/>
                <w:szCs w:val="20"/>
                <w:color w:val="auto"/>
              </w:rPr>
              <w:t>Products</w:t>
            </w:r>
          </w:p>
        </w:tc>
        <w:tc>
          <w:tcPr>
            <w:tcW w:w="74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44.3</w:t>
            </w:r>
          </w:p>
        </w:tc>
        <w:tc>
          <w:tcPr>
            <w:tcW w:w="34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40.7</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55.8</w:t>
            </w:r>
          </w:p>
        </w:tc>
        <w:tc>
          <w:tcPr>
            <w:tcW w:w="34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40.0</w:t>
            </w: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140"/>
              <w:spacing w:after="0"/>
              <w:rPr>
                <w:sz w:val="20"/>
                <w:szCs w:val="20"/>
                <w:color w:val="auto"/>
              </w:rPr>
            </w:pPr>
            <w:r>
              <w:rPr>
                <w:rFonts w:ascii="Arial" w:cs="Arial" w:eastAsia="Arial" w:hAnsi="Arial"/>
                <w:sz w:val="20"/>
                <w:szCs w:val="20"/>
                <w:color w:val="auto"/>
              </w:rPr>
              <w:t>Freight</w:t>
            </w:r>
          </w:p>
        </w:tc>
        <w:tc>
          <w:tcPr>
            <w:tcW w:w="740" w:type="dxa"/>
            <w:vAlign w:val="bottom"/>
          </w:tcPr>
          <w:p>
            <w:pPr>
              <w:spacing w:after="0"/>
              <w:rPr>
                <w:sz w:val="21"/>
                <w:szCs w:val="21"/>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20"/>
                <w:szCs w:val="20"/>
                <w:color w:val="auto"/>
              </w:rPr>
              <w:t>(2.2)</w:t>
            </w:r>
          </w:p>
        </w:tc>
        <w:tc>
          <w:tcPr>
            <w:tcW w:w="1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20" w:type="dxa"/>
            <w:vAlign w:val="bottom"/>
            <w:gridSpan w:val="3"/>
          </w:tcPr>
          <w:p>
            <w:pPr>
              <w:jc w:val="right"/>
              <w:ind w:right="280"/>
              <w:spacing w:after="0"/>
              <w:rPr>
                <w:sz w:val="20"/>
                <w:szCs w:val="20"/>
                <w:color w:val="auto"/>
              </w:rPr>
            </w:pPr>
            <w:r>
              <w:rPr>
                <w:rFonts w:ascii="Arial" w:cs="Arial" w:eastAsia="Arial" w:hAnsi="Arial"/>
                <w:sz w:val="20"/>
                <w:szCs w:val="20"/>
                <w:color w:val="auto"/>
              </w:rPr>
              <w:t>(2.2)</w:t>
            </w:r>
          </w:p>
        </w:tc>
        <w:tc>
          <w:tcPr>
            <w:tcW w:w="1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20"/>
                <w:szCs w:val="20"/>
                <w:color w:val="auto"/>
              </w:rPr>
              <w:t>Total Magnesia Specialties Business</w:t>
            </w:r>
          </w:p>
        </w:tc>
        <w:tc>
          <w:tcPr>
            <w:tcW w:w="740" w:type="dxa"/>
            <w:vAlign w:val="bottom"/>
            <w:tcBorders>
              <w:top w:val="single" w:sz="8" w:color="auto"/>
              <w:bottom w:val="single" w:sz="8" w:color="auto"/>
            </w:tcBorders>
            <w:shd w:val="clear" w:color="auto" w:fill="CFF0FC"/>
          </w:tcPr>
          <w:p>
            <w:pPr>
              <w:spacing w:after="0"/>
              <w:rPr>
                <w:sz w:val="20"/>
                <w:szCs w:val="20"/>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42.1</w:t>
            </w:r>
          </w:p>
        </w:tc>
        <w:tc>
          <w:tcPr>
            <w:tcW w:w="340" w:type="dxa"/>
            <w:vAlign w:val="bottom"/>
            <w:tcBorders>
              <w:top w:val="single" w:sz="8" w:color="CFF0FC"/>
            </w:tcBorders>
            <w:shd w:val="clear" w:color="auto" w:fill="CFF0FC"/>
          </w:tcPr>
          <w:p>
            <w:pPr>
              <w:spacing w:after="0"/>
              <w:rPr>
                <w:sz w:val="20"/>
                <w:szCs w:val="20"/>
                <w:color w:val="auto"/>
              </w:rPr>
            </w:pPr>
          </w:p>
        </w:tc>
        <w:tc>
          <w:tcPr>
            <w:tcW w:w="13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35.3</w:t>
            </w:r>
          </w:p>
        </w:tc>
        <w:tc>
          <w:tcPr>
            <w:tcW w:w="260" w:type="dxa"/>
            <w:vAlign w:val="bottom"/>
            <w:tcBorders>
              <w:top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11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20"/>
                <w:szCs w:val="20"/>
                <w:color w:val="auto"/>
              </w:rPr>
              <w:t>53.6</w:t>
            </w:r>
          </w:p>
        </w:tc>
        <w:tc>
          <w:tcPr>
            <w:tcW w:w="340" w:type="dxa"/>
            <w:vAlign w:val="bottom"/>
            <w:tcBorders>
              <w:top w:val="single" w:sz="8" w:color="CFF0FC"/>
            </w:tcBorders>
            <w:shd w:val="clear" w:color="auto" w:fill="CFF0FC"/>
          </w:tcPr>
          <w:p>
            <w:pPr>
              <w:spacing w:after="0"/>
              <w:rPr>
                <w:sz w:val="20"/>
                <w:szCs w:val="20"/>
                <w:color w:val="auto"/>
              </w:rPr>
            </w:pPr>
          </w:p>
        </w:tc>
        <w:tc>
          <w:tcPr>
            <w:tcW w:w="13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35.6</w:t>
            </w:r>
          </w:p>
        </w:tc>
        <w:tc>
          <w:tcPr>
            <w:tcW w:w="20" w:type="dxa"/>
            <w:vAlign w:val="bottom"/>
            <w:tcBorders>
              <w:top w:val="single" w:sz="8" w:color="CFF0FC"/>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700" w:type="dxa"/>
            <w:vAlign w:val="bottom"/>
            <w:tcBorders>
              <w:bottom w:val="single" w:sz="8" w:color="CFF0FC"/>
            </w:tcBorders>
          </w:tcPr>
          <w:p>
            <w:pPr>
              <w:spacing w:after="0"/>
              <w:rPr>
                <w:sz w:val="20"/>
                <w:szCs w:val="20"/>
                <w:color w:val="auto"/>
              </w:rPr>
            </w:pPr>
            <w:r>
              <w:rPr>
                <w:rFonts w:ascii="Arial" w:cs="Arial" w:eastAsia="Arial" w:hAnsi="Arial"/>
                <w:sz w:val="20"/>
                <w:szCs w:val="20"/>
                <w:color w:val="auto"/>
              </w:rPr>
              <w:t>Corporate</w:t>
            </w:r>
          </w:p>
        </w:tc>
        <w:tc>
          <w:tcPr>
            <w:tcW w:w="7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3.6</w:t>
            </w:r>
          </w:p>
        </w:tc>
        <w:tc>
          <w:tcPr>
            <w:tcW w:w="340" w:type="dxa"/>
            <w:vAlign w:val="bottom"/>
            <w:tcBorders>
              <w:bottom w:val="single" w:sz="8" w:color="CFF0FC"/>
            </w:tcBorders>
          </w:tcPr>
          <w:p>
            <w:pPr>
              <w:spacing w:after="0"/>
              <w:rPr>
                <w:sz w:val="20"/>
                <w:szCs w:val="20"/>
                <w:color w:val="auto"/>
              </w:rPr>
            </w:pPr>
          </w:p>
        </w:tc>
        <w:tc>
          <w:tcPr>
            <w:tcW w:w="1320" w:type="dxa"/>
            <w:vAlign w:val="bottom"/>
            <w:tcBorders>
              <w:bottom w:val="single" w:sz="8" w:color="CFF0FC"/>
            </w:tcBorders>
          </w:tcPr>
          <w:p>
            <w:pPr>
              <w:spacing w:after="0"/>
              <w:rPr>
                <w:sz w:val="20"/>
                <w:szCs w:val="20"/>
                <w:color w:val="auto"/>
              </w:rPr>
            </w:pPr>
          </w:p>
        </w:tc>
        <w:tc>
          <w:tcPr>
            <w:tcW w:w="26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rPr>
              <w:t>(0.3)</w:t>
            </w:r>
          </w:p>
        </w:tc>
        <w:tc>
          <w:tcPr>
            <w:tcW w:w="340" w:type="dxa"/>
            <w:vAlign w:val="bottom"/>
            <w:tcBorders>
              <w:bottom w:val="single" w:sz="8" w:color="CFF0FC"/>
            </w:tcBorders>
          </w:tcPr>
          <w:p>
            <w:pPr>
              <w:spacing w:after="0"/>
              <w:rPr>
                <w:sz w:val="20"/>
                <w:szCs w:val="20"/>
                <w:color w:val="auto"/>
              </w:rPr>
            </w:pPr>
          </w:p>
        </w:tc>
        <w:tc>
          <w:tcPr>
            <w:tcW w:w="132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7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Total</w:t>
            </w:r>
          </w:p>
        </w:tc>
        <w:tc>
          <w:tcPr>
            <w:tcW w:w="740" w:type="dxa"/>
            <w:vAlign w:val="bottom"/>
            <w:tcBorders>
              <w:bottom w:val="single" w:sz="8" w:color="auto"/>
            </w:tcBorders>
            <w:shd w:val="clear" w:color="auto" w:fill="CFF0FC"/>
          </w:tcPr>
          <w:p>
            <w:pPr>
              <w:jc w:val="right"/>
              <w:ind w:right="541"/>
              <w:spacing w:after="0"/>
              <w:rPr>
                <w:sz w:val="20"/>
                <w:szCs w:val="20"/>
                <w:color w:val="auto"/>
              </w:rPr>
            </w:pPr>
            <w:r>
              <w:rPr>
                <w:rFonts w:ascii="Arial" w:cs="Arial" w:eastAsia="Arial" w:hAnsi="Arial"/>
                <w:sz w:val="20"/>
                <w:szCs w:val="20"/>
                <w:color w:val="auto"/>
                <w:w w:val="71"/>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522.9</w:t>
            </w:r>
          </w:p>
        </w:tc>
        <w:tc>
          <w:tcPr>
            <w:tcW w:w="340" w:type="dxa"/>
            <w:vAlign w:val="bottom"/>
            <w:tcBorders>
              <w:bottom w:val="single" w:sz="8" w:color="CFF0FC"/>
            </w:tcBorders>
            <w:shd w:val="clear" w:color="auto" w:fill="CFF0FC"/>
          </w:tcPr>
          <w:p>
            <w:pPr>
              <w:spacing w:after="0"/>
              <w:rPr>
                <w:sz w:val="20"/>
                <w:szCs w:val="20"/>
                <w:color w:val="auto"/>
              </w:rPr>
            </w:pPr>
          </w:p>
        </w:tc>
        <w:tc>
          <w:tcPr>
            <w:tcW w:w="1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23.5</w:t>
            </w:r>
          </w:p>
        </w:tc>
        <w:tc>
          <w:tcPr>
            <w:tcW w:w="26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20"/>
                <w:szCs w:val="20"/>
                <w:color w:val="auto"/>
                <w:w w:val="71"/>
              </w:rPr>
              <w:t>$</w:t>
            </w:r>
          </w:p>
        </w:tc>
        <w:tc>
          <w:tcPr>
            <w:tcW w:w="11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20"/>
                <w:szCs w:val="20"/>
                <w:color w:val="auto"/>
              </w:rPr>
              <w:t>499.8</w:t>
            </w:r>
          </w:p>
        </w:tc>
        <w:tc>
          <w:tcPr>
            <w:tcW w:w="340" w:type="dxa"/>
            <w:vAlign w:val="bottom"/>
            <w:tcBorders>
              <w:bottom w:val="single" w:sz="8" w:color="CFF0FC"/>
            </w:tcBorders>
            <w:shd w:val="clear" w:color="auto" w:fill="CFF0FC"/>
          </w:tcPr>
          <w:p>
            <w:pPr>
              <w:spacing w:after="0"/>
              <w:rPr>
                <w:sz w:val="20"/>
                <w:szCs w:val="20"/>
                <w:color w:val="auto"/>
              </w:rPr>
            </w:pPr>
          </w:p>
        </w:tc>
        <w:tc>
          <w:tcPr>
            <w:tcW w:w="1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22.5</w:t>
            </w:r>
          </w:p>
        </w:tc>
        <w:tc>
          <w:tcPr>
            <w:tcW w:w="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rPr>
                <w:sz w:val="20"/>
                <w:szCs w:val="20"/>
                <w:color w:val="auto"/>
              </w:rPr>
            </w:pPr>
            <w:r>
              <w:rPr>
                <w:rFonts w:ascii="Arial" w:cs="Arial" w:eastAsia="Arial" w:hAnsi="Arial"/>
                <w:sz w:val="20"/>
                <w:szCs w:val="20"/>
                <w:i w:val="1"/>
                <w:iCs w:val="1"/>
                <w:color w:val="auto"/>
              </w:rPr>
              <w:t>Aggregates Products Gross Profit Rollforward</w:t>
            </w:r>
          </w:p>
        </w:tc>
        <w:tc>
          <w:tcPr>
            <w:tcW w:w="7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0"/>
        </w:trPr>
        <w:tc>
          <w:tcPr>
            <w:tcW w:w="470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7780" w:type="dxa"/>
            <w:vAlign w:val="bottom"/>
            <w:gridSpan w:val="5"/>
          </w:tcPr>
          <w:p>
            <w:pPr>
              <w:spacing w:after="0"/>
              <w:rPr>
                <w:sz w:val="20"/>
                <w:szCs w:val="20"/>
                <w:color w:val="auto"/>
              </w:rPr>
            </w:pPr>
            <w:r>
              <w:rPr>
                <w:rFonts w:ascii="Arial" w:cs="Arial" w:eastAsia="Arial" w:hAnsi="Arial"/>
                <w:sz w:val="20"/>
                <w:szCs w:val="20"/>
                <w:color w:val="auto"/>
                <w:w w:val="96"/>
              </w:rPr>
              <w:t>The following presents a rollforward of aggregates products gross profit (dollars in millions):</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5440" w:type="dxa"/>
            <w:vAlign w:val="bottom"/>
            <w:tcBorders>
              <w:bottom w:val="single" w:sz="8" w:color="CFF0FC"/>
            </w:tcBorders>
            <w:gridSpan w:val="2"/>
          </w:tcPr>
          <w:p>
            <w:pPr>
              <w:spacing w:after="0"/>
              <w:rPr>
                <w:sz w:val="20"/>
                <w:szCs w:val="20"/>
                <w:color w:val="auto"/>
              </w:rPr>
            </w:pPr>
            <w:r>
              <w:rPr>
                <w:rFonts w:ascii="Arial" w:cs="Arial" w:eastAsia="Arial" w:hAnsi="Arial"/>
                <w:sz w:val="20"/>
                <w:szCs w:val="20"/>
                <w:color w:val="auto"/>
                <w:w w:val="91"/>
              </w:rPr>
              <w:t>Aggregates products gross profit, six months ended June 30, 2019</w:t>
            </w:r>
          </w:p>
        </w:tc>
        <w:tc>
          <w:tcPr>
            <w:tcW w:w="680" w:type="dxa"/>
            <w:vAlign w:val="bottom"/>
            <w:tcBorders>
              <w:bottom w:val="single" w:sz="8" w:color="CFF0FC"/>
            </w:tcBorders>
          </w:tcPr>
          <w:p>
            <w:pPr>
              <w:spacing w:after="0"/>
              <w:rPr>
                <w:sz w:val="24"/>
                <w:szCs w:val="24"/>
                <w:color w:val="auto"/>
              </w:rPr>
            </w:pPr>
          </w:p>
        </w:tc>
        <w:tc>
          <w:tcPr>
            <w:tcW w:w="340" w:type="dxa"/>
            <w:vAlign w:val="bottom"/>
            <w:tcBorders>
              <w:bottom w:val="single" w:sz="8" w:color="CFF0FC"/>
            </w:tcBorders>
          </w:tcPr>
          <w:p>
            <w:pPr>
              <w:spacing w:after="0"/>
              <w:rPr>
                <w:sz w:val="24"/>
                <w:szCs w:val="24"/>
                <w:color w:val="auto"/>
              </w:rPr>
            </w:pPr>
          </w:p>
        </w:tc>
        <w:tc>
          <w:tcPr>
            <w:tcW w:w="1320" w:type="dxa"/>
            <w:vAlign w:val="bottom"/>
            <w:tcBorders>
              <w:bottom w:val="single" w:sz="8" w:color="CFF0FC"/>
            </w:tcBorders>
          </w:tcPr>
          <w:p>
            <w:pPr>
              <w:spacing w:after="0"/>
              <w:rPr>
                <w:sz w:val="24"/>
                <w:szCs w:val="24"/>
                <w:color w:val="auto"/>
              </w:rPr>
            </w:pPr>
          </w:p>
        </w:tc>
        <w:tc>
          <w:tcPr>
            <w:tcW w:w="260" w:type="dxa"/>
            <w:vAlign w:val="bottom"/>
            <w:tcBorders>
              <w:bottom w:val="single" w:sz="8" w:color="CFF0FC"/>
            </w:tcBorders>
          </w:tcPr>
          <w:p>
            <w:pPr>
              <w:spacing w:after="0"/>
              <w:rPr>
                <w:sz w:val="24"/>
                <w:szCs w:val="24"/>
                <w:color w:val="auto"/>
              </w:rPr>
            </w:pPr>
          </w:p>
        </w:tc>
        <w:tc>
          <w:tcPr>
            <w:tcW w:w="240" w:type="dxa"/>
            <w:vAlign w:val="bottom"/>
            <w:tcBorders>
              <w:bottom w:val="single" w:sz="8" w:color="CFF0FC"/>
            </w:tcBorders>
          </w:tcPr>
          <w:p>
            <w:pPr>
              <w:spacing w:after="0"/>
              <w:rPr>
                <w:sz w:val="24"/>
                <w:szCs w:val="24"/>
                <w:color w:val="auto"/>
              </w:rPr>
            </w:pPr>
          </w:p>
        </w:tc>
        <w:tc>
          <w:tcPr>
            <w:tcW w:w="840" w:type="dxa"/>
            <w:vAlign w:val="bottom"/>
            <w:tcBorders>
              <w:bottom w:val="single" w:sz="8" w:color="CFF0FC"/>
            </w:tcBorders>
          </w:tcPr>
          <w:p>
            <w:pPr>
              <w:spacing w:after="0"/>
              <w:rPr>
                <w:sz w:val="24"/>
                <w:szCs w:val="24"/>
                <w:color w:val="auto"/>
              </w:rPr>
            </w:pPr>
          </w:p>
        </w:tc>
        <w:tc>
          <w:tcPr>
            <w:tcW w:w="340" w:type="dxa"/>
            <w:vAlign w:val="bottom"/>
            <w:tcBorders>
              <w:bottom w:val="single" w:sz="8" w:color="auto"/>
            </w:tcBorders>
          </w:tcPr>
          <w:p>
            <w:pPr>
              <w:jc w:val="right"/>
              <w:ind w:right="141"/>
              <w:spacing w:after="0"/>
              <w:rPr>
                <w:sz w:val="20"/>
                <w:szCs w:val="20"/>
                <w:color w:val="auto"/>
              </w:rPr>
            </w:pPr>
            <w:r>
              <w:rPr>
                <w:rFonts w:ascii="Arial" w:cs="Arial" w:eastAsia="Arial" w:hAnsi="Arial"/>
                <w:sz w:val="20"/>
                <w:szCs w:val="20"/>
                <w:color w:val="auto"/>
                <w:w w:val="71"/>
              </w:rPr>
              <w:t>$</w:t>
            </w:r>
          </w:p>
        </w:tc>
        <w:tc>
          <w:tcPr>
            <w:tcW w:w="3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20"/>
                <w:szCs w:val="20"/>
                <w:color w:val="auto"/>
              </w:rPr>
              <w:t>349.5</w:t>
            </w:r>
          </w:p>
        </w:tc>
        <w:tc>
          <w:tcPr>
            <w:tcW w:w="100" w:type="dxa"/>
            <w:vAlign w:val="bottom"/>
            <w:tcBorders>
              <w:bottom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4700" w:type="dxa"/>
            <w:vAlign w:val="bottom"/>
            <w:shd w:val="clear" w:color="auto" w:fill="CFF0FC"/>
          </w:tcPr>
          <w:p>
            <w:pPr>
              <w:ind w:left="260"/>
              <w:spacing w:after="0"/>
              <w:rPr>
                <w:sz w:val="20"/>
                <w:szCs w:val="20"/>
                <w:color w:val="auto"/>
              </w:rPr>
            </w:pPr>
            <w:r>
              <w:rPr>
                <w:rFonts w:ascii="Arial" w:cs="Arial" w:eastAsia="Arial" w:hAnsi="Arial"/>
                <w:sz w:val="20"/>
                <w:szCs w:val="20"/>
                <w:color w:val="auto"/>
              </w:rPr>
              <w:t>Volume</w:t>
            </w:r>
          </w:p>
        </w:tc>
        <w:tc>
          <w:tcPr>
            <w:tcW w:w="74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440" w:type="dxa"/>
            <w:vAlign w:val="bottom"/>
            <w:gridSpan w:val="3"/>
            <w:shd w:val="clear" w:color="auto" w:fill="CFF0FC"/>
          </w:tcPr>
          <w:p>
            <w:pPr>
              <w:jc w:val="right"/>
              <w:ind w:right="40"/>
              <w:spacing w:after="0"/>
              <w:rPr>
                <w:sz w:val="20"/>
                <w:szCs w:val="20"/>
                <w:color w:val="auto"/>
              </w:rPr>
            </w:pPr>
            <w:r>
              <w:rPr>
                <w:rFonts w:ascii="Arial" w:cs="Arial" w:eastAsia="Arial" w:hAnsi="Arial"/>
                <w:sz w:val="20"/>
                <w:szCs w:val="20"/>
                <w:color w:val="auto"/>
              </w:rPr>
              <w:t>(12.1)</w:t>
            </w:r>
          </w:p>
        </w:tc>
        <w:tc>
          <w:tcPr>
            <w:tcW w:w="0" w:type="dxa"/>
            <w:vAlign w:val="bottom"/>
          </w:tcPr>
          <w:p>
            <w:pPr>
              <w:spacing w:after="0"/>
              <w:rPr>
                <w:sz w:val="1"/>
                <w:szCs w:val="1"/>
                <w:color w:val="auto"/>
              </w:rPr>
            </w:pPr>
          </w:p>
        </w:tc>
      </w:tr>
      <w:tr>
        <w:trPr>
          <w:trHeight w:val="243"/>
        </w:trPr>
        <w:tc>
          <w:tcPr>
            <w:tcW w:w="4700" w:type="dxa"/>
            <w:vAlign w:val="bottom"/>
          </w:tcPr>
          <w:p>
            <w:pPr>
              <w:ind w:left="260"/>
              <w:spacing w:after="0"/>
              <w:rPr>
                <w:sz w:val="20"/>
                <w:szCs w:val="20"/>
                <w:color w:val="auto"/>
              </w:rPr>
            </w:pPr>
            <w:r>
              <w:rPr>
                <w:rFonts w:ascii="Arial" w:cs="Arial" w:eastAsia="Arial" w:hAnsi="Arial"/>
                <w:sz w:val="20"/>
                <w:szCs w:val="20"/>
                <w:color w:val="auto"/>
              </w:rPr>
              <w:t>Pricing</w:t>
            </w: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20"/>
                <w:szCs w:val="20"/>
                <w:color w:val="auto"/>
              </w:rPr>
              <w:t>38.9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shd w:val="clear" w:color="auto" w:fill="CFF0FC"/>
          </w:tcPr>
          <w:p>
            <w:pPr>
              <w:ind w:left="260"/>
              <w:spacing w:after="0"/>
              <w:rPr>
                <w:sz w:val="20"/>
                <w:szCs w:val="20"/>
                <w:color w:val="auto"/>
              </w:rPr>
            </w:pPr>
            <w:r>
              <w:rPr>
                <w:rFonts w:ascii="Arial" w:cs="Arial" w:eastAsia="Arial" w:hAnsi="Arial"/>
                <w:sz w:val="20"/>
                <w:szCs w:val="20"/>
                <w:color w:val="auto"/>
              </w:rPr>
              <w:t xml:space="preserve">Operational performance </w:t>
            </w:r>
            <w:r>
              <w:rPr>
                <w:rFonts w:ascii="Arial" w:cs="Arial" w:eastAsia="Arial" w:hAnsi="Arial"/>
                <w:sz w:val="16"/>
                <w:szCs w:val="16"/>
                <w:color w:val="auto"/>
              </w:rPr>
              <w:t>(1)</w:t>
            </w:r>
          </w:p>
        </w:tc>
        <w:tc>
          <w:tcPr>
            <w:tcW w:w="74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440" w:type="dxa"/>
            <w:vAlign w:val="bottom"/>
            <w:gridSpan w:val="3"/>
            <w:shd w:val="clear" w:color="auto" w:fill="CFF0FC"/>
          </w:tcPr>
          <w:p>
            <w:pPr>
              <w:jc w:val="right"/>
              <w:ind w:right="40"/>
              <w:spacing w:after="0"/>
              <w:rPr>
                <w:sz w:val="20"/>
                <w:szCs w:val="20"/>
                <w:color w:val="auto"/>
              </w:rPr>
            </w:pPr>
            <w:r>
              <w:rPr>
                <w:rFonts w:ascii="Arial" w:cs="Arial" w:eastAsia="Arial" w:hAnsi="Arial"/>
                <w:sz w:val="20"/>
                <w:szCs w:val="20"/>
                <w:color w:val="auto"/>
              </w:rPr>
              <w:t>(15.0)</w:t>
            </w:r>
          </w:p>
        </w:tc>
        <w:tc>
          <w:tcPr>
            <w:tcW w:w="0" w:type="dxa"/>
            <w:vAlign w:val="bottom"/>
          </w:tcPr>
          <w:p>
            <w:pPr>
              <w:spacing w:after="0"/>
              <w:rPr>
                <w:sz w:val="1"/>
                <w:szCs w:val="1"/>
                <w:color w:val="auto"/>
              </w:rPr>
            </w:pPr>
          </w:p>
        </w:tc>
      </w:tr>
      <w:tr>
        <w:trPr>
          <w:trHeight w:val="236"/>
        </w:trPr>
        <w:tc>
          <w:tcPr>
            <w:tcW w:w="4700" w:type="dxa"/>
            <w:vAlign w:val="bottom"/>
            <w:tcBorders>
              <w:bottom w:val="single" w:sz="8" w:color="CFF0FC"/>
            </w:tcBorders>
          </w:tcPr>
          <w:p>
            <w:pPr>
              <w:spacing w:after="0"/>
              <w:rPr>
                <w:sz w:val="20"/>
                <w:szCs w:val="20"/>
                <w:color w:val="auto"/>
              </w:rPr>
            </w:pPr>
            <w:r>
              <w:rPr>
                <w:rFonts w:ascii="Arial" w:cs="Arial" w:eastAsia="Arial" w:hAnsi="Arial"/>
                <w:sz w:val="20"/>
                <w:szCs w:val="20"/>
                <w:color w:val="auto"/>
              </w:rPr>
              <w:t>Change in aggregates products gross profit</w:t>
            </w:r>
          </w:p>
        </w:tc>
        <w:tc>
          <w:tcPr>
            <w:tcW w:w="740" w:type="dxa"/>
            <w:vAlign w:val="bottom"/>
            <w:tcBorders>
              <w:bottom w:val="single" w:sz="8" w:color="CFF0FC"/>
            </w:tcBorders>
          </w:tcPr>
          <w:p>
            <w:pPr>
              <w:spacing w:after="0"/>
              <w:rPr>
                <w:sz w:val="20"/>
                <w:szCs w:val="20"/>
                <w:color w:val="auto"/>
              </w:rPr>
            </w:pPr>
          </w:p>
        </w:tc>
        <w:tc>
          <w:tcPr>
            <w:tcW w:w="680" w:type="dxa"/>
            <w:vAlign w:val="bottom"/>
            <w:tcBorders>
              <w:bottom w:val="single" w:sz="8" w:color="CFF0FC"/>
            </w:tcBorders>
          </w:tcPr>
          <w:p>
            <w:pPr>
              <w:spacing w:after="0"/>
              <w:rPr>
                <w:sz w:val="20"/>
                <w:szCs w:val="20"/>
                <w:color w:val="auto"/>
              </w:rPr>
            </w:pPr>
          </w:p>
        </w:tc>
        <w:tc>
          <w:tcPr>
            <w:tcW w:w="340" w:type="dxa"/>
            <w:vAlign w:val="bottom"/>
            <w:tcBorders>
              <w:bottom w:val="single" w:sz="8" w:color="CFF0FC"/>
            </w:tcBorders>
          </w:tcPr>
          <w:p>
            <w:pPr>
              <w:spacing w:after="0"/>
              <w:rPr>
                <w:sz w:val="20"/>
                <w:szCs w:val="20"/>
                <w:color w:val="auto"/>
              </w:rPr>
            </w:pPr>
          </w:p>
        </w:tc>
        <w:tc>
          <w:tcPr>
            <w:tcW w:w="1320" w:type="dxa"/>
            <w:vAlign w:val="bottom"/>
            <w:tcBorders>
              <w:bottom w:val="single" w:sz="8" w:color="CFF0FC"/>
            </w:tcBorders>
          </w:tcPr>
          <w:p>
            <w:pPr>
              <w:spacing w:after="0"/>
              <w:rPr>
                <w:sz w:val="20"/>
                <w:szCs w:val="20"/>
                <w:color w:val="auto"/>
              </w:rPr>
            </w:pPr>
          </w:p>
        </w:tc>
        <w:tc>
          <w:tcPr>
            <w:tcW w:w="260" w:type="dxa"/>
            <w:vAlign w:val="bottom"/>
            <w:tcBorders>
              <w:bottom w:val="single" w:sz="8" w:color="CFF0FC"/>
            </w:tcBorders>
          </w:tcPr>
          <w:p>
            <w:pPr>
              <w:spacing w:after="0"/>
              <w:rPr>
                <w:sz w:val="20"/>
                <w:szCs w:val="20"/>
                <w:color w:val="auto"/>
              </w:rPr>
            </w:pPr>
          </w:p>
        </w:tc>
        <w:tc>
          <w:tcPr>
            <w:tcW w:w="240" w:type="dxa"/>
            <w:vAlign w:val="bottom"/>
            <w:tcBorders>
              <w:bottom w:val="single" w:sz="8" w:color="CFF0FC"/>
            </w:tcBorders>
          </w:tcPr>
          <w:p>
            <w:pPr>
              <w:spacing w:after="0"/>
              <w:rPr>
                <w:sz w:val="20"/>
                <w:szCs w:val="20"/>
                <w:color w:val="auto"/>
              </w:rPr>
            </w:pPr>
          </w:p>
        </w:tc>
        <w:tc>
          <w:tcPr>
            <w:tcW w:w="840" w:type="dxa"/>
            <w:vAlign w:val="bottom"/>
            <w:tcBorders>
              <w:bottom w:val="single" w:sz="8" w:color="CFF0FC"/>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20"/>
                <w:szCs w:val="20"/>
                <w:color w:val="auto"/>
              </w:rPr>
              <w:t>11.8</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44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20"/>
                <w:szCs w:val="20"/>
                <w:color w:val="auto"/>
                <w:w w:val="91"/>
              </w:rPr>
              <w:t>Aggregates products gross profit, six months ended June 30, 2020</w:t>
            </w:r>
          </w:p>
        </w:tc>
        <w:tc>
          <w:tcPr>
            <w:tcW w:w="68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CFF0FC"/>
            </w:tcBorders>
            <w:shd w:val="clear" w:color="auto" w:fill="CFF0FC"/>
          </w:tcPr>
          <w:p>
            <w:pPr>
              <w:spacing w:after="0"/>
              <w:rPr>
                <w:sz w:val="20"/>
                <w:szCs w:val="20"/>
                <w:color w:val="auto"/>
              </w:rPr>
            </w:pPr>
          </w:p>
        </w:tc>
        <w:tc>
          <w:tcPr>
            <w:tcW w:w="132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84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jc w:val="right"/>
              <w:ind w:right="141"/>
              <w:spacing w:after="0"/>
              <w:rPr>
                <w:sz w:val="20"/>
                <w:szCs w:val="20"/>
                <w:color w:val="auto"/>
              </w:rPr>
            </w:pPr>
            <w:r>
              <w:rPr>
                <w:rFonts w:ascii="Arial" w:cs="Arial" w:eastAsia="Arial" w:hAnsi="Arial"/>
                <w:sz w:val="20"/>
                <w:szCs w:val="20"/>
                <w:color w:val="auto"/>
                <w:w w:val="71"/>
              </w:rPr>
              <w:t>$</w:t>
            </w:r>
          </w:p>
        </w:tc>
        <w:tc>
          <w:tcPr>
            <w:tcW w:w="340" w:type="dxa"/>
            <w:vAlign w:val="bottom"/>
            <w:tcBorders>
              <w:bottom w:val="single" w:sz="8" w:color="auto"/>
            </w:tcBorders>
            <w:shd w:val="clear" w:color="auto" w:fill="CFF0FC"/>
          </w:tcPr>
          <w:p>
            <w:pPr>
              <w:spacing w:after="0"/>
              <w:rPr>
                <w:sz w:val="20"/>
                <w:szCs w:val="20"/>
                <w:color w:val="auto"/>
              </w:rPr>
            </w:pPr>
          </w:p>
        </w:tc>
        <w:tc>
          <w:tcPr>
            <w:tcW w:w="134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361.3</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 w:lineRule="exact"/>
        <w:rPr>
          <w:sz w:val="20"/>
          <w:szCs w:val="20"/>
          <w:color w:val="auto"/>
        </w:rPr>
      </w:pPr>
    </w:p>
    <w:p>
      <w:pPr>
        <w:ind w:left="5080" w:right="3440" w:hanging="5072"/>
        <w:spacing w:after="0" w:line="776" w:lineRule="auto"/>
        <w:tabs>
          <w:tab w:leader="none" w:pos="256" w:val="left"/>
        </w:tabs>
        <w:numPr>
          <w:ilvl w:val="0"/>
          <w:numId w:val="15"/>
        </w:numPr>
        <w:rPr>
          <w:rFonts w:ascii="Arial" w:cs="Arial" w:eastAsia="Arial" w:hAnsi="Arial"/>
          <w:sz w:val="16"/>
          <w:szCs w:val="16"/>
          <w:i w:val="1"/>
          <w:iCs w:val="1"/>
          <w:color w:val="auto"/>
        </w:rPr>
      </w:pPr>
      <w:r>
        <w:rPr>
          <w:rFonts w:ascii="Arial" w:cs="Arial" w:eastAsia="Arial" w:hAnsi="Arial"/>
          <w:sz w:val="19"/>
          <w:szCs w:val="19"/>
          <w:i w:val="1"/>
          <w:iCs w:val="1"/>
          <w:color w:val="auto"/>
        </w:rPr>
        <w:t xml:space="preserve">Inclusive of cost increases/decreases, product and geographic mix and other operating impacts </w:t>
      </w:r>
      <w:r>
        <w:rPr>
          <w:rFonts w:ascii="Arial" w:cs="Arial" w:eastAsia="Arial" w:hAnsi="Arial"/>
          <w:sz w:val="19"/>
          <w:szCs w:val="19"/>
          <w:color w:val="auto"/>
        </w:rPr>
        <w:t>Page 35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June 30, 2020</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Second Quarter Ended June 30, 2020</w:t>
      </w:r>
    </w:p>
    <w:p>
      <w:pPr>
        <w:jc w:val="center"/>
        <w:spacing w:after="0"/>
        <w:rPr>
          <w:sz w:val="20"/>
          <w:szCs w:val="20"/>
          <w:color w:val="auto"/>
        </w:rPr>
      </w:pPr>
      <w:r>
        <w:rPr>
          <w:rFonts w:ascii="Arial" w:cs="Arial" w:eastAsia="Arial" w:hAnsi="Arial"/>
          <w:sz w:val="20"/>
          <w:szCs w:val="20"/>
          <w:color w:val="auto"/>
        </w:rPr>
        <w:t>(Continued)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7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2460" w:type="dxa"/>
            <w:vAlign w:val="bottom"/>
            <w:tcBorders>
              <w:bottom w:val="single" w:sz="8" w:color="auto"/>
            </w:tcBorders>
            <w:gridSpan w:val="3"/>
          </w:tcPr>
          <w:p>
            <w:pPr>
              <w:jc w:val="right"/>
              <w:spacing w:after="0"/>
              <w:rPr>
                <w:sz w:val="20"/>
                <w:szCs w:val="20"/>
                <w:color w:val="auto"/>
              </w:rPr>
            </w:pPr>
            <w:r>
              <w:rPr>
                <w:rFonts w:ascii="Arial" w:cs="Arial" w:eastAsia="Arial" w:hAnsi="Arial"/>
                <w:sz w:val="20"/>
                <w:szCs w:val="20"/>
                <w:color w:val="auto"/>
                <w:w w:val="99"/>
              </w:rPr>
              <w:t>Six Months Ended June 30,</w:t>
            </w:r>
          </w:p>
        </w:tc>
        <w:tc>
          <w:tcPr>
            <w:tcW w:w="46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r>
      <w:tr>
        <w:trPr>
          <w:trHeight w:val="237"/>
        </w:trPr>
        <w:tc>
          <w:tcPr>
            <w:tcW w:w="47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20"/>
                <w:szCs w:val="20"/>
                <w:color w:val="auto"/>
              </w:rPr>
              <w:t>2020</w:t>
            </w:r>
          </w:p>
        </w:tc>
        <w:tc>
          <w:tcPr>
            <w:tcW w:w="12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20"/>
                <w:szCs w:val="20"/>
                <w:color w:val="auto"/>
              </w:rPr>
              <w:t>2019</w:t>
            </w:r>
          </w:p>
        </w:tc>
        <w:tc>
          <w:tcPr>
            <w:tcW w:w="12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0"/>
        </w:trPr>
        <w:tc>
          <w:tcPr>
            <w:tcW w:w="4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40" w:type="dxa"/>
            <w:vAlign w:val="bottom"/>
          </w:tcPr>
          <w:p>
            <w:pPr>
              <w:jc w:val="right"/>
              <w:ind w:right="181"/>
              <w:spacing w:after="0" w:line="220" w:lineRule="exact"/>
              <w:rPr>
                <w:sz w:val="20"/>
                <w:szCs w:val="20"/>
                <w:color w:val="auto"/>
              </w:rPr>
            </w:pPr>
            <w:r>
              <w:rPr>
                <w:rFonts w:ascii="Arial" w:cs="Arial" w:eastAsia="Arial" w:hAnsi="Arial"/>
                <w:sz w:val="20"/>
                <w:szCs w:val="20"/>
                <w:color w:val="auto"/>
              </w:rPr>
              <w:t>% of Total</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40" w:type="dxa"/>
            <w:vAlign w:val="bottom"/>
          </w:tcPr>
          <w:p>
            <w:pPr>
              <w:jc w:val="center"/>
              <w:ind w:right="81"/>
              <w:spacing w:after="0" w:line="220" w:lineRule="exact"/>
              <w:rPr>
                <w:sz w:val="20"/>
                <w:szCs w:val="20"/>
                <w:color w:val="auto"/>
              </w:rPr>
            </w:pPr>
            <w:r>
              <w:rPr>
                <w:rFonts w:ascii="Arial" w:cs="Arial" w:eastAsia="Arial" w:hAnsi="Arial"/>
                <w:sz w:val="20"/>
                <w:szCs w:val="20"/>
                <w:color w:val="auto"/>
                <w:w w:val="91"/>
              </w:rPr>
              <w:t>% of Total</w:t>
            </w:r>
          </w:p>
        </w:tc>
        <w:tc>
          <w:tcPr>
            <w:tcW w:w="120" w:type="dxa"/>
            <w:vAlign w:val="bottom"/>
          </w:tcPr>
          <w:p>
            <w:pPr>
              <w:spacing w:after="0"/>
              <w:rPr>
                <w:sz w:val="19"/>
                <w:szCs w:val="19"/>
                <w:color w:val="auto"/>
              </w:rPr>
            </w:pPr>
          </w:p>
        </w:tc>
      </w:tr>
      <w:tr>
        <w:trPr>
          <w:trHeight w:val="246"/>
        </w:trPr>
        <w:tc>
          <w:tcPr>
            <w:tcW w:w="4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0" w:type="dxa"/>
            <w:vAlign w:val="bottom"/>
            <w:gridSpan w:val="2"/>
          </w:tcPr>
          <w:p>
            <w:pPr>
              <w:jc w:val="right"/>
              <w:ind w:right="800"/>
              <w:spacing w:after="0"/>
              <w:rPr>
                <w:sz w:val="20"/>
                <w:szCs w:val="20"/>
                <w:color w:val="auto"/>
              </w:rPr>
            </w:pPr>
            <w:r>
              <w:rPr>
                <w:rFonts w:ascii="Arial" w:cs="Arial" w:eastAsia="Arial" w:hAnsi="Arial"/>
                <w:sz w:val="20"/>
                <w:szCs w:val="20"/>
                <w:color w:val="auto"/>
              </w:rPr>
              <w:t>Amount</w:t>
            </w:r>
          </w:p>
        </w:tc>
        <w:tc>
          <w:tcPr>
            <w:tcW w:w="1240" w:type="dxa"/>
            <w:vAlign w:val="bottom"/>
          </w:tcPr>
          <w:p>
            <w:pPr>
              <w:jc w:val="right"/>
              <w:ind w:right="221"/>
              <w:spacing w:after="0"/>
              <w:rPr>
                <w:sz w:val="20"/>
                <w:szCs w:val="20"/>
                <w:color w:val="auto"/>
              </w:rPr>
            </w:pPr>
            <w:r>
              <w:rPr>
                <w:rFonts w:ascii="Arial" w:cs="Arial" w:eastAsia="Arial" w:hAnsi="Arial"/>
                <w:sz w:val="20"/>
                <w:szCs w:val="20"/>
                <w:color w:val="auto"/>
                <w:w w:val="99"/>
              </w:rPr>
              <w:t>Revenues</w:t>
            </w:r>
          </w:p>
        </w:tc>
        <w:tc>
          <w:tcPr>
            <w:tcW w:w="260" w:type="dxa"/>
            <w:vAlign w:val="bottom"/>
          </w:tcPr>
          <w:p>
            <w:pPr>
              <w:spacing w:after="0"/>
              <w:rPr>
                <w:sz w:val="21"/>
                <w:szCs w:val="21"/>
                <w:color w:val="auto"/>
              </w:rPr>
            </w:pPr>
          </w:p>
        </w:tc>
        <w:tc>
          <w:tcPr>
            <w:tcW w:w="1840" w:type="dxa"/>
            <w:vAlign w:val="bottom"/>
            <w:gridSpan w:val="3"/>
          </w:tcPr>
          <w:p>
            <w:pPr>
              <w:jc w:val="right"/>
              <w:ind w:right="820"/>
              <w:spacing w:after="0"/>
              <w:rPr>
                <w:sz w:val="20"/>
                <w:szCs w:val="20"/>
                <w:color w:val="auto"/>
              </w:rPr>
            </w:pPr>
            <w:r>
              <w:rPr>
                <w:rFonts w:ascii="Arial" w:cs="Arial" w:eastAsia="Arial" w:hAnsi="Arial"/>
                <w:sz w:val="20"/>
                <w:szCs w:val="20"/>
                <w:color w:val="auto"/>
              </w:rPr>
              <w:t>Amount</w:t>
            </w:r>
          </w:p>
        </w:tc>
        <w:tc>
          <w:tcPr>
            <w:tcW w:w="1360" w:type="dxa"/>
            <w:vAlign w:val="bottom"/>
            <w:gridSpan w:val="2"/>
          </w:tcPr>
          <w:p>
            <w:pPr>
              <w:jc w:val="center"/>
              <w:ind w:right="300"/>
              <w:spacing w:after="0"/>
              <w:rPr>
                <w:sz w:val="20"/>
                <w:szCs w:val="20"/>
                <w:color w:val="auto"/>
              </w:rPr>
            </w:pPr>
            <w:r>
              <w:rPr>
                <w:rFonts w:ascii="Arial" w:cs="Arial" w:eastAsia="Arial" w:hAnsi="Arial"/>
                <w:sz w:val="20"/>
                <w:szCs w:val="20"/>
                <w:color w:val="auto"/>
                <w:w w:val="86"/>
              </w:rPr>
              <w:t>Revenues</w:t>
            </w:r>
          </w:p>
        </w:tc>
      </w:tr>
      <w:tr>
        <w:trPr>
          <w:trHeight w:val="237"/>
        </w:trPr>
        <w:tc>
          <w:tcPr>
            <w:tcW w:w="47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2460" w:type="dxa"/>
            <w:vAlign w:val="bottom"/>
            <w:tcBorders>
              <w:top w:val="single" w:sz="8" w:color="auto"/>
            </w:tcBorders>
            <w:gridSpan w:val="3"/>
          </w:tcPr>
          <w:p>
            <w:pPr>
              <w:jc w:val="right"/>
              <w:ind w:right="161"/>
              <w:spacing w:after="0"/>
              <w:rPr>
                <w:sz w:val="20"/>
                <w:szCs w:val="20"/>
                <w:color w:val="auto"/>
              </w:rPr>
            </w:pPr>
            <w:r>
              <w:rPr>
                <w:rFonts w:ascii="Arial" w:cs="Arial" w:eastAsia="Arial" w:hAnsi="Arial"/>
                <w:sz w:val="20"/>
                <w:szCs w:val="20"/>
                <w:i w:val="1"/>
                <w:iCs w:val="1"/>
                <w:color w:val="auto"/>
              </w:rPr>
              <w:t>(Dollars in Millions)</w:t>
            </w:r>
          </w:p>
        </w:tc>
        <w:tc>
          <w:tcPr>
            <w:tcW w:w="46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43"/>
        </w:trPr>
        <w:tc>
          <w:tcPr>
            <w:tcW w:w="4700" w:type="dxa"/>
            <w:vAlign w:val="bottom"/>
            <w:shd w:val="clear" w:color="auto" w:fill="CFF0FC"/>
          </w:tcPr>
          <w:p>
            <w:pPr>
              <w:spacing w:after="0"/>
              <w:rPr>
                <w:sz w:val="20"/>
                <w:szCs w:val="20"/>
                <w:color w:val="auto"/>
              </w:rPr>
            </w:pPr>
            <w:r>
              <w:rPr>
                <w:rFonts w:ascii="Arial" w:cs="Arial" w:eastAsia="Arial" w:hAnsi="Arial"/>
                <w:sz w:val="20"/>
                <w:szCs w:val="20"/>
                <w:b w:val="1"/>
                <w:bCs w:val="1"/>
                <w:color w:val="auto"/>
              </w:rPr>
              <w:t>Selling, general &amp; administrative expenses:</w:t>
            </w:r>
          </w:p>
        </w:tc>
        <w:tc>
          <w:tcPr>
            <w:tcW w:w="24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243"/>
        </w:trPr>
        <w:tc>
          <w:tcPr>
            <w:tcW w:w="4700" w:type="dxa"/>
            <w:vAlign w:val="bottom"/>
          </w:tcPr>
          <w:p>
            <w:pPr>
              <w:spacing w:after="0"/>
              <w:rPr>
                <w:sz w:val="20"/>
                <w:szCs w:val="20"/>
                <w:color w:val="auto"/>
              </w:rPr>
            </w:pPr>
            <w:r>
              <w:rPr>
                <w:rFonts w:ascii="Arial" w:cs="Arial" w:eastAsia="Arial" w:hAnsi="Arial"/>
                <w:sz w:val="20"/>
                <w:szCs w:val="20"/>
                <w:color w:val="auto"/>
              </w:rPr>
              <w:t>Building Materials Business:</w:t>
            </w: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3"/>
        </w:trPr>
        <w:tc>
          <w:tcPr>
            <w:tcW w:w="4700" w:type="dxa"/>
            <w:vAlign w:val="bottom"/>
            <w:shd w:val="clear" w:color="auto" w:fill="CFF0FC"/>
          </w:tcPr>
          <w:p>
            <w:pPr>
              <w:ind w:left="260"/>
              <w:spacing w:after="0"/>
              <w:rPr>
                <w:sz w:val="20"/>
                <w:szCs w:val="20"/>
                <w:color w:val="auto"/>
              </w:rPr>
            </w:pPr>
            <w:r>
              <w:rPr>
                <w:rFonts w:ascii="Arial" w:cs="Arial" w:eastAsia="Arial" w:hAnsi="Arial"/>
                <w:sz w:val="20"/>
                <w:szCs w:val="20"/>
                <w:color w:val="auto"/>
              </w:rPr>
              <w:t>Mid-America Group</w:t>
            </w:r>
          </w:p>
        </w:tc>
        <w:tc>
          <w:tcPr>
            <w:tcW w:w="2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35.4</w:t>
            </w:r>
          </w:p>
        </w:tc>
        <w:tc>
          <w:tcPr>
            <w:tcW w:w="42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761"/>
              <w:spacing w:after="0"/>
              <w:rPr>
                <w:sz w:val="20"/>
                <w:szCs w:val="20"/>
                <w:color w:val="auto"/>
              </w:rPr>
            </w:pPr>
            <w:r>
              <w:rPr>
                <w:rFonts w:ascii="Arial" w:cs="Arial" w:eastAsia="Arial" w:hAnsi="Arial"/>
                <w:sz w:val="20"/>
                <w:szCs w:val="20"/>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31.1</w:t>
            </w:r>
          </w:p>
        </w:tc>
        <w:tc>
          <w:tcPr>
            <w:tcW w:w="42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243"/>
        </w:trPr>
        <w:tc>
          <w:tcPr>
            <w:tcW w:w="4700" w:type="dxa"/>
            <w:vAlign w:val="bottom"/>
          </w:tcPr>
          <w:p>
            <w:pPr>
              <w:ind w:left="260"/>
              <w:spacing w:after="0"/>
              <w:rPr>
                <w:sz w:val="20"/>
                <w:szCs w:val="20"/>
                <w:color w:val="auto"/>
              </w:rPr>
            </w:pPr>
            <w:r>
              <w:rPr>
                <w:rFonts w:ascii="Arial" w:cs="Arial" w:eastAsia="Arial" w:hAnsi="Arial"/>
                <w:sz w:val="20"/>
                <w:szCs w:val="20"/>
                <w:color w:val="auto"/>
              </w:rPr>
              <w:t>Southeast Group</w:t>
            </w: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13.8</w:t>
            </w:r>
          </w:p>
        </w:tc>
        <w:tc>
          <w:tcPr>
            <w:tcW w:w="4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20"/>
                <w:szCs w:val="20"/>
                <w:color w:val="auto"/>
              </w:rPr>
              <w:t>10.8</w:t>
            </w:r>
          </w:p>
        </w:tc>
        <w:tc>
          <w:tcPr>
            <w:tcW w:w="4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3"/>
        </w:trPr>
        <w:tc>
          <w:tcPr>
            <w:tcW w:w="4700" w:type="dxa"/>
            <w:vAlign w:val="bottom"/>
            <w:shd w:val="clear" w:color="auto" w:fill="CFF0FC"/>
          </w:tcPr>
          <w:p>
            <w:pPr>
              <w:ind w:left="260"/>
              <w:spacing w:after="0"/>
              <w:rPr>
                <w:sz w:val="20"/>
                <w:szCs w:val="20"/>
                <w:color w:val="auto"/>
              </w:rPr>
            </w:pPr>
            <w:r>
              <w:rPr>
                <w:rFonts w:ascii="Arial" w:cs="Arial" w:eastAsia="Arial" w:hAnsi="Arial"/>
                <w:sz w:val="20"/>
                <w:szCs w:val="20"/>
                <w:color w:val="auto"/>
              </w:rPr>
              <w:t>West Group</w:t>
            </w:r>
          </w:p>
        </w:tc>
        <w:tc>
          <w:tcPr>
            <w:tcW w:w="24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66.0</w:t>
            </w:r>
          </w:p>
        </w:tc>
        <w:tc>
          <w:tcPr>
            <w:tcW w:w="42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57.0</w:t>
            </w:r>
          </w:p>
        </w:tc>
        <w:tc>
          <w:tcPr>
            <w:tcW w:w="42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237"/>
        </w:trPr>
        <w:tc>
          <w:tcPr>
            <w:tcW w:w="4700" w:type="dxa"/>
            <w:vAlign w:val="bottom"/>
          </w:tcPr>
          <w:p>
            <w:pPr>
              <w:spacing w:after="0"/>
              <w:rPr>
                <w:sz w:val="20"/>
                <w:szCs w:val="20"/>
                <w:color w:val="auto"/>
              </w:rPr>
            </w:pPr>
            <w:r>
              <w:rPr>
                <w:rFonts w:ascii="Arial" w:cs="Arial" w:eastAsia="Arial" w:hAnsi="Arial"/>
                <w:sz w:val="20"/>
                <w:szCs w:val="20"/>
                <w:color w:val="auto"/>
              </w:rPr>
              <w:t>Total Building Materials Business</w:t>
            </w:r>
          </w:p>
        </w:tc>
        <w:tc>
          <w:tcPr>
            <w:tcW w:w="2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115.2</w:t>
            </w:r>
          </w:p>
        </w:tc>
        <w:tc>
          <w:tcPr>
            <w:tcW w:w="4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20"/>
                <w:szCs w:val="20"/>
                <w:color w:val="auto"/>
              </w:rPr>
              <w:t>98.9</w:t>
            </w:r>
          </w:p>
        </w:tc>
        <w:tc>
          <w:tcPr>
            <w:tcW w:w="4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3"/>
        </w:trPr>
        <w:tc>
          <w:tcPr>
            <w:tcW w:w="4700" w:type="dxa"/>
            <w:vAlign w:val="bottom"/>
            <w:shd w:val="clear" w:color="auto" w:fill="CFF0FC"/>
          </w:tcPr>
          <w:p>
            <w:pPr>
              <w:spacing w:after="0"/>
              <w:rPr>
                <w:sz w:val="20"/>
                <w:szCs w:val="20"/>
                <w:color w:val="auto"/>
              </w:rPr>
            </w:pPr>
            <w:r>
              <w:rPr>
                <w:rFonts w:ascii="Arial" w:cs="Arial" w:eastAsia="Arial" w:hAnsi="Arial"/>
                <w:sz w:val="20"/>
                <w:szCs w:val="20"/>
                <w:color w:val="auto"/>
              </w:rPr>
              <w:t>Magnesia Specialties</w:t>
            </w:r>
          </w:p>
        </w:tc>
        <w:tc>
          <w:tcPr>
            <w:tcW w:w="24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6.9</w:t>
            </w:r>
          </w:p>
        </w:tc>
        <w:tc>
          <w:tcPr>
            <w:tcW w:w="42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5.7</w:t>
            </w:r>
          </w:p>
        </w:tc>
        <w:tc>
          <w:tcPr>
            <w:tcW w:w="42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243"/>
        </w:trPr>
        <w:tc>
          <w:tcPr>
            <w:tcW w:w="4700" w:type="dxa"/>
            <w:vAlign w:val="bottom"/>
            <w:tcBorders>
              <w:bottom w:val="single" w:sz="8" w:color="CFF0FC"/>
            </w:tcBorders>
          </w:tcPr>
          <w:p>
            <w:pPr>
              <w:spacing w:after="0"/>
              <w:rPr>
                <w:sz w:val="20"/>
                <w:szCs w:val="20"/>
                <w:color w:val="auto"/>
              </w:rPr>
            </w:pPr>
            <w:r>
              <w:rPr>
                <w:rFonts w:ascii="Arial" w:cs="Arial" w:eastAsia="Arial" w:hAnsi="Arial"/>
                <w:sz w:val="20"/>
                <w:szCs w:val="20"/>
                <w:color w:val="auto"/>
              </w:rPr>
              <w:t>Corporate</w:t>
            </w:r>
          </w:p>
        </w:tc>
        <w:tc>
          <w:tcPr>
            <w:tcW w:w="2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27.8</w:t>
            </w:r>
          </w:p>
        </w:tc>
        <w:tc>
          <w:tcPr>
            <w:tcW w:w="420" w:type="dxa"/>
            <w:vAlign w:val="bottom"/>
            <w:tcBorders>
              <w:bottom w:val="single" w:sz="8" w:color="CFF0FC"/>
            </w:tcBorders>
          </w:tcPr>
          <w:p>
            <w:pPr>
              <w:spacing w:after="0"/>
              <w:rPr>
                <w:sz w:val="21"/>
                <w:szCs w:val="21"/>
                <w:color w:val="auto"/>
              </w:rPr>
            </w:pPr>
          </w:p>
        </w:tc>
        <w:tc>
          <w:tcPr>
            <w:tcW w:w="1240" w:type="dxa"/>
            <w:vAlign w:val="bottom"/>
            <w:tcBorders>
              <w:bottom w:val="single" w:sz="8" w:color="CFF0FC"/>
            </w:tcBorders>
          </w:tcPr>
          <w:p>
            <w:pPr>
              <w:spacing w:after="0"/>
              <w:rPr>
                <w:sz w:val="21"/>
                <w:szCs w:val="21"/>
                <w:color w:val="auto"/>
              </w:rPr>
            </w:pPr>
          </w:p>
        </w:tc>
        <w:tc>
          <w:tcPr>
            <w:tcW w:w="260" w:type="dxa"/>
            <w:vAlign w:val="bottom"/>
            <w:tcBorders>
              <w:bottom w:val="single" w:sz="8" w:color="CFF0FC"/>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46.1</w:t>
            </w:r>
          </w:p>
        </w:tc>
        <w:tc>
          <w:tcPr>
            <w:tcW w:w="420" w:type="dxa"/>
            <w:vAlign w:val="bottom"/>
            <w:tcBorders>
              <w:bottom w:val="single" w:sz="8" w:color="CFF0FC"/>
            </w:tcBorders>
          </w:tcPr>
          <w:p>
            <w:pPr>
              <w:spacing w:after="0"/>
              <w:rPr>
                <w:sz w:val="21"/>
                <w:szCs w:val="21"/>
                <w:color w:val="auto"/>
              </w:rPr>
            </w:pPr>
          </w:p>
        </w:tc>
        <w:tc>
          <w:tcPr>
            <w:tcW w:w="1240" w:type="dxa"/>
            <w:vAlign w:val="bottom"/>
            <w:tcBorders>
              <w:bottom w:val="single" w:sz="8" w:color="CFF0FC"/>
            </w:tcBorders>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r>
      <w:tr>
        <w:trPr>
          <w:trHeight w:val="237"/>
        </w:trPr>
        <w:tc>
          <w:tcPr>
            <w:tcW w:w="47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Total</w:t>
            </w:r>
          </w:p>
        </w:tc>
        <w:tc>
          <w:tcPr>
            <w:tcW w:w="24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20"/>
                <w:szCs w:val="20"/>
                <w:color w:val="auto"/>
                <w:w w:val="71"/>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149.9</w:t>
            </w:r>
          </w:p>
        </w:tc>
        <w:tc>
          <w:tcPr>
            <w:tcW w:w="420" w:type="dxa"/>
            <w:vAlign w:val="bottom"/>
            <w:tcBorders>
              <w:bottom w:val="single" w:sz="8" w:color="CFF0FC"/>
            </w:tcBorders>
            <w:shd w:val="clear" w:color="auto" w:fill="CFF0FC"/>
          </w:tcPr>
          <w:p>
            <w:pPr>
              <w:spacing w:after="0"/>
              <w:rPr>
                <w:sz w:val="20"/>
                <w:szCs w:val="20"/>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6.7</w:t>
            </w:r>
          </w:p>
        </w:tc>
        <w:tc>
          <w:tcPr>
            <w:tcW w:w="260" w:type="dxa"/>
            <w:vAlign w:val="bottom"/>
            <w:tcBorders>
              <w:bottom w:val="single" w:sz="8" w:color="CFF0FC"/>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ind w:right="761"/>
              <w:spacing w:after="0"/>
              <w:rPr>
                <w:sz w:val="20"/>
                <w:szCs w:val="20"/>
                <w:color w:val="auto"/>
              </w:rPr>
            </w:pPr>
            <w:r>
              <w:rPr>
                <w:rFonts w:ascii="Arial" w:cs="Arial" w:eastAsia="Arial" w:hAnsi="Arial"/>
                <w:sz w:val="20"/>
                <w:szCs w:val="20"/>
                <w:color w:val="auto"/>
                <w:w w:val="71"/>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83"/>
              </w:rPr>
              <w:t>150.7</w:t>
            </w:r>
          </w:p>
        </w:tc>
        <w:tc>
          <w:tcPr>
            <w:tcW w:w="420" w:type="dxa"/>
            <w:vAlign w:val="bottom"/>
            <w:tcBorders>
              <w:bottom w:val="single" w:sz="8" w:color="CFF0FC"/>
            </w:tcBorders>
            <w:shd w:val="clear" w:color="auto" w:fill="CFF0FC"/>
          </w:tcPr>
          <w:p>
            <w:pPr>
              <w:spacing w:after="0"/>
              <w:rPr>
                <w:sz w:val="20"/>
                <w:szCs w:val="20"/>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6.8</w:t>
            </w:r>
          </w:p>
        </w:tc>
        <w:tc>
          <w:tcPr>
            <w:tcW w:w="120" w:type="dxa"/>
            <w:vAlign w:val="bottom"/>
            <w:tcBorders>
              <w:bottom w:val="single" w:sz="8" w:color="CFF0FC"/>
            </w:tcBorders>
            <w:shd w:val="clear" w:color="auto" w:fill="CFF0FC"/>
          </w:tcPr>
          <w:p>
            <w:pPr>
              <w:spacing w:after="0"/>
              <w:rPr>
                <w:sz w:val="20"/>
                <w:szCs w:val="20"/>
                <w:color w:val="auto"/>
              </w:rPr>
            </w:pPr>
          </w:p>
        </w:tc>
      </w:tr>
      <w:tr>
        <w:trPr>
          <w:trHeight w:val="20"/>
        </w:trPr>
        <w:tc>
          <w:tcPr>
            <w:tcW w:w="4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3"/>
        </w:trPr>
        <w:tc>
          <w:tcPr>
            <w:tcW w:w="4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43"/>
        </w:trPr>
        <w:tc>
          <w:tcPr>
            <w:tcW w:w="4700" w:type="dxa"/>
            <w:vAlign w:val="bottom"/>
            <w:shd w:val="clear" w:color="auto" w:fill="CFF0FC"/>
          </w:tcPr>
          <w:p>
            <w:pPr>
              <w:spacing w:after="0"/>
              <w:rPr>
                <w:sz w:val="20"/>
                <w:szCs w:val="20"/>
                <w:color w:val="auto"/>
              </w:rPr>
            </w:pPr>
            <w:r>
              <w:rPr>
                <w:rFonts w:ascii="Arial" w:cs="Arial" w:eastAsia="Arial" w:hAnsi="Arial"/>
                <w:sz w:val="20"/>
                <w:szCs w:val="20"/>
                <w:b w:val="1"/>
                <w:bCs w:val="1"/>
                <w:color w:val="auto"/>
              </w:rPr>
              <w:t>Earnings (Loss) from operations:</w:t>
            </w:r>
          </w:p>
        </w:tc>
        <w:tc>
          <w:tcPr>
            <w:tcW w:w="24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243"/>
        </w:trPr>
        <w:tc>
          <w:tcPr>
            <w:tcW w:w="4700" w:type="dxa"/>
            <w:vAlign w:val="bottom"/>
          </w:tcPr>
          <w:p>
            <w:pPr>
              <w:spacing w:after="0"/>
              <w:rPr>
                <w:sz w:val="20"/>
                <w:szCs w:val="20"/>
                <w:color w:val="auto"/>
              </w:rPr>
            </w:pPr>
            <w:r>
              <w:rPr>
                <w:rFonts w:ascii="Arial" w:cs="Arial" w:eastAsia="Arial" w:hAnsi="Arial"/>
                <w:sz w:val="20"/>
                <w:szCs w:val="20"/>
                <w:color w:val="auto"/>
              </w:rPr>
              <w:t>Building Materials Business:</w:t>
            </w: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3"/>
        </w:trPr>
        <w:tc>
          <w:tcPr>
            <w:tcW w:w="4700" w:type="dxa"/>
            <w:vAlign w:val="bottom"/>
            <w:shd w:val="clear" w:color="auto" w:fill="CFF0FC"/>
          </w:tcPr>
          <w:p>
            <w:pPr>
              <w:ind w:left="260"/>
              <w:spacing w:after="0"/>
              <w:rPr>
                <w:sz w:val="20"/>
                <w:szCs w:val="20"/>
                <w:color w:val="auto"/>
              </w:rPr>
            </w:pPr>
            <w:r>
              <w:rPr>
                <w:rFonts w:ascii="Arial" w:cs="Arial" w:eastAsia="Arial" w:hAnsi="Arial"/>
                <w:sz w:val="20"/>
                <w:szCs w:val="20"/>
                <w:color w:val="auto"/>
              </w:rPr>
              <w:t>Mid-America Group</w:t>
            </w:r>
          </w:p>
        </w:tc>
        <w:tc>
          <w:tcPr>
            <w:tcW w:w="2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157.0</w:t>
            </w:r>
          </w:p>
        </w:tc>
        <w:tc>
          <w:tcPr>
            <w:tcW w:w="42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761"/>
              <w:spacing w:after="0"/>
              <w:rPr>
                <w:sz w:val="20"/>
                <w:szCs w:val="20"/>
                <w:color w:val="auto"/>
              </w:rPr>
            </w:pPr>
            <w:r>
              <w:rPr>
                <w:rFonts w:ascii="Arial" w:cs="Arial" w:eastAsia="Arial" w:hAnsi="Arial"/>
                <w:sz w:val="20"/>
                <w:szCs w:val="20"/>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3"/>
              </w:rPr>
              <w:t>171.9</w:t>
            </w:r>
          </w:p>
        </w:tc>
        <w:tc>
          <w:tcPr>
            <w:tcW w:w="42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243"/>
        </w:trPr>
        <w:tc>
          <w:tcPr>
            <w:tcW w:w="4700" w:type="dxa"/>
            <w:vAlign w:val="bottom"/>
          </w:tcPr>
          <w:p>
            <w:pPr>
              <w:ind w:left="260"/>
              <w:spacing w:after="0"/>
              <w:rPr>
                <w:sz w:val="20"/>
                <w:szCs w:val="20"/>
                <w:color w:val="auto"/>
              </w:rPr>
            </w:pPr>
            <w:r>
              <w:rPr>
                <w:rFonts w:ascii="Arial" w:cs="Arial" w:eastAsia="Arial" w:hAnsi="Arial"/>
                <w:sz w:val="20"/>
                <w:szCs w:val="20"/>
                <w:color w:val="auto"/>
              </w:rPr>
              <w:t>Southeast Group</w:t>
            </w: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47.7</w:t>
            </w:r>
          </w:p>
        </w:tc>
        <w:tc>
          <w:tcPr>
            <w:tcW w:w="4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20"/>
                <w:szCs w:val="20"/>
                <w:color w:val="auto"/>
              </w:rPr>
              <w:t>53.8</w:t>
            </w:r>
          </w:p>
        </w:tc>
        <w:tc>
          <w:tcPr>
            <w:tcW w:w="4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3"/>
        </w:trPr>
        <w:tc>
          <w:tcPr>
            <w:tcW w:w="4700" w:type="dxa"/>
            <w:vAlign w:val="bottom"/>
            <w:shd w:val="clear" w:color="auto" w:fill="CFF0FC"/>
          </w:tcPr>
          <w:p>
            <w:pPr>
              <w:ind w:left="260"/>
              <w:spacing w:after="0"/>
              <w:rPr>
                <w:sz w:val="20"/>
                <w:szCs w:val="20"/>
                <w:color w:val="auto"/>
              </w:rPr>
            </w:pPr>
            <w:r>
              <w:rPr>
                <w:rFonts w:ascii="Arial" w:cs="Arial" w:eastAsia="Arial" w:hAnsi="Arial"/>
                <w:sz w:val="20"/>
                <w:szCs w:val="20"/>
                <w:color w:val="auto"/>
              </w:rPr>
              <w:t>West Group</w:t>
            </w:r>
          </w:p>
        </w:tc>
        <w:tc>
          <w:tcPr>
            <w:tcW w:w="24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155.9</w:t>
            </w:r>
          </w:p>
        </w:tc>
        <w:tc>
          <w:tcPr>
            <w:tcW w:w="42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83"/>
              </w:rPr>
              <w:t>130.9</w:t>
            </w:r>
          </w:p>
        </w:tc>
        <w:tc>
          <w:tcPr>
            <w:tcW w:w="42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237"/>
        </w:trPr>
        <w:tc>
          <w:tcPr>
            <w:tcW w:w="4700" w:type="dxa"/>
            <w:vAlign w:val="bottom"/>
          </w:tcPr>
          <w:p>
            <w:pPr>
              <w:spacing w:after="0"/>
              <w:rPr>
                <w:sz w:val="20"/>
                <w:szCs w:val="20"/>
                <w:color w:val="auto"/>
              </w:rPr>
            </w:pPr>
            <w:r>
              <w:rPr>
                <w:rFonts w:ascii="Arial" w:cs="Arial" w:eastAsia="Arial" w:hAnsi="Arial"/>
                <w:sz w:val="20"/>
                <w:szCs w:val="20"/>
                <w:color w:val="auto"/>
              </w:rPr>
              <w:t>Total Building Materials Business</w:t>
            </w:r>
          </w:p>
        </w:tc>
        <w:tc>
          <w:tcPr>
            <w:tcW w:w="2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360.6</w:t>
            </w:r>
          </w:p>
        </w:tc>
        <w:tc>
          <w:tcPr>
            <w:tcW w:w="4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20"/>
                <w:szCs w:val="20"/>
                <w:color w:val="auto"/>
                <w:w w:val="83"/>
              </w:rPr>
              <w:t>356.6</w:t>
            </w:r>
          </w:p>
        </w:tc>
        <w:tc>
          <w:tcPr>
            <w:tcW w:w="4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3"/>
        </w:trPr>
        <w:tc>
          <w:tcPr>
            <w:tcW w:w="4700" w:type="dxa"/>
            <w:vAlign w:val="bottom"/>
            <w:shd w:val="clear" w:color="auto" w:fill="CFF0FC"/>
          </w:tcPr>
          <w:p>
            <w:pPr>
              <w:spacing w:after="0"/>
              <w:rPr>
                <w:sz w:val="20"/>
                <w:szCs w:val="20"/>
                <w:color w:val="auto"/>
              </w:rPr>
            </w:pPr>
            <w:r>
              <w:rPr>
                <w:rFonts w:ascii="Arial" w:cs="Arial" w:eastAsia="Arial" w:hAnsi="Arial"/>
                <w:sz w:val="20"/>
                <w:szCs w:val="20"/>
                <w:color w:val="auto"/>
              </w:rPr>
              <w:t>Magnesia Specialties</w:t>
            </w:r>
          </w:p>
        </w:tc>
        <w:tc>
          <w:tcPr>
            <w:tcW w:w="24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34.9</w:t>
            </w:r>
          </w:p>
        </w:tc>
        <w:tc>
          <w:tcPr>
            <w:tcW w:w="42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47.9</w:t>
            </w:r>
          </w:p>
        </w:tc>
        <w:tc>
          <w:tcPr>
            <w:tcW w:w="42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243"/>
        </w:trPr>
        <w:tc>
          <w:tcPr>
            <w:tcW w:w="4700" w:type="dxa"/>
            <w:vAlign w:val="bottom"/>
          </w:tcPr>
          <w:p>
            <w:pPr>
              <w:spacing w:after="0"/>
              <w:rPr>
                <w:sz w:val="20"/>
                <w:szCs w:val="20"/>
                <w:color w:val="auto"/>
              </w:rPr>
            </w:pPr>
            <w:r>
              <w:rPr>
                <w:rFonts w:ascii="Arial" w:cs="Arial" w:eastAsia="Arial" w:hAnsi="Arial"/>
                <w:sz w:val="20"/>
                <w:szCs w:val="20"/>
                <w:color w:val="auto"/>
              </w:rPr>
              <w:t>Corporate</w:t>
            </w:r>
          </w:p>
        </w:tc>
        <w:tc>
          <w:tcPr>
            <w:tcW w:w="240" w:type="dxa"/>
            <w:vAlign w:val="bottom"/>
          </w:tcPr>
          <w:p>
            <w:pPr>
              <w:spacing w:after="0"/>
              <w:rPr>
                <w:sz w:val="21"/>
                <w:szCs w:val="21"/>
                <w:color w:val="auto"/>
              </w:rPr>
            </w:pPr>
          </w:p>
        </w:tc>
        <w:tc>
          <w:tcPr>
            <w:tcW w:w="1600" w:type="dxa"/>
            <w:vAlign w:val="bottom"/>
            <w:gridSpan w:val="2"/>
          </w:tcPr>
          <w:p>
            <w:pPr>
              <w:jc w:val="right"/>
              <w:ind w:right="360"/>
              <w:spacing w:after="0"/>
              <w:rPr>
                <w:sz w:val="20"/>
                <w:szCs w:val="20"/>
                <w:color w:val="auto"/>
              </w:rPr>
            </w:pPr>
            <w:r>
              <w:rPr>
                <w:rFonts w:ascii="Arial" w:cs="Arial" w:eastAsia="Arial" w:hAnsi="Arial"/>
                <w:sz w:val="20"/>
                <w:szCs w:val="20"/>
                <w:color w:val="auto"/>
              </w:rPr>
              <w:t>(31.3)</w:t>
            </w:r>
          </w:p>
        </w:tc>
        <w:tc>
          <w:tcPr>
            <w:tcW w:w="1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20"/>
                <w:szCs w:val="20"/>
                <w:color w:val="auto"/>
                <w:w w:val="95"/>
              </w:rPr>
              <w:t>(49.4)</w:t>
            </w: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37"/>
        </w:trPr>
        <w:tc>
          <w:tcPr>
            <w:tcW w:w="47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Total</w:t>
            </w:r>
          </w:p>
        </w:tc>
        <w:tc>
          <w:tcPr>
            <w:tcW w:w="240" w:type="dxa"/>
            <w:vAlign w:val="bottom"/>
            <w:tcBorders>
              <w:top w:val="single" w:sz="8" w:color="auto"/>
              <w:bottom w:val="single" w:sz="8" w:color="auto"/>
            </w:tcBorders>
            <w:shd w:val="clear" w:color="auto" w:fill="CFF0FC"/>
          </w:tcPr>
          <w:p>
            <w:pPr>
              <w:jc w:val="right"/>
              <w:ind w:right="41"/>
              <w:spacing w:after="0"/>
              <w:rPr>
                <w:sz w:val="20"/>
                <w:szCs w:val="20"/>
                <w:color w:val="auto"/>
              </w:rPr>
            </w:pPr>
            <w:r>
              <w:rPr>
                <w:rFonts w:ascii="Arial" w:cs="Arial" w:eastAsia="Arial" w:hAnsi="Arial"/>
                <w:sz w:val="20"/>
                <w:szCs w:val="20"/>
                <w:color w:val="auto"/>
                <w:w w:val="71"/>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364.2</w:t>
            </w:r>
          </w:p>
        </w:tc>
        <w:tc>
          <w:tcPr>
            <w:tcW w:w="420" w:type="dxa"/>
            <w:vAlign w:val="bottom"/>
            <w:tcBorders>
              <w:top w:val="single" w:sz="8" w:color="CFF0FC"/>
              <w:bottom w:val="single" w:sz="8" w:color="CFF0FC"/>
            </w:tcBorders>
            <w:shd w:val="clear" w:color="auto" w:fill="CFF0FC"/>
          </w:tcPr>
          <w:p>
            <w:pPr>
              <w:spacing w:after="0"/>
              <w:rPr>
                <w:sz w:val="20"/>
                <w:szCs w:val="20"/>
                <w:color w:val="auto"/>
              </w:rPr>
            </w:pPr>
          </w:p>
        </w:tc>
        <w:tc>
          <w:tcPr>
            <w:tcW w:w="12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16.3</w:t>
            </w:r>
          </w:p>
        </w:tc>
        <w:tc>
          <w:tcPr>
            <w:tcW w:w="260" w:type="dxa"/>
            <w:vAlign w:val="bottom"/>
            <w:tcBorders>
              <w:top w:val="single" w:sz="8" w:color="CFF0FC"/>
              <w:bottom w:val="single" w:sz="8" w:color="CFF0FC"/>
            </w:tcBorders>
            <w:shd w:val="clear" w:color="auto" w:fill="CFF0FC"/>
          </w:tcPr>
          <w:p>
            <w:pPr>
              <w:spacing w:after="0"/>
              <w:rPr>
                <w:sz w:val="20"/>
                <w:szCs w:val="20"/>
                <w:color w:val="auto"/>
              </w:rPr>
            </w:pPr>
          </w:p>
        </w:tc>
        <w:tc>
          <w:tcPr>
            <w:tcW w:w="960" w:type="dxa"/>
            <w:vAlign w:val="bottom"/>
            <w:tcBorders>
              <w:top w:val="single" w:sz="8" w:color="auto"/>
              <w:bottom w:val="single" w:sz="8" w:color="auto"/>
            </w:tcBorders>
            <w:shd w:val="clear" w:color="auto" w:fill="CFF0FC"/>
          </w:tcPr>
          <w:p>
            <w:pPr>
              <w:jc w:val="right"/>
              <w:ind w:right="761"/>
              <w:spacing w:after="0"/>
              <w:rPr>
                <w:sz w:val="20"/>
                <w:szCs w:val="20"/>
                <w:color w:val="auto"/>
              </w:rPr>
            </w:pPr>
            <w:r>
              <w:rPr>
                <w:rFonts w:ascii="Arial" w:cs="Arial" w:eastAsia="Arial" w:hAnsi="Arial"/>
                <w:sz w:val="20"/>
                <w:szCs w:val="20"/>
                <w:color w:val="auto"/>
                <w:w w:val="71"/>
              </w:rPr>
              <w:t>$</w:t>
            </w:r>
          </w:p>
        </w:tc>
        <w:tc>
          <w:tcPr>
            <w:tcW w:w="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83"/>
              </w:rPr>
              <w:t>355.1</w:t>
            </w:r>
          </w:p>
        </w:tc>
        <w:tc>
          <w:tcPr>
            <w:tcW w:w="420" w:type="dxa"/>
            <w:vAlign w:val="bottom"/>
            <w:tcBorders>
              <w:top w:val="single" w:sz="8" w:color="CFF0FC"/>
              <w:bottom w:val="single" w:sz="8" w:color="CFF0FC"/>
            </w:tcBorders>
            <w:shd w:val="clear" w:color="auto" w:fill="CFF0FC"/>
          </w:tcPr>
          <w:p>
            <w:pPr>
              <w:spacing w:after="0"/>
              <w:rPr>
                <w:sz w:val="20"/>
                <w:szCs w:val="20"/>
                <w:color w:val="auto"/>
              </w:rPr>
            </w:pPr>
          </w:p>
        </w:tc>
        <w:tc>
          <w:tcPr>
            <w:tcW w:w="12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16.0</w:t>
            </w:r>
          </w:p>
        </w:tc>
        <w:tc>
          <w:tcPr>
            <w:tcW w:w="120" w:type="dxa"/>
            <w:vAlign w:val="bottom"/>
            <w:tcBorders>
              <w:top w:val="single" w:sz="8" w:color="CFF0FC"/>
              <w:bottom w:val="single" w:sz="8" w:color="CFF0FC"/>
            </w:tcBorders>
            <w:shd w:val="clear" w:color="auto" w:fill="CFF0FC"/>
          </w:tcPr>
          <w:p>
            <w:pPr>
              <w:spacing w:after="0"/>
              <w:rPr>
                <w:sz w:val="20"/>
                <w:szCs w:val="20"/>
                <w:color w:val="auto"/>
              </w:rPr>
            </w:pPr>
          </w:p>
        </w:tc>
      </w:tr>
      <w:tr>
        <w:trPr>
          <w:trHeight w:val="20"/>
        </w:trPr>
        <w:tc>
          <w:tcPr>
            <w:tcW w:w="4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36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June 30, 2020</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Second Quarter Ended June 30, 2020</w:t>
      </w:r>
    </w:p>
    <w:p>
      <w:pPr>
        <w:jc w:val="center"/>
        <w:spacing w:after="0"/>
        <w:rPr>
          <w:sz w:val="20"/>
          <w:szCs w:val="20"/>
          <w:color w:val="auto"/>
        </w:rPr>
      </w:pPr>
      <w:r>
        <w:rPr>
          <w:rFonts w:ascii="Arial" w:cs="Arial" w:eastAsia="Arial" w:hAnsi="Arial"/>
          <w:sz w:val="20"/>
          <w:szCs w:val="20"/>
          <w:color w:val="auto"/>
        </w:rPr>
        <w:t>(Continued)</w:t>
      </w:r>
    </w:p>
    <w:p>
      <w:pPr>
        <w:spacing w:after="0" w:line="13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Building Materials Business</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tables present aggregates products volume and pricing variance data and shipments data by segment:</w:t>
      </w:r>
    </w:p>
    <w:p>
      <w:pPr>
        <w:spacing w:after="0" w:line="121" w:lineRule="exact"/>
        <w:rPr>
          <w:sz w:val="20"/>
          <w:szCs w:val="20"/>
          <w:color w:val="auto"/>
        </w:rPr>
      </w:pPr>
    </w:p>
    <w:p>
      <w:pPr>
        <w:jc w:val="center"/>
        <w:ind w:left="6680"/>
        <w:spacing w:after="0"/>
        <w:rPr>
          <w:sz w:val="20"/>
          <w:szCs w:val="20"/>
          <w:color w:val="auto"/>
        </w:rPr>
      </w:pPr>
      <w:r>
        <w:rPr>
          <w:rFonts w:ascii="Arial" w:cs="Arial" w:eastAsia="Arial" w:hAnsi="Arial"/>
          <w:sz w:val="20"/>
          <w:szCs w:val="20"/>
          <w:color w:val="auto"/>
        </w:rPr>
        <w:t>Six Months Ended</w:t>
      </w:r>
    </w:p>
    <w:p>
      <w:pPr>
        <w:spacing w:after="0" w:line="20" w:lineRule="exact"/>
        <w:rPr>
          <w:sz w:val="20"/>
          <w:szCs w:val="20"/>
          <w:color w:val="auto"/>
        </w:rPr>
      </w:pPr>
    </w:p>
    <w:p>
      <w:pPr>
        <w:jc w:val="center"/>
        <w:ind w:left="6680"/>
        <w:spacing w:after="0"/>
        <w:rPr>
          <w:sz w:val="20"/>
          <w:szCs w:val="20"/>
          <w:color w:val="auto"/>
        </w:rPr>
      </w:pPr>
      <w:r>
        <w:rPr>
          <w:rFonts w:ascii="Arial" w:cs="Arial" w:eastAsia="Arial" w:hAnsi="Arial"/>
          <w:sz w:val="20"/>
          <w:szCs w:val="20"/>
          <w:color w:val="auto"/>
        </w:rPr>
        <w:t>June 30, 2020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900" w:type="dxa"/>
            <w:vAlign w:val="bottom"/>
            <w:tcBorders>
              <w:bottom w:val="single" w:sz="8" w:color="CFF0FC"/>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20"/>
                <w:szCs w:val="20"/>
                <w:color w:val="auto"/>
              </w:rPr>
              <w:t>Volume</w:t>
            </w:r>
          </w:p>
        </w:tc>
        <w:tc>
          <w:tcPr>
            <w:tcW w:w="660" w:type="dxa"/>
            <w:vAlign w:val="bottom"/>
            <w:tcBorders>
              <w:top w:val="single" w:sz="8" w:color="auto"/>
              <w:bottom w:val="single" w:sz="8" w:color="auto"/>
            </w:tcBorders>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bottom w:val="single" w:sz="8" w:color="CFF0FC"/>
            </w:tcBorders>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20"/>
                <w:szCs w:val="20"/>
                <w:color w:val="auto"/>
              </w:rPr>
              <w:t>Pricing</w:t>
            </w:r>
          </w:p>
        </w:tc>
        <w:tc>
          <w:tcPr>
            <w:tcW w:w="54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900" w:type="dxa"/>
            <w:vAlign w:val="bottom"/>
            <w:shd w:val="clear" w:color="auto" w:fill="CFF0FC"/>
          </w:tcPr>
          <w:p>
            <w:pPr>
              <w:spacing w:after="0"/>
              <w:rPr>
                <w:sz w:val="20"/>
                <w:szCs w:val="20"/>
                <w:color w:val="auto"/>
              </w:rPr>
            </w:pPr>
            <w:r>
              <w:rPr>
                <w:rFonts w:ascii="Arial" w:cs="Arial" w:eastAsia="Arial" w:hAnsi="Arial"/>
                <w:sz w:val="20"/>
                <w:szCs w:val="20"/>
                <w:b w:val="1"/>
                <w:bCs w:val="1"/>
                <w:color w:val="auto"/>
              </w:rPr>
              <w:t xml:space="preserve">Volume/Pricing variance </w:t>
            </w:r>
            <w:r>
              <w:rPr>
                <w:rFonts w:ascii="Arial" w:cs="Arial" w:eastAsia="Arial" w:hAnsi="Arial"/>
                <w:sz w:val="16"/>
                <w:szCs w:val="16"/>
                <w:color w:val="auto"/>
              </w:rPr>
              <w:t>(1)</w:t>
            </w:r>
          </w:p>
        </w:tc>
        <w:tc>
          <w:tcPr>
            <w:tcW w:w="20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280" w:type="dxa"/>
            <w:vAlign w:val="bottom"/>
            <w:gridSpan w:val="3"/>
          </w:tcPr>
          <w:p>
            <w:pPr>
              <w:ind w:left="260"/>
              <w:spacing w:after="0"/>
              <w:rPr>
                <w:sz w:val="20"/>
                <w:szCs w:val="20"/>
                <w:color w:val="auto"/>
              </w:rPr>
            </w:pPr>
            <w:r>
              <w:rPr>
                <w:rFonts w:ascii="Arial" w:cs="Arial" w:eastAsia="Arial" w:hAnsi="Arial"/>
                <w:sz w:val="20"/>
                <w:szCs w:val="20"/>
                <w:color w:val="auto"/>
              </w:rPr>
              <w:t>Mid-America Group</w:t>
            </w:r>
          </w:p>
        </w:tc>
        <w:tc>
          <w:tcPr>
            <w:tcW w:w="720" w:type="dxa"/>
            <w:vAlign w:val="bottom"/>
            <w:gridSpan w:val="2"/>
          </w:tcPr>
          <w:p>
            <w:pPr>
              <w:jc w:val="right"/>
              <w:ind w:right="20"/>
              <w:spacing w:after="0"/>
              <w:rPr>
                <w:sz w:val="20"/>
                <w:szCs w:val="20"/>
                <w:color w:val="auto"/>
              </w:rPr>
            </w:pPr>
            <w:r>
              <w:rPr>
                <w:rFonts w:ascii="Arial" w:cs="Arial" w:eastAsia="Arial" w:hAnsi="Arial"/>
                <w:sz w:val="20"/>
                <w:szCs w:val="20"/>
                <w:color w:val="auto"/>
              </w:rPr>
              <w:t>(3.0)%</w:t>
            </w: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20"/>
                <w:szCs w:val="20"/>
                <w:color w:val="auto"/>
              </w:rPr>
              <w:t>2.0%</w:t>
            </w:r>
          </w:p>
        </w:tc>
        <w:tc>
          <w:tcPr>
            <w:tcW w:w="0" w:type="dxa"/>
            <w:vAlign w:val="bottom"/>
          </w:tcPr>
          <w:p>
            <w:pPr>
              <w:spacing w:after="0"/>
              <w:rPr>
                <w:sz w:val="1"/>
                <w:szCs w:val="1"/>
                <w:color w:val="auto"/>
              </w:rPr>
            </w:pPr>
          </w:p>
        </w:tc>
      </w:tr>
      <w:tr>
        <w:trPr>
          <w:trHeight w:val="243"/>
        </w:trPr>
        <w:tc>
          <w:tcPr>
            <w:tcW w:w="8280" w:type="dxa"/>
            <w:vAlign w:val="bottom"/>
            <w:gridSpan w:val="3"/>
            <w:shd w:val="clear" w:color="auto" w:fill="CFF0FC"/>
          </w:tcPr>
          <w:p>
            <w:pPr>
              <w:ind w:left="260"/>
              <w:spacing w:after="0"/>
              <w:rPr>
                <w:sz w:val="20"/>
                <w:szCs w:val="20"/>
                <w:color w:val="auto"/>
              </w:rPr>
            </w:pPr>
            <w:r>
              <w:rPr>
                <w:rFonts w:ascii="Arial" w:cs="Arial" w:eastAsia="Arial" w:hAnsi="Arial"/>
                <w:sz w:val="20"/>
                <w:szCs w:val="20"/>
                <w:color w:val="auto"/>
              </w:rPr>
              <w:t>Southeast Group</w:t>
            </w:r>
          </w:p>
        </w:tc>
        <w:tc>
          <w:tcPr>
            <w:tcW w:w="6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0.1%</w:t>
            </w:r>
          </w:p>
        </w:tc>
        <w:tc>
          <w:tcPr>
            <w:tcW w:w="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66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2.6%</w:t>
            </w:r>
          </w:p>
        </w:tc>
        <w:tc>
          <w:tcPr>
            <w:tcW w:w="0" w:type="dxa"/>
            <w:vAlign w:val="bottom"/>
          </w:tcPr>
          <w:p>
            <w:pPr>
              <w:spacing w:after="0"/>
              <w:rPr>
                <w:sz w:val="1"/>
                <w:szCs w:val="1"/>
                <w:color w:val="auto"/>
              </w:rPr>
            </w:pPr>
          </w:p>
        </w:tc>
      </w:tr>
      <w:tr>
        <w:trPr>
          <w:trHeight w:val="243"/>
        </w:trPr>
        <w:tc>
          <w:tcPr>
            <w:tcW w:w="8280" w:type="dxa"/>
            <w:vAlign w:val="bottom"/>
            <w:gridSpan w:val="3"/>
          </w:tcPr>
          <w:p>
            <w:pPr>
              <w:ind w:left="260"/>
              <w:spacing w:after="0"/>
              <w:rPr>
                <w:sz w:val="20"/>
                <w:szCs w:val="20"/>
                <w:color w:val="auto"/>
              </w:rPr>
            </w:pPr>
            <w:r>
              <w:rPr>
                <w:rFonts w:ascii="Arial" w:cs="Arial" w:eastAsia="Arial" w:hAnsi="Arial"/>
                <w:sz w:val="20"/>
                <w:szCs w:val="20"/>
                <w:color w:val="auto"/>
              </w:rPr>
              <w:t>West Group</w:t>
            </w:r>
          </w:p>
        </w:tc>
        <w:tc>
          <w:tcPr>
            <w:tcW w:w="660" w:type="dxa"/>
            <w:vAlign w:val="bottom"/>
          </w:tcPr>
          <w:p>
            <w:pPr>
              <w:jc w:val="right"/>
              <w:spacing w:after="0"/>
              <w:rPr>
                <w:sz w:val="20"/>
                <w:szCs w:val="20"/>
                <w:color w:val="auto"/>
              </w:rPr>
            </w:pPr>
            <w:r>
              <w:rPr>
                <w:rFonts w:ascii="Arial" w:cs="Arial" w:eastAsia="Arial" w:hAnsi="Arial"/>
                <w:sz w:val="20"/>
                <w:szCs w:val="20"/>
                <w:color w:val="auto"/>
              </w:rPr>
              <w:t>0.6%</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20"/>
                <w:szCs w:val="20"/>
                <w:color w:val="auto"/>
              </w:rPr>
              <w:t>4.7%</w:t>
            </w:r>
          </w:p>
        </w:tc>
        <w:tc>
          <w:tcPr>
            <w:tcW w:w="0" w:type="dxa"/>
            <w:vAlign w:val="bottom"/>
          </w:tcPr>
          <w:p>
            <w:pPr>
              <w:spacing w:after="0"/>
              <w:rPr>
                <w:sz w:val="1"/>
                <w:szCs w:val="1"/>
                <w:color w:val="auto"/>
              </w:rPr>
            </w:pPr>
          </w:p>
        </w:tc>
      </w:tr>
      <w:tr>
        <w:trPr>
          <w:trHeight w:val="243"/>
        </w:trPr>
        <w:tc>
          <w:tcPr>
            <w:tcW w:w="8280" w:type="dxa"/>
            <w:vAlign w:val="bottom"/>
            <w:gridSpan w:val="3"/>
            <w:shd w:val="clear" w:color="auto" w:fill="CFF0FC"/>
          </w:tcPr>
          <w:p>
            <w:pPr>
              <w:spacing w:after="0"/>
              <w:rPr>
                <w:sz w:val="20"/>
                <w:szCs w:val="20"/>
                <w:color w:val="auto"/>
              </w:rPr>
            </w:pPr>
            <w:r>
              <w:rPr>
                <w:rFonts w:ascii="Arial" w:cs="Arial" w:eastAsia="Arial" w:hAnsi="Arial"/>
                <w:sz w:val="20"/>
                <w:szCs w:val="20"/>
                <w:color w:val="auto"/>
              </w:rPr>
              <w:t>Total Aggregates Operations</w:t>
            </w:r>
            <w:r>
              <w:rPr>
                <w:rFonts w:ascii="Arial" w:cs="Arial" w:eastAsia="Arial" w:hAnsi="Arial"/>
                <w:sz w:val="16"/>
                <w:szCs w:val="16"/>
                <w:color w:val="auto"/>
              </w:rPr>
              <w:t>(2)</w:t>
            </w:r>
          </w:p>
        </w:tc>
        <w:tc>
          <w:tcPr>
            <w:tcW w:w="72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(1.2)%</w:t>
            </w:r>
          </w:p>
        </w:tc>
        <w:tc>
          <w:tcPr>
            <w:tcW w:w="20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66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3.1%</w:t>
            </w:r>
          </w:p>
        </w:tc>
        <w:tc>
          <w:tcPr>
            <w:tcW w:w="0" w:type="dxa"/>
            <w:vAlign w:val="bottom"/>
          </w:tcPr>
          <w:p>
            <w:pPr>
              <w:spacing w:after="0"/>
              <w:rPr>
                <w:sz w:val="1"/>
                <w:szCs w:val="1"/>
                <w:color w:val="auto"/>
              </w:rPr>
            </w:pPr>
          </w:p>
        </w:tc>
      </w:tr>
      <w:tr>
        <w:trPr>
          <w:trHeight w:val="469"/>
        </w:trPr>
        <w:tc>
          <w:tcPr>
            <w:tcW w:w="6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300" w:type="dxa"/>
            <w:vAlign w:val="bottom"/>
            <w:gridSpan w:val="5"/>
          </w:tcPr>
          <w:p>
            <w:pPr>
              <w:jc w:val="center"/>
              <w:ind w:right="561"/>
              <w:spacing w:after="0"/>
              <w:rPr>
                <w:sz w:val="20"/>
                <w:szCs w:val="20"/>
                <w:color w:val="auto"/>
              </w:rPr>
            </w:pPr>
            <w:r>
              <w:rPr>
                <w:rFonts w:ascii="Arial" w:cs="Arial" w:eastAsia="Arial" w:hAnsi="Arial"/>
                <w:sz w:val="20"/>
                <w:szCs w:val="20"/>
                <w:color w:val="auto"/>
                <w:w w:val="91"/>
              </w:rPr>
              <w:t>Six Months Ended</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6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2300" w:type="dxa"/>
            <w:vAlign w:val="bottom"/>
            <w:tcBorders>
              <w:bottom w:val="single" w:sz="8" w:color="auto"/>
            </w:tcBorders>
            <w:gridSpan w:val="5"/>
          </w:tcPr>
          <w:p>
            <w:pPr>
              <w:jc w:val="center"/>
              <w:ind w:right="541"/>
              <w:spacing w:after="0"/>
              <w:rPr>
                <w:sz w:val="20"/>
                <w:szCs w:val="20"/>
                <w:color w:val="auto"/>
              </w:rPr>
            </w:pPr>
            <w:r>
              <w:rPr>
                <w:rFonts w:ascii="Arial" w:cs="Arial" w:eastAsia="Arial" w:hAnsi="Arial"/>
                <w:sz w:val="20"/>
                <w:szCs w:val="20"/>
                <w:color w:val="auto"/>
                <w:w w:val="85"/>
              </w:rPr>
              <w:t>June 30,</w:t>
            </w:r>
          </w:p>
        </w:tc>
        <w:tc>
          <w:tcPr>
            <w:tcW w:w="54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100" w:type="dxa"/>
            <w:vAlign w:val="bottom"/>
            <w:gridSpan w:val="2"/>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2020</w:t>
            </w:r>
          </w:p>
        </w:tc>
        <w:tc>
          <w:tcPr>
            <w:tcW w:w="2300" w:type="dxa"/>
            <w:vAlign w:val="bottom"/>
            <w:tcBorders>
              <w:bottom w:val="single" w:sz="8" w:color="auto"/>
            </w:tcBorders>
            <w:gridSpan w:val="5"/>
          </w:tcPr>
          <w:p>
            <w:pPr>
              <w:jc w:val="right"/>
              <w:ind w:right="101"/>
              <w:spacing w:after="0"/>
              <w:rPr>
                <w:sz w:val="20"/>
                <w:szCs w:val="20"/>
                <w:color w:val="auto"/>
              </w:rPr>
            </w:pPr>
            <w:r>
              <w:rPr>
                <w:rFonts w:ascii="Arial" w:cs="Arial" w:eastAsia="Arial" w:hAnsi="Arial"/>
                <w:sz w:val="20"/>
                <w:szCs w:val="20"/>
                <w:color w:val="auto"/>
              </w:rPr>
              <w:t>2019</w:t>
            </w:r>
          </w:p>
        </w:tc>
        <w:tc>
          <w:tcPr>
            <w:tcW w:w="5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8280" w:type="dxa"/>
            <w:vAlign w:val="bottom"/>
            <w:gridSpan w:val="3"/>
            <w:vMerge w:val="restart"/>
          </w:tcPr>
          <w:p>
            <w:pPr>
              <w:spacing w:after="0"/>
              <w:rPr>
                <w:sz w:val="20"/>
                <w:szCs w:val="20"/>
                <w:color w:val="auto"/>
              </w:rPr>
            </w:pPr>
            <w:r>
              <w:rPr>
                <w:rFonts w:ascii="Arial" w:cs="Arial" w:eastAsia="Arial" w:hAnsi="Arial"/>
                <w:sz w:val="20"/>
                <w:szCs w:val="20"/>
                <w:b w:val="1"/>
                <w:bCs w:val="1"/>
                <w:color w:val="auto"/>
              </w:rPr>
              <w:t>Shipments</w:t>
            </w:r>
          </w:p>
        </w:tc>
        <w:tc>
          <w:tcPr>
            <w:tcW w:w="2300" w:type="dxa"/>
            <w:vAlign w:val="bottom"/>
            <w:gridSpan w:val="5"/>
          </w:tcPr>
          <w:p>
            <w:pPr>
              <w:jc w:val="center"/>
              <w:ind w:right="561"/>
              <w:spacing w:after="0"/>
              <w:rPr>
                <w:sz w:val="20"/>
                <w:szCs w:val="20"/>
                <w:color w:val="auto"/>
              </w:rPr>
            </w:pPr>
            <w:r>
              <w:rPr>
                <w:rFonts w:ascii="Arial" w:cs="Arial" w:eastAsia="Arial" w:hAnsi="Arial"/>
                <w:sz w:val="20"/>
                <w:szCs w:val="20"/>
                <w:i w:val="1"/>
                <w:iCs w:val="1"/>
                <w:color w:val="auto"/>
                <w:w w:val="92"/>
              </w:rPr>
              <w:t>(Tons in Millions)</w:t>
            </w: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8280" w:type="dxa"/>
            <w:vAlign w:val="bottom"/>
            <w:gridSpan w:val="3"/>
            <w:vMerge w:val="continue"/>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280" w:type="dxa"/>
            <w:vAlign w:val="bottom"/>
            <w:gridSpan w:val="3"/>
            <w:shd w:val="clear" w:color="auto" w:fill="CFF0FC"/>
          </w:tcPr>
          <w:p>
            <w:pPr>
              <w:ind w:left="260"/>
              <w:spacing w:after="0"/>
              <w:rPr>
                <w:sz w:val="20"/>
                <w:szCs w:val="20"/>
                <w:color w:val="auto"/>
              </w:rPr>
            </w:pPr>
            <w:r>
              <w:rPr>
                <w:rFonts w:ascii="Arial" w:cs="Arial" w:eastAsia="Arial" w:hAnsi="Arial"/>
                <w:sz w:val="20"/>
                <w:szCs w:val="20"/>
                <w:color w:val="auto"/>
              </w:rPr>
              <w:t>Mid-America Group</w:t>
            </w:r>
          </w:p>
        </w:tc>
        <w:tc>
          <w:tcPr>
            <w:tcW w:w="6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42.1</w:t>
            </w:r>
          </w:p>
        </w:tc>
        <w:tc>
          <w:tcPr>
            <w:tcW w:w="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43.3</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80" w:type="dxa"/>
            <w:vAlign w:val="bottom"/>
            <w:gridSpan w:val="3"/>
          </w:tcPr>
          <w:p>
            <w:pPr>
              <w:ind w:left="260"/>
              <w:spacing w:after="0"/>
              <w:rPr>
                <w:sz w:val="20"/>
                <w:szCs w:val="20"/>
                <w:color w:val="auto"/>
              </w:rPr>
            </w:pPr>
            <w:r>
              <w:rPr>
                <w:rFonts w:ascii="Arial" w:cs="Arial" w:eastAsia="Arial" w:hAnsi="Arial"/>
                <w:sz w:val="20"/>
                <w:szCs w:val="20"/>
                <w:color w:val="auto"/>
              </w:rPr>
              <w:t>Southeast Group</w:t>
            </w:r>
          </w:p>
        </w:tc>
        <w:tc>
          <w:tcPr>
            <w:tcW w:w="660" w:type="dxa"/>
            <w:vAlign w:val="bottom"/>
          </w:tcPr>
          <w:p>
            <w:pPr>
              <w:jc w:val="right"/>
              <w:spacing w:after="0"/>
              <w:rPr>
                <w:sz w:val="20"/>
                <w:szCs w:val="20"/>
                <w:color w:val="auto"/>
              </w:rPr>
            </w:pPr>
            <w:r>
              <w:rPr>
                <w:rFonts w:ascii="Arial" w:cs="Arial" w:eastAsia="Arial" w:hAnsi="Arial"/>
                <w:sz w:val="20"/>
                <w:szCs w:val="20"/>
                <w:color w:val="auto"/>
              </w:rPr>
              <w:t>13.6</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20"/>
                <w:szCs w:val="20"/>
                <w:color w:val="auto"/>
              </w:rPr>
              <w:t>13.6</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80" w:type="dxa"/>
            <w:vAlign w:val="bottom"/>
            <w:gridSpan w:val="3"/>
            <w:shd w:val="clear" w:color="auto" w:fill="CFF0FC"/>
          </w:tcPr>
          <w:p>
            <w:pPr>
              <w:ind w:left="260"/>
              <w:spacing w:after="0"/>
              <w:rPr>
                <w:sz w:val="20"/>
                <w:szCs w:val="20"/>
                <w:color w:val="auto"/>
              </w:rPr>
            </w:pPr>
            <w:r>
              <w:rPr>
                <w:rFonts w:ascii="Arial" w:cs="Arial" w:eastAsia="Arial" w:hAnsi="Arial"/>
                <w:sz w:val="20"/>
                <w:szCs w:val="20"/>
                <w:color w:val="auto"/>
              </w:rPr>
              <w:t>West Group</w:t>
            </w:r>
          </w:p>
        </w:tc>
        <w:tc>
          <w:tcPr>
            <w:tcW w:w="6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33.8</w:t>
            </w:r>
          </w:p>
        </w:tc>
        <w:tc>
          <w:tcPr>
            <w:tcW w:w="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33.6</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100" w:type="dxa"/>
            <w:vAlign w:val="bottom"/>
            <w:gridSpan w:val="2"/>
          </w:tcPr>
          <w:p>
            <w:pPr>
              <w:spacing w:after="0"/>
              <w:rPr>
                <w:sz w:val="20"/>
                <w:szCs w:val="20"/>
                <w:color w:val="auto"/>
              </w:rPr>
            </w:pPr>
            <w:r>
              <w:rPr>
                <w:rFonts w:ascii="Arial" w:cs="Arial" w:eastAsia="Arial" w:hAnsi="Arial"/>
                <w:sz w:val="20"/>
                <w:szCs w:val="20"/>
                <w:color w:val="auto"/>
              </w:rPr>
              <w:t>Total Aggregates Operations</w:t>
            </w:r>
            <w:r>
              <w:rPr>
                <w:rFonts w:ascii="Arial" w:cs="Arial" w:eastAsia="Arial" w:hAnsi="Arial"/>
                <w:sz w:val="16"/>
                <w:szCs w:val="16"/>
                <w:color w:val="auto"/>
              </w:rPr>
              <w:t>(2)</w:t>
            </w:r>
          </w:p>
        </w:tc>
        <w:tc>
          <w:tcPr>
            <w:tcW w:w="1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89.5</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2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90.5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240" w:hanging="226"/>
        <w:spacing w:after="0"/>
        <w:tabs>
          <w:tab w:leader="none" w:pos="240" w:val="left"/>
        </w:tabs>
        <w:numPr>
          <w:ilvl w:val="0"/>
          <w:numId w:val="16"/>
        </w:numPr>
        <w:rPr>
          <w:rFonts w:ascii="Arial" w:cs="Arial" w:eastAsia="Arial" w:hAnsi="Arial"/>
          <w:sz w:val="15"/>
          <w:szCs w:val="15"/>
          <w:i w:val="1"/>
          <w:iCs w:val="1"/>
          <w:color w:val="auto"/>
        </w:rPr>
      </w:pPr>
      <w:r>
        <w:rPr>
          <w:rFonts w:ascii="Arial" w:cs="Arial" w:eastAsia="Arial" w:hAnsi="Arial"/>
          <w:sz w:val="18"/>
          <w:szCs w:val="18"/>
          <w:i w:val="1"/>
          <w:iCs w:val="1"/>
          <w:color w:val="auto"/>
        </w:rPr>
        <w:t>Volume/pricing variances reflect the percentage increase/(decrease) from the comparable period in the prior year.</w:t>
      </w:r>
    </w:p>
    <w:p>
      <w:pPr>
        <w:spacing w:after="0" w:line="23" w:lineRule="exact"/>
        <w:rPr>
          <w:rFonts w:ascii="Arial" w:cs="Arial" w:eastAsia="Arial" w:hAnsi="Arial"/>
          <w:sz w:val="15"/>
          <w:szCs w:val="15"/>
          <w:i w:val="1"/>
          <w:iCs w:val="1"/>
          <w:color w:val="auto"/>
        </w:rPr>
      </w:pPr>
    </w:p>
    <w:p>
      <w:pPr>
        <w:ind w:left="240" w:hanging="232"/>
        <w:spacing w:after="0"/>
        <w:tabs>
          <w:tab w:leader="none" w:pos="240" w:val="left"/>
        </w:tabs>
        <w:numPr>
          <w:ilvl w:val="0"/>
          <w:numId w:val="16"/>
        </w:numPr>
        <w:rPr>
          <w:rFonts w:ascii="Arial" w:cs="Arial" w:eastAsia="Arial" w:hAnsi="Arial"/>
          <w:sz w:val="15"/>
          <w:szCs w:val="15"/>
          <w:i w:val="1"/>
          <w:iCs w:val="1"/>
          <w:color w:val="auto"/>
        </w:rPr>
      </w:pPr>
      <w:r>
        <w:rPr>
          <w:rFonts w:ascii="Arial" w:cs="Arial" w:eastAsia="Arial" w:hAnsi="Arial"/>
          <w:sz w:val="18"/>
          <w:szCs w:val="18"/>
          <w:i w:val="1"/>
          <w:iCs w:val="1"/>
          <w:color w:val="auto"/>
        </w:rPr>
        <w:t>Total aggregates operations include acquisitions from the date of acquisition and divestitures through the date of disposal.</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37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June 30, 2020</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Second Quarter Ended June 30, 2020</w:t>
      </w:r>
    </w:p>
    <w:p>
      <w:pPr>
        <w:jc w:val="center"/>
        <w:spacing w:after="0"/>
        <w:rPr>
          <w:sz w:val="20"/>
          <w:szCs w:val="20"/>
          <w:color w:val="auto"/>
        </w:rPr>
      </w:pPr>
      <w:r>
        <w:rPr>
          <w:rFonts w:ascii="Arial" w:cs="Arial" w:eastAsia="Arial" w:hAnsi="Arial"/>
          <w:sz w:val="20"/>
          <w:szCs w:val="20"/>
          <w:color w:val="auto"/>
        </w:rPr>
        <w:t>(Continued)</w:t>
      </w:r>
    </w:p>
    <w:p>
      <w:pPr>
        <w:spacing w:after="0" w:line="348"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presents shipments data for the Building Materials business by product line:</w:t>
      </w:r>
    </w:p>
    <w:p>
      <w:pPr>
        <w:spacing w:after="0" w:line="121" w:lineRule="exact"/>
        <w:rPr>
          <w:sz w:val="20"/>
          <w:szCs w:val="20"/>
          <w:color w:val="auto"/>
        </w:rPr>
      </w:pPr>
    </w:p>
    <w:p>
      <w:pPr>
        <w:jc w:val="center"/>
        <w:ind w:left="7600"/>
        <w:spacing w:after="0"/>
        <w:rPr>
          <w:sz w:val="20"/>
          <w:szCs w:val="20"/>
          <w:color w:val="auto"/>
        </w:rPr>
      </w:pPr>
      <w:r>
        <w:rPr>
          <w:rFonts w:ascii="Arial" w:cs="Arial" w:eastAsia="Arial" w:hAnsi="Arial"/>
          <w:sz w:val="20"/>
          <w:szCs w:val="20"/>
          <w:color w:val="auto"/>
        </w:rPr>
        <w:t>Six Months Ended</w:t>
      </w:r>
    </w:p>
    <w:p>
      <w:pPr>
        <w:spacing w:after="0" w:line="20" w:lineRule="exact"/>
        <w:rPr>
          <w:sz w:val="20"/>
          <w:szCs w:val="20"/>
          <w:color w:val="auto"/>
        </w:rPr>
      </w:pPr>
    </w:p>
    <w:p>
      <w:pPr>
        <w:jc w:val="center"/>
        <w:ind w:left="7600"/>
        <w:spacing w:after="0"/>
        <w:rPr>
          <w:sz w:val="20"/>
          <w:szCs w:val="20"/>
          <w:color w:val="auto"/>
        </w:rPr>
      </w:pPr>
      <w:r>
        <w:rPr>
          <w:rFonts w:ascii="Arial" w:cs="Arial" w:eastAsia="Arial" w:hAnsi="Arial"/>
          <w:sz w:val="20"/>
          <w:szCs w:val="20"/>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740" w:type="dxa"/>
            <w:vAlign w:val="bottom"/>
            <w:tcBorders>
              <w:bottom w:val="single" w:sz="8" w:color="CFF0FC"/>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20"/>
                <w:szCs w:val="20"/>
                <w:color w:val="auto"/>
              </w:rPr>
              <w:t>2020</w:t>
            </w:r>
          </w:p>
        </w:tc>
        <w:tc>
          <w:tcPr>
            <w:tcW w:w="48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bottom w:val="single" w:sz="8" w:color="CFF0FC"/>
            </w:tcBorders>
          </w:tcPr>
          <w:p>
            <w:pPr>
              <w:spacing w:after="0"/>
              <w:rPr>
                <w:sz w:val="20"/>
                <w:szCs w:val="20"/>
                <w:color w:val="auto"/>
              </w:rPr>
            </w:pPr>
          </w:p>
        </w:tc>
        <w:tc>
          <w:tcPr>
            <w:tcW w:w="1560" w:type="dxa"/>
            <w:vAlign w:val="bottom"/>
            <w:tcBorders>
              <w:top w:val="single" w:sz="8" w:color="auto"/>
              <w:bottom w:val="single" w:sz="8" w:color="auto"/>
            </w:tcBorders>
          </w:tcPr>
          <w:p>
            <w:pPr>
              <w:jc w:val="right"/>
              <w:ind w:right="501"/>
              <w:spacing w:after="0"/>
              <w:rPr>
                <w:sz w:val="20"/>
                <w:szCs w:val="20"/>
                <w:color w:val="auto"/>
              </w:rPr>
            </w:pPr>
            <w:r>
              <w:rPr>
                <w:rFonts w:ascii="Arial" w:cs="Arial" w:eastAsia="Arial" w:hAnsi="Arial"/>
                <w:sz w:val="20"/>
                <w:szCs w:val="20"/>
                <w:color w:val="auto"/>
              </w:rPr>
              <w:t>2019</w:t>
            </w:r>
          </w:p>
        </w:tc>
        <w:tc>
          <w:tcPr>
            <w:tcW w:w="100" w:type="dxa"/>
            <w:vAlign w:val="bottom"/>
            <w:tcBorders>
              <w:bottom w:val="single" w:sz="8" w:color="CFF0FC"/>
            </w:tcBorders>
          </w:tcPr>
          <w:p>
            <w:pPr>
              <w:spacing w:after="0"/>
              <w:rPr>
                <w:sz w:val="20"/>
                <w:szCs w:val="20"/>
                <w:color w:val="auto"/>
              </w:rPr>
            </w:pPr>
          </w:p>
        </w:tc>
      </w:tr>
      <w:tr>
        <w:trPr>
          <w:trHeight w:val="237"/>
        </w:trPr>
        <w:tc>
          <w:tcPr>
            <w:tcW w:w="7740" w:type="dxa"/>
            <w:vAlign w:val="bottom"/>
            <w:shd w:val="clear" w:color="auto" w:fill="CFF0FC"/>
          </w:tcPr>
          <w:p>
            <w:pPr>
              <w:spacing w:after="0"/>
              <w:rPr>
                <w:sz w:val="20"/>
                <w:szCs w:val="20"/>
                <w:color w:val="auto"/>
              </w:rPr>
            </w:pPr>
            <w:r>
              <w:rPr>
                <w:rFonts w:ascii="Arial" w:cs="Arial" w:eastAsia="Arial" w:hAnsi="Arial"/>
                <w:sz w:val="20"/>
                <w:szCs w:val="20"/>
                <w:b w:val="1"/>
                <w:bCs w:val="1"/>
                <w:color w:val="auto"/>
              </w:rPr>
              <w:t>Shipments</w:t>
            </w:r>
          </w:p>
        </w:tc>
        <w:tc>
          <w:tcPr>
            <w:tcW w:w="108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5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43"/>
        </w:trPr>
        <w:tc>
          <w:tcPr>
            <w:tcW w:w="8820" w:type="dxa"/>
            <w:vAlign w:val="bottom"/>
            <w:gridSpan w:val="2"/>
          </w:tcPr>
          <w:p>
            <w:pPr>
              <w:spacing w:after="0"/>
              <w:rPr>
                <w:sz w:val="20"/>
                <w:szCs w:val="20"/>
                <w:color w:val="auto"/>
              </w:rPr>
            </w:pPr>
            <w:r>
              <w:rPr>
                <w:rFonts w:ascii="Arial" w:cs="Arial" w:eastAsia="Arial" w:hAnsi="Arial"/>
                <w:sz w:val="20"/>
                <w:szCs w:val="20"/>
                <w:color w:val="auto"/>
              </w:rPr>
              <w:t>Aggregates (in millions):</w:t>
            </w:r>
          </w:p>
        </w:tc>
        <w:tc>
          <w:tcPr>
            <w:tcW w:w="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8820" w:type="dxa"/>
            <w:vAlign w:val="bottom"/>
            <w:gridSpan w:val="2"/>
            <w:shd w:val="clear" w:color="auto" w:fill="CFF0FC"/>
          </w:tcPr>
          <w:p>
            <w:pPr>
              <w:ind w:left="260"/>
              <w:spacing w:after="0"/>
              <w:rPr>
                <w:sz w:val="20"/>
                <w:szCs w:val="20"/>
                <w:color w:val="auto"/>
              </w:rPr>
            </w:pPr>
            <w:r>
              <w:rPr>
                <w:rFonts w:ascii="Arial" w:cs="Arial" w:eastAsia="Arial" w:hAnsi="Arial"/>
                <w:sz w:val="20"/>
                <w:szCs w:val="20"/>
                <w:color w:val="auto"/>
              </w:rPr>
              <w:t>Tons to external customers</w:t>
            </w:r>
          </w:p>
        </w:tc>
        <w:tc>
          <w:tcPr>
            <w:tcW w:w="4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83.9</w:t>
            </w:r>
          </w:p>
        </w:tc>
        <w:tc>
          <w:tcPr>
            <w:tcW w:w="28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85.8</w:t>
            </w:r>
          </w:p>
        </w:tc>
        <w:tc>
          <w:tcPr>
            <w:tcW w:w="100" w:type="dxa"/>
            <w:vAlign w:val="bottom"/>
            <w:shd w:val="clear" w:color="auto" w:fill="CFF0FC"/>
          </w:tcPr>
          <w:p>
            <w:pPr>
              <w:spacing w:after="0"/>
              <w:rPr>
                <w:sz w:val="21"/>
                <w:szCs w:val="21"/>
                <w:color w:val="auto"/>
              </w:rPr>
            </w:pPr>
          </w:p>
        </w:tc>
      </w:tr>
      <w:tr>
        <w:trPr>
          <w:trHeight w:val="243"/>
        </w:trPr>
        <w:tc>
          <w:tcPr>
            <w:tcW w:w="8820" w:type="dxa"/>
            <w:vAlign w:val="bottom"/>
            <w:gridSpan w:val="2"/>
          </w:tcPr>
          <w:p>
            <w:pPr>
              <w:ind w:left="260"/>
              <w:spacing w:after="0"/>
              <w:rPr>
                <w:sz w:val="20"/>
                <w:szCs w:val="20"/>
                <w:color w:val="auto"/>
              </w:rPr>
            </w:pPr>
            <w:r>
              <w:rPr>
                <w:rFonts w:ascii="Arial" w:cs="Arial" w:eastAsia="Arial" w:hAnsi="Arial"/>
                <w:sz w:val="20"/>
                <w:szCs w:val="20"/>
                <w:color w:val="auto"/>
              </w:rPr>
              <w:t>Internal tons used in other product lines</w:t>
            </w:r>
          </w:p>
        </w:tc>
        <w:tc>
          <w:tcPr>
            <w:tcW w:w="480" w:type="dxa"/>
            <w:vAlign w:val="bottom"/>
          </w:tcPr>
          <w:p>
            <w:pPr>
              <w:jc w:val="right"/>
              <w:spacing w:after="0"/>
              <w:rPr>
                <w:sz w:val="20"/>
                <w:szCs w:val="20"/>
                <w:color w:val="auto"/>
              </w:rPr>
            </w:pPr>
            <w:r>
              <w:rPr>
                <w:rFonts w:ascii="Arial" w:cs="Arial" w:eastAsia="Arial" w:hAnsi="Arial"/>
                <w:sz w:val="20"/>
                <w:szCs w:val="20"/>
                <w:color w:val="auto"/>
              </w:rPr>
              <w:t>5.6</w:t>
            </w:r>
          </w:p>
        </w:tc>
        <w:tc>
          <w:tcPr>
            <w:tcW w:w="2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4.7</w:t>
            </w:r>
          </w:p>
        </w:tc>
        <w:tc>
          <w:tcPr>
            <w:tcW w:w="100" w:type="dxa"/>
            <w:vAlign w:val="bottom"/>
          </w:tcPr>
          <w:p>
            <w:pPr>
              <w:spacing w:after="0"/>
              <w:rPr>
                <w:sz w:val="21"/>
                <w:szCs w:val="21"/>
                <w:color w:val="auto"/>
              </w:rPr>
            </w:pPr>
          </w:p>
        </w:tc>
      </w:tr>
      <w:tr>
        <w:trPr>
          <w:trHeight w:val="237"/>
        </w:trPr>
        <w:tc>
          <w:tcPr>
            <w:tcW w:w="77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Total aggregates tons</w:t>
            </w:r>
          </w:p>
        </w:tc>
        <w:tc>
          <w:tcPr>
            <w:tcW w:w="1080" w:type="dxa"/>
            <w:vAlign w:val="bottom"/>
            <w:tcBorders>
              <w:top w:val="single" w:sz="8" w:color="auto"/>
              <w:bottom w:val="single" w:sz="8" w:color="auto"/>
            </w:tcBorders>
            <w:shd w:val="clear" w:color="auto" w:fill="CFF0FC"/>
          </w:tcPr>
          <w:p>
            <w:pPr>
              <w:spacing w:after="0"/>
              <w:rPr>
                <w:sz w:val="20"/>
                <w:szCs w:val="20"/>
                <w:color w:val="auto"/>
              </w:rPr>
            </w:pP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89.5</w:t>
            </w:r>
          </w:p>
        </w:tc>
        <w:tc>
          <w:tcPr>
            <w:tcW w:w="280" w:type="dxa"/>
            <w:vAlign w:val="bottom"/>
            <w:tcBorders>
              <w:top w:val="single" w:sz="8" w:color="CFF0FC"/>
              <w:bottom w:val="single" w:sz="8" w:color="CFF0FC"/>
            </w:tcBorders>
            <w:shd w:val="clear" w:color="auto" w:fill="CFF0FC"/>
          </w:tcPr>
          <w:p>
            <w:pPr>
              <w:spacing w:after="0"/>
              <w:rPr>
                <w:sz w:val="20"/>
                <w:szCs w:val="20"/>
                <w:color w:val="auto"/>
              </w:rPr>
            </w:pP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90.5</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r>
      <w:tr>
        <w:trPr>
          <w:trHeight w:val="20"/>
        </w:trPr>
        <w:tc>
          <w:tcPr>
            <w:tcW w:w="77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77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882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Cement (in millions):</w:t>
            </w:r>
          </w:p>
        </w:tc>
        <w:tc>
          <w:tcPr>
            <w:tcW w:w="4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5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8820" w:type="dxa"/>
            <w:vAlign w:val="bottom"/>
            <w:gridSpan w:val="2"/>
          </w:tcPr>
          <w:p>
            <w:pPr>
              <w:ind w:left="140"/>
              <w:spacing w:after="0"/>
              <w:rPr>
                <w:sz w:val="20"/>
                <w:szCs w:val="20"/>
                <w:color w:val="auto"/>
              </w:rPr>
            </w:pPr>
            <w:r>
              <w:rPr>
                <w:rFonts w:ascii="Arial" w:cs="Arial" w:eastAsia="Arial" w:hAnsi="Arial"/>
                <w:sz w:val="20"/>
                <w:szCs w:val="20"/>
                <w:color w:val="auto"/>
              </w:rPr>
              <w:t>Tons to external customers</w:t>
            </w:r>
          </w:p>
        </w:tc>
        <w:tc>
          <w:tcPr>
            <w:tcW w:w="480" w:type="dxa"/>
            <w:vAlign w:val="bottom"/>
          </w:tcPr>
          <w:p>
            <w:pPr>
              <w:jc w:val="right"/>
              <w:spacing w:after="0"/>
              <w:rPr>
                <w:sz w:val="20"/>
                <w:szCs w:val="20"/>
                <w:color w:val="auto"/>
              </w:rPr>
            </w:pPr>
            <w:r>
              <w:rPr>
                <w:rFonts w:ascii="Arial" w:cs="Arial" w:eastAsia="Arial" w:hAnsi="Arial"/>
                <w:sz w:val="20"/>
                <w:szCs w:val="20"/>
                <w:color w:val="auto"/>
              </w:rPr>
              <w:t>1.3</w:t>
            </w:r>
          </w:p>
        </w:tc>
        <w:tc>
          <w:tcPr>
            <w:tcW w:w="2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1.3</w:t>
            </w:r>
          </w:p>
        </w:tc>
        <w:tc>
          <w:tcPr>
            <w:tcW w:w="100" w:type="dxa"/>
            <w:vAlign w:val="bottom"/>
          </w:tcPr>
          <w:p>
            <w:pPr>
              <w:spacing w:after="0"/>
              <w:rPr>
                <w:sz w:val="21"/>
                <w:szCs w:val="21"/>
                <w:color w:val="auto"/>
              </w:rPr>
            </w:pPr>
          </w:p>
        </w:tc>
      </w:tr>
      <w:tr>
        <w:trPr>
          <w:trHeight w:val="243"/>
        </w:trPr>
        <w:tc>
          <w:tcPr>
            <w:tcW w:w="8820" w:type="dxa"/>
            <w:vAlign w:val="bottom"/>
            <w:gridSpan w:val="2"/>
            <w:shd w:val="clear" w:color="auto" w:fill="CFF0FC"/>
          </w:tcPr>
          <w:p>
            <w:pPr>
              <w:ind w:left="140"/>
              <w:spacing w:after="0"/>
              <w:rPr>
                <w:sz w:val="20"/>
                <w:szCs w:val="20"/>
                <w:color w:val="auto"/>
              </w:rPr>
            </w:pPr>
            <w:r>
              <w:rPr>
                <w:rFonts w:ascii="Arial" w:cs="Arial" w:eastAsia="Arial" w:hAnsi="Arial"/>
                <w:sz w:val="20"/>
                <w:szCs w:val="20"/>
                <w:color w:val="auto"/>
              </w:rPr>
              <w:t>Internal tons used in ready mixed concrete</w:t>
            </w:r>
          </w:p>
        </w:tc>
        <w:tc>
          <w:tcPr>
            <w:tcW w:w="4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0.6</w:t>
            </w:r>
          </w:p>
        </w:tc>
        <w:tc>
          <w:tcPr>
            <w:tcW w:w="28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0.6</w:t>
            </w:r>
          </w:p>
        </w:tc>
        <w:tc>
          <w:tcPr>
            <w:tcW w:w="100" w:type="dxa"/>
            <w:vAlign w:val="bottom"/>
            <w:shd w:val="clear" w:color="auto" w:fill="CFF0FC"/>
          </w:tcPr>
          <w:p>
            <w:pPr>
              <w:spacing w:after="0"/>
              <w:rPr>
                <w:sz w:val="21"/>
                <w:szCs w:val="21"/>
                <w:color w:val="auto"/>
              </w:rPr>
            </w:pPr>
          </w:p>
        </w:tc>
      </w:tr>
      <w:tr>
        <w:trPr>
          <w:trHeight w:val="277"/>
        </w:trPr>
        <w:tc>
          <w:tcPr>
            <w:tcW w:w="7740" w:type="dxa"/>
            <w:vAlign w:val="bottom"/>
            <w:tcBorders>
              <w:bottom w:val="single" w:sz="8" w:color="CFF0FC"/>
            </w:tcBorders>
          </w:tcPr>
          <w:p>
            <w:pPr>
              <w:spacing w:after="0"/>
              <w:rPr>
                <w:sz w:val="20"/>
                <w:szCs w:val="20"/>
                <w:color w:val="auto"/>
              </w:rPr>
            </w:pPr>
            <w:r>
              <w:rPr>
                <w:rFonts w:ascii="Arial" w:cs="Arial" w:eastAsia="Arial" w:hAnsi="Arial"/>
                <w:sz w:val="20"/>
                <w:szCs w:val="20"/>
                <w:color w:val="auto"/>
              </w:rPr>
              <w:t>Total cement tons</w:t>
            </w:r>
          </w:p>
        </w:tc>
        <w:tc>
          <w:tcPr>
            <w:tcW w:w="1080" w:type="dxa"/>
            <w:vAlign w:val="bottom"/>
            <w:tcBorders>
              <w:top w:val="single" w:sz="8" w:color="auto"/>
              <w:bottom w:val="single" w:sz="8" w:color="auto"/>
            </w:tcBorders>
          </w:tcPr>
          <w:p>
            <w:pPr>
              <w:spacing w:after="0"/>
              <w:rPr>
                <w:sz w:val="24"/>
                <w:szCs w:val="24"/>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1.9</w:t>
            </w:r>
          </w:p>
        </w:tc>
        <w:tc>
          <w:tcPr>
            <w:tcW w:w="280" w:type="dxa"/>
            <w:vAlign w:val="bottom"/>
            <w:tcBorders>
              <w:bottom w:val="single" w:sz="8" w:color="CFF0FC"/>
            </w:tcBorders>
          </w:tcPr>
          <w:p>
            <w:pPr>
              <w:spacing w:after="0"/>
              <w:rPr>
                <w:sz w:val="24"/>
                <w:szCs w:val="24"/>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1.9</w:t>
            </w:r>
          </w:p>
        </w:tc>
        <w:tc>
          <w:tcPr>
            <w:tcW w:w="100" w:type="dxa"/>
            <w:vAlign w:val="bottom"/>
            <w:tcBorders>
              <w:bottom w:val="single" w:sz="8" w:color="CFF0FC"/>
            </w:tcBorders>
          </w:tcPr>
          <w:p>
            <w:pPr>
              <w:spacing w:after="0"/>
              <w:rPr>
                <w:sz w:val="24"/>
                <w:szCs w:val="24"/>
                <w:color w:val="auto"/>
              </w:rPr>
            </w:pPr>
          </w:p>
        </w:tc>
      </w:tr>
      <w:tr>
        <w:trPr>
          <w:trHeight w:val="223"/>
        </w:trPr>
        <w:tc>
          <w:tcPr>
            <w:tcW w:w="77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83"/>
        </w:trPr>
        <w:tc>
          <w:tcPr>
            <w:tcW w:w="8820" w:type="dxa"/>
            <w:vAlign w:val="bottom"/>
            <w:gridSpan w:val="2"/>
          </w:tcPr>
          <w:p>
            <w:pPr>
              <w:spacing w:after="0"/>
              <w:rPr>
                <w:sz w:val="20"/>
                <w:szCs w:val="20"/>
                <w:color w:val="auto"/>
              </w:rPr>
            </w:pPr>
            <w:r>
              <w:rPr>
                <w:rFonts w:ascii="Arial" w:cs="Arial" w:eastAsia="Arial" w:hAnsi="Arial"/>
                <w:sz w:val="20"/>
                <w:szCs w:val="20"/>
                <w:color w:val="auto"/>
              </w:rPr>
              <w:t>Ready Mixed Concrete (in millions of cubic yards)</w:t>
            </w:r>
          </w:p>
        </w:tc>
        <w:tc>
          <w:tcPr>
            <w:tcW w:w="480" w:type="dxa"/>
            <w:vAlign w:val="bottom"/>
          </w:tcPr>
          <w:p>
            <w:pPr>
              <w:jc w:val="right"/>
              <w:spacing w:after="0"/>
              <w:rPr>
                <w:sz w:val="20"/>
                <w:szCs w:val="20"/>
                <w:color w:val="auto"/>
              </w:rPr>
            </w:pPr>
            <w:r>
              <w:rPr>
                <w:rFonts w:ascii="Arial" w:cs="Arial" w:eastAsia="Arial" w:hAnsi="Arial"/>
                <w:sz w:val="20"/>
                <w:szCs w:val="20"/>
                <w:color w:val="auto"/>
              </w:rPr>
              <w:t>3.8</w:t>
            </w:r>
          </w:p>
        </w:tc>
        <w:tc>
          <w:tcPr>
            <w:tcW w:w="28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4.1</w:t>
            </w:r>
          </w:p>
        </w:tc>
        <w:tc>
          <w:tcPr>
            <w:tcW w:w="100" w:type="dxa"/>
            <w:vAlign w:val="bottom"/>
          </w:tcPr>
          <w:p>
            <w:pPr>
              <w:spacing w:after="0"/>
              <w:rPr>
                <w:sz w:val="24"/>
                <w:szCs w:val="24"/>
                <w:color w:val="auto"/>
              </w:rPr>
            </w:pPr>
          </w:p>
        </w:tc>
      </w:tr>
      <w:tr>
        <w:trPr>
          <w:trHeight w:val="223"/>
        </w:trPr>
        <w:tc>
          <w:tcPr>
            <w:tcW w:w="774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5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43"/>
        </w:trPr>
        <w:tc>
          <w:tcPr>
            <w:tcW w:w="8820" w:type="dxa"/>
            <w:vAlign w:val="bottom"/>
            <w:gridSpan w:val="2"/>
          </w:tcPr>
          <w:p>
            <w:pPr>
              <w:spacing w:after="0"/>
              <w:rPr>
                <w:sz w:val="20"/>
                <w:szCs w:val="20"/>
                <w:color w:val="auto"/>
              </w:rPr>
            </w:pPr>
            <w:r>
              <w:rPr>
                <w:rFonts w:ascii="Arial" w:cs="Arial" w:eastAsia="Arial" w:hAnsi="Arial"/>
                <w:sz w:val="20"/>
                <w:szCs w:val="20"/>
                <w:color w:val="auto"/>
              </w:rPr>
              <w:t>Asphalt (in millions):</w:t>
            </w:r>
          </w:p>
        </w:tc>
        <w:tc>
          <w:tcPr>
            <w:tcW w:w="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8820" w:type="dxa"/>
            <w:vAlign w:val="bottom"/>
            <w:gridSpan w:val="2"/>
            <w:shd w:val="clear" w:color="auto" w:fill="CFF0FC"/>
          </w:tcPr>
          <w:p>
            <w:pPr>
              <w:ind w:left="260"/>
              <w:spacing w:after="0"/>
              <w:rPr>
                <w:sz w:val="20"/>
                <w:szCs w:val="20"/>
                <w:color w:val="auto"/>
              </w:rPr>
            </w:pPr>
            <w:r>
              <w:rPr>
                <w:rFonts w:ascii="Arial" w:cs="Arial" w:eastAsia="Arial" w:hAnsi="Arial"/>
                <w:sz w:val="20"/>
                <w:szCs w:val="20"/>
                <w:color w:val="auto"/>
              </w:rPr>
              <w:t>Tons to external customers</w:t>
            </w:r>
          </w:p>
        </w:tc>
        <w:tc>
          <w:tcPr>
            <w:tcW w:w="4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0.3</w:t>
            </w:r>
          </w:p>
        </w:tc>
        <w:tc>
          <w:tcPr>
            <w:tcW w:w="28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0.3</w:t>
            </w:r>
          </w:p>
        </w:tc>
        <w:tc>
          <w:tcPr>
            <w:tcW w:w="100" w:type="dxa"/>
            <w:vAlign w:val="bottom"/>
            <w:shd w:val="clear" w:color="auto" w:fill="CFF0FC"/>
          </w:tcPr>
          <w:p>
            <w:pPr>
              <w:spacing w:after="0"/>
              <w:rPr>
                <w:sz w:val="21"/>
                <w:szCs w:val="21"/>
                <w:color w:val="auto"/>
              </w:rPr>
            </w:pPr>
          </w:p>
        </w:tc>
      </w:tr>
      <w:tr>
        <w:trPr>
          <w:trHeight w:val="243"/>
        </w:trPr>
        <w:tc>
          <w:tcPr>
            <w:tcW w:w="8820" w:type="dxa"/>
            <w:vAlign w:val="bottom"/>
            <w:gridSpan w:val="2"/>
          </w:tcPr>
          <w:p>
            <w:pPr>
              <w:ind w:left="260"/>
              <w:spacing w:after="0"/>
              <w:rPr>
                <w:sz w:val="20"/>
                <w:szCs w:val="20"/>
                <w:color w:val="auto"/>
              </w:rPr>
            </w:pPr>
            <w:r>
              <w:rPr>
                <w:rFonts w:ascii="Arial" w:cs="Arial" w:eastAsia="Arial" w:hAnsi="Arial"/>
                <w:sz w:val="20"/>
                <w:szCs w:val="20"/>
                <w:color w:val="auto"/>
              </w:rPr>
              <w:t>Internal tons used in paving business</w:t>
            </w:r>
          </w:p>
        </w:tc>
        <w:tc>
          <w:tcPr>
            <w:tcW w:w="480" w:type="dxa"/>
            <w:vAlign w:val="bottom"/>
          </w:tcPr>
          <w:p>
            <w:pPr>
              <w:jc w:val="right"/>
              <w:spacing w:after="0"/>
              <w:rPr>
                <w:sz w:val="20"/>
                <w:szCs w:val="20"/>
                <w:color w:val="auto"/>
              </w:rPr>
            </w:pPr>
            <w:r>
              <w:rPr>
                <w:rFonts w:ascii="Arial" w:cs="Arial" w:eastAsia="Arial" w:hAnsi="Arial"/>
                <w:sz w:val="20"/>
                <w:szCs w:val="20"/>
                <w:color w:val="auto"/>
              </w:rPr>
              <w:t>1.0</w:t>
            </w:r>
          </w:p>
        </w:tc>
        <w:tc>
          <w:tcPr>
            <w:tcW w:w="2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0.6</w:t>
            </w:r>
          </w:p>
        </w:tc>
        <w:tc>
          <w:tcPr>
            <w:tcW w:w="100" w:type="dxa"/>
            <w:vAlign w:val="bottom"/>
          </w:tcPr>
          <w:p>
            <w:pPr>
              <w:spacing w:after="0"/>
              <w:rPr>
                <w:sz w:val="21"/>
                <w:szCs w:val="21"/>
                <w:color w:val="auto"/>
              </w:rPr>
            </w:pPr>
          </w:p>
        </w:tc>
      </w:tr>
      <w:tr>
        <w:trPr>
          <w:trHeight w:val="236"/>
        </w:trPr>
        <w:tc>
          <w:tcPr>
            <w:tcW w:w="77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Total asphalt tons</w:t>
            </w:r>
          </w:p>
        </w:tc>
        <w:tc>
          <w:tcPr>
            <w:tcW w:w="1080" w:type="dxa"/>
            <w:vAlign w:val="bottom"/>
            <w:tcBorders>
              <w:top w:val="single" w:sz="8" w:color="auto"/>
              <w:bottom w:val="single" w:sz="8" w:color="auto"/>
            </w:tcBorders>
            <w:shd w:val="clear" w:color="auto" w:fill="CFF0FC"/>
          </w:tcPr>
          <w:p>
            <w:pPr>
              <w:spacing w:after="0"/>
              <w:rPr>
                <w:sz w:val="20"/>
                <w:szCs w:val="20"/>
                <w:color w:val="auto"/>
              </w:rPr>
            </w:pP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1.3</w:t>
            </w:r>
          </w:p>
        </w:tc>
        <w:tc>
          <w:tcPr>
            <w:tcW w:w="280" w:type="dxa"/>
            <w:vAlign w:val="bottom"/>
            <w:tcBorders>
              <w:top w:val="single" w:sz="8" w:color="CFF0FC"/>
              <w:bottom w:val="single" w:sz="8" w:color="CFF0FC"/>
            </w:tcBorders>
            <w:shd w:val="clear" w:color="auto" w:fill="CFF0FC"/>
          </w:tcPr>
          <w:p>
            <w:pPr>
              <w:spacing w:after="0"/>
              <w:rPr>
                <w:sz w:val="20"/>
                <w:szCs w:val="20"/>
                <w:color w:val="auto"/>
              </w:rPr>
            </w:pP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0.9</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r>
      <w:tr>
        <w:trPr>
          <w:trHeight w:val="20"/>
        </w:trPr>
        <w:tc>
          <w:tcPr>
            <w:tcW w:w="77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20"/>
          <w:szCs w:val="20"/>
          <w:color w:val="auto"/>
        </w:rPr>
        <w:t>The average selling price by product line for the Building Materials business is as follows: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380" w:type="dxa"/>
            <w:vAlign w:val="bottom"/>
            <w:gridSpan w:val="4"/>
          </w:tcPr>
          <w:p>
            <w:pPr>
              <w:jc w:val="center"/>
              <w:ind w:right="380"/>
              <w:spacing w:after="0"/>
              <w:rPr>
                <w:sz w:val="20"/>
                <w:szCs w:val="20"/>
                <w:color w:val="auto"/>
              </w:rPr>
            </w:pPr>
            <w:r>
              <w:rPr>
                <w:rFonts w:ascii="Arial" w:cs="Arial" w:eastAsia="Arial" w:hAnsi="Arial"/>
                <w:sz w:val="20"/>
                <w:szCs w:val="20"/>
                <w:color w:val="auto"/>
                <w:w w:val="91"/>
              </w:rPr>
              <w:t>Six Months Ended</w:t>
            </w:r>
          </w:p>
        </w:tc>
        <w:tc>
          <w:tcPr>
            <w:tcW w:w="1320" w:type="dxa"/>
            <w:vAlign w:val="bottom"/>
          </w:tcPr>
          <w:p>
            <w:pPr>
              <w:spacing w:after="0"/>
              <w:rPr>
                <w:sz w:val="21"/>
                <w:szCs w:val="21"/>
                <w:color w:val="auto"/>
              </w:rPr>
            </w:pPr>
          </w:p>
        </w:tc>
        <w:tc>
          <w:tcPr>
            <w:tcW w:w="260" w:type="dxa"/>
            <w:vAlign w:val="bottom"/>
          </w:tcPr>
          <w:p>
            <w:pPr>
              <w:spacing w:after="0"/>
              <w:rPr>
                <w:sz w:val="21"/>
                <w:szCs w:val="21"/>
                <w:color w:val="auto"/>
              </w:rPr>
            </w:pPr>
          </w:p>
        </w:tc>
      </w:tr>
      <w:tr>
        <w:trPr>
          <w:trHeight w:val="246"/>
        </w:trPr>
        <w:tc>
          <w:tcPr>
            <w:tcW w:w="4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gridSpan w:val="2"/>
          </w:tcPr>
          <w:p>
            <w:pPr>
              <w:jc w:val="center"/>
              <w:ind w:right="940"/>
              <w:spacing w:after="0"/>
              <w:rPr>
                <w:sz w:val="20"/>
                <w:szCs w:val="20"/>
                <w:color w:val="auto"/>
              </w:rPr>
            </w:pPr>
            <w:r>
              <w:rPr>
                <w:rFonts w:ascii="Arial" w:cs="Arial" w:eastAsia="Arial" w:hAnsi="Arial"/>
                <w:sz w:val="20"/>
                <w:szCs w:val="20"/>
                <w:color w:val="auto"/>
                <w:w w:val="85"/>
              </w:rPr>
              <w:t>June 30,</w:t>
            </w:r>
          </w:p>
        </w:tc>
        <w:tc>
          <w:tcPr>
            <w:tcW w:w="132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r>
      <w:tr>
        <w:trPr>
          <w:trHeight w:val="237"/>
        </w:trPr>
        <w:tc>
          <w:tcPr>
            <w:tcW w:w="4360" w:type="dxa"/>
            <w:vAlign w:val="bottom"/>
            <w:tcBorders>
              <w:bottom w:val="single" w:sz="8" w:color="CFF0FC"/>
            </w:tcBorders>
          </w:tcPr>
          <w:p>
            <w:pPr>
              <w:spacing w:after="0"/>
              <w:rPr>
                <w:sz w:val="20"/>
                <w:szCs w:val="20"/>
                <w:color w:val="auto"/>
              </w:rPr>
            </w:pPr>
          </w:p>
        </w:tc>
        <w:tc>
          <w:tcPr>
            <w:tcW w:w="1220" w:type="dxa"/>
            <w:vAlign w:val="bottom"/>
            <w:tcBorders>
              <w:bottom w:val="single" w:sz="8" w:color="CFF0FC"/>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2020</w:t>
            </w:r>
          </w:p>
        </w:tc>
        <w:tc>
          <w:tcPr>
            <w:tcW w:w="600" w:type="dxa"/>
            <w:vAlign w:val="bottom"/>
            <w:tcBorders>
              <w:bottom w:val="single" w:sz="8" w:color="auto"/>
            </w:tcBorders>
          </w:tcPr>
          <w:p>
            <w:pPr>
              <w:spacing w:after="0"/>
              <w:rPr>
                <w:sz w:val="20"/>
                <w:szCs w:val="20"/>
                <w:color w:val="auto"/>
              </w:rPr>
            </w:pPr>
          </w:p>
        </w:tc>
        <w:tc>
          <w:tcPr>
            <w:tcW w:w="30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61"/>
              <w:spacing w:after="0"/>
              <w:rPr>
                <w:sz w:val="20"/>
                <w:szCs w:val="20"/>
                <w:color w:val="auto"/>
              </w:rPr>
            </w:pPr>
            <w:r>
              <w:rPr>
                <w:rFonts w:ascii="Arial" w:cs="Arial" w:eastAsia="Arial" w:hAnsi="Arial"/>
                <w:sz w:val="20"/>
                <w:szCs w:val="20"/>
                <w:color w:val="auto"/>
              </w:rPr>
              <w:t>2019</w:t>
            </w:r>
          </w:p>
        </w:tc>
        <w:tc>
          <w:tcPr>
            <w:tcW w:w="380" w:type="dxa"/>
            <w:vAlign w:val="bottom"/>
            <w:tcBorders>
              <w:bottom w:val="single" w:sz="8" w:color="CFF0FC"/>
            </w:tcBorders>
          </w:tcPr>
          <w:p>
            <w:pPr>
              <w:spacing w:after="0"/>
              <w:rPr>
                <w:sz w:val="20"/>
                <w:szCs w:val="20"/>
                <w:color w:val="auto"/>
              </w:rPr>
            </w:pPr>
          </w:p>
        </w:tc>
        <w:tc>
          <w:tcPr>
            <w:tcW w:w="1320" w:type="dxa"/>
            <w:vAlign w:val="bottom"/>
            <w:tcBorders>
              <w:bottom w:val="single" w:sz="8" w:color="auto"/>
            </w:tcBorders>
          </w:tcPr>
          <w:p>
            <w:pPr>
              <w:ind w:left="240"/>
              <w:spacing w:after="0"/>
              <w:rPr>
                <w:sz w:val="20"/>
                <w:szCs w:val="20"/>
                <w:color w:val="auto"/>
              </w:rPr>
            </w:pPr>
            <w:r>
              <w:rPr>
                <w:rFonts w:ascii="Arial" w:cs="Arial" w:eastAsia="Arial" w:hAnsi="Arial"/>
                <w:sz w:val="20"/>
                <w:szCs w:val="20"/>
                <w:color w:val="auto"/>
              </w:rPr>
              <w:t>% Change</w:t>
            </w:r>
          </w:p>
        </w:tc>
        <w:tc>
          <w:tcPr>
            <w:tcW w:w="260" w:type="dxa"/>
            <w:vAlign w:val="bottom"/>
            <w:tcBorders>
              <w:bottom w:val="single" w:sz="8" w:color="CFF0FC"/>
            </w:tcBorders>
          </w:tcPr>
          <w:p>
            <w:pPr>
              <w:spacing w:after="0"/>
              <w:rPr>
                <w:sz w:val="20"/>
                <w:szCs w:val="20"/>
                <w:color w:val="auto"/>
              </w:rPr>
            </w:pPr>
          </w:p>
        </w:tc>
      </w:tr>
      <w:tr>
        <w:trPr>
          <w:trHeight w:val="236"/>
        </w:trPr>
        <w:tc>
          <w:tcPr>
            <w:tcW w:w="4360" w:type="dxa"/>
            <w:vAlign w:val="bottom"/>
            <w:shd w:val="clear" w:color="auto" w:fill="CFF0FC"/>
          </w:tcPr>
          <w:p>
            <w:pPr>
              <w:spacing w:after="0"/>
              <w:rPr>
                <w:sz w:val="20"/>
                <w:szCs w:val="20"/>
                <w:color w:val="auto"/>
              </w:rPr>
            </w:pPr>
            <w:r>
              <w:rPr>
                <w:rFonts w:ascii="Arial" w:cs="Arial" w:eastAsia="Arial" w:hAnsi="Arial"/>
                <w:sz w:val="20"/>
                <w:szCs w:val="20"/>
                <w:color w:val="auto"/>
              </w:rPr>
              <w:t>Aggregates (per ton)</w:t>
            </w:r>
          </w:p>
        </w:tc>
        <w:tc>
          <w:tcPr>
            <w:tcW w:w="1220" w:type="dxa"/>
            <w:vAlign w:val="bottom"/>
            <w:shd w:val="clear" w:color="auto" w:fill="CFF0FC"/>
          </w:tcPr>
          <w:p>
            <w:pPr>
              <w:spacing w:after="0"/>
              <w:rPr>
                <w:sz w:val="20"/>
                <w:szCs w:val="20"/>
                <w:color w:val="auto"/>
              </w:rPr>
            </w:pPr>
          </w:p>
        </w:tc>
        <w:tc>
          <w:tcPr>
            <w:tcW w:w="1100" w:type="dxa"/>
            <w:vAlign w:val="bottom"/>
            <w:shd w:val="clear" w:color="auto" w:fill="CFF0FC"/>
          </w:tcPr>
          <w:p>
            <w:pPr>
              <w:jc w:val="right"/>
              <w:ind w:right="901"/>
              <w:spacing w:after="0"/>
              <w:rPr>
                <w:sz w:val="20"/>
                <w:szCs w:val="20"/>
                <w:color w:val="auto"/>
              </w:rPr>
            </w:pPr>
            <w:r>
              <w:rPr>
                <w:rFonts w:ascii="Arial" w:cs="Arial" w:eastAsia="Arial" w:hAnsi="Arial"/>
                <w:sz w:val="20"/>
                <w:szCs w:val="20"/>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14.72</w:t>
            </w:r>
          </w:p>
        </w:tc>
        <w:tc>
          <w:tcPr>
            <w:tcW w:w="30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71"/>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14.28</w:t>
            </w:r>
          </w:p>
        </w:tc>
        <w:tc>
          <w:tcPr>
            <w:tcW w:w="380" w:type="dxa"/>
            <w:vAlign w:val="bottom"/>
            <w:shd w:val="clear" w:color="auto" w:fill="CFF0FC"/>
          </w:tcPr>
          <w:p>
            <w:pPr>
              <w:spacing w:after="0"/>
              <w:rPr>
                <w:sz w:val="20"/>
                <w:szCs w:val="20"/>
                <w:color w:val="auto"/>
              </w:rPr>
            </w:pPr>
          </w:p>
        </w:tc>
        <w:tc>
          <w:tcPr>
            <w:tcW w:w="1580" w:type="dxa"/>
            <w:vAlign w:val="bottom"/>
            <w:gridSpan w:val="2"/>
            <w:shd w:val="clear" w:color="auto" w:fill="CFF0FC"/>
          </w:tcPr>
          <w:p>
            <w:pPr>
              <w:jc w:val="right"/>
              <w:ind w:right="100"/>
              <w:spacing w:after="0"/>
              <w:rPr>
                <w:sz w:val="20"/>
                <w:szCs w:val="20"/>
                <w:color w:val="auto"/>
              </w:rPr>
            </w:pPr>
            <w:r>
              <w:rPr>
                <w:rFonts w:ascii="Arial" w:cs="Arial" w:eastAsia="Arial" w:hAnsi="Arial"/>
                <w:sz w:val="20"/>
                <w:szCs w:val="20"/>
                <w:color w:val="auto"/>
              </w:rPr>
              <w:t>3.1%</w:t>
            </w:r>
          </w:p>
        </w:tc>
      </w:tr>
      <w:tr>
        <w:trPr>
          <w:trHeight w:val="243"/>
        </w:trPr>
        <w:tc>
          <w:tcPr>
            <w:tcW w:w="4360" w:type="dxa"/>
            <w:vAlign w:val="bottom"/>
          </w:tcPr>
          <w:p>
            <w:pPr>
              <w:spacing w:after="0"/>
              <w:rPr>
                <w:sz w:val="20"/>
                <w:szCs w:val="20"/>
                <w:color w:val="auto"/>
              </w:rPr>
            </w:pPr>
            <w:r>
              <w:rPr>
                <w:rFonts w:ascii="Arial" w:cs="Arial" w:eastAsia="Arial" w:hAnsi="Arial"/>
                <w:sz w:val="20"/>
                <w:szCs w:val="20"/>
                <w:color w:val="auto"/>
              </w:rPr>
              <w:t>Cement (per ton)</w:t>
            </w:r>
          </w:p>
        </w:tc>
        <w:tc>
          <w:tcPr>
            <w:tcW w:w="2320" w:type="dxa"/>
            <w:vAlign w:val="bottom"/>
            <w:gridSpan w:val="2"/>
          </w:tcPr>
          <w:p>
            <w:pPr>
              <w:jc w:val="right"/>
              <w:ind w:right="901"/>
              <w:spacing w:after="0"/>
              <w:rPr>
                <w:sz w:val="20"/>
                <w:szCs w:val="20"/>
                <w:color w:val="auto"/>
              </w:rPr>
            </w:pPr>
            <w:r>
              <w:rPr>
                <w:rFonts w:ascii="Arial" w:cs="Arial" w:eastAsia="Arial" w:hAnsi="Arial"/>
                <w:sz w:val="20"/>
                <w:szCs w:val="20"/>
                <w:color w:val="auto"/>
              </w:rPr>
              <w:t>$</w:t>
            </w:r>
          </w:p>
        </w:tc>
        <w:tc>
          <w:tcPr>
            <w:tcW w:w="600" w:type="dxa"/>
            <w:vAlign w:val="bottom"/>
          </w:tcPr>
          <w:p>
            <w:pPr>
              <w:jc w:val="right"/>
              <w:spacing w:after="0"/>
              <w:rPr>
                <w:sz w:val="20"/>
                <w:szCs w:val="20"/>
                <w:color w:val="auto"/>
              </w:rPr>
            </w:pPr>
            <w:r>
              <w:rPr>
                <w:rFonts w:ascii="Arial" w:cs="Arial" w:eastAsia="Arial" w:hAnsi="Arial"/>
                <w:sz w:val="20"/>
                <w:szCs w:val="20"/>
                <w:color w:val="auto"/>
                <w:w w:val="94"/>
              </w:rPr>
              <w:t>114.06</w:t>
            </w:r>
          </w:p>
        </w:tc>
        <w:tc>
          <w:tcPr>
            <w:tcW w:w="540" w:type="dxa"/>
            <w:vAlign w:val="bottom"/>
            <w:gridSpan w:val="2"/>
          </w:tcPr>
          <w:p>
            <w:pPr>
              <w:jc w:val="right"/>
              <w:ind w:right="41"/>
              <w:spacing w:after="0"/>
              <w:rPr>
                <w:sz w:val="20"/>
                <w:szCs w:val="20"/>
                <w:color w:val="auto"/>
              </w:rPr>
            </w:pPr>
            <w:r>
              <w:rPr>
                <w:rFonts w:ascii="Arial" w:cs="Arial" w:eastAsia="Arial" w:hAnsi="Arial"/>
                <w:sz w:val="20"/>
                <w:szCs w:val="20"/>
                <w:color w:val="auto"/>
              </w:rPr>
              <w:t>$</w:t>
            </w:r>
          </w:p>
        </w:tc>
        <w:tc>
          <w:tcPr>
            <w:tcW w:w="1460" w:type="dxa"/>
            <w:vAlign w:val="bottom"/>
          </w:tcPr>
          <w:p>
            <w:pPr>
              <w:jc w:val="right"/>
              <w:spacing w:after="0"/>
              <w:rPr>
                <w:sz w:val="20"/>
                <w:szCs w:val="20"/>
                <w:color w:val="auto"/>
              </w:rPr>
            </w:pPr>
            <w:r>
              <w:rPr>
                <w:rFonts w:ascii="Arial" w:cs="Arial" w:eastAsia="Arial" w:hAnsi="Arial"/>
                <w:sz w:val="20"/>
                <w:szCs w:val="20"/>
                <w:color w:val="auto"/>
              </w:rPr>
              <w:t>112.63</w:t>
            </w:r>
          </w:p>
        </w:tc>
        <w:tc>
          <w:tcPr>
            <w:tcW w:w="380" w:type="dxa"/>
            <w:vAlign w:val="bottom"/>
          </w:tcPr>
          <w:p>
            <w:pPr>
              <w:spacing w:after="0"/>
              <w:rPr>
                <w:sz w:val="21"/>
                <w:szCs w:val="21"/>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20"/>
                <w:szCs w:val="20"/>
                <w:color w:val="auto"/>
              </w:rPr>
              <w:t>1.3%</w:t>
            </w:r>
          </w:p>
        </w:tc>
      </w:tr>
      <w:tr>
        <w:trPr>
          <w:trHeight w:val="243"/>
        </w:trPr>
        <w:tc>
          <w:tcPr>
            <w:tcW w:w="4360" w:type="dxa"/>
            <w:vAlign w:val="bottom"/>
            <w:shd w:val="clear" w:color="auto" w:fill="CFF0FC"/>
          </w:tcPr>
          <w:p>
            <w:pPr>
              <w:spacing w:after="0"/>
              <w:rPr>
                <w:sz w:val="20"/>
                <w:szCs w:val="20"/>
                <w:color w:val="auto"/>
              </w:rPr>
            </w:pPr>
            <w:r>
              <w:rPr>
                <w:rFonts w:ascii="Arial" w:cs="Arial" w:eastAsia="Arial" w:hAnsi="Arial"/>
                <w:sz w:val="20"/>
                <w:szCs w:val="20"/>
                <w:color w:val="auto"/>
              </w:rPr>
              <w:t>Ready Mixed Concrete (per cubic yard)</w:t>
            </w:r>
          </w:p>
        </w:tc>
        <w:tc>
          <w:tcPr>
            <w:tcW w:w="2320" w:type="dxa"/>
            <w:vAlign w:val="bottom"/>
            <w:gridSpan w:val="2"/>
            <w:shd w:val="clear" w:color="auto" w:fill="CFF0FC"/>
          </w:tcPr>
          <w:p>
            <w:pPr>
              <w:jc w:val="right"/>
              <w:ind w:right="901"/>
              <w:spacing w:after="0"/>
              <w:rPr>
                <w:sz w:val="20"/>
                <w:szCs w:val="20"/>
                <w:color w:val="auto"/>
              </w:rPr>
            </w:pPr>
            <w:r>
              <w:rPr>
                <w:rFonts w:ascii="Arial" w:cs="Arial" w:eastAsia="Arial" w:hAnsi="Arial"/>
                <w:sz w:val="20"/>
                <w:szCs w:val="20"/>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20"/>
                <w:szCs w:val="20"/>
                <w:color w:val="auto"/>
                <w:w w:val="94"/>
              </w:rPr>
              <w:t>113.53</w:t>
            </w:r>
          </w:p>
        </w:tc>
        <w:tc>
          <w:tcPr>
            <w:tcW w:w="540" w:type="dxa"/>
            <w:vAlign w:val="bottom"/>
            <w:gridSpan w:val="2"/>
            <w:shd w:val="clear" w:color="auto" w:fill="CFF0FC"/>
          </w:tcPr>
          <w:p>
            <w:pPr>
              <w:jc w:val="right"/>
              <w:ind w:right="41"/>
              <w:spacing w:after="0"/>
              <w:rPr>
                <w:sz w:val="20"/>
                <w:szCs w:val="20"/>
                <w:color w:val="auto"/>
              </w:rPr>
            </w:pPr>
            <w:r>
              <w:rPr>
                <w:rFonts w:ascii="Arial" w:cs="Arial" w:eastAsia="Arial" w:hAnsi="Arial"/>
                <w:sz w:val="20"/>
                <w:szCs w:val="20"/>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110.40</w:t>
            </w:r>
          </w:p>
        </w:tc>
        <w:tc>
          <w:tcPr>
            <w:tcW w:w="380" w:type="dxa"/>
            <w:vAlign w:val="bottom"/>
            <w:shd w:val="clear" w:color="auto" w:fill="CFF0FC"/>
          </w:tcPr>
          <w:p>
            <w:pPr>
              <w:spacing w:after="0"/>
              <w:rPr>
                <w:sz w:val="21"/>
                <w:szCs w:val="21"/>
                <w:color w:val="auto"/>
              </w:rPr>
            </w:pPr>
          </w:p>
        </w:tc>
        <w:tc>
          <w:tcPr>
            <w:tcW w:w="1580" w:type="dxa"/>
            <w:vAlign w:val="bottom"/>
            <w:gridSpan w:val="2"/>
            <w:shd w:val="clear" w:color="auto" w:fill="CFF0FC"/>
          </w:tcPr>
          <w:p>
            <w:pPr>
              <w:jc w:val="right"/>
              <w:ind w:right="100"/>
              <w:spacing w:after="0"/>
              <w:rPr>
                <w:sz w:val="20"/>
                <w:szCs w:val="20"/>
                <w:color w:val="auto"/>
              </w:rPr>
            </w:pPr>
            <w:r>
              <w:rPr>
                <w:rFonts w:ascii="Arial" w:cs="Arial" w:eastAsia="Arial" w:hAnsi="Arial"/>
                <w:sz w:val="20"/>
                <w:szCs w:val="20"/>
                <w:color w:val="auto"/>
              </w:rPr>
              <w:t>2.8%</w:t>
            </w:r>
          </w:p>
        </w:tc>
      </w:tr>
      <w:tr>
        <w:trPr>
          <w:trHeight w:val="250"/>
        </w:trPr>
        <w:tc>
          <w:tcPr>
            <w:tcW w:w="4360" w:type="dxa"/>
            <w:vAlign w:val="bottom"/>
          </w:tcPr>
          <w:p>
            <w:pPr>
              <w:spacing w:after="0"/>
              <w:rPr>
                <w:sz w:val="20"/>
                <w:szCs w:val="20"/>
                <w:color w:val="auto"/>
              </w:rPr>
            </w:pPr>
            <w:r>
              <w:rPr>
                <w:rFonts w:ascii="Arial" w:cs="Arial" w:eastAsia="Arial" w:hAnsi="Arial"/>
                <w:sz w:val="20"/>
                <w:szCs w:val="20"/>
                <w:color w:val="auto"/>
              </w:rPr>
              <w:t>Asphalt (per ton)</w:t>
            </w:r>
          </w:p>
        </w:tc>
        <w:tc>
          <w:tcPr>
            <w:tcW w:w="2320" w:type="dxa"/>
            <w:vAlign w:val="bottom"/>
            <w:gridSpan w:val="2"/>
          </w:tcPr>
          <w:p>
            <w:pPr>
              <w:jc w:val="right"/>
              <w:ind w:right="901"/>
              <w:spacing w:after="0"/>
              <w:rPr>
                <w:sz w:val="20"/>
                <w:szCs w:val="20"/>
                <w:color w:val="auto"/>
              </w:rPr>
            </w:pPr>
            <w:r>
              <w:rPr>
                <w:rFonts w:ascii="Arial" w:cs="Arial" w:eastAsia="Arial" w:hAnsi="Arial"/>
                <w:sz w:val="20"/>
                <w:szCs w:val="20"/>
                <w:color w:val="auto"/>
              </w:rPr>
              <w:t>$</w:t>
            </w:r>
          </w:p>
        </w:tc>
        <w:tc>
          <w:tcPr>
            <w:tcW w:w="600" w:type="dxa"/>
            <w:vAlign w:val="bottom"/>
          </w:tcPr>
          <w:p>
            <w:pPr>
              <w:jc w:val="right"/>
              <w:spacing w:after="0"/>
              <w:rPr>
                <w:sz w:val="20"/>
                <w:szCs w:val="20"/>
                <w:color w:val="auto"/>
              </w:rPr>
            </w:pPr>
            <w:r>
              <w:rPr>
                <w:rFonts w:ascii="Arial" w:cs="Arial" w:eastAsia="Arial" w:hAnsi="Arial"/>
                <w:sz w:val="20"/>
                <w:szCs w:val="20"/>
                <w:color w:val="auto"/>
              </w:rPr>
              <w:t>46.38</w:t>
            </w:r>
          </w:p>
        </w:tc>
        <w:tc>
          <w:tcPr>
            <w:tcW w:w="540" w:type="dxa"/>
            <w:vAlign w:val="bottom"/>
            <w:gridSpan w:val="2"/>
          </w:tcPr>
          <w:p>
            <w:pPr>
              <w:jc w:val="right"/>
              <w:ind w:right="41"/>
              <w:spacing w:after="0"/>
              <w:rPr>
                <w:sz w:val="20"/>
                <w:szCs w:val="20"/>
                <w:color w:val="auto"/>
              </w:rPr>
            </w:pPr>
            <w:r>
              <w:rPr>
                <w:rFonts w:ascii="Arial" w:cs="Arial" w:eastAsia="Arial" w:hAnsi="Arial"/>
                <w:sz w:val="20"/>
                <w:szCs w:val="20"/>
                <w:color w:val="auto"/>
              </w:rPr>
              <w:t>$</w:t>
            </w:r>
          </w:p>
        </w:tc>
        <w:tc>
          <w:tcPr>
            <w:tcW w:w="1460" w:type="dxa"/>
            <w:vAlign w:val="bottom"/>
          </w:tcPr>
          <w:p>
            <w:pPr>
              <w:jc w:val="right"/>
              <w:spacing w:after="0"/>
              <w:rPr>
                <w:sz w:val="20"/>
                <w:szCs w:val="20"/>
                <w:color w:val="auto"/>
              </w:rPr>
            </w:pPr>
            <w:r>
              <w:rPr>
                <w:rFonts w:ascii="Arial" w:cs="Arial" w:eastAsia="Arial" w:hAnsi="Arial"/>
                <w:sz w:val="20"/>
                <w:szCs w:val="20"/>
                <w:color w:val="auto"/>
              </w:rPr>
              <w:t>47.08</w:t>
            </w:r>
          </w:p>
        </w:tc>
        <w:tc>
          <w:tcPr>
            <w:tcW w:w="380" w:type="dxa"/>
            <w:vAlign w:val="bottom"/>
          </w:tcPr>
          <w:p>
            <w:pPr>
              <w:spacing w:after="0"/>
              <w:rPr>
                <w:sz w:val="21"/>
                <w:szCs w:val="21"/>
                <w:color w:val="auto"/>
              </w:rPr>
            </w:pPr>
          </w:p>
        </w:tc>
        <w:tc>
          <w:tcPr>
            <w:tcW w:w="1580" w:type="dxa"/>
            <w:vAlign w:val="bottom"/>
            <w:gridSpan w:val="2"/>
          </w:tcPr>
          <w:p>
            <w:pPr>
              <w:jc w:val="right"/>
              <w:ind w:right="20"/>
              <w:spacing w:after="0"/>
              <w:rPr>
                <w:sz w:val="20"/>
                <w:szCs w:val="20"/>
                <w:color w:val="auto"/>
              </w:rPr>
            </w:pPr>
            <w:r>
              <w:rPr>
                <w:rFonts w:ascii="Arial" w:cs="Arial" w:eastAsia="Arial" w:hAnsi="Arial"/>
                <w:sz w:val="20"/>
                <w:szCs w:val="20"/>
                <w:color w:val="auto"/>
              </w:rPr>
              <w:t>(1.5)%</w:t>
            </w:r>
          </w:p>
        </w:tc>
      </w:tr>
    </w:tbl>
    <w:p>
      <w:pPr>
        <w:spacing w:after="0" w:line="19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Aggregates Product Line End-Use Markets</w:t>
      </w:r>
    </w:p>
    <w:p>
      <w:pPr>
        <w:spacing w:after="0" w:line="108" w:lineRule="exact"/>
        <w:rPr>
          <w:sz w:val="20"/>
          <w:szCs w:val="20"/>
          <w:color w:val="auto"/>
        </w:rPr>
      </w:pPr>
    </w:p>
    <w:p>
      <w:pPr>
        <w:jc w:val="both"/>
        <w:ind w:right="20"/>
        <w:spacing w:after="0" w:line="316" w:lineRule="auto"/>
        <w:rPr>
          <w:sz w:val="20"/>
          <w:szCs w:val="20"/>
          <w:color w:val="auto"/>
        </w:rPr>
      </w:pPr>
      <w:r>
        <w:rPr>
          <w:rFonts w:ascii="Arial" w:cs="Arial" w:eastAsia="Arial" w:hAnsi="Arial"/>
          <w:sz w:val="18"/>
          <w:szCs w:val="18"/>
          <w:color w:val="auto"/>
        </w:rPr>
        <w:t>For the six months ended June 30, 2020, aggregates shipments to the infrastructure market accounted for 36% of year-to-date aggregates volumes and increased modestly, driven by large projects in Texas and Colorado, and partially offset by lower volumes in North Carolina.</w:t>
      </w:r>
    </w:p>
    <w:p>
      <w:pPr>
        <w:spacing w:after="0" w:line="2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Aggregates shipments to the nonresidential market declined following double-digit growth in commercial and heavy industrial construction activity, namely in Iowa and Texas, in the prior-year period. Additionally, energy-sector shipments declined, driven by historically low oil prices. The nonresidential market represented 33% of year-to-date aggregates shipments.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38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June 30, 2020</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Second Quarter Ended June 30, 2020</w:t>
      </w:r>
    </w:p>
    <w:p>
      <w:pPr>
        <w:jc w:val="center"/>
        <w:spacing w:after="0"/>
        <w:rPr>
          <w:sz w:val="20"/>
          <w:szCs w:val="20"/>
          <w:color w:val="auto"/>
        </w:rPr>
      </w:pPr>
      <w:r>
        <w:rPr>
          <w:rFonts w:ascii="Arial" w:cs="Arial" w:eastAsia="Arial" w:hAnsi="Arial"/>
          <w:sz w:val="20"/>
          <w:szCs w:val="20"/>
          <w:color w:val="auto"/>
        </w:rPr>
        <w:t>(Continued)</w:t>
      </w:r>
    </w:p>
    <w:p>
      <w:pPr>
        <w:spacing w:after="0" w:line="240"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Following a slowdown in the residential market due to rainfall in the first quarter and COVID-19, aggregates shipments to the residential market increased during the spring selling season due to pent-up housing demand and emerging homebuying trends as prospective buyers look to move to small metro or suburban locations. The residential market accounted for 24% of year-to-date aggregates shipments.</w:t>
      </w:r>
    </w:p>
    <w:p>
      <w:pPr>
        <w:spacing w:after="0" w:line="4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ChemRock/Rail market accounted for the remaining 7% of year-to-date aggregates shipments. Volumes to this end use increased, driven by improved ballast shipments to the Class I western railroads.</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Building Materials Business Product Lines</w:t>
      </w:r>
    </w:p>
    <w:p>
      <w:pPr>
        <w:spacing w:after="0" w:line="108"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For the six months ended June 30, 2020, aggregates shipments decreased 1.2% as prior year volumes benefited from carryover work from 2018. Pricing increased 3.1% compared with the prior-year period. Aggregates product gross margin improved 50 basis points to 27.3%.</w:t>
      </w:r>
    </w:p>
    <w:p>
      <w:pPr>
        <w:spacing w:after="0" w:line="2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For the six months ended June 30, 2020, cement shipments and pricing increased 1.1% and 1.3%, respectively, compared with the prior-year period. Production efficiencies, lower fuel costs and improved kiln reliability contributed to the 620-basis-point expansion in cement product gross margin to 32.7%.</w:t>
      </w:r>
    </w:p>
    <w:p>
      <w:pPr>
        <w:spacing w:after="0" w:line="78"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Ready mixed concrete pricing improved 2.8% while shipments declined 6.5% in the first half of the year as compared with the prior-year period. The volume decline is attributable to the divestiture of the Southwest Ready Mix Division’s ArkLaTex operations in January 2020, which accounted for 300,000 cubic yards in the prior-year period. Excluding ArkLaTex shipments from the prior period, volumes were flat. Asphalt volume increased 39.6% attributable to favorable weather compared with the prior-year period. Asphalt pricing decreased 1.5% due to unfavorable product mix.</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Magnesia Specialties Business</w:t>
      </w:r>
    </w:p>
    <w:p>
      <w:pPr>
        <w:spacing w:after="0" w:line="108"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For the six months ended June 30, 2020, Magnesia Specialties reported product revenues of $108.8 million compared with $139.5 million for the prior-year period. Year over year revenue decline is attributable to lower lime and periclase shipments to the steel industry in response to the COVID-19-induced shutdown of domestic auto manufacturers. Additionally, the business experienced a continued decline in chemicals products sales as both domestic and international customers experienced a downturn in economic activity related to COVID-19. Product gross profit was $44.3 million compared with $55.8 million. Product gross margin improved 70 basis points to 40.7% over the six months ended June 30, 2019. Earnings from operations were $34.9 million compared with $47.9 million.</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Consolidated Operating Results</w:t>
      </w:r>
    </w:p>
    <w:p>
      <w:pPr>
        <w:spacing w:after="0" w:line="108"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For the six months ended June 30, 2020, consolidated SG&amp;A was 6.7% of total revenues compared with 6.8% in 2019. During the first six months of 2020, the Company incurred $3.5 million in COVID-19 related expenses for enhanced cleaning and sanitizing protocols across the Company’s operations, which are recorded in SG&amp;A. Earnings from operations for the six months ended June 30 were $364.2 million in 2020 compared with $355.1 million in 2019. Among other items, other operating income and expenses, net, includes gains and losses on the sale of assets; recoveries and write-offs related to customer accounts receivable; rental, royalty and services income; accretion expense, depreciation expense and gains and losses related to asset retirement obligations. For the six months ended June 30, consolidated other operating income and expenses, net, was an expense of $8.0 million and income of $6.2 million in 2020 and 2019, respectively. The 2020 amount reflected a $2.5 million increase in credit loss expenses and a $2.8 million increase in asset reclamation costs compared with the prior-year period. The 2019 amount included the reversal of $4.2 million of accruals for unclaimed property contingencies. Other nonoperating income and expenses, net, includes interest</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39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9" w:name="page40"/>
    <w:bookmarkEnd w:id="39"/>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June 30, 2020</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Second Quarter Ended June 30, 2020</w:t>
      </w:r>
    </w:p>
    <w:p>
      <w:pPr>
        <w:jc w:val="center"/>
        <w:spacing w:after="0"/>
        <w:rPr>
          <w:sz w:val="20"/>
          <w:szCs w:val="20"/>
          <w:color w:val="auto"/>
        </w:rPr>
      </w:pPr>
      <w:r>
        <w:rPr>
          <w:rFonts w:ascii="Arial" w:cs="Arial" w:eastAsia="Arial" w:hAnsi="Arial"/>
          <w:sz w:val="20"/>
          <w:szCs w:val="20"/>
          <w:color w:val="auto"/>
        </w:rPr>
        <w:t>(Continued)</w:t>
      </w:r>
    </w:p>
    <w:p>
      <w:pPr>
        <w:spacing w:after="0" w:line="240"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income; pension and postretirement benefit cost, excluding service cost; foreign currency transaction gains and losses; equity in earnings or losses of nonconsolidated affiliates and other miscellaneous income. For the six months ended June 30, other nonoperating income and expenses, net, was income of $1.9 million in 2020 and an expense of $11.7 million in 2019. The 2020 amount included an expense of $5.6 million for third-party railroad track maintenance. The 2019 expense included a $15.7 million ($12.0 million net of tax) out-of-period correction of a Company-identified overstatement of the investment balance for a nonconsolidated equity affiliate.</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Income Tax Expense</w:t>
      </w:r>
    </w:p>
    <w:p>
      <w:pPr>
        <w:spacing w:after="0" w:line="108" w:lineRule="exact"/>
        <w:rPr>
          <w:sz w:val="20"/>
          <w:szCs w:val="20"/>
          <w:color w:val="auto"/>
        </w:rPr>
      </w:pPr>
    </w:p>
    <w:p>
      <w:pPr>
        <w:jc w:val="both"/>
        <w:ind w:right="20"/>
        <w:spacing w:after="0" w:line="246" w:lineRule="auto"/>
        <w:rPr>
          <w:sz w:val="20"/>
          <w:szCs w:val="20"/>
          <w:color w:val="auto"/>
        </w:rPr>
      </w:pPr>
      <w:r>
        <w:rPr>
          <w:rFonts w:ascii="Arial" w:cs="Arial" w:eastAsia="Arial" w:hAnsi="Arial"/>
          <w:sz w:val="20"/>
          <w:szCs w:val="20"/>
          <w:color w:val="auto"/>
        </w:rPr>
        <w:t>For the six months ended June 30, 2020, the effective income tax rate reflected a $6.9 million discrete benefit from financing third-party railroad track maintenance. In exchange, the Company received a federal income tax credit and deduction. For the six months ended June 30, 2019, the effective income tax rate reflected a $13.2 million discrete benefit from a change in the tax status of a subsidiary from a partnership to a corporation.</w:t>
      </w:r>
    </w:p>
    <w:p>
      <w:pPr>
        <w:spacing w:after="0" w:line="299" w:lineRule="exact"/>
        <w:rPr>
          <w:sz w:val="20"/>
          <w:szCs w:val="20"/>
          <w:color w:val="auto"/>
        </w:rPr>
      </w:pPr>
    </w:p>
    <w:p>
      <w:pPr>
        <w:spacing w:after="0"/>
        <w:rPr>
          <w:sz w:val="20"/>
          <w:szCs w:val="20"/>
          <w:color w:val="auto"/>
        </w:rPr>
      </w:pPr>
      <w:r>
        <w:rPr>
          <w:rFonts w:ascii="Arial" w:cs="Arial" w:eastAsia="Arial" w:hAnsi="Arial"/>
          <w:sz w:val="20"/>
          <w:szCs w:val="20"/>
          <w:color w:val="auto"/>
        </w:rPr>
        <w:t>LIQUIDITY AND CAPITAL RESOURCES</w:t>
      </w:r>
    </w:p>
    <w:p>
      <w:pPr>
        <w:spacing w:after="0" w:line="108"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For the six months ended June 30, cash provided by operating activities was $373.2 million in 2020 compared with $333.7 million in 2019. Operating cash flow is primarily derived from consolidated net earnings before deducting depreciation, depletion and amortization, and the impact of changes in working capital. Depreciation, depletion and amortization were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700" w:type="dxa"/>
            <w:vAlign w:val="bottom"/>
          </w:tcPr>
          <w:p>
            <w:pPr>
              <w:spacing w:after="0"/>
              <w:rPr>
                <w:sz w:val="21"/>
                <w:szCs w:val="21"/>
                <w:color w:val="auto"/>
              </w:rPr>
            </w:pPr>
          </w:p>
        </w:tc>
        <w:tc>
          <w:tcPr>
            <w:tcW w:w="2900" w:type="dxa"/>
            <w:vAlign w:val="bottom"/>
            <w:gridSpan w:val="5"/>
          </w:tcPr>
          <w:p>
            <w:pPr>
              <w:jc w:val="center"/>
              <w:ind w:left="401"/>
              <w:spacing w:after="0"/>
              <w:rPr>
                <w:sz w:val="20"/>
                <w:szCs w:val="20"/>
                <w:color w:val="auto"/>
              </w:rPr>
            </w:pPr>
            <w:r>
              <w:rPr>
                <w:rFonts w:ascii="Arial" w:cs="Arial" w:eastAsia="Arial" w:hAnsi="Arial"/>
                <w:sz w:val="20"/>
                <w:szCs w:val="20"/>
                <w:color w:val="auto"/>
                <w:w w:val="91"/>
              </w:rPr>
              <w:t>Six Months Ended</w:t>
            </w: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6"/>
        </w:trPr>
        <w:tc>
          <w:tcPr>
            <w:tcW w:w="7700" w:type="dxa"/>
            <w:vAlign w:val="bottom"/>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gridSpan w:val="4"/>
          </w:tcPr>
          <w:p>
            <w:pPr>
              <w:jc w:val="center"/>
              <w:ind w:right="443"/>
              <w:spacing w:after="0"/>
              <w:rPr>
                <w:sz w:val="20"/>
                <w:szCs w:val="20"/>
                <w:color w:val="auto"/>
              </w:rPr>
            </w:pPr>
            <w:r>
              <w:rPr>
                <w:rFonts w:ascii="Arial" w:cs="Arial" w:eastAsia="Arial" w:hAnsi="Arial"/>
                <w:sz w:val="20"/>
                <w:szCs w:val="20"/>
                <w:color w:val="auto"/>
                <w:w w:val="85"/>
              </w:rPr>
              <w:t>June 30,</w:t>
            </w:r>
          </w:p>
        </w:tc>
        <w:tc>
          <w:tcPr>
            <w:tcW w:w="5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r>
      <w:tr>
        <w:trPr>
          <w:trHeight w:val="237"/>
        </w:trPr>
        <w:tc>
          <w:tcPr>
            <w:tcW w:w="7700" w:type="dxa"/>
            <w:vAlign w:val="bottom"/>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2020</w:t>
            </w:r>
          </w:p>
        </w:tc>
        <w:tc>
          <w:tcPr>
            <w:tcW w:w="5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jc w:val="right"/>
              <w:ind w:right="3"/>
              <w:spacing w:after="0"/>
              <w:rPr>
                <w:sz w:val="20"/>
                <w:szCs w:val="20"/>
                <w:color w:val="auto"/>
              </w:rPr>
            </w:pPr>
            <w:r>
              <w:rPr>
                <w:rFonts w:ascii="Arial" w:cs="Arial" w:eastAsia="Arial" w:hAnsi="Arial"/>
                <w:sz w:val="20"/>
                <w:szCs w:val="20"/>
                <w:color w:val="auto"/>
              </w:rPr>
              <w:t>2019</w:t>
            </w:r>
          </w:p>
        </w:tc>
        <w:tc>
          <w:tcPr>
            <w:tcW w:w="5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36"/>
        </w:trPr>
        <w:tc>
          <w:tcPr>
            <w:tcW w:w="7700" w:type="dxa"/>
            <w:vAlign w:val="bottom"/>
          </w:tcPr>
          <w:p>
            <w:pPr>
              <w:spacing w:after="0"/>
              <w:rPr>
                <w:sz w:val="20"/>
                <w:szCs w:val="20"/>
                <w:color w:val="auto"/>
              </w:rPr>
            </w:pPr>
          </w:p>
        </w:tc>
        <w:tc>
          <w:tcPr>
            <w:tcW w:w="2900" w:type="dxa"/>
            <w:vAlign w:val="bottom"/>
            <w:gridSpan w:val="5"/>
          </w:tcPr>
          <w:p>
            <w:pPr>
              <w:jc w:val="center"/>
              <w:ind w:left="401"/>
              <w:spacing w:after="0"/>
              <w:rPr>
                <w:sz w:val="20"/>
                <w:szCs w:val="20"/>
                <w:color w:val="auto"/>
              </w:rPr>
            </w:pPr>
            <w:r>
              <w:rPr>
                <w:rFonts w:ascii="Arial" w:cs="Arial" w:eastAsia="Arial" w:hAnsi="Arial"/>
                <w:sz w:val="20"/>
                <w:szCs w:val="20"/>
                <w:i w:val="1"/>
                <w:iCs w:val="1"/>
                <w:color w:val="auto"/>
                <w:w w:val="97"/>
              </w:rPr>
              <w:t>(Dollars in Millions)</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3"/>
        </w:trPr>
        <w:tc>
          <w:tcPr>
            <w:tcW w:w="7700" w:type="dxa"/>
            <w:vAlign w:val="bottom"/>
            <w:shd w:val="clear" w:color="auto" w:fill="CFF0FC"/>
          </w:tcPr>
          <w:p>
            <w:pPr>
              <w:spacing w:after="0"/>
              <w:rPr>
                <w:sz w:val="20"/>
                <w:szCs w:val="20"/>
                <w:color w:val="auto"/>
              </w:rPr>
            </w:pPr>
            <w:r>
              <w:rPr>
                <w:rFonts w:ascii="Arial" w:cs="Arial" w:eastAsia="Arial" w:hAnsi="Arial"/>
                <w:sz w:val="20"/>
                <w:szCs w:val="20"/>
                <w:color w:val="auto"/>
              </w:rPr>
              <w:t>Depreciation</w:t>
            </w:r>
          </w:p>
        </w:tc>
        <w:tc>
          <w:tcPr>
            <w:tcW w:w="1040" w:type="dxa"/>
            <w:vAlign w:val="bottom"/>
            <w:shd w:val="clear" w:color="auto" w:fill="CFF0FC"/>
          </w:tcPr>
          <w:p>
            <w:pPr>
              <w:jc w:val="right"/>
              <w:ind w:right="841"/>
              <w:spacing w:after="0"/>
              <w:rPr>
                <w:sz w:val="20"/>
                <w:szCs w:val="20"/>
                <w:color w:val="auto"/>
              </w:rPr>
            </w:pPr>
            <w:r>
              <w:rPr>
                <w:rFonts w:ascii="Arial" w:cs="Arial" w:eastAsia="Arial" w:hAnsi="Arial"/>
                <w:sz w:val="20"/>
                <w:szCs w:val="20"/>
                <w:color w:val="auto"/>
                <w:w w:val="71"/>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20"/>
                <w:szCs w:val="20"/>
                <w:color w:val="auto"/>
                <w:w w:val="99"/>
              </w:rPr>
              <w:t>167.0</w:t>
            </w:r>
          </w:p>
        </w:tc>
        <w:tc>
          <w:tcPr>
            <w:tcW w:w="30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863"/>
              <w:spacing w:after="0"/>
              <w:rPr>
                <w:sz w:val="20"/>
                <w:szCs w:val="20"/>
                <w:color w:val="auto"/>
              </w:rPr>
            </w:pPr>
            <w:r>
              <w:rPr>
                <w:rFonts w:ascii="Arial" w:cs="Arial" w:eastAsia="Arial" w:hAnsi="Arial"/>
                <w:sz w:val="20"/>
                <w:szCs w:val="20"/>
                <w:color w:val="auto"/>
                <w:w w:val="71"/>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20"/>
                <w:szCs w:val="20"/>
                <w:color w:val="auto"/>
                <w:w w:val="95"/>
              </w:rPr>
              <w:t>155.7</w:t>
            </w:r>
          </w:p>
        </w:tc>
        <w:tc>
          <w:tcPr>
            <w:tcW w:w="120" w:type="dxa"/>
            <w:vAlign w:val="bottom"/>
            <w:shd w:val="clear" w:color="auto" w:fill="CFF0FC"/>
          </w:tcPr>
          <w:p>
            <w:pPr>
              <w:spacing w:after="0"/>
              <w:rPr>
                <w:sz w:val="21"/>
                <w:szCs w:val="21"/>
                <w:color w:val="auto"/>
              </w:rPr>
            </w:pPr>
          </w:p>
        </w:tc>
      </w:tr>
      <w:tr>
        <w:trPr>
          <w:trHeight w:val="243"/>
        </w:trPr>
        <w:tc>
          <w:tcPr>
            <w:tcW w:w="7700" w:type="dxa"/>
            <w:vAlign w:val="bottom"/>
          </w:tcPr>
          <w:p>
            <w:pPr>
              <w:spacing w:after="0"/>
              <w:rPr>
                <w:sz w:val="20"/>
                <w:szCs w:val="20"/>
                <w:color w:val="auto"/>
              </w:rPr>
            </w:pPr>
            <w:r>
              <w:rPr>
                <w:rFonts w:ascii="Arial" w:cs="Arial" w:eastAsia="Arial" w:hAnsi="Arial"/>
                <w:sz w:val="20"/>
                <w:szCs w:val="20"/>
                <w:color w:val="auto"/>
              </w:rPr>
              <w:t>Depletion</w:t>
            </w:r>
          </w:p>
        </w:tc>
        <w:tc>
          <w:tcPr>
            <w:tcW w:w="10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20"/>
                <w:szCs w:val="20"/>
                <w:color w:val="auto"/>
              </w:rPr>
              <w:t>16.4</w:t>
            </w: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20"/>
                <w:szCs w:val="20"/>
                <w:color w:val="auto"/>
              </w:rPr>
              <w:t>16.0</w:t>
            </w:r>
          </w:p>
        </w:tc>
        <w:tc>
          <w:tcPr>
            <w:tcW w:w="120" w:type="dxa"/>
            <w:vAlign w:val="bottom"/>
          </w:tcPr>
          <w:p>
            <w:pPr>
              <w:spacing w:after="0"/>
              <w:rPr>
                <w:sz w:val="21"/>
                <w:szCs w:val="21"/>
                <w:color w:val="auto"/>
              </w:rPr>
            </w:pPr>
          </w:p>
        </w:tc>
      </w:tr>
      <w:tr>
        <w:trPr>
          <w:trHeight w:val="243"/>
        </w:trPr>
        <w:tc>
          <w:tcPr>
            <w:tcW w:w="7700" w:type="dxa"/>
            <w:vAlign w:val="bottom"/>
            <w:shd w:val="clear" w:color="auto" w:fill="CFF0FC"/>
          </w:tcPr>
          <w:p>
            <w:pPr>
              <w:spacing w:after="0"/>
              <w:rPr>
                <w:sz w:val="20"/>
                <w:szCs w:val="20"/>
                <w:color w:val="auto"/>
              </w:rPr>
            </w:pPr>
            <w:r>
              <w:rPr>
                <w:rFonts w:ascii="Arial" w:cs="Arial" w:eastAsia="Arial" w:hAnsi="Arial"/>
                <w:sz w:val="20"/>
                <w:szCs w:val="20"/>
                <w:color w:val="auto"/>
              </w:rPr>
              <w:t>Amortization</w:t>
            </w:r>
          </w:p>
        </w:tc>
        <w:tc>
          <w:tcPr>
            <w:tcW w:w="1040" w:type="dxa"/>
            <w:vAlign w:val="bottom"/>
            <w:tcBorders>
              <w:bottom w:val="single" w:sz="8" w:color="auto"/>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10.0</w:t>
            </w:r>
          </w:p>
        </w:tc>
        <w:tc>
          <w:tcPr>
            <w:tcW w:w="3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10.3</w:t>
            </w:r>
          </w:p>
        </w:tc>
        <w:tc>
          <w:tcPr>
            <w:tcW w:w="120" w:type="dxa"/>
            <w:vAlign w:val="bottom"/>
            <w:shd w:val="clear" w:color="auto" w:fill="CFF0FC"/>
          </w:tcPr>
          <w:p>
            <w:pPr>
              <w:spacing w:after="0"/>
              <w:rPr>
                <w:sz w:val="21"/>
                <w:szCs w:val="21"/>
                <w:color w:val="auto"/>
              </w:rPr>
            </w:pPr>
          </w:p>
        </w:tc>
      </w:tr>
      <w:tr>
        <w:trPr>
          <w:trHeight w:val="236"/>
        </w:trPr>
        <w:tc>
          <w:tcPr>
            <w:tcW w:w="7700" w:type="dxa"/>
            <w:vAlign w:val="bottom"/>
          </w:tcPr>
          <w:p>
            <w:pPr>
              <w:spacing w:after="0"/>
              <w:rPr>
                <w:sz w:val="20"/>
                <w:szCs w:val="20"/>
                <w:color w:val="auto"/>
              </w:rPr>
            </w:pPr>
            <w:r>
              <w:rPr>
                <w:rFonts w:ascii="Arial" w:cs="Arial" w:eastAsia="Arial" w:hAnsi="Arial"/>
                <w:sz w:val="20"/>
                <w:szCs w:val="20"/>
                <w:color w:val="auto"/>
              </w:rPr>
              <w:t>Total</w:t>
            </w:r>
          </w:p>
        </w:tc>
        <w:tc>
          <w:tcPr>
            <w:tcW w:w="1040" w:type="dxa"/>
            <w:vAlign w:val="bottom"/>
            <w:tcBorders>
              <w:bottom w:val="single" w:sz="8" w:color="auto"/>
            </w:tcBorders>
          </w:tcPr>
          <w:p>
            <w:pPr>
              <w:jc w:val="right"/>
              <w:ind w:right="841"/>
              <w:spacing w:after="0"/>
              <w:rPr>
                <w:sz w:val="20"/>
                <w:szCs w:val="20"/>
                <w:color w:val="auto"/>
              </w:rPr>
            </w:pPr>
            <w:r>
              <w:rPr>
                <w:rFonts w:ascii="Arial" w:cs="Arial" w:eastAsia="Arial" w:hAnsi="Arial"/>
                <w:sz w:val="20"/>
                <w:szCs w:val="20"/>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9"/>
              </w:rPr>
              <w:t>193.4</w:t>
            </w:r>
          </w:p>
        </w:tc>
        <w:tc>
          <w:tcPr>
            <w:tcW w:w="3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863"/>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5"/>
              </w:rPr>
              <w:t>182.0</w:t>
            </w:r>
          </w:p>
        </w:tc>
        <w:tc>
          <w:tcPr>
            <w:tcW w:w="120" w:type="dxa"/>
            <w:vAlign w:val="bottom"/>
          </w:tcPr>
          <w:p>
            <w:pPr>
              <w:spacing w:after="0"/>
              <w:rPr>
                <w:sz w:val="20"/>
                <w:szCs w:val="20"/>
                <w:color w:val="auto"/>
              </w:rPr>
            </w:pPr>
          </w:p>
        </w:tc>
      </w:tr>
      <w:tr>
        <w:trPr>
          <w:trHeight w:val="20"/>
        </w:trPr>
        <w:tc>
          <w:tcPr>
            <w:tcW w:w="77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6"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The seasonal nature of construction activity impacts the Company’s quarterly operating cash flow when compared with the full year. Full-year 2019 net cash provided by operating activities was $966.1 million.</w:t>
      </w:r>
    </w:p>
    <w:p>
      <w:pPr>
        <w:spacing w:after="0" w:line="69" w:lineRule="exact"/>
        <w:rPr>
          <w:sz w:val="20"/>
          <w:szCs w:val="20"/>
          <w:color w:val="auto"/>
        </w:rPr>
      </w:pPr>
    </w:p>
    <w:p>
      <w:pPr>
        <w:spacing w:after="0"/>
        <w:rPr>
          <w:sz w:val="20"/>
          <w:szCs w:val="20"/>
          <w:color w:val="auto"/>
        </w:rPr>
      </w:pPr>
      <w:r>
        <w:rPr>
          <w:rFonts w:ascii="Arial" w:cs="Arial" w:eastAsia="Arial" w:hAnsi="Arial"/>
          <w:sz w:val="20"/>
          <w:szCs w:val="20"/>
          <w:color w:val="auto"/>
        </w:rPr>
        <w:t>During the six months ended June 30, 2020, the Company paid $175.7 million for capital investments.</w:t>
      </w:r>
    </w:p>
    <w:p>
      <w:pPr>
        <w:spacing w:after="0" w:line="108"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The Company can repurchase its common stock through open-market purchases pursuant to authority granted by its Board of Directors or through private transactions at such prices and upon such terms as the Chief Executive Officer deems appropriate. The Company repurchased 210,616 shares of common stock during the first six months of 2020, at an aggregate cost of $50.0 million. Future share repurchases are at the discretion of management and were temporarily paused in March 2020 in light of the COVID-19 pandemic. Management may resume share repurchases as circumstances dictate. At June 30, 2020, 13,520,952 shares of common stock were remaining under the Company’s repurchase authorization.</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40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0" w:name="page41"/>
    <w:bookmarkEnd w:id="40"/>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June 30, 2020</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Second Quarter Ended June 30, 2020</w:t>
      </w:r>
    </w:p>
    <w:p>
      <w:pPr>
        <w:jc w:val="center"/>
        <w:spacing w:after="0"/>
        <w:rPr>
          <w:sz w:val="20"/>
          <w:szCs w:val="20"/>
          <w:color w:val="auto"/>
        </w:rPr>
      </w:pPr>
      <w:r>
        <w:rPr>
          <w:rFonts w:ascii="Arial" w:cs="Arial" w:eastAsia="Arial" w:hAnsi="Arial"/>
          <w:sz w:val="20"/>
          <w:szCs w:val="20"/>
          <w:color w:val="auto"/>
        </w:rPr>
        <w:t>(Continued)</w:t>
      </w:r>
    </w:p>
    <w:p>
      <w:pPr>
        <w:spacing w:after="0" w:line="240"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On March 5, 2020, the Company issued $500 million aggregate principal amount of 2.500% Senior Notes due 2030 (the 2.500% Senior Notes). The 2.500% Senior Notes are carried net of original issue discount, which is being amortized by the effective interest method over the life of the issue. The 2.500% Senior Notes are redeemable prior to December 15, 2029 at their make-whole redemption price at a discount rate of the U.S. Treasury Rate plus 30 basis points, or on or after December 15, 2029 at a redemption price equal to 100% of the principal amount plus accrued and unpaid interest to the date of redemption. The Company used the net proceeds for general corporate purposes, including the repayment of $300 million of floating rate senior notes due at maturity in May 2020.</w:t>
      </w:r>
    </w:p>
    <w:p>
      <w:pPr>
        <w:spacing w:after="0" w:line="57"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The Company has a $700 million five-year senior unsecured revolving facility (the Revolving Facility), which expires on December 5, 2024. The Revolving Facility requires the Company’s ratio of consolidated debt-to-consolidated EBITDA, as defined, for the trailing-twelve-month period (the Ratio) to not exceed 3.50x as of the end of any fiscal quarter, provided that the Company may exclude from the Ratio debt incurred in connection with certain acquisitions during the quarter or the three preceding quarters so long as the Ratio calculated without such exclusion does not exceed 3.75x. Additionally, if there are no amounts outstanding under the Revolving Facility and the $400 million trade receivable securitization facility (the Trade Receivable Facility) held by the Company’s wholly-owned special-purpose subsidiary, consolidated debt, including debt for which the Company is a co-borrower, may be reduced by the Company’s unrestricted cash and cash equivalents in excess of $50 million, such reduction not to exceed $200 million, for purposes of the covenant calculation.</w:t>
      </w:r>
    </w:p>
    <w:p>
      <w:pPr>
        <w:spacing w:after="0" w:line="60"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The Ratio is calculated as debt, including debt for which the Company is a co-borrower, divided by consolidated EBITDA, as defined by the Company’s Revolving Facility, for the trailing-twelve months. Consolidated EBITDA is generally defined as earnings before interest expense, income tax expense, and depreciation and amortization expense. Additionally, stock-based compensation expense is added back and interest income is deducted in the calculation of consolidated EBITDA. During periods that include an acquisition, pre-acquisition adjusted EBITDA of the acquired company is added to consolidated EBITDA as if the acquisition occurred on the first day of the calculation period. Certain other nonrecurring items, if they occur, can affect the calculation of consolidated EBITDA.</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41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1" w:name="page42"/>
    <w:bookmarkEnd w:id="41"/>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June 30, 2020</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Second Quarter Ended June 30, 2020</w:t>
      </w:r>
    </w:p>
    <w:p>
      <w:pPr>
        <w:jc w:val="center"/>
        <w:spacing w:after="0"/>
        <w:rPr>
          <w:sz w:val="20"/>
          <w:szCs w:val="20"/>
          <w:color w:val="auto"/>
        </w:rPr>
      </w:pPr>
      <w:r>
        <w:rPr>
          <w:rFonts w:ascii="Arial" w:cs="Arial" w:eastAsia="Arial" w:hAnsi="Arial"/>
          <w:sz w:val="20"/>
          <w:szCs w:val="20"/>
          <w:color w:val="auto"/>
        </w:rPr>
        <w:t>(Continued)</w:t>
      </w:r>
    </w:p>
    <w:p>
      <w:pPr>
        <w:spacing w:after="0" w:line="24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At June 30, 2020, the Company’s ratio of consolidated debt-to-consolidated EBITDA, as defined by the Company’s Revolving Facility, for the trailing-twelve months was 2.11 times and was calculated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180" w:type="dxa"/>
            <w:vAlign w:val="bottom"/>
            <w:gridSpan w:val="2"/>
          </w:tcPr>
          <w:p>
            <w:pPr>
              <w:jc w:val="center"/>
              <w:ind w:right="320"/>
              <w:spacing w:after="0"/>
              <w:rPr>
                <w:sz w:val="20"/>
                <w:szCs w:val="20"/>
                <w:color w:val="auto"/>
              </w:rPr>
            </w:pPr>
            <w:r>
              <w:rPr>
                <w:rFonts w:ascii="Arial" w:cs="Arial" w:eastAsia="Arial" w:hAnsi="Arial"/>
                <w:sz w:val="20"/>
                <w:szCs w:val="20"/>
                <w:color w:val="auto"/>
                <w:w w:val="90"/>
              </w:rPr>
              <w:t>July 1, 2019 to</w:t>
            </w:r>
          </w:p>
        </w:tc>
        <w:tc>
          <w:tcPr>
            <w:tcW w:w="0" w:type="dxa"/>
            <w:vAlign w:val="bottom"/>
          </w:tcPr>
          <w:p>
            <w:pPr>
              <w:spacing w:after="0"/>
              <w:rPr>
                <w:sz w:val="1"/>
                <w:szCs w:val="1"/>
                <w:color w:val="auto"/>
              </w:rPr>
            </w:pPr>
          </w:p>
        </w:tc>
      </w:tr>
      <w:tr>
        <w:trPr>
          <w:trHeight w:val="246"/>
        </w:trPr>
        <w:tc>
          <w:tcPr>
            <w:tcW w:w="8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180" w:type="dxa"/>
            <w:vAlign w:val="bottom"/>
            <w:gridSpan w:val="2"/>
          </w:tcPr>
          <w:p>
            <w:pPr>
              <w:jc w:val="center"/>
              <w:ind w:right="320"/>
              <w:spacing w:after="0"/>
              <w:rPr>
                <w:sz w:val="20"/>
                <w:szCs w:val="20"/>
                <w:color w:val="auto"/>
              </w:rPr>
            </w:pPr>
            <w:r>
              <w:rPr>
                <w:rFonts w:ascii="Arial" w:cs="Arial" w:eastAsia="Arial" w:hAnsi="Arial"/>
                <w:sz w:val="20"/>
                <w:szCs w:val="20"/>
                <w:color w:val="auto"/>
                <w:w w:val="86"/>
              </w:rPr>
              <w:t>June 30, 2020</w:t>
            </w:r>
          </w:p>
        </w:tc>
        <w:tc>
          <w:tcPr>
            <w:tcW w:w="0" w:type="dxa"/>
            <w:vAlign w:val="bottom"/>
          </w:tcPr>
          <w:p>
            <w:pPr>
              <w:spacing w:after="0"/>
              <w:rPr>
                <w:sz w:val="1"/>
                <w:szCs w:val="1"/>
                <w:color w:val="auto"/>
              </w:rPr>
            </w:pPr>
          </w:p>
        </w:tc>
      </w:tr>
      <w:tr>
        <w:trPr>
          <w:trHeight w:val="236"/>
        </w:trPr>
        <w:tc>
          <w:tcPr>
            <w:tcW w:w="886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2080" w:type="dxa"/>
            <w:vAlign w:val="bottom"/>
            <w:tcBorders>
              <w:top w:val="single" w:sz="8" w:color="auto"/>
            </w:tcBorders>
          </w:tcPr>
          <w:p>
            <w:pPr>
              <w:jc w:val="center"/>
              <w:ind w:right="121"/>
              <w:spacing w:after="0"/>
              <w:rPr>
                <w:sz w:val="20"/>
                <w:szCs w:val="20"/>
                <w:color w:val="auto"/>
              </w:rPr>
            </w:pPr>
            <w:r>
              <w:rPr>
                <w:rFonts w:ascii="Arial" w:cs="Arial" w:eastAsia="Arial" w:hAnsi="Arial"/>
                <w:sz w:val="20"/>
                <w:szCs w:val="20"/>
                <w:i w:val="1"/>
                <w:iCs w:val="1"/>
                <w:color w:val="auto"/>
                <w:w w:val="98"/>
              </w:rPr>
              <w:t>(Dollars in Millions)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860" w:type="dxa"/>
            <w:vAlign w:val="bottom"/>
            <w:shd w:val="clear" w:color="auto" w:fill="CFF0FC"/>
          </w:tcPr>
          <w:p>
            <w:pPr>
              <w:spacing w:after="0"/>
              <w:rPr>
                <w:sz w:val="20"/>
                <w:szCs w:val="20"/>
                <w:color w:val="auto"/>
              </w:rPr>
            </w:pPr>
            <w:r>
              <w:rPr>
                <w:rFonts w:ascii="Arial" w:cs="Arial" w:eastAsia="Arial" w:hAnsi="Arial"/>
                <w:sz w:val="20"/>
                <w:szCs w:val="20"/>
                <w:color w:val="auto"/>
              </w:rPr>
              <w:t>Earnings from continuing operations attributable to Martin Marietta</w:t>
            </w:r>
          </w:p>
        </w:tc>
        <w:tc>
          <w:tcPr>
            <w:tcW w:w="200" w:type="dxa"/>
            <w:vAlign w:val="bottom"/>
            <w:shd w:val="clear" w:color="auto" w:fill="CFF0FC"/>
          </w:tcPr>
          <w:p>
            <w:pPr>
              <w:jc w:val="right"/>
              <w:ind w:right="1"/>
              <w:spacing w:after="0"/>
              <w:rPr>
                <w:sz w:val="20"/>
                <w:szCs w:val="20"/>
                <w:color w:val="auto"/>
              </w:rPr>
            </w:pPr>
            <w:r>
              <w:rPr>
                <w:rFonts w:ascii="Arial" w:cs="Arial" w:eastAsia="Arial" w:hAnsi="Arial"/>
                <w:sz w:val="20"/>
                <w:szCs w:val="20"/>
                <w:color w:val="auto"/>
                <w:w w:val="71"/>
              </w:rPr>
              <w:t>$</w:t>
            </w:r>
          </w:p>
        </w:tc>
        <w:tc>
          <w:tcPr>
            <w:tcW w:w="20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623.1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60" w:type="dxa"/>
            <w:vAlign w:val="bottom"/>
          </w:tcPr>
          <w:p>
            <w:pPr>
              <w:spacing w:after="0"/>
              <w:rPr>
                <w:sz w:val="20"/>
                <w:szCs w:val="20"/>
                <w:color w:val="auto"/>
              </w:rPr>
            </w:pPr>
            <w:r>
              <w:rPr>
                <w:rFonts w:ascii="Arial" w:cs="Arial" w:eastAsia="Arial" w:hAnsi="Arial"/>
                <w:sz w:val="20"/>
                <w:szCs w:val="20"/>
                <w:color w:val="auto"/>
              </w:rPr>
              <w:t>Add back:</w:t>
            </w:r>
          </w:p>
        </w:tc>
        <w:tc>
          <w:tcPr>
            <w:tcW w:w="2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Income tax expense</w:t>
            </w:r>
          </w:p>
        </w:tc>
        <w:tc>
          <w:tcPr>
            <w:tcW w:w="200" w:type="dxa"/>
            <w:vAlign w:val="bottom"/>
            <w:shd w:val="clear" w:color="auto" w:fill="CFF0FC"/>
          </w:tcPr>
          <w:p>
            <w:pPr>
              <w:spacing w:after="0"/>
              <w:rPr>
                <w:sz w:val="21"/>
                <w:szCs w:val="21"/>
                <w:color w:val="auto"/>
              </w:rPr>
            </w:pPr>
          </w:p>
        </w:tc>
        <w:tc>
          <w:tcPr>
            <w:tcW w:w="20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152.9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60" w:type="dxa"/>
            <w:vAlign w:val="bottom"/>
          </w:tcPr>
          <w:p>
            <w:pPr>
              <w:ind w:left="260"/>
              <w:spacing w:after="0"/>
              <w:rPr>
                <w:sz w:val="20"/>
                <w:szCs w:val="20"/>
                <w:color w:val="auto"/>
              </w:rPr>
            </w:pPr>
            <w:r>
              <w:rPr>
                <w:rFonts w:ascii="Arial" w:cs="Arial" w:eastAsia="Arial" w:hAnsi="Arial"/>
                <w:sz w:val="20"/>
                <w:szCs w:val="20"/>
                <w:color w:val="auto"/>
              </w:rPr>
              <w:t>Interest expense</w:t>
            </w:r>
          </w:p>
        </w:tc>
        <w:tc>
          <w:tcPr>
            <w:tcW w:w="200" w:type="dxa"/>
            <w:vAlign w:val="bottom"/>
          </w:tcPr>
          <w:p>
            <w:pPr>
              <w:spacing w:after="0"/>
              <w:rPr>
                <w:sz w:val="21"/>
                <w:szCs w:val="21"/>
                <w:color w:val="auto"/>
              </w:rPr>
            </w:pPr>
          </w:p>
        </w:tc>
        <w:tc>
          <w:tcPr>
            <w:tcW w:w="2080" w:type="dxa"/>
            <w:vAlign w:val="bottom"/>
          </w:tcPr>
          <w:p>
            <w:pPr>
              <w:jc w:val="right"/>
              <w:spacing w:after="0"/>
              <w:rPr>
                <w:sz w:val="20"/>
                <w:szCs w:val="20"/>
                <w:color w:val="auto"/>
              </w:rPr>
            </w:pPr>
            <w:r>
              <w:rPr>
                <w:rFonts w:ascii="Arial" w:cs="Arial" w:eastAsia="Arial" w:hAnsi="Arial"/>
                <w:sz w:val="20"/>
                <w:szCs w:val="20"/>
                <w:color w:val="auto"/>
              </w:rPr>
              <w:t>124.1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8860" w:type="dxa"/>
            <w:vAlign w:val="bottom"/>
            <w:shd w:val="clear" w:color="auto" w:fill="CFF0FC"/>
          </w:tcPr>
          <w:p>
            <w:pPr>
              <w:ind w:left="260"/>
              <w:spacing w:after="0" w:line="227" w:lineRule="exact"/>
              <w:rPr>
                <w:sz w:val="20"/>
                <w:szCs w:val="20"/>
                <w:color w:val="auto"/>
              </w:rPr>
            </w:pPr>
            <w:r>
              <w:rPr>
                <w:rFonts w:ascii="Arial" w:cs="Arial" w:eastAsia="Arial" w:hAnsi="Arial"/>
                <w:sz w:val="20"/>
                <w:szCs w:val="20"/>
                <w:color w:val="auto"/>
              </w:rPr>
              <w:t>Depreciation, depletion and amortization expense and noncash</w:t>
            </w:r>
          </w:p>
        </w:tc>
        <w:tc>
          <w:tcPr>
            <w:tcW w:w="200" w:type="dxa"/>
            <w:vAlign w:val="bottom"/>
            <w:shd w:val="clear" w:color="auto" w:fill="CFF0FC"/>
          </w:tcPr>
          <w:p>
            <w:pPr>
              <w:spacing w:after="0"/>
              <w:rPr>
                <w:sz w:val="19"/>
                <w:szCs w:val="19"/>
                <w:color w:val="auto"/>
              </w:rPr>
            </w:pPr>
          </w:p>
        </w:tc>
        <w:tc>
          <w:tcPr>
            <w:tcW w:w="2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8860" w:type="dxa"/>
            <w:vAlign w:val="bottom"/>
            <w:shd w:val="clear" w:color="auto" w:fill="CFF0FC"/>
          </w:tcPr>
          <w:p>
            <w:pPr>
              <w:ind w:left="400"/>
              <w:spacing w:after="0"/>
              <w:rPr>
                <w:sz w:val="20"/>
                <w:szCs w:val="20"/>
                <w:color w:val="auto"/>
              </w:rPr>
            </w:pPr>
            <w:r>
              <w:rPr>
                <w:rFonts w:ascii="Arial" w:cs="Arial" w:eastAsia="Arial" w:hAnsi="Arial"/>
                <w:sz w:val="20"/>
                <w:szCs w:val="20"/>
                <w:color w:val="auto"/>
              </w:rPr>
              <w:t>nonconsolidated equity affiliate adjustment</w:t>
            </w:r>
          </w:p>
        </w:tc>
        <w:tc>
          <w:tcPr>
            <w:tcW w:w="200" w:type="dxa"/>
            <w:vAlign w:val="bottom"/>
            <w:shd w:val="clear" w:color="auto" w:fill="CFF0FC"/>
          </w:tcPr>
          <w:p>
            <w:pPr>
              <w:spacing w:after="0"/>
              <w:rPr>
                <w:sz w:val="21"/>
                <w:szCs w:val="21"/>
                <w:color w:val="auto"/>
              </w:rPr>
            </w:pPr>
          </w:p>
        </w:tc>
        <w:tc>
          <w:tcPr>
            <w:tcW w:w="20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382.0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60" w:type="dxa"/>
            <w:vAlign w:val="bottom"/>
          </w:tcPr>
          <w:p>
            <w:pPr>
              <w:ind w:left="260"/>
              <w:spacing w:after="0"/>
              <w:rPr>
                <w:sz w:val="20"/>
                <w:szCs w:val="20"/>
                <w:color w:val="auto"/>
              </w:rPr>
            </w:pPr>
            <w:r>
              <w:rPr>
                <w:rFonts w:ascii="Arial" w:cs="Arial" w:eastAsia="Arial" w:hAnsi="Arial"/>
                <w:sz w:val="20"/>
                <w:szCs w:val="20"/>
                <w:color w:val="auto"/>
              </w:rPr>
              <w:t>Stock-based compensation expense</w:t>
            </w:r>
          </w:p>
        </w:tc>
        <w:tc>
          <w:tcPr>
            <w:tcW w:w="200" w:type="dxa"/>
            <w:vAlign w:val="bottom"/>
          </w:tcPr>
          <w:p>
            <w:pPr>
              <w:spacing w:after="0"/>
              <w:rPr>
                <w:sz w:val="21"/>
                <w:szCs w:val="21"/>
                <w:color w:val="auto"/>
              </w:rPr>
            </w:pPr>
          </w:p>
        </w:tc>
        <w:tc>
          <w:tcPr>
            <w:tcW w:w="2080" w:type="dxa"/>
            <w:vAlign w:val="bottom"/>
          </w:tcPr>
          <w:p>
            <w:pPr>
              <w:jc w:val="right"/>
              <w:spacing w:after="0"/>
              <w:rPr>
                <w:sz w:val="20"/>
                <w:szCs w:val="20"/>
                <w:color w:val="auto"/>
              </w:rPr>
            </w:pPr>
            <w:r>
              <w:rPr>
                <w:rFonts w:ascii="Arial" w:cs="Arial" w:eastAsia="Arial" w:hAnsi="Arial"/>
                <w:sz w:val="20"/>
                <w:szCs w:val="20"/>
                <w:color w:val="auto"/>
              </w:rPr>
              <w:t>31.6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0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60" w:type="dxa"/>
            <w:vAlign w:val="bottom"/>
          </w:tcPr>
          <w:p>
            <w:pPr>
              <w:spacing w:after="0"/>
              <w:rPr>
                <w:sz w:val="20"/>
                <w:szCs w:val="20"/>
                <w:color w:val="auto"/>
              </w:rPr>
            </w:pPr>
            <w:r>
              <w:rPr>
                <w:rFonts w:ascii="Arial" w:cs="Arial" w:eastAsia="Arial" w:hAnsi="Arial"/>
                <w:sz w:val="20"/>
                <w:szCs w:val="20"/>
                <w:color w:val="auto"/>
              </w:rPr>
              <w:t>Deduct:</w:t>
            </w:r>
          </w:p>
        </w:tc>
        <w:tc>
          <w:tcPr>
            <w:tcW w:w="2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Interest income</w:t>
            </w:r>
          </w:p>
        </w:tc>
        <w:tc>
          <w:tcPr>
            <w:tcW w:w="200" w:type="dxa"/>
            <w:vAlign w:val="bottom"/>
            <w:shd w:val="clear" w:color="auto" w:fill="CFF0FC"/>
          </w:tcPr>
          <w:p>
            <w:pPr>
              <w:spacing w:after="0"/>
              <w:rPr>
                <w:sz w:val="21"/>
                <w:szCs w:val="21"/>
                <w:color w:val="auto"/>
              </w:rPr>
            </w:pPr>
          </w:p>
        </w:tc>
        <w:tc>
          <w:tcPr>
            <w:tcW w:w="218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rPr>
              <w:t>(0.5)</w:t>
            </w:r>
          </w:p>
        </w:tc>
        <w:tc>
          <w:tcPr>
            <w:tcW w:w="0" w:type="dxa"/>
            <w:vAlign w:val="bottom"/>
          </w:tcPr>
          <w:p>
            <w:pPr>
              <w:spacing w:after="0"/>
              <w:rPr>
                <w:sz w:val="1"/>
                <w:szCs w:val="1"/>
                <w:color w:val="auto"/>
              </w:rPr>
            </w:pPr>
          </w:p>
        </w:tc>
      </w:tr>
      <w:tr>
        <w:trPr>
          <w:trHeight w:val="277"/>
        </w:trPr>
        <w:tc>
          <w:tcPr>
            <w:tcW w:w="8860" w:type="dxa"/>
            <w:vAlign w:val="bottom"/>
            <w:tcBorders>
              <w:bottom w:val="single" w:sz="8" w:color="CFF0FC"/>
            </w:tcBorders>
          </w:tcPr>
          <w:p>
            <w:pPr>
              <w:spacing w:after="0"/>
              <w:rPr>
                <w:sz w:val="20"/>
                <w:szCs w:val="20"/>
                <w:color w:val="auto"/>
              </w:rPr>
            </w:pPr>
            <w:r>
              <w:rPr>
                <w:rFonts w:ascii="Arial" w:cs="Arial" w:eastAsia="Arial" w:hAnsi="Arial"/>
                <w:sz w:val="20"/>
                <w:szCs w:val="20"/>
                <w:color w:val="auto"/>
              </w:rPr>
              <w:t>Consolidated EBITDA, as defined by the Company’s Revolving Facility</w:t>
            </w:r>
          </w:p>
        </w:tc>
        <w:tc>
          <w:tcPr>
            <w:tcW w:w="20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20"/>
                <w:szCs w:val="20"/>
                <w:color w:val="auto"/>
                <w:w w:val="71"/>
              </w:rPr>
              <w:t>$</w:t>
            </w:r>
          </w:p>
        </w:tc>
        <w:tc>
          <w:tcPr>
            <w:tcW w:w="2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1,313.2</w:t>
            </w:r>
          </w:p>
        </w:tc>
        <w:tc>
          <w:tcPr>
            <w:tcW w:w="100" w:type="dxa"/>
            <w:vAlign w:val="bottom"/>
            <w:tcBorders>
              <w:bottom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8860" w:type="dxa"/>
            <w:vAlign w:val="bottom"/>
            <w:shd w:val="clear" w:color="auto" w:fill="CFF0FC"/>
          </w:tcPr>
          <w:p>
            <w:pPr>
              <w:spacing w:after="0" w:line="207" w:lineRule="exact"/>
              <w:rPr>
                <w:sz w:val="20"/>
                <w:szCs w:val="20"/>
                <w:color w:val="auto"/>
              </w:rPr>
            </w:pPr>
            <w:r>
              <w:rPr>
                <w:rFonts w:ascii="Arial" w:cs="Arial" w:eastAsia="Arial" w:hAnsi="Arial"/>
                <w:sz w:val="20"/>
                <w:szCs w:val="20"/>
                <w:color w:val="auto"/>
              </w:rPr>
              <w:t>Consolidated debt, as defined and including debt for which the Company</w:t>
            </w:r>
          </w:p>
        </w:tc>
        <w:tc>
          <w:tcPr>
            <w:tcW w:w="200" w:type="dxa"/>
            <w:vAlign w:val="bottom"/>
            <w:shd w:val="clear" w:color="auto" w:fill="CFF0FC"/>
          </w:tcPr>
          <w:p>
            <w:pPr>
              <w:spacing w:after="0"/>
              <w:rPr>
                <w:sz w:val="17"/>
                <w:szCs w:val="17"/>
                <w:color w:val="auto"/>
              </w:rPr>
            </w:pPr>
          </w:p>
        </w:tc>
        <w:tc>
          <w:tcPr>
            <w:tcW w:w="20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88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20"/>
                <w:szCs w:val="20"/>
                <w:color w:val="auto"/>
              </w:rPr>
              <w:t>is a co-borrower, at June 30, 2020</w:t>
            </w:r>
          </w:p>
        </w:tc>
        <w:tc>
          <w:tcPr>
            <w:tcW w:w="200" w:type="dxa"/>
            <w:vAlign w:val="bottom"/>
            <w:tcBorders>
              <w:bottom w:val="single" w:sz="8" w:color="auto"/>
            </w:tcBorders>
            <w:shd w:val="clear" w:color="auto" w:fill="CFF0FC"/>
          </w:tcPr>
          <w:p>
            <w:pPr>
              <w:jc w:val="right"/>
              <w:ind w:right="1"/>
              <w:spacing w:after="0"/>
              <w:rPr>
                <w:sz w:val="20"/>
                <w:szCs w:val="20"/>
                <w:color w:val="auto"/>
              </w:rPr>
            </w:pPr>
            <w:r>
              <w:rPr>
                <w:rFonts w:ascii="Arial" w:cs="Arial" w:eastAsia="Arial" w:hAnsi="Arial"/>
                <w:sz w:val="20"/>
                <w:szCs w:val="20"/>
                <w:color w:val="auto"/>
                <w:w w:val="71"/>
              </w:rPr>
              <w:t>$</w:t>
            </w:r>
          </w:p>
        </w:tc>
        <w:tc>
          <w:tcPr>
            <w:tcW w:w="2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2,773.0</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860" w:type="dxa"/>
            <w:vAlign w:val="bottom"/>
            <w:vMerge w:val="restart"/>
          </w:tcPr>
          <w:p>
            <w:pPr>
              <w:spacing w:after="0"/>
              <w:rPr>
                <w:sz w:val="20"/>
                <w:szCs w:val="20"/>
                <w:color w:val="auto"/>
              </w:rPr>
            </w:pPr>
            <w:r>
              <w:rPr>
                <w:rFonts w:ascii="Arial" w:cs="Arial" w:eastAsia="Arial" w:hAnsi="Arial"/>
                <w:sz w:val="20"/>
                <w:szCs w:val="20"/>
                <w:color w:val="auto"/>
              </w:rPr>
              <w:t>Consolidated debt-to-consolidated EBITDA, as defined by the Company’s Revolving</w:t>
            </w:r>
          </w:p>
        </w:tc>
        <w:tc>
          <w:tcPr>
            <w:tcW w:w="20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88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8860" w:type="dxa"/>
            <w:vAlign w:val="bottom"/>
          </w:tcPr>
          <w:p>
            <w:pPr>
              <w:ind w:left="200"/>
              <w:spacing w:after="0"/>
              <w:rPr>
                <w:sz w:val="20"/>
                <w:szCs w:val="20"/>
                <w:color w:val="auto"/>
              </w:rPr>
            </w:pPr>
            <w:r>
              <w:rPr>
                <w:rFonts w:ascii="Arial" w:cs="Arial" w:eastAsia="Arial" w:hAnsi="Arial"/>
                <w:sz w:val="20"/>
                <w:szCs w:val="20"/>
                <w:color w:val="auto"/>
              </w:rPr>
              <w:t>Facility, at June 30, 2020 for the trailing-twelve months EBITDA</w:t>
            </w:r>
          </w:p>
        </w:tc>
        <w:tc>
          <w:tcPr>
            <w:tcW w:w="200" w:type="dxa"/>
            <w:vAlign w:val="bottom"/>
          </w:tcPr>
          <w:p>
            <w:pPr>
              <w:spacing w:after="0"/>
              <w:rPr>
                <w:sz w:val="21"/>
                <w:szCs w:val="21"/>
                <w:color w:val="auto"/>
              </w:rPr>
            </w:pPr>
          </w:p>
        </w:tc>
        <w:tc>
          <w:tcPr>
            <w:tcW w:w="2180" w:type="dxa"/>
            <w:vAlign w:val="bottom"/>
            <w:gridSpan w:val="2"/>
          </w:tcPr>
          <w:p>
            <w:pPr>
              <w:jc w:val="right"/>
              <w:ind w:right="120"/>
              <w:spacing w:after="0"/>
              <w:rPr>
                <w:sz w:val="20"/>
                <w:szCs w:val="20"/>
                <w:color w:val="auto"/>
              </w:rPr>
            </w:pPr>
            <w:r>
              <w:rPr>
                <w:rFonts w:ascii="Arial" w:cs="Arial" w:eastAsia="Arial" w:hAnsi="Arial"/>
                <w:sz w:val="20"/>
                <w:szCs w:val="20"/>
                <w:color w:val="auto"/>
              </w:rPr>
              <w:t>2.11 times</w:t>
            </w:r>
          </w:p>
        </w:tc>
        <w:tc>
          <w:tcPr>
            <w:tcW w:w="0" w:type="dxa"/>
            <w:vAlign w:val="bottom"/>
          </w:tcPr>
          <w:p>
            <w:pPr>
              <w:spacing w:after="0"/>
              <w:rPr>
                <w:sz w:val="1"/>
                <w:szCs w:val="1"/>
                <w:color w:val="auto"/>
              </w:rPr>
            </w:pPr>
          </w:p>
        </w:tc>
      </w:tr>
      <w:tr>
        <w:trPr>
          <w:trHeight w:val="20"/>
        </w:trPr>
        <w:tc>
          <w:tcPr>
            <w:tcW w:w="88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Trade Receivable Facility contains a cross-default provision to the Company’s other debt agreements. In the event of a default on the Ratio, the lenders can terminate the Revolving Facility and Trade Receivable Facility and declare any outstanding balances as immediately due. Outstanding amounts on the Trade Receivable Facility have been classified as a current liability on the Company’s consolidated balance sheets.</w:t>
      </w:r>
    </w:p>
    <w:p>
      <w:pPr>
        <w:spacing w:after="0" w:line="83"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Cash on hand, along with the Company’s projected internal cash flows and availability of financing resources, including its access to debt and equity capital markets, is expected to continue to be sufficient to provide the capital resources necessary to support anticipated operating needs, cover debt service requirements, address near-term debt maturities, meet capital expenditures and discretionary investment needs, fund certain acquisition opportunities that may arise, allow the repurchase of shares of the Company’s common stock when the repurchase program is resumed and allow for payment of dividends for the foreseeable future. Any future significant strategic acquisition for cash would likely require an appropriate balance of newly-issued equity with debt in order to maintain a composite investment-grade credit rating. At June 30, 2020, the Company had $967.7 million of unused borrowing capacity under its Revolving Facility and Trade Receivable Facility, subject to complying with the related leverage covenant. The Revolving Facility matures on December 5, 2024 and the Trade Receivable Facility expires September 23, 2020. Historically, the Company has successfully extended the maturity dates of these credit facilities. Further, as of June 30, 2020, the Company does not have any publicly-traded debt that matures prior to 2024. While the future impact of the COVID-19 pandemic is not currently quantifiable, management believes the Company’s liquidity is sufficient to meet its cash flow needs through the foreseeable future.</w:t>
      </w:r>
    </w:p>
    <w:p>
      <w:pPr>
        <w:spacing w:after="0" w:line="7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Coronavirus Aid, Relief and Economic Security Act (CARES Act) was signed into law in March 2020 and provides liquidity support for businesses. The CARES Act allows the Company to defer the payment of the 6.2% employer share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42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2" w:name="page43"/>
    <w:bookmarkEnd w:id="42"/>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June 30, 2020</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Second Quarter Ended June 30, 2020</w:t>
      </w:r>
    </w:p>
    <w:p>
      <w:pPr>
        <w:jc w:val="center"/>
        <w:spacing w:after="0"/>
        <w:rPr>
          <w:sz w:val="20"/>
          <w:szCs w:val="20"/>
          <w:color w:val="auto"/>
        </w:rPr>
      </w:pPr>
      <w:r>
        <w:rPr>
          <w:rFonts w:ascii="Arial" w:cs="Arial" w:eastAsia="Arial" w:hAnsi="Arial"/>
          <w:sz w:val="20"/>
          <w:szCs w:val="20"/>
          <w:color w:val="auto"/>
        </w:rPr>
        <w:t>(Continued)</w:t>
      </w:r>
    </w:p>
    <w:p>
      <w:pPr>
        <w:spacing w:after="0" w:line="24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of Social Security taxes for the period from March 27, 2020 through December 31, 2020. Half of the deferred obligation will be due December 31, 2021 and the remaining half will be due December 31, 2022. There will be no interest assessed on amounts deferred. The Company estimates it will defer payment of approximately $25 million under this provision.</w:t>
      </w:r>
    </w:p>
    <w:p>
      <w:pPr>
        <w:spacing w:after="0" w:line="78"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 CARES Act also provides a quarterly refundable employee retention credit if companies suspend operations due to government restrictions or experience a 50% or more decline in quarterly revenues compared with the prior-year quarter. The credit is equal to 50% of qualified wages, up to $10,000 per employee who is not performing services for the Company. While the Company has had minimal short-term shutdowns related to the COVID-19 pandemic such that the Company has not utilized this aid, if future shutdowns are mandated and more extensive, the Company would be eligible to claim this credit.</w:t>
      </w:r>
    </w:p>
    <w:p>
      <w:pPr>
        <w:spacing w:after="0" w:line="8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CARES Act also includes other provisions, including increasing the interest expense deduction limitation to 50% of adjusted taxable income and providing a credit facility for investment-grade companies. The Company does not currently expect the interest expense deduction provision to result in a change in its ability to take a full income tax deduction. The Company also believes it has adequate liquidity and does not currently expect to utilize the credit facility under the CARES Act.</w:t>
      </w:r>
    </w:p>
    <w:p>
      <w:pPr>
        <w:spacing w:after="0" w:line="299" w:lineRule="exact"/>
        <w:rPr>
          <w:sz w:val="20"/>
          <w:szCs w:val="20"/>
          <w:color w:val="auto"/>
        </w:rPr>
      </w:pPr>
    </w:p>
    <w:p>
      <w:pPr>
        <w:spacing w:after="0"/>
        <w:rPr>
          <w:sz w:val="20"/>
          <w:szCs w:val="20"/>
          <w:color w:val="auto"/>
        </w:rPr>
      </w:pPr>
      <w:r>
        <w:rPr>
          <w:rFonts w:ascii="Arial" w:cs="Arial" w:eastAsia="Arial" w:hAnsi="Arial"/>
          <w:sz w:val="20"/>
          <w:szCs w:val="20"/>
          <w:color w:val="auto"/>
        </w:rPr>
        <w:t>TRENDS AND RISKS</w:t>
      </w:r>
    </w:p>
    <w:p>
      <w:pPr>
        <w:spacing w:after="0" w:line="108" w:lineRule="exact"/>
        <w:rPr>
          <w:sz w:val="20"/>
          <w:szCs w:val="20"/>
          <w:color w:val="auto"/>
        </w:rPr>
      </w:pPr>
    </w:p>
    <w:p>
      <w:pPr>
        <w:jc w:val="both"/>
        <w:spacing w:after="0" w:line="250" w:lineRule="auto"/>
        <w:rPr>
          <w:rFonts w:ascii="Arial" w:cs="Arial" w:eastAsia="Arial" w:hAnsi="Arial"/>
          <w:sz w:val="20"/>
          <w:szCs w:val="20"/>
          <w:color w:val="auto"/>
        </w:rPr>
      </w:pPr>
      <w:r>
        <w:rPr>
          <w:rFonts w:ascii="Arial" w:cs="Arial" w:eastAsia="Arial" w:hAnsi="Arial"/>
          <w:sz w:val="20"/>
          <w:szCs w:val="20"/>
          <w:color w:val="auto"/>
        </w:rPr>
        <w:t xml:space="preserve">The Company outlined the risks associated with its business in its Annual Report on Form 10-K for the year ended December 31, 2019. Management continues to evaluate its exposure to all operating risks on an ongoing basis. A discussion of risks and uncertainties related to the COVID-19 pandemic are included in </w:t>
      </w:r>
      <w:hyperlink w:anchor="page49">
        <w:r>
          <w:rPr>
            <w:rFonts w:ascii="Arial" w:cs="Arial" w:eastAsia="Arial" w:hAnsi="Arial"/>
            <w:sz w:val="20"/>
            <w:szCs w:val="20"/>
            <w:u w:val="single" w:color="auto"/>
            <w:color w:val="0000EE"/>
          </w:rPr>
          <w:t>Part II, Item 1A Risk Factors</w:t>
        </w:r>
        <w:r>
          <w:rPr>
            <w:rFonts w:ascii="Arial" w:cs="Arial" w:eastAsia="Arial" w:hAnsi="Arial"/>
            <w:sz w:val="20"/>
            <w:szCs w:val="20"/>
            <w:u w:val="single" w:color="auto"/>
            <w:color w:val="auto"/>
          </w:rPr>
          <w:t xml:space="preserve"> </w:t>
        </w:r>
      </w:hyperlink>
      <w:r>
        <w:rPr>
          <w:rFonts w:ascii="Arial" w:cs="Arial" w:eastAsia="Arial" w:hAnsi="Arial"/>
          <w:sz w:val="20"/>
          <w:szCs w:val="20"/>
          <w:color w:val="auto"/>
        </w:rPr>
        <w:t>of this report.</w:t>
      </w:r>
    </w:p>
    <w:p>
      <w:pPr>
        <w:spacing w:after="0" w:line="294" w:lineRule="exact"/>
        <w:rPr>
          <w:sz w:val="20"/>
          <w:szCs w:val="20"/>
          <w:color w:val="auto"/>
        </w:rPr>
      </w:pPr>
    </w:p>
    <w:p>
      <w:pPr>
        <w:spacing w:after="0"/>
        <w:rPr>
          <w:sz w:val="20"/>
          <w:szCs w:val="20"/>
          <w:color w:val="auto"/>
        </w:rPr>
      </w:pPr>
      <w:r>
        <w:rPr>
          <w:rFonts w:ascii="Arial" w:cs="Arial" w:eastAsia="Arial" w:hAnsi="Arial"/>
          <w:sz w:val="20"/>
          <w:szCs w:val="20"/>
          <w:color w:val="auto"/>
        </w:rPr>
        <w:t>OTHER MATTERS</w:t>
      </w:r>
    </w:p>
    <w:p>
      <w:pPr>
        <w:spacing w:after="0" w:line="108"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If you are interested in Martin Marietta stock, management recommends that, at a minimum, you read the Company’s current annual report and Forms 10-K, 10-Q and 8-K reports to the Securities and Exchange Commission (SEC) over the past year. The Company’s recent proxy statement for the annual meeting of shareholders also contains important information. These and other materials that have been filed with the SEC are accessible through the Company’s website at www.martinmarietta.com and are also available at the SEC’s website at www.sec.gov. You may also write or call the Company’s Corporate Secretary, who will provide copies of such reports.</w:t>
      </w:r>
    </w:p>
    <w:p>
      <w:pPr>
        <w:spacing w:after="0" w:line="57"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Investors are cautioned that all statements in this Form 10-Q that relate to the future involve risks and uncertainties, and are based on assumptions that the Company believes in good faith are reasonable but which may be materially different from actual results. These statements, which are forward-looking statements under the Private Securities Litigation Reform Act of 1995, provide the investor with the Company’s expectations or forecasts of future events. You can identify these statements by the fact that they do not relate only to historical or current facts. They may use words such as “anticipate,” “expect,” “should be,” “believe,” “will,” and other words of similar meaning in connection with future events or future operating or financial performance. Any or all of management’s forward-looking statements here and in other publications may turn out to be wrong.</w:t>
      </w:r>
    </w:p>
    <w:p>
      <w:pPr>
        <w:spacing w:after="0" w:line="8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Company’s outlook is subject to various risks and uncertainties, and is based on assumptions that the Company believes in good faith are reasonable but which may be materially different from actual results. Factors that the Company currently believes could cause actual results to differ materially from the forward-looking statements in this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43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3" w:name="page44"/>
    <w:bookmarkEnd w:id="43"/>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June 30, 2020</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Second Quarter Ended June 30, 2020</w:t>
      </w:r>
    </w:p>
    <w:p>
      <w:pPr>
        <w:jc w:val="center"/>
        <w:spacing w:after="0"/>
        <w:rPr>
          <w:sz w:val="20"/>
          <w:szCs w:val="20"/>
          <w:color w:val="auto"/>
        </w:rPr>
      </w:pPr>
      <w:r>
        <w:rPr>
          <w:rFonts w:ascii="Arial" w:cs="Arial" w:eastAsia="Arial" w:hAnsi="Arial"/>
          <w:sz w:val="20"/>
          <w:szCs w:val="20"/>
          <w:color w:val="auto"/>
        </w:rPr>
        <w:t>(Continued)</w:t>
      </w:r>
    </w:p>
    <w:p>
      <w:pPr>
        <w:spacing w:after="0" w:line="240" w:lineRule="exact"/>
        <w:rPr>
          <w:sz w:val="20"/>
          <w:szCs w:val="20"/>
          <w:color w:val="auto"/>
        </w:rPr>
      </w:pPr>
    </w:p>
    <w:p>
      <w:pPr>
        <w:jc w:val="both"/>
        <w:spacing w:after="0" w:line="230" w:lineRule="exact"/>
        <w:rPr>
          <w:sz w:val="20"/>
          <w:szCs w:val="20"/>
          <w:color w:val="auto"/>
        </w:rPr>
      </w:pPr>
      <w:r>
        <w:rPr>
          <w:rFonts w:ascii="Arial" w:cs="Arial" w:eastAsia="Arial" w:hAnsi="Arial"/>
          <w:sz w:val="18"/>
          <w:szCs w:val="18"/>
          <w:color w:val="auto"/>
        </w:rPr>
        <w:t>Form 10-Q (including the outlook) include, but are not limited to: the ability of the Company to face challenges, including those posed by the COVID-19 pandemic and implementation of any such related response plans; the recent dramatic increases in COVID-19 cases in the Sunbelt and the extent that geography of outbreak primarily matches the regions in which the Company’s Building Materials business principally operates; the resiliency and potential declines of the Company’s various construction end-use markets; the potential negative impact of the COVID-19 pandemic on the Company’s ability to continue supplying heavy-side building materials and related services at normal levels or at all in the Company’s key regions; the duration, impact and severity of the impact of the COVID-19 pandemic on the Company, including the markets in which the Company does business, its suppliers, customers or other business partners as well as the Company’s employees; the economic impact of government responses to the pandemic; the performance of the United States economy, including the impact on the economy of the COVID-19 pandemic and governmental orders restricting activities imposed to prevent further outbreak of COVID-19; shipment declines resulting from economic events beyond the Company’s control; a widespread decline in aggregates pricing, including a decline in aggregates shipment volume negatively affecting aggregates price; the history of both cement and ready mixed concrete being subject to significant changes in supply, demand and price fluctuations; the termination, capping and/or reduction or suspension of the federal and/or state gasoline tax(es) or other revenue related to public construction; the level and timing of federal, state or local transportation or infrastructure or public projects funding, most particularly in Texas, Colorado, North Carolina, Georgia, Iowa and Maryland; the impact of governmental orders restricting activities imposed to prevent further outbreak of COVID-19 on travel, potentially reducing state fuel tax revenues used to fund highway projects; the United States Congress’ inability to reach agreement among themselves or with the Administration on policy issues that impact the federal budget; the ability of states and/or other entities to finance approved projects either with tax revenues or alternative financing structures; levels of construction spending in the markets the Company serves; a reduction in defense spending and the subsequent impact on construction activity on or near military bases; a decline in the commercial component of the nonresidential construction market, notably office and retail space, including a decline resulting from economic distress related to the COVID-19 pandemic; a decline in energy-related construction activity resulting from a sustained period of low global oil prices or changes in oil production patterns or capital spending in response to this decline, particularly in Texas; increasing residential mortgage rates and other factors that could result in a slowdown in residential construction; unfavorable weather conditions, particularly Atlantic Ocean and Gulf of Mexico hurricane activity, the late start to spring or the early onset of winter and the impact of a drought or excessive rainfall in the markets served by the Company, any of which can significantly affect production schedules, volumes, product and/or geographic mix and profitability; whether the Company’s operations will continue to be treated as “essential” operations under applicable government orders restricting business activities imposed to prevent further outbreak of COVID-19 or, even if so treated, whether site-specific health and safety concerns might otherwise require certain of the Company’s operations to be halted for some period of time; the volatility of fuel costs, particularly diesel fuel, and the impact on the cost, or the availability generally, of other consumables, namely steel, explosives, tires and conveyor belts, and with respect to the Company’s Magnesia Specialties business, natural gas; continued increases in the cost of other repair and supply parts; construction labor shortages and/or supply</w:t>
      </w:r>
      <w:r>
        <w:rPr>
          <w:rFonts w:ascii="MS PGothic" w:cs="MS PGothic" w:eastAsia="MS PGothic" w:hAnsi="MS PGothic"/>
          <w:sz w:val="18"/>
          <w:szCs w:val="18"/>
          <w:color w:val="auto"/>
        </w:rPr>
        <w:t>‐</w:t>
      </w:r>
      <w:r>
        <w:rPr>
          <w:rFonts w:ascii="Arial" w:cs="Arial" w:eastAsia="Arial" w:hAnsi="Arial"/>
          <w:sz w:val="18"/>
          <w:szCs w:val="18"/>
          <w:color w:val="auto"/>
        </w:rPr>
        <w:t>chain challenges; unexpected equipment failures, unscheduled maintenance, industrial accident or other prolonged and/or significant disruption to production facilities; increasing governmental regulation, including environmental laws; the failure of relevant government agencies to implement expected regulatory reductions; transportation availability or a sustained reduction in capital investment by the railroads, notably the availability of railcars, locomotive power and the condition of rail infrastructure to move trains to supply the Company’s Texas, Colorado, Florida, Carolinas and the Gulf Coast markets, including the movement of essential dolomitic lime for magnesia chemicals to the Company’s plant in Manistee, Michigan and its customers; increased transportation costs, including increases from higher or fluctuating passed-through energy costs or fuel surcharges, and other costs to comply with tightening regulations, as well as higher</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44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4" w:name="page45"/>
    <w:bookmarkEnd w:id="44"/>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June 30, 2020</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Second Quarter Ended June 30, 2020</w:t>
      </w:r>
    </w:p>
    <w:p>
      <w:pPr>
        <w:jc w:val="center"/>
        <w:spacing w:after="0"/>
        <w:rPr>
          <w:sz w:val="20"/>
          <w:szCs w:val="20"/>
          <w:color w:val="auto"/>
        </w:rPr>
      </w:pPr>
      <w:r>
        <w:rPr>
          <w:rFonts w:ascii="Arial" w:cs="Arial" w:eastAsia="Arial" w:hAnsi="Arial"/>
          <w:sz w:val="20"/>
          <w:szCs w:val="20"/>
          <w:color w:val="auto"/>
        </w:rPr>
        <w:t>(Continued)</w:t>
      </w:r>
    </w:p>
    <w:p>
      <w:pPr>
        <w:spacing w:after="0" w:line="240"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volumes of rail and water shipments; availability of trucks and licensed drivers for transport of the Company’s materials; availability and cost of construction equipment in the United States; weakening in the steel industry markets served by the Company’s dolomitic lime products; trade disputes with one or more nations impacting the U.S. economy, including the impact of tariffs on the steel industry; unplanned changes in costs or realignment of customers that introduce volatility to earnings, including that of the Magnesia Specialties business that is running at capacity; proper functioning of information technology and automated operating systems to manage or support operations; inflation and its effect on both production and interest costs; the concentration of customers in construction markets and the increased risk of potential losses on customer receivables; the impact of the level of demand in the Company’s end-use markets, production levels and management of production costs on the operating leverage and therefore profitability of the Company; the possibility that the expected synergies from acquisitions will not be realized or will not be realized within the expected time period, including achieving anticipated profitability to maintain compliance with the Company’s leverage ratio debt covenant; changes in tax laws, the interpretation of such laws and/or administrative practices that would increase the Company’s tax rate; violation of the Company’s debt covenant if price and/or volumes return to previous levels of instability; downward pressure on the Company’s common stock price and its impact on goodwill impairment evaluations; the possibility of a reduction of the Company’s credit rating to non-investment grade; and other risk factors listed from time to time found in the Company’s filings with the SEC.</w:t>
      </w:r>
    </w:p>
    <w:p>
      <w:pPr>
        <w:spacing w:after="0" w:line="73"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You should consider these forward-looking statements in light of risk factors discussed in the Company’s Annual Report on Form 10-K for the year ended December 31, 2019 and other periodic filings made with the SEC. All of the Company’s forward-looking statements should be considered in light of these factors. In addition, other risks and uncertainties not presently known to the Company or that the Company considers immaterial could affect the accuracy of its forward-looking statements, or adversely affect or be material to the Company. The Company assumes no obligation to update any such forward-looking statements.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45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5" w:name="page46"/>
    <w:bookmarkEnd w:id="45"/>
    <w:p>
      <w:pPr>
        <w:jc w:val="center"/>
        <w:ind w:right="-19"/>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FORM 10-Q</w:t>
      </w:r>
    </w:p>
    <w:p>
      <w:pPr>
        <w:jc w:val="center"/>
        <w:ind w:right="-19"/>
        <w:spacing w:after="0"/>
        <w:rPr>
          <w:sz w:val="20"/>
          <w:szCs w:val="20"/>
          <w:color w:val="auto"/>
        </w:rPr>
      </w:pPr>
      <w:r>
        <w:rPr>
          <w:rFonts w:ascii="Arial" w:cs="Arial" w:eastAsia="Arial" w:hAnsi="Arial"/>
          <w:sz w:val="20"/>
          <w:szCs w:val="20"/>
          <w:color w:val="auto"/>
        </w:rPr>
        <w:t>For the Quarter June 30, 2020</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RESULTS OF OPERATIONS</w:t>
      </w:r>
    </w:p>
    <w:p>
      <w:pPr>
        <w:jc w:val="center"/>
        <w:ind w:right="-19"/>
        <w:spacing w:after="0"/>
        <w:rPr>
          <w:sz w:val="20"/>
          <w:szCs w:val="20"/>
          <w:color w:val="auto"/>
        </w:rPr>
      </w:pPr>
      <w:r>
        <w:rPr>
          <w:rFonts w:ascii="Arial" w:cs="Arial" w:eastAsia="Arial" w:hAnsi="Arial"/>
          <w:sz w:val="20"/>
          <w:szCs w:val="20"/>
          <w:color w:val="auto"/>
        </w:rPr>
        <w:t>Second Quarter Ended June 30, 2020</w:t>
      </w:r>
    </w:p>
    <w:p>
      <w:pPr>
        <w:jc w:val="center"/>
        <w:ind w:right="-19"/>
        <w:spacing w:after="0"/>
        <w:rPr>
          <w:sz w:val="20"/>
          <w:szCs w:val="20"/>
          <w:color w:val="auto"/>
        </w:rPr>
      </w:pPr>
      <w:r>
        <w:rPr>
          <w:rFonts w:ascii="Arial" w:cs="Arial" w:eastAsia="Arial" w:hAnsi="Arial"/>
          <w:sz w:val="20"/>
          <w:szCs w:val="20"/>
          <w:color w:val="auto"/>
        </w:rPr>
        <w:t>(Continued)</w:t>
      </w:r>
    </w:p>
    <w:p>
      <w:pPr>
        <w:spacing w:after="0" w:line="348" w:lineRule="exact"/>
        <w:rPr>
          <w:sz w:val="20"/>
          <w:szCs w:val="20"/>
          <w:color w:val="auto"/>
        </w:rPr>
      </w:pPr>
    </w:p>
    <w:p>
      <w:pPr>
        <w:spacing w:after="0"/>
        <w:rPr>
          <w:sz w:val="20"/>
          <w:szCs w:val="20"/>
          <w:color w:val="auto"/>
        </w:rPr>
      </w:pPr>
      <w:r>
        <w:rPr>
          <w:rFonts w:ascii="Arial" w:cs="Arial" w:eastAsia="Arial" w:hAnsi="Arial"/>
          <w:sz w:val="20"/>
          <w:szCs w:val="20"/>
          <w:color w:val="auto"/>
        </w:rPr>
        <w:t>INVESTOR ACCESS TO COMPANY FILINGS</w:t>
      </w:r>
    </w:p>
    <w:p>
      <w:pPr>
        <w:spacing w:after="0" w:line="108" w:lineRule="exact"/>
        <w:rPr>
          <w:sz w:val="20"/>
          <w:szCs w:val="20"/>
          <w:color w:val="auto"/>
        </w:rPr>
      </w:pPr>
    </w:p>
    <w:p>
      <w:pPr>
        <w:spacing w:after="0"/>
        <w:rPr>
          <w:sz w:val="20"/>
          <w:szCs w:val="20"/>
          <w:color w:val="auto"/>
        </w:rPr>
      </w:pPr>
      <w:r>
        <w:rPr>
          <w:rFonts w:ascii="Arial" w:cs="Arial" w:eastAsia="Arial" w:hAnsi="Arial"/>
          <w:sz w:val="19"/>
          <w:szCs w:val="19"/>
          <w:color w:val="auto"/>
        </w:rPr>
        <w:t>Shareholders may obtain, without charge, a copy of Martin Marietta’s Annual Report on Form 10-K, as filed with the Securities and</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Exchange Commission for the fiscal year ended December 31, 2019, by writing to:</w:t>
      </w:r>
    </w:p>
    <w:p>
      <w:pPr>
        <w:spacing w:after="0" w:line="92" w:lineRule="exact"/>
        <w:rPr>
          <w:sz w:val="20"/>
          <w:szCs w:val="20"/>
          <w:color w:val="auto"/>
        </w:rPr>
      </w:pPr>
    </w:p>
    <w:p>
      <w:pPr>
        <w:ind w:left="260"/>
        <w:spacing w:after="0"/>
        <w:rPr>
          <w:sz w:val="20"/>
          <w:szCs w:val="20"/>
          <w:color w:val="auto"/>
        </w:rPr>
      </w:pPr>
      <w:r>
        <w:rPr>
          <w:rFonts w:ascii="Arial" w:cs="Arial" w:eastAsia="Arial" w:hAnsi="Arial"/>
          <w:sz w:val="20"/>
          <w:szCs w:val="20"/>
          <w:color w:val="auto"/>
        </w:rPr>
        <w:t>Martin Marietta</w:t>
      </w:r>
    </w:p>
    <w:p>
      <w:pPr>
        <w:spacing w:after="0" w:line="15" w:lineRule="exact"/>
        <w:rPr>
          <w:sz w:val="20"/>
          <w:szCs w:val="20"/>
          <w:color w:val="auto"/>
        </w:rPr>
      </w:pPr>
    </w:p>
    <w:p>
      <w:pPr>
        <w:ind w:left="260"/>
        <w:spacing w:after="0"/>
        <w:rPr>
          <w:sz w:val="20"/>
          <w:szCs w:val="20"/>
          <w:color w:val="auto"/>
        </w:rPr>
      </w:pPr>
      <w:r>
        <w:rPr>
          <w:rFonts w:ascii="Arial" w:cs="Arial" w:eastAsia="Arial" w:hAnsi="Arial"/>
          <w:sz w:val="20"/>
          <w:szCs w:val="20"/>
          <w:color w:val="auto"/>
        </w:rPr>
        <w:t>Attn: Corporate Secretary</w:t>
      </w:r>
    </w:p>
    <w:p>
      <w:pPr>
        <w:ind w:left="260"/>
        <w:spacing w:after="0"/>
        <w:rPr>
          <w:sz w:val="20"/>
          <w:szCs w:val="20"/>
          <w:color w:val="auto"/>
        </w:rPr>
      </w:pPr>
      <w:r>
        <w:rPr>
          <w:rFonts w:ascii="Arial" w:cs="Arial" w:eastAsia="Arial" w:hAnsi="Arial"/>
          <w:sz w:val="20"/>
          <w:szCs w:val="20"/>
          <w:color w:val="auto"/>
        </w:rPr>
        <w:t>2710 Wycliff Road</w:t>
      </w:r>
    </w:p>
    <w:p>
      <w:pPr>
        <w:ind w:left="260"/>
        <w:spacing w:after="0"/>
        <w:rPr>
          <w:sz w:val="20"/>
          <w:szCs w:val="20"/>
          <w:color w:val="auto"/>
        </w:rPr>
      </w:pPr>
      <w:r>
        <w:rPr>
          <w:rFonts w:ascii="Arial" w:cs="Arial" w:eastAsia="Arial" w:hAnsi="Arial"/>
          <w:sz w:val="20"/>
          <w:szCs w:val="20"/>
          <w:color w:val="auto"/>
        </w:rPr>
        <w:t>Raleigh, North Carolina 27607-3033</w:t>
      </w:r>
    </w:p>
    <w:p>
      <w:pPr>
        <w:spacing w:after="0" w:line="92"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Additionally, Martin Marietta’s Annual Report, press releases and filings with the Securities and Exchange Commission, including Forms 10-K, 10-Q, 8-K and 11-K, can generally be accessed via the Company’s website. Filings with the Securities and Exchange Commission accessed via the website are available through a link with the Electronic Data Gathering, Analysis, and Retrieval (EDGAR) system. Accordingly, access to such filings is available upon EDGAR placing the related document in its database. Investor relations contact information is as follows:</w:t>
      </w:r>
    </w:p>
    <w:p>
      <w:pPr>
        <w:spacing w:after="0" w:line="86" w:lineRule="exact"/>
        <w:rPr>
          <w:sz w:val="20"/>
          <w:szCs w:val="20"/>
          <w:color w:val="auto"/>
        </w:rPr>
      </w:pPr>
    </w:p>
    <w:p>
      <w:pPr>
        <w:ind w:left="260"/>
        <w:spacing w:after="0"/>
        <w:rPr>
          <w:sz w:val="20"/>
          <w:szCs w:val="20"/>
          <w:color w:val="auto"/>
        </w:rPr>
      </w:pPr>
      <w:r>
        <w:rPr>
          <w:rFonts w:ascii="Arial" w:cs="Arial" w:eastAsia="Arial" w:hAnsi="Arial"/>
          <w:sz w:val="20"/>
          <w:szCs w:val="20"/>
          <w:color w:val="auto"/>
        </w:rPr>
        <w:t>Telephone: (919) 783-4691</w:t>
      </w:r>
    </w:p>
    <w:p>
      <w:pPr>
        <w:spacing w:after="0" w:line="16" w:lineRule="exact"/>
        <w:rPr>
          <w:sz w:val="20"/>
          <w:szCs w:val="20"/>
          <w:color w:val="auto"/>
        </w:rPr>
      </w:pPr>
    </w:p>
    <w:p>
      <w:pPr>
        <w:ind w:left="260"/>
        <w:spacing w:after="0"/>
        <w:rPr>
          <w:sz w:val="20"/>
          <w:szCs w:val="20"/>
          <w:color w:val="auto"/>
        </w:rPr>
      </w:pPr>
      <w:r>
        <w:rPr>
          <w:rFonts w:ascii="Arial" w:cs="Arial" w:eastAsia="Arial" w:hAnsi="Arial"/>
          <w:sz w:val="20"/>
          <w:szCs w:val="20"/>
          <w:color w:val="auto"/>
        </w:rPr>
        <w:t>Website address: www.martinmarietta.com</w:t>
      </w:r>
    </w:p>
    <w:p>
      <w:pPr>
        <w:spacing w:after="0" w:line="92" w:lineRule="exact"/>
        <w:rPr>
          <w:sz w:val="20"/>
          <w:szCs w:val="20"/>
          <w:color w:val="auto"/>
        </w:rPr>
      </w:pPr>
    </w:p>
    <w:p>
      <w:pPr>
        <w:spacing w:after="0"/>
        <w:rPr>
          <w:sz w:val="20"/>
          <w:szCs w:val="20"/>
          <w:color w:val="auto"/>
        </w:rPr>
      </w:pPr>
      <w:r>
        <w:rPr>
          <w:rFonts w:ascii="Arial" w:cs="Arial" w:eastAsia="Arial" w:hAnsi="Arial"/>
          <w:sz w:val="20"/>
          <w:szCs w:val="20"/>
          <w:color w:val="auto"/>
        </w:rPr>
        <w:t>Information included on the Company’s website is not incorporated into, or otherwise create a part of, this report.</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Page 46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6" w:name="page47"/>
    <w:bookmarkEnd w:id="46"/>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June 30, 2020</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Item 3. Quantitative and Qualitative Disclosures About Market Risk.</w:t>
      </w:r>
    </w:p>
    <w:p>
      <w:pPr>
        <w:spacing w:after="0" w:line="108"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The impact of the COVID-19 pandemic on the global and domestic economy is currently not fully known. The Company’s operations have to date been considered “essential” operations under applicable governmental orders that restrict activities in an effort to prevent further outbreak of COVID-19. As such, the Company is conducting business with certain modifications, including having non-operational personnel working remotely; limiting site access to necessary employees and critical third parties; engaging medical experts to screen those who may have had COVID-19 exposure before allowing access to sites; enhancing the cleaning and disinfection of equipment and common areas, including engaging third-party specialists to disinfect work spaces; and issuing a quarantine policy requiring employees with COVID-19 symptoms to stay home for at least 14 days, among other things. The Company continues to actively monitor the situation and may take further actions that alter its business operations including any that may be required by federal, state or local authorities or that the Company determines are in the best interests of its employees, customers, suppliers, vendors, communities and other stakeholders.</w:t>
      </w:r>
    </w:p>
    <w:p>
      <w:pPr>
        <w:spacing w:after="0" w:line="62"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Demand for aggregates products, particularly in the infrastructure construction market, is affected by federal, state and local budget and deficit issues. Remote working and stay-at-home orders and other guidelines are reducing miles driven, which is having a negative impact on various revenue streams that fund roadway projects. Further, delays or cancellations of projects in the nonresidential and residential construction markets could occur if companies and consumers are unable to obtain financing for construction projects or if consumer confidence continues to be eroded by economic uncertainty. The residential construction market accounted for 22% of the Company’s aggregates shipments in 2019 and 24% in the first half of 2020.</w:t>
      </w:r>
    </w:p>
    <w:p>
      <w:pPr>
        <w:spacing w:after="0" w:line="88" w:lineRule="exact"/>
        <w:rPr>
          <w:sz w:val="20"/>
          <w:szCs w:val="20"/>
          <w:color w:val="auto"/>
        </w:rPr>
      </w:pPr>
    </w:p>
    <w:p>
      <w:pPr>
        <w:jc w:val="both"/>
        <w:ind w:right="20"/>
        <w:spacing w:after="0" w:line="316" w:lineRule="auto"/>
        <w:rPr>
          <w:sz w:val="20"/>
          <w:szCs w:val="20"/>
          <w:color w:val="auto"/>
        </w:rPr>
      </w:pPr>
      <w:r>
        <w:rPr>
          <w:rFonts w:ascii="Arial" w:cs="Arial" w:eastAsia="Arial" w:hAnsi="Arial"/>
          <w:sz w:val="18"/>
          <w:szCs w:val="18"/>
          <w:color w:val="auto"/>
        </w:rPr>
        <w:t>The Company’s operations are highly dependent upon the interest rate-sensitive construction and steelmaking industries. Consequently, these marketplaces could experience lower levels of economic activity in an environment of rising interest rates or escalating costs.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Aside from these inherent risks from within its operations, the Company’s earnings are also affected by changes in short-term interest rates.</w:t>
      </w:r>
    </w:p>
    <w:p>
      <w:pPr>
        <w:spacing w:after="0" w:line="131" w:lineRule="exact"/>
        <w:rPr>
          <w:sz w:val="20"/>
          <w:szCs w:val="20"/>
          <w:color w:val="auto"/>
        </w:rPr>
      </w:pPr>
    </w:p>
    <w:p>
      <w:pPr>
        <w:jc w:val="both"/>
        <w:spacing w:after="0" w:line="246" w:lineRule="auto"/>
        <w:rPr>
          <w:sz w:val="20"/>
          <w:szCs w:val="20"/>
          <w:color w:val="auto"/>
        </w:rPr>
      </w:pPr>
      <w:r>
        <w:rPr>
          <w:rFonts w:ascii="Arial" w:cs="Arial" w:eastAsia="Arial" w:hAnsi="Arial"/>
          <w:sz w:val="20"/>
          <w:szCs w:val="20"/>
          <w:i w:val="1"/>
          <w:iCs w:val="1"/>
          <w:color w:val="auto"/>
        </w:rPr>
        <w:t xml:space="preserve">Variable-Rate Borrowing Facilities. </w:t>
      </w:r>
      <w:r>
        <w:rPr>
          <w:rFonts w:ascii="Arial" w:cs="Arial" w:eastAsia="Arial" w:hAnsi="Arial"/>
          <w:sz w:val="20"/>
          <w:szCs w:val="20"/>
          <w:color w:val="auto"/>
        </w:rPr>
        <w:t>At June 30, 2020, the Company had a $700 million Revolving Facility and a $400 million Trade</w:t>
      </w:r>
      <w:r>
        <w:rPr>
          <w:rFonts w:ascii="Arial" w:cs="Arial" w:eastAsia="Arial" w:hAnsi="Arial"/>
          <w:sz w:val="20"/>
          <w:szCs w:val="20"/>
          <w:i w:val="1"/>
          <w:iCs w:val="1"/>
          <w:color w:val="auto"/>
        </w:rPr>
        <w:t xml:space="preserve"> </w:t>
      </w:r>
      <w:r>
        <w:rPr>
          <w:rFonts w:ascii="Arial" w:cs="Arial" w:eastAsia="Arial" w:hAnsi="Arial"/>
          <w:sz w:val="20"/>
          <w:szCs w:val="20"/>
          <w:color w:val="auto"/>
        </w:rPr>
        <w:t>Receivable Facility. Borrowings under these facilities bear interest at a variable interest rate. A hypothetical 100-basis-point increase in interest rates on borrowings of $130 million, which was the collective outstanding balance at June 30, 2020, would increase interest expense by $1.3 million on an annual basis.</w:t>
      </w:r>
    </w:p>
    <w:p>
      <w:pPr>
        <w:spacing w:after="0" w:line="83" w:lineRule="exact"/>
        <w:rPr>
          <w:sz w:val="20"/>
          <w:szCs w:val="20"/>
          <w:color w:val="auto"/>
        </w:rPr>
      </w:pPr>
    </w:p>
    <w:p>
      <w:pPr>
        <w:jc w:val="both"/>
        <w:spacing w:after="0" w:line="274" w:lineRule="auto"/>
        <w:rPr>
          <w:sz w:val="20"/>
          <w:szCs w:val="20"/>
          <w:color w:val="auto"/>
        </w:rPr>
      </w:pPr>
      <w:r>
        <w:rPr>
          <w:rFonts w:ascii="Arial" w:cs="Arial" w:eastAsia="Arial" w:hAnsi="Arial"/>
          <w:sz w:val="18"/>
          <w:szCs w:val="18"/>
          <w:i w:val="1"/>
          <w:iCs w:val="1"/>
          <w:color w:val="auto"/>
        </w:rPr>
        <w:t xml:space="preserve">Pension Expense. </w:t>
      </w:r>
      <w:r>
        <w:rPr>
          <w:rFonts w:ascii="Arial" w:cs="Arial" w:eastAsia="Arial" w:hAnsi="Arial"/>
          <w:sz w:val="18"/>
          <w:szCs w:val="18"/>
          <w:color w:val="auto"/>
        </w:rPr>
        <w:t>The Company’s results of operations are affected by its pension expense. Assumptions that affect pension expense include</w:t>
      </w:r>
      <w:r>
        <w:rPr>
          <w:rFonts w:ascii="Arial" w:cs="Arial" w:eastAsia="Arial" w:hAnsi="Arial"/>
          <w:sz w:val="18"/>
          <w:szCs w:val="18"/>
          <w:i w:val="1"/>
          <w:iCs w:val="1"/>
          <w:color w:val="auto"/>
        </w:rPr>
        <w:t xml:space="preserve"> </w:t>
      </w:r>
      <w:r>
        <w:rPr>
          <w:rFonts w:ascii="Arial" w:cs="Arial" w:eastAsia="Arial" w:hAnsi="Arial"/>
          <w:sz w:val="18"/>
          <w:szCs w:val="18"/>
          <w:color w:val="auto"/>
        </w:rPr>
        <w:t>the discount rate and, for the qualified defined benefit pension plan only, the expected long-term rate of return on assets. Therefore, the Company has interest rate risk associated with these factors. The impact of hypothetical changes in these assumptions on the Company’s annual pension expense is discussed in the Company’s Annual Report on Form 10-K for the year ended December 31, 2019. As of June 30, 2020, discount rates were approximately 50 basis points lower than the rate selected as of December 31, 2019, the most recent measurement date. Unless an event requires an interim remeasurement, the Company will next remeasure its pension obligation and funded status as of December 31, 2020. Any decreases in the discount rate and pension asset values will negatively impact 2021 pension expense.</w:t>
      </w:r>
    </w:p>
    <w:p>
      <w:pPr>
        <w:spacing w:after="0" w:line="60" w:lineRule="exact"/>
        <w:rPr>
          <w:sz w:val="20"/>
          <w:szCs w:val="20"/>
          <w:color w:val="auto"/>
        </w:rPr>
      </w:pPr>
    </w:p>
    <w:p>
      <w:pPr>
        <w:jc w:val="both"/>
        <w:spacing w:after="0" w:line="243" w:lineRule="auto"/>
        <w:rPr>
          <w:sz w:val="20"/>
          <w:szCs w:val="20"/>
          <w:color w:val="auto"/>
        </w:rPr>
      </w:pPr>
      <w:r>
        <w:rPr>
          <w:rFonts w:ascii="Arial" w:cs="Arial" w:eastAsia="Arial" w:hAnsi="Arial"/>
          <w:sz w:val="20"/>
          <w:szCs w:val="20"/>
          <w:i w:val="1"/>
          <w:iCs w:val="1"/>
          <w:color w:val="auto"/>
        </w:rPr>
        <w:t>Energy Costs</w:t>
      </w:r>
      <w:r>
        <w:rPr>
          <w:rFonts w:ascii="Arial" w:cs="Arial" w:eastAsia="Arial" w:hAnsi="Arial"/>
          <w:sz w:val="20"/>
          <w:szCs w:val="20"/>
          <w:color w:val="auto"/>
        </w:rPr>
        <w:t>. Energy costs, including diesel fuel, natural gas, coal and liquid asphalt, represent significant production costs of the</w:t>
      </w:r>
      <w:r>
        <w:rPr>
          <w:rFonts w:ascii="Arial" w:cs="Arial" w:eastAsia="Arial" w:hAnsi="Arial"/>
          <w:sz w:val="20"/>
          <w:szCs w:val="20"/>
          <w:i w:val="1"/>
          <w:iCs w:val="1"/>
          <w:color w:val="auto"/>
        </w:rPr>
        <w:t xml:space="preserve"> </w:t>
      </w:r>
      <w:r>
        <w:rPr>
          <w:rFonts w:ascii="Arial" w:cs="Arial" w:eastAsia="Arial" w:hAnsi="Arial"/>
          <w:sz w:val="20"/>
          <w:szCs w:val="20"/>
          <w:color w:val="auto"/>
        </w:rPr>
        <w:t>Company. The cement operations and Magnesia Specialties business have fixed price agreements covering a majority of their 2020 coal requirements. Energy expense for the six months ended June 30, 2020 decreased approximately 16% compared with the prior-year period, due to lower crude oil prices in 2020; however, any future energy prices cannot be reliably predicted. A hypothetical 16% change in the Company’s energy prices for the full year 2020 as compared with 2019, assuming constant volumes, would change full year 2020 energy expense by $45 million.</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47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7" w:name="page48"/>
    <w:bookmarkEnd w:id="47"/>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June 30, 2020</w:t>
      </w:r>
    </w:p>
    <w:p>
      <w:pPr>
        <w:jc w:val="center"/>
        <w:spacing w:after="0"/>
        <w:rPr>
          <w:sz w:val="20"/>
          <w:szCs w:val="20"/>
          <w:color w:val="auto"/>
        </w:rPr>
      </w:pPr>
      <w:r>
        <w:rPr>
          <w:rFonts w:ascii="Arial" w:cs="Arial" w:eastAsia="Arial" w:hAnsi="Arial"/>
          <w:sz w:val="20"/>
          <w:szCs w:val="20"/>
          <w:color w:val="auto"/>
        </w:rPr>
        <w:t>(Continued)</w:t>
      </w:r>
    </w:p>
    <w:p>
      <w:pPr>
        <w:spacing w:after="0" w:line="240" w:lineRule="exact"/>
        <w:rPr>
          <w:sz w:val="20"/>
          <w:szCs w:val="20"/>
          <w:color w:val="auto"/>
        </w:rPr>
      </w:pPr>
    </w:p>
    <w:p>
      <w:pPr>
        <w:jc w:val="both"/>
        <w:spacing w:after="0" w:line="242" w:lineRule="auto"/>
        <w:rPr>
          <w:sz w:val="20"/>
          <w:szCs w:val="20"/>
          <w:color w:val="auto"/>
        </w:rPr>
      </w:pPr>
      <w:r>
        <w:rPr>
          <w:rFonts w:ascii="Arial" w:cs="Arial" w:eastAsia="Arial" w:hAnsi="Arial"/>
          <w:sz w:val="20"/>
          <w:szCs w:val="20"/>
          <w:i w:val="1"/>
          <w:iCs w:val="1"/>
          <w:color w:val="auto"/>
        </w:rPr>
        <w:t xml:space="preserve">Commodity Risk. </w:t>
      </w:r>
      <w:r>
        <w:rPr>
          <w:rFonts w:ascii="Arial" w:cs="Arial" w:eastAsia="Arial" w:hAnsi="Arial"/>
          <w:sz w:val="20"/>
          <w:szCs w:val="20"/>
          <w:color w:val="auto"/>
        </w:rPr>
        <w:t>Cement is a commodity, and competition is based principally on price, which is highly sensitive to changes in supply and</w:t>
      </w:r>
      <w:r>
        <w:rPr>
          <w:rFonts w:ascii="Arial" w:cs="Arial" w:eastAsia="Arial" w:hAnsi="Arial"/>
          <w:sz w:val="20"/>
          <w:szCs w:val="20"/>
          <w:i w:val="1"/>
          <w:iCs w:val="1"/>
          <w:color w:val="auto"/>
        </w:rPr>
        <w:t xml:space="preserve"> </w:t>
      </w:r>
      <w:r>
        <w:rPr>
          <w:rFonts w:ascii="Arial" w:cs="Arial" w:eastAsia="Arial" w:hAnsi="Arial"/>
          <w:sz w:val="20"/>
          <w:szCs w:val="20"/>
          <w:color w:val="auto"/>
        </w:rPr>
        <w:t>demand. Prices are often subject to material changes in response to relatively minor fluctuations in supply and demand, general economic conditions and other market conditions beyond the Company’s control. Increases in the production capacity of industry participants or increases in cement imports tend to create an oversupply of such products leading to an imbalance between supply and demand, which can have a negative impact on product prices. There can be no assurance that prices for products sold will not decline in the future or that such declines will not have a material adverse effect on the Company’s business, financial condition and results of operations. Assuming full year 2019 total product revenues for cement of $439 million, a hypothetical 10% change in sales price would impact total revenues by $43.9 million.</w:t>
      </w:r>
    </w:p>
    <w:p>
      <w:pPr>
        <w:spacing w:after="0" w:line="305" w:lineRule="exact"/>
        <w:rPr>
          <w:sz w:val="20"/>
          <w:szCs w:val="20"/>
          <w:color w:val="auto"/>
        </w:rPr>
      </w:pPr>
    </w:p>
    <w:p>
      <w:pPr>
        <w:spacing w:after="0"/>
        <w:rPr>
          <w:sz w:val="20"/>
          <w:szCs w:val="20"/>
          <w:color w:val="auto"/>
        </w:rPr>
      </w:pPr>
      <w:r>
        <w:rPr>
          <w:rFonts w:ascii="Arial" w:cs="Arial" w:eastAsia="Arial" w:hAnsi="Arial"/>
          <w:sz w:val="20"/>
          <w:szCs w:val="20"/>
          <w:color w:val="auto"/>
        </w:rPr>
        <w:t>Item 4. Controls and Procedures</w:t>
      </w:r>
    </w:p>
    <w:p>
      <w:pPr>
        <w:spacing w:after="0" w:line="108" w:lineRule="exact"/>
        <w:rPr>
          <w:sz w:val="20"/>
          <w:szCs w:val="20"/>
          <w:color w:val="auto"/>
        </w:rPr>
      </w:pPr>
    </w:p>
    <w:p>
      <w:pPr>
        <w:jc w:val="both"/>
        <w:spacing w:after="0" w:line="243" w:lineRule="auto"/>
        <w:rPr>
          <w:sz w:val="20"/>
          <w:szCs w:val="20"/>
          <w:color w:val="auto"/>
        </w:rPr>
      </w:pPr>
      <w:r>
        <w:rPr>
          <w:rFonts w:ascii="Arial" w:cs="Arial" w:eastAsia="Arial" w:hAnsi="Arial"/>
          <w:sz w:val="20"/>
          <w:szCs w:val="20"/>
          <w:i w:val="1"/>
          <w:iCs w:val="1"/>
          <w:color w:val="auto"/>
        </w:rPr>
        <w:t xml:space="preserve">Evaluation of Disclosure Controls and Procedures. </w:t>
      </w:r>
      <w:r>
        <w:rPr>
          <w:rFonts w:ascii="Arial" w:cs="Arial" w:eastAsia="Arial" w:hAnsi="Arial"/>
          <w:sz w:val="20"/>
          <w:szCs w:val="20"/>
          <w:color w:val="auto"/>
        </w:rPr>
        <w:t>As of June 30, 2020, an evaluation was performed under the supervision and with the</w:t>
      </w:r>
      <w:r>
        <w:rPr>
          <w:rFonts w:ascii="Arial" w:cs="Arial" w:eastAsia="Arial" w:hAnsi="Arial"/>
          <w:sz w:val="20"/>
          <w:szCs w:val="20"/>
          <w:i w:val="1"/>
          <w:iCs w:val="1"/>
          <w:color w:val="auto"/>
        </w:rPr>
        <w:t xml:space="preserve"> </w:t>
      </w:r>
      <w:r>
        <w:rPr>
          <w:rFonts w:ascii="Arial" w:cs="Arial" w:eastAsia="Arial" w:hAnsi="Arial"/>
          <w:sz w:val="20"/>
          <w:szCs w:val="20"/>
          <w:color w:val="auto"/>
        </w:rPr>
        <w:t>participation of the Company’s management, including the Chief Executive Officer and Chief Financial Officer, of the effectiveness of the design and the operation of the Company’s disclosure controls and procedures. Based on that evaluation, the Company’s management, including the Chief Executive Officer and Chief Financial Officer, concluded that the Company’s disclosure controls and procedures were effective as of June 30, 2020. There were no changes in the Company’s internal control over financial reporting during the most recently completed fiscal quarter that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48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8" w:name="page49"/>
    <w:bookmarkEnd w:id="48"/>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June 30, 2020</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PART II- OTHER INFORMATION</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Item 1. Legal Proceedings.</w:t>
      </w:r>
    </w:p>
    <w:p>
      <w:pPr>
        <w:spacing w:after="0" w:line="10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 xml:space="preserve">Certain legal proceedings in which the Company is involved are discussed in Note O to the consolidated financial statements and Part I, Item 3 of the Company’s Annual Report on Form 10-K for the year ended December 31, 2019. See also </w:t>
      </w:r>
      <w:r>
        <w:rPr>
          <w:rFonts w:ascii="Arial" w:cs="Arial" w:eastAsia="Arial" w:hAnsi="Arial"/>
          <w:sz w:val="20"/>
          <w:szCs w:val="20"/>
          <w:i w:val="1"/>
          <w:iCs w:val="1"/>
          <w:color w:val="auto"/>
        </w:rPr>
        <w:t>Note 8 Commitments and Contingencies,</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Legal and Administrative Proceedings, </w:t>
      </w:r>
      <w:r>
        <w:rPr>
          <w:rFonts w:ascii="Arial" w:cs="Arial" w:eastAsia="Arial" w:hAnsi="Arial"/>
          <w:sz w:val="20"/>
          <w:szCs w:val="20"/>
          <w:color w:val="auto"/>
        </w:rPr>
        <w:t>of this Form 10-Q.</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Item 1A. Risk Factors.</w:t>
      </w:r>
    </w:p>
    <w:p>
      <w:pPr>
        <w:spacing w:after="0" w:line="108" w:lineRule="exact"/>
        <w:rPr>
          <w:sz w:val="20"/>
          <w:szCs w:val="20"/>
          <w:color w:val="auto"/>
        </w:rPr>
      </w:pPr>
    </w:p>
    <w:p>
      <w:pPr>
        <w:jc w:val="both"/>
        <w:spacing w:after="0" w:line="316" w:lineRule="auto"/>
        <w:rPr>
          <w:sz w:val="20"/>
          <w:szCs w:val="20"/>
          <w:color w:val="auto"/>
        </w:rPr>
      </w:pPr>
      <w:r>
        <w:rPr>
          <w:rFonts w:ascii="Arial" w:cs="Arial" w:eastAsia="Arial" w:hAnsi="Arial"/>
          <w:sz w:val="18"/>
          <w:szCs w:val="18"/>
          <w:b w:val="1"/>
          <w:bCs w:val="1"/>
          <w:i w:val="1"/>
          <w:iCs w:val="1"/>
          <w:color w:val="auto"/>
        </w:rPr>
        <w:t>The Company’s businesses could be adversely affected by the ongoing COVID-19 pandemic, or any other outbreak of disease, epidemic or pandemic, or similar public health threat, or fear of such an event and its related economic and societal response.</w:t>
      </w:r>
    </w:p>
    <w:p>
      <w:pPr>
        <w:spacing w:after="0" w:line="2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could be negatively impacted by the widespread outbreak of an illness or any other communicable disease, or any other public health crisis that results in economic and trade disruptions. In or around December 2019, a novel strain of coronavirus (COVID-19) was initially reported and in March 2020, the World Health Organization declared COVID-19 a global pandemic. The spreading of COVID-19, and more recently dramatic increases in COVID-19 cases in the Sunbelt and the extent that geography of outbreak primarily matches the regions in which the Company’s Building Materials business principally operates, and the related governmental orders limiting individuals’ movements and social gatherings, as well as requiring many businesses to close for an undetermined period of time, are negatively impacting economic activity, consumer confidence and discretionary spending, and market conditions. Further, COVID-19 could continue to negatively affect the health of the Company’s employees, employee productivity, customer purchasing patterns and fulfillment of purchase orders, availability of supplies, pricing for raw materials, and the ability to transport materials via the Company’s distribution network. While the Company’s operations have been treated as “essential” operations under applicable government orders restricting business activities imposed to prevent further outbreak of COVID-19, and accordingly have been permitted to continue to operate during the pendency of these orders, it is possible that they may not continue to be so treated under future government orders, or, even if so treated, site-specific health and safety concerns might otherwise require certain of the Company’s operations to be halted for some period of time. The Company is monitoring the impact of COVID-19 on its operations and on the demand for its products. Due to economic uncertainty related to COVID-19, contractors and customers may delay advancing, or ultimately cancel, building projects. In addition, reduced travel due to remote working and stay-at-home practices, including as a result of governmental orders restricting activity, may continue to negatively impact fuel tax revenues that fund highway projects. While the Company does not currently expect that the virus will have a material adverse effect on its liquidity, it is unable to accurately and fully predict the impact that the COVID-19 will have on its results of operations due to various uncertainties, including the ultimate geographic spread of the virus, the severity of the disease, the duration of the outbreak, actions that may be taken by governmental authorities and other third-parties in response to COVID-19 and the timing and pace of any economic recovery as COVID-19 impacts ultimately abate.</w:t>
      </w:r>
    </w:p>
    <w:p>
      <w:pPr>
        <w:spacing w:after="0" w:line="74"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 xml:space="preserve">Other than the item listed above, there have been no material changes in the risk factors disclosed in </w:t>
      </w:r>
      <w:r>
        <w:rPr>
          <w:rFonts w:ascii="Arial" w:cs="Arial" w:eastAsia="Arial" w:hAnsi="Arial"/>
          <w:sz w:val="19"/>
          <w:szCs w:val="19"/>
          <w:i w:val="1"/>
          <w:iCs w:val="1"/>
          <w:color w:val="auto"/>
        </w:rPr>
        <w:t>Part I. Item 1A. Risk Factors and</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Forward-Looking Statements </w:t>
      </w:r>
      <w:r>
        <w:rPr>
          <w:rFonts w:ascii="Arial" w:cs="Arial" w:eastAsia="Arial" w:hAnsi="Arial"/>
          <w:sz w:val="19"/>
          <w:szCs w:val="19"/>
          <w:color w:val="auto"/>
        </w:rPr>
        <w:t>of the Martin Marietta Annual Report on Form 10-K for the year ended December 31, 2019.</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49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9" w:name="page50"/>
    <w:bookmarkEnd w:id="49"/>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June 30, 2020</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PART II- OTHER INFORMATION</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34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Item 2. Unregistered Sales of Equity Securities and Use of Proceeds</w:t>
      </w:r>
      <w:r>
        <w:rPr>
          <w:rFonts w:ascii="Arial" w:cs="Arial" w:eastAsia="Arial" w:hAnsi="Arial"/>
          <w:sz w:val="20"/>
          <w:szCs w:val="20"/>
          <w:color w:val="auto"/>
        </w:rPr>
        <w:t>.</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ISSUER PURCHASES OF EQUITY SECURITIES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160" w:type="dxa"/>
            <w:vAlign w:val="bottom"/>
            <w:gridSpan w:val="2"/>
          </w:tcPr>
          <w:p>
            <w:pPr>
              <w:jc w:val="right"/>
              <w:spacing w:after="0"/>
              <w:rPr>
                <w:sz w:val="20"/>
                <w:szCs w:val="20"/>
                <w:color w:val="auto"/>
              </w:rPr>
            </w:pPr>
            <w:r>
              <w:rPr>
                <w:rFonts w:ascii="Arial" w:cs="Arial" w:eastAsia="Arial" w:hAnsi="Arial"/>
                <w:sz w:val="20"/>
                <w:szCs w:val="20"/>
                <w:color w:val="auto"/>
                <w:w w:val="99"/>
              </w:rPr>
              <w:t>Total Number of Shares</w:t>
            </w:r>
          </w:p>
        </w:tc>
        <w:tc>
          <w:tcPr>
            <w:tcW w:w="240" w:type="dxa"/>
            <w:vAlign w:val="bottom"/>
          </w:tcPr>
          <w:p>
            <w:pPr>
              <w:spacing w:after="0"/>
              <w:rPr>
                <w:sz w:val="21"/>
                <w:szCs w:val="21"/>
                <w:color w:val="auto"/>
              </w:rPr>
            </w:pPr>
          </w:p>
        </w:tc>
        <w:tc>
          <w:tcPr>
            <w:tcW w:w="1860" w:type="dxa"/>
            <w:vAlign w:val="bottom"/>
            <w:gridSpan w:val="2"/>
          </w:tcPr>
          <w:p>
            <w:pPr>
              <w:jc w:val="right"/>
              <w:ind w:right="120"/>
              <w:spacing w:after="0"/>
              <w:rPr>
                <w:sz w:val="20"/>
                <w:szCs w:val="20"/>
                <w:color w:val="auto"/>
              </w:rPr>
            </w:pPr>
            <w:r>
              <w:rPr>
                <w:rFonts w:ascii="Arial" w:cs="Arial" w:eastAsia="Arial" w:hAnsi="Arial"/>
                <w:sz w:val="20"/>
                <w:szCs w:val="20"/>
                <w:color w:val="auto"/>
                <w:w w:val="92"/>
              </w:rPr>
              <w:t>Maximum Number of</w:t>
            </w:r>
          </w:p>
        </w:tc>
      </w:tr>
      <w:tr>
        <w:trPr>
          <w:trHeight w:val="243"/>
        </w:trPr>
        <w:tc>
          <w:tcPr>
            <w:tcW w:w="3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00" w:type="dxa"/>
            <w:vAlign w:val="bottom"/>
          </w:tcPr>
          <w:p>
            <w:pPr>
              <w:jc w:val="center"/>
              <w:spacing w:after="0"/>
              <w:rPr>
                <w:sz w:val="20"/>
                <w:szCs w:val="20"/>
                <w:color w:val="auto"/>
              </w:rPr>
            </w:pPr>
            <w:r>
              <w:rPr>
                <w:rFonts w:ascii="Arial" w:cs="Arial" w:eastAsia="Arial" w:hAnsi="Arial"/>
                <w:sz w:val="20"/>
                <w:szCs w:val="20"/>
                <w:color w:val="auto"/>
                <w:w w:val="85"/>
              </w:rPr>
              <w:t>Purchased as Part of</w:t>
            </w:r>
          </w:p>
        </w:tc>
        <w:tc>
          <w:tcPr>
            <w:tcW w:w="240" w:type="dxa"/>
            <w:vAlign w:val="bottom"/>
          </w:tcPr>
          <w:p>
            <w:pPr>
              <w:spacing w:after="0"/>
              <w:rPr>
                <w:sz w:val="21"/>
                <w:szCs w:val="21"/>
                <w:color w:val="auto"/>
              </w:rPr>
            </w:pPr>
          </w:p>
        </w:tc>
        <w:tc>
          <w:tcPr>
            <w:tcW w:w="1860" w:type="dxa"/>
            <w:vAlign w:val="bottom"/>
            <w:gridSpan w:val="2"/>
          </w:tcPr>
          <w:p>
            <w:pPr>
              <w:ind w:left="80"/>
              <w:spacing w:after="0"/>
              <w:rPr>
                <w:sz w:val="20"/>
                <w:szCs w:val="20"/>
                <w:color w:val="auto"/>
              </w:rPr>
            </w:pPr>
            <w:r>
              <w:rPr>
                <w:rFonts w:ascii="Arial" w:cs="Arial" w:eastAsia="Arial" w:hAnsi="Arial"/>
                <w:sz w:val="20"/>
                <w:szCs w:val="20"/>
                <w:color w:val="auto"/>
                <w:w w:val="97"/>
              </w:rPr>
              <w:t>Shares that May Yet</w:t>
            </w:r>
          </w:p>
        </w:tc>
      </w:tr>
      <w:tr>
        <w:trPr>
          <w:trHeight w:val="243"/>
        </w:trPr>
        <w:tc>
          <w:tcPr>
            <w:tcW w:w="3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00" w:type="dxa"/>
            <w:vAlign w:val="bottom"/>
          </w:tcPr>
          <w:p>
            <w:pPr>
              <w:ind w:left="80"/>
              <w:spacing w:after="0"/>
              <w:rPr>
                <w:sz w:val="20"/>
                <w:szCs w:val="20"/>
                <w:color w:val="auto"/>
              </w:rPr>
            </w:pPr>
            <w:r>
              <w:rPr>
                <w:rFonts w:ascii="Arial" w:cs="Arial" w:eastAsia="Arial" w:hAnsi="Arial"/>
                <w:sz w:val="20"/>
                <w:szCs w:val="20"/>
                <w:color w:val="auto"/>
                <w:w w:val="97"/>
              </w:rPr>
              <w:t>Total Number of</w:t>
            </w:r>
          </w:p>
        </w:tc>
        <w:tc>
          <w:tcPr>
            <w:tcW w:w="240" w:type="dxa"/>
            <w:vAlign w:val="bottom"/>
          </w:tcPr>
          <w:p>
            <w:pPr>
              <w:spacing w:after="0"/>
              <w:rPr>
                <w:sz w:val="21"/>
                <w:szCs w:val="21"/>
                <w:color w:val="auto"/>
              </w:rPr>
            </w:pPr>
          </w:p>
        </w:tc>
        <w:tc>
          <w:tcPr>
            <w:tcW w:w="1200" w:type="dxa"/>
            <w:vAlign w:val="bottom"/>
            <w:gridSpan w:val="2"/>
          </w:tcPr>
          <w:p>
            <w:pPr>
              <w:ind w:left="40"/>
              <w:spacing w:after="0"/>
              <w:rPr>
                <w:sz w:val="20"/>
                <w:szCs w:val="20"/>
                <w:color w:val="auto"/>
              </w:rPr>
            </w:pPr>
            <w:r>
              <w:rPr>
                <w:rFonts w:ascii="Arial" w:cs="Arial" w:eastAsia="Arial" w:hAnsi="Arial"/>
                <w:sz w:val="20"/>
                <w:szCs w:val="20"/>
                <w:color w:val="auto"/>
                <w:w w:val="90"/>
              </w:rPr>
              <w:t>Average Price</w:t>
            </w:r>
          </w:p>
        </w:tc>
        <w:tc>
          <w:tcPr>
            <w:tcW w:w="260" w:type="dxa"/>
            <w:vAlign w:val="bottom"/>
          </w:tcPr>
          <w:p>
            <w:pPr>
              <w:spacing w:after="0"/>
              <w:rPr>
                <w:sz w:val="21"/>
                <w:szCs w:val="21"/>
                <w:color w:val="auto"/>
              </w:rPr>
            </w:pPr>
          </w:p>
        </w:tc>
        <w:tc>
          <w:tcPr>
            <w:tcW w:w="1900" w:type="dxa"/>
            <w:vAlign w:val="bottom"/>
          </w:tcPr>
          <w:p>
            <w:pPr>
              <w:jc w:val="center"/>
              <w:spacing w:after="0"/>
              <w:rPr>
                <w:sz w:val="20"/>
                <w:szCs w:val="20"/>
                <w:color w:val="auto"/>
              </w:rPr>
            </w:pPr>
            <w:r>
              <w:rPr>
                <w:rFonts w:ascii="Arial" w:cs="Arial" w:eastAsia="Arial" w:hAnsi="Arial"/>
                <w:sz w:val="20"/>
                <w:szCs w:val="20"/>
                <w:color w:val="auto"/>
                <w:w w:val="91"/>
              </w:rPr>
              <w:t>Publicly Announced</w:t>
            </w:r>
          </w:p>
        </w:tc>
        <w:tc>
          <w:tcPr>
            <w:tcW w:w="240" w:type="dxa"/>
            <w:vAlign w:val="bottom"/>
          </w:tcPr>
          <w:p>
            <w:pPr>
              <w:spacing w:after="0"/>
              <w:rPr>
                <w:sz w:val="21"/>
                <w:szCs w:val="21"/>
                <w:color w:val="auto"/>
              </w:rPr>
            </w:pPr>
          </w:p>
        </w:tc>
        <w:tc>
          <w:tcPr>
            <w:tcW w:w="1860" w:type="dxa"/>
            <w:vAlign w:val="bottom"/>
            <w:gridSpan w:val="2"/>
          </w:tcPr>
          <w:p>
            <w:pPr>
              <w:ind w:left="80"/>
              <w:spacing w:after="0"/>
              <w:rPr>
                <w:sz w:val="20"/>
                <w:szCs w:val="20"/>
                <w:color w:val="auto"/>
              </w:rPr>
            </w:pPr>
            <w:r>
              <w:rPr>
                <w:rFonts w:ascii="Arial" w:cs="Arial" w:eastAsia="Arial" w:hAnsi="Arial"/>
                <w:sz w:val="20"/>
                <w:szCs w:val="20"/>
                <w:color w:val="auto"/>
                <w:w w:val="95"/>
              </w:rPr>
              <w:t>be Purchased Under</w:t>
            </w:r>
          </w:p>
        </w:tc>
      </w:tr>
      <w:tr>
        <w:trPr>
          <w:trHeight w:val="246"/>
        </w:trPr>
        <w:tc>
          <w:tcPr>
            <w:tcW w:w="4040" w:type="dxa"/>
            <w:vAlign w:val="bottom"/>
            <w:gridSpan w:val="2"/>
          </w:tcPr>
          <w:p>
            <w:pPr>
              <w:ind w:left="1680"/>
              <w:spacing w:after="0"/>
              <w:rPr>
                <w:sz w:val="20"/>
                <w:szCs w:val="20"/>
                <w:color w:val="auto"/>
              </w:rPr>
            </w:pPr>
            <w:r>
              <w:rPr>
                <w:rFonts w:ascii="Arial" w:cs="Arial" w:eastAsia="Arial" w:hAnsi="Arial"/>
                <w:sz w:val="20"/>
                <w:szCs w:val="20"/>
                <w:color w:val="auto"/>
              </w:rPr>
              <w:t>Period</w:t>
            </w:r>
          </w:p>
        </w:tc>
        <w:tc>
          <w:tcPr>
            <w:tcW w:w="1500" w:type="dxa"/>
            <w:vAlign w:val="bottom"/>
          </w:tcPr>
          <w:p>
            <w:pPr>
              <w:ind w:left="40"/>
              <w:spacing w:after="0"/>
              <w:rPr>
                <w:sz w:val="20"/>
                <w:szCs w:val="20"/>
                <w:color w:val="auto"/>
              </w:rPr>
            </w:pPr>
            <w:r>
              <w:rPr>
                <w:rFonts w:ascii="Arial" w:cs="Arial" w:eastAsia="Arial" w:hAnsi="Arial"/>
                <w:sz w:val="20"/>
                <w:szCs w:val="20"/>
                <w:color w:val="auto"/>
                <w:w w:val="87"/>
              </w:rPr>
              <w:t>Shares Purchased</w:t>
            </w:r>
          </w:p>
        </w:tc>
        <w:tc>
          <w:tcPr>
            <w:tcW w:w="240" w:type="dxa"/>
            <w:vAlign w:val="bottom"/>
          </w:tcPr>
          <w:p>
            <w:pPr>
              <w:spacing w:after="0"/>
              <w:rPr>
                <w:sz w:val="21"/>
                <w:szCs w:val="21"/>
                <w:color w:val="auto"/>
              </w:rPr>
            </w:pPr>
          </w:p>
        </w:tc>
        <w:tc>
          <w:tcPr>
            <w:tcW w:w="1200" w:type="dxa"/>
            <w:vAlign w:val="bottom"/>
            <w:gridSpan w:val="2"/>
          </w:tcPr>
          <w:p>
            <w:pPr>
              <w:ind w:left="20"/>
              <w:spacing w:after="0"/>
              <w:rPr>
                <w:sz w:val="20"/>
                <w:szCs w:val="20"/>
                <w:color w:val="auto"/>
              </w:rPr>
            </w:pPr>
            <w:r>
              <w:rPr>
                <w:rFonts w:ascii="Arial" w:cs="Arial" w:eastAsia="Arial" w:hAnsi="Arial"/>
                <w:sz w:val="20"/>
                <w:szCs w:val="20"/>
                <w:color w:val="auto"/>
                <w:w w:val="86"/>
              </w:rPr>
              <w:t>Paid per Share</w:t>
            </w:r>
          </w:p>
        </w:tc>
        <w:tc>
          <w:tcPr>
            <w:tcW w:w="260" w:type="dxa"/>
            <w:vAlign w:val="bottom"/>
          </w:tcPr>
          <w:p>
            <w:pPr>
              <w:spacing w:after="0"/>
              <w:rPr>
                <w:sz w:val="21"/>
                <w:szCs w:val="21"/>
                <w:color w:val="auto"/>
              </w:rPr>
            </w:pPr>
          </w:p>
        </w:tc>
        <w:tc>
          <w:tcPr>
            <w:tcW w:w="1900" w:type="dxa"/>
            <w:vAlign w:val="bottom"/>
          </w:tcPr>
          <w:p>
            <w:pPr>
              <w:jc w:val="center"/>
              <w:spacing w:after="0"/>
              <w:rPr>
                <w:sz w:val="20"/>
                <w:szCs w:val="20"/>
                <w:color w:val="auto"/>
              </w:rPr>
            </w:pPr>
            <w:r>
              <w:rPr>
                <w:rFonts w:ascii="Arial" w:cs="Arial" w:eastAsia="Arial" w:hAnsi="Arial"/>
                <w:sz w:val="20"/>
                <w:szCs w:val="20"/>
                <w:color w:val="auto"/>
                <w:w w:val="86"/>
              </w:rPr>
              <w:t>Plans or Programs</w:t>
            </w:r>
          </w:p>
        </w:tc>
        <w:tc>
          <w:tcPr>
            <w:tcW w:w="240" w:type="dxa"/>
            <w:vAlign w:val="bottom"/>
          </w:tcPr>
          <w:p>
            <w:pPr>
              <w:spacing w:after="0"/>
              <w:rPr>
                <w:sz w:val="21"/>
                <w:szCs w:val="21"/>
                <w:color w:val="auto"/>
              </w:rPr>
            </w:pPr>
          </w:p>
        </w:tc>
        <w:tc>
          <w:tcPr>
            <w:tcW w:w="1860" w:type="dxa"/>
            <w:vAlign w:val="bottom"/>
            <w:gridSpan w:val="2"/>
          </w:tcPr>
          <w:p>
            <w:pPr>
              <w:jc w:val="right"/>
              <w:ind w:right="120"/>
              <w:spacing w:after="0"/>
              <w:rPr>
                <w:sz w:val="20"/>
                <w:szCs w:val="20"/>
                <w:color w:val="auto"/>
              </w:rPr>
            </w:pPr>
            <w:r>
              <w:rPr>
                <w:rFonts w:ascii="Arial" w:cs="Arial" w:eastAsia="Arial" w:hAnsi="Arial"/>
                <w:sz w:val="20"/>
                <w:szCs w:val="20"/>
                <w:color w:val="auto"/>
                <w:w w:val="86"/>
              </w:rPr>
              <w:t>the Plans or Programs</w:t>
            </w:r>
          </w:p>
        </w:tc>
      </w:tr>
      <w:tr>
        <w:trPr>
          <w:trHeight w:val="237"/>
        </w:trPr>
        <w:tc>
          <w:tcPr>
            <w:tcW w:w="39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20"/>
                <w:szCs w:val="20"/>
                <w:color w:val="auto"/>
              </w:rPr>
              <w:t>April 1, 2020 - April 30, 2020</w:t>
            </w:r>
          </w:p>
        </w:tc>
        <w:tc>
          <w:tcPr>
            <w:tcW w:w="140" w:type="dxa"/>
            <w:vAlign w:val="bottom"/>
            <w:tcBorders>
              <w:top w:val="single" w:sz="8" w:color="CFF0FC"/>
            </w:tcBorders>
            <w:shd w:val="clear" w:color="auto" w:fill="CFF0FC"/>
          </w:tcPr>
          <w:p>
            <w:pPr>
              <w:spacing w:after="0"/>
              <w:rPr>
                <w:sz w:val="20"/>
                <w:szCs w:val="20"/>
                <w:color w:val="auto"/>
              </w:rPr>
            </w:pPr>
          </w:p>
        </w:tc>
        <w:tc>
          <w:tcPr>
            <w:tcW w:w="1500" w:type="dxa"/>
            <w:vAlign w:val="bottom"/>
            <w:tcBorders>
              <w:top w:val="single" w:sz="8" w:color="auto"/>
            </w:tcBorders>
            <w:shd w:val="clear" w:color="auto" w:fill="CFF0FC"/>
          </w:tcPr>
          <w:p>
            <w:pPr>
              <w:ind w:left="1300"/>
              <w:spacing w:after="0"/>
              <w:rPr>
                <w:sz w:val="20"/>
                <w:szCs w:val="20"/>
                <w:color w:val="auto"/>
              </w:rPr>
            </w:pPr>
            <w:r>
              <w:rPr>
                <w:rFonts w:ascii="Arial" w:cs="Arial" w:eastAsia="Arial" w:hAnsi="Arial"/>
                <w:sz w:val="20"/>
                <w:szCs w:val="20"/>
                <w:color w:val="auto"/>
                <w:w w:val="89"/>
              </w:rPr>
              <w:t>—</w:t>
            </w:r>
          </w:p>
        </w:tc>
        <w:tc>
          <w:tcPr>
            <w:tcW w:w="240" w:type="dxa"/>
            <w:vAlign w:val="bottom"/>
            <w:tcBorders>
              <w:top w:val="single" w:sz="8" w:color="CFF0FC"/>
            </w:tcBorders>
            <w:shd w:val="clear" w:color="auto" w:fill="CFF0FC"/>
          </w:tcPr>
          <w:p>
            <w:pPr>
              <w:spacing w:after="0"/>
              <w:rPr>
                <w:sz w:val="20"/>
                <w:szCs w:val="20"/>
                <w:color w:val="auto"/>
              </w:rPr>
            </w:pPr>
          </w:p>
        </w:tc>
        <w:tc>
          <w:tcPr>
            <w:tcW w:w="5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20"/>
                <w:szCs w:val="20"/>
                <w:color w:val="auto"/>
              </w:rPr>
              <w:t>$</w:t>
            </w:r>
          </w:p>
        </w:tc>
        <w:tc>
          <w:tcPr>
            <w:tcW w:w="640" w:type="dxa"/>
            <w:vAlign w:val="bottom"/>
            <w:tcBorders>
              <w:top w:val="single" w:sz="8" w:color="auto"/>
            </w:tcBorders>
            <w:shd w:val="clear" w:color="auto" w:fill="CFF0FC"/>
          </w:tcPr>
          <w:p>
            <w:pPr>
              <w:ind w:left="440"/>
              <w:spacing w:after="0"/>
              <w:rPr>
                <w:sz w:val="20"/>
                <w:szCs w:val="20"/>
                <w:color w:val="auto"/>
              </w:rPr>
            </w:pPr>
            <w:r>
              <w:rPr>
                <w:rFonts w:ascii="Arial" w:cs="Arial" w:eastAsia="Arial" w:hAnsi="Arial"/>
                <w:sz w:val="20"/>
                <w:szCs w:val="20"/>
                <w:color w:val="auto"/>
                <w:w w:val="89"/>
              </w:rPr>
              <w:t>—</w:t>
            </w:r>
          </w:p>
        </w:tc>
        <w:tc>
          <w:tcPr>
            <w:tcW w:w="260" w:type="dxa"/>
            <w:vAlign w:val="bottom"/>
            <w:tcBorders>
              <w:top w:val="single" w:sz="8" w:color="CFF0FC"/>
            </w:tcBorders>
            <w:shd w:val="clear" w:color="auto" w:fill="CFF0FC"/>
          </w:tcPr>
          <w:p>
            <w:pPr>
              <w:spacing w:after="0"/>
              <w:rPr>
                <w:sz w:val="20"/>
                <w:szCs w:val="20"/>
                <w:color w:val="auto"/>
              </w:rPr>
            </w:pPr>
          </w:p>
        </w:tc>
        <w:tc>
          <w:tcPr>
            <w:tcW w:w="1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240" w:type="dxa"/>
            <w:vAlign w:val="bottom"/>
            <w:tcBorders>
              <w:top w:val="single" w:sz="8" w:color="CFF0FC"/>
            </w:tcBorders>
            <w:shd w:val="clear" w:color="auto" w:fill="CFF0FC"/>
          </w:tcPr>
          <w:p>
            <w:pPr>
              <w:spacing w:after="0"/>
              <w:rPr>
                <w:sz w:val="20"/>
                <w:szCs w:val="20"/>
                <w:color w:val="auto"/>
              </w:rPr>
            </w:pPr>
          </w:p>
        </w:tc>
        <w:tc>
          <w:tcPr>
            <w:tcW w:w="1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13,520,952</w:t>
            </w:r>
          </w:p>
        </w:tc>
        <w:tc>
          <w:tcPr>
            <w:tcW w:w="100" w:type="dxa"/>
            <w:vAlign w:val="bottom"/>
            <w:tcBorders>
              <w:top w:val="single" w:sz="8" w:color="CFF0FC"/>
            </w:tcBorders>
            <w:shd w:val="clear" w:color="auto" w:fill="CFF0FC"/>
          </w:tcPr>
          <w:p>
            <w:pPr>
              <w:spacing w:after="0"/>
              <w:rPr>
                <w:sz w:val="20"/>
                <w:szCs w:val="20"/>
                <w:color w:val="auto"/>
              </w:rPr>
            </w:pPr>
          </w:p>
        </w:tc>
      </w:tr>
      <w:tr>
        <w:trPr>
          <w:trHeight w:val="243"/>
        </w:trPr>
        <w:tc>
          <w:tcPr>
            <w:tcW w:w="4040" w:type="dxa"/>
            <w:vAlign w:val="bottom"/>
            <w:gridSpan w:val="2"/>
          </w:tcPr>
          <w:p>
            <w:pPr>
              <w:spacing w:after="0"/>
              <w:rPr>
                <w:sz w:val="20"/>
                <w:szCs w:val="20"/>
                <w:color w:val="auto"/>
              </w:rPr>
            </w:pPr>
            <w:r>
              <w:rPr>
                <w:rFonts w:ascii="Arial" w:cs="Arial" w:eastAsia="Arial" w:hAnsi="Arial"/>
                <w:sz w:val="20"/>
                <w:szCs w:val="20"/>
                <w:color w:val="auto"/>
              </w:rPr>
              <w:t>May 1, 2020 - May 31, 2020</w:t>
            </w:r>
          </w:p>
        </w:tc>
        <w:tc>
          <w:tcPr>
            <w:tcW w:w="1500" w:type="dxa"/>
            <w:vAlign w:val="bottom"/>
          </w:tcPr>
          <w:p>
            <w:pPr>
              <w:ind w:left="1300"/>
              <w:spacing w:after="0"/>
              <w:rPr>
                <w:sz w:val="20"/>
                <w:szCs w:val="20"/>
                <w:color w:val="auto"/>
              </w:rPr>
            </w:pPr>
            <w:r>
              <w:rPr>
                <w:rFonts w:ascii="Arial" w:cs="Arial" w:eastAsia="Arial" w:hAnsi="Arial"/>
                <w:sz w:val="20"/>
                <w:szCs w:val="20"/>
                <w:color w:val="auto"/>
                <w:w w:val="89"/>
              </w:rPr>
              <w:t>—</w:t>
            </w:r>
          </w:p>
        </w:tc>
        <w:tc>
          <w:tcPr>
            <w:tcW w:w="800" w:type="dxa"/>
            <w:vAlign w:val="bottom"/>
            <w:gridSpan w:val="2"/>
          </w:tcPr>
          <w:p>
            <w:pPr>
              <w:ind w:left="240"/>
              <w:spacing w:after="0"/>
              <w:rPr>
                <w:sz w:val="20"/>
                <w:szCs w:val="20"/>
                <w:color w:val="auto"/>
              </w:rPr>
            </w:pPr>
            <w:r>
              <w:rPr>
                <w:rFonts w:ascii="Arial" w:cs="Arial" w:eastAsia="Arial" w:hAnsi="Arial"/>
                <w:sz w:val="20"/>
                <w:szCs w:val="20"/>
                <w:color w:val="auto"/>
              </w:rPr>
              <w:t>$</w:t>
            </w:r>
          </w:p>
        </w:tc>
        <w:tc>
          <w:tcPr>
            <w:tcW w:w="640" w:type="dxa"/>
            <w:vAlign w:val="bottom"/>
          </w:tcPr>
          <w:p>
            <w:pPr>
              <w:ind w:left="440"/>
              <w:spacing w:after="0"/>
              <w:rPr>
                <w:sz w:val="20"/>
                <w:szCs w:val="20"/>
                <w:color w:val="auto"/>
              </w:rPr>
            </w:pPr>
            <w:r>
              <w:rPr>
                <w:rFonts w:ascii="Arial" w:cs="Arial" w:eastAsia="Arial" w:hAnsi="Arial"/>
                <w:sz w:val="20"/>
                <w:szCs w:val="20"/>
                <w:color w:val="auto"/>
                <w:w w:val="89"/>
              </w:rPr>
              <w:t>—</w:t>
            </w:r>
          </w:p>
        </w:tc>
        <w:tc>
          <w:tcPr>
            <w:tcW w:w="26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20"/>
                <w:szCs w:val="20"/>
                <w:color w:val="auto"/>
              </w:rPr>
              <w:t>—</w:t>
            </w:r>
          </w:p>
        </w:tc>
        <w:tc>
          <w:tcPr>
            <w:tcW w:w="2000" w:type="dxa"/>
            <w:vAlign w:val="bottom"/>
            <w:gridSpan w:val="2"/>
          </w:tcPr>
          <w:p>
            <w:pPr>
              <w:jc w:val="right"/>
              <w:spacing w:after="0"/>
              <w:rPr>
                <w:sz w:val="20"/>
                <w:szCs w:val="20"/>
                <w:color w:val="auto"/>
              </w:rPr>
            </w:pPr>
            <w:r>
              <w:rPr>
                <w:rFonts w:ascii="Arial" w:cs="Arial" w:eastAsia="Arial" w:hAnsi="Arial"/>
                <w:sz w:val="20"/>
                <w:szCs w:val="20"/>
                <w:color w:val="auto"/>
              </w:rPr>
              <w:t>13,520,952</w:t>
            </w:r>
          </w:p>
        </w:tc>
        <w:tc>
          <w:tcPr>
            <w:tcW w:w="100" w:type="dxa"/>
            <w:vAlign w:val="bottom"/>
          </w:tcPr>
          <w:p>
            <w:pPr>
              <w:spacing w:after="0"/>
              <w:rPr>
                <w:sz w:val="21"/>
                <w:szCs w:val="21"/>
                <w:color w:val="auto"/>
              </w:rPr>
            </w:pPr>
          </w:p>
        </w:tc>
      </w:tr>
      <w:tr>
        <w:trPr>
          <w:trHeight w:val="243"/>
        </w:trPr>
        <w:tc>
          <w:tcPr>
            <w:tcW w:w="404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June 1, 2020 - June 30, 2020</w:t>
            </w:r>
          </w:p>
        </w:tc>
        <w:tc>
          <w:tcPr>
            <w:tcW w:w="1500" w:type="dxa"/>
            <w:vAlign w:val="bottom"/>
            <w:tcBorders>
              <w:bottom w:val="single" w:sz="8" w:color="auto"/>
            </w:tcBorders>
            <w:shd w:val="clear" w:color="auto" w:fill="CFF0FC"/>
          </w:tcPr>
          <w:p>
            <w:pPr>
              <w:ind w:left="1300"/>
              <w:spacing w:after="0"/>
              <w:rPr>
                <w:sz w:val="20"/>
                <w:szCs w:val="20"/>
                <w:color w:val="auto"/>
              </w:rPr>
            </w:pPr>
            <w:r>
              <w:rPr>
                <w:rFonts w:ascii="Arial" w:cs="Arial" w:eastAsia="Arial" w:hAnsi="Arial"/>
                <w:sz w:val="20"/>
                <w:szCs w:val="20"/>
                <w:color w:val="auto"/>
                <w:w w:val="89"/>
              </w:rPr>
              <w:t>—</w:t>
            </w:r>
          </w:p>
        </w:tc>
        <w:tc>
          <w:tcPr>
            <w:tcW w:w="800" w:type="dxa"/>
            <w:vAlign w:val="bottom"/>
            <w:gridSpan w:val="2"/>
            <w:shd w:val="clear" w:color="auto" w:fill="CFF0FC"/>
          </w:tcPr>
          <w:p>
            <w:pPr>
              <w:ind w:left="240"/>
              <w:spacing w:after="0"/>
              <w:rPr>
                <w:sz w:val="20"/>
                <w:szCs w:val="20"/>
                <w:color w:val="auto"/>
              </w:rPr>
            </w:pPr>
            <w:r>
              <w:rPr>
                <w:rFonts w:ascii="Arial" w:cs="Arial" w:eastAsia="Arial" w:hAnsi="Arial"/>
                <w:sz w:val="20"/>
                <w:szCs w:val="20"/>
                <w:color w:val="auto"/>
              </w:rPr>
              <w:t>$</w:t>
            </w:r>
          </w:p>
        </w:tc>
        <w:tc>
          <w:tcPr>
            <w:tcW w:w="640" w:type="dxa"/>
            <w:vAlign w:val="bottom"/>
            <w:shd w:val="clear" w:color="auto" w:fill="CFF0FC"/>
          </w:tcPr>
          <w:p>
            <w:pPr>
              <w:ind w:left="440"/>
              <w:spacing w:after="0"/>
              <w:rPr>
                <w:sz w:val="20"/>
                <w:szCs w:val="20"/>
                <w:color w:val="auto"/>
              </w:rPr>
            </w:pPr>
            <w:r>
              <w:rPr>
                <w:rFonts w:ascii="Arial" w:cs="Arial" w:eastAsia="Arial" w:hAnsi="Arial"/>
                <w:sz w:val="20"/>
                <w:szCs w:val="20"/>
                <w:color w:val="auto"/>
                <w:w w:val="89"/>
              </w:rPr>
              <w:t>—</w:t>
            </w:r>
          </w:p>
        </w:tc>
        <w:tc>
          <w:tcPr>
            <w:tcW w:w="260" w:type="dxa"/>
            <w:vAlign w:val="bottom"/>
            <w:shd w:val="clear" w:color="auto" w:fill="CFF0FC"/>
          </w:tcPr>
          <w:p>
            <w:pPr>
              <w:spacing w:after="0"/>
              <w:rPr>
                <w:sz w:val="21"/>
                <w:szCs w:val="21"/>
                <w:color w:val="auto"/>
              </w:rPr>
            </w:pPr>
          </w:p>
        </w:tc>
        <w:tc>
          <w:tcPr>
            <w:tcW w:w="1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200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13,520,952</w:t>
            </w:r>
          </w:p>
        </w:tc>
        <w:tc>
          <w:tcPr>
            <w:tcW w:w="100" w:type="dxa"/>
            <w:vAlign w:val="bottom"/>
            <w:shd w:val="clear" w:color="auto" w:fill="CFF0FC"/>
          </w:tcPr>
          <w:p>
            <w:pPr>
              <w:spacing w:after="0"/>
              <w:rPr>
                <w:sz w:val="21"/>
                <w:szCs w:val="21"/>
                <w:color w:val="auto"/>
              </w:rPr>
            </w:pPr>
          </w:p>
        </w:tc>
      </w:tr>
      <w:tr>
        <w:trPr>
          <w:trHeight w:val="237"/>
        </w:trPr>
        <w:tc>
          <w:tcPr>
            <w:tcW w:w="4040" w:type="dxa"/>
            <w:vAlign w:val="bottom"/>
            <w:gridSpan w:val="2"/>
          </w:tcPr>
          <w:p>
            <w:pPr>
              <w:spacing w:after="0"/>
              <w:rPr>
                <w:sz w:val="20"/>
                <w:szCs w:val="20"/>
                <w:color w:val="auto"/>
              </w:rPr>
            </w:pPr>
            <w:r>
              <w:rPr>
                <w:rFonts w:ascii="Arial" w:cs="Arial" w:eastAsia="Arial" w:hAnsi="Arial"/>
                <w:sz w:val="20"/>
                <w:szCs w:val="20"/>
                <w:color w:val="auto"/>
              </w:rPr>
              <w:t>Total</w:t>
            </w:r>
          </w:p>
        </w:tc>
        <w:tc>
          <w:tcPr>
            <w:tcW w:w="1500" w:type="dxa"/>
            <w:vAlign w:val="bottom"/>
            <w:tcBorders>
              <w:bottom w:val="single" w:sz="8" w:color="auto"/>
            </w:tcBorders>
          </w:tcPr>
          <w:p>
            <w:pPr>
              <w:ind w:left="1300"/>
              <w:spacing w:after="0"/>
              <w:rPr>
                <w:sz w:val="20"/>
                <w:szCs w:val="20"/>
                <w:color w:val="auto"/>
              </w:rPr>
            </w:pPr>
            <w:r>
              <w:rPr>
                <w:rFonts w:ascii="Arial" w:cs="Arial" w:eastAsia="Arial" w:hAnsi="Arial"/>
                <w:sz w:val="20"/>
                <w:szCs w:val="20"/>
                <w:color w:val="auto"/>
                <w:w w:val="89"/>
              </w:rPr>
              <w:t>—</w:t>
            </w: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2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
        </w:trPr>
        <w:tc>
          <w:tcPr>
            <w:tcW w:w="3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32"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Reference is made to the press release dated February 10, 2015 for the December 31, 2014 fourth-quarter and full-year results and announcement of the share repurchase program. The Company’s Board of Directors authorized a maximum of 20 million shares to be repurchased under the program. The program does not have an expiration date but has been temporarily suspended in light of the COVID-19 pandemic.</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Item 4. Mine Safety Disclosures.</w:t>
      </w:r>
    </w:p>
    <w:p>
      <w:pPr>
        <w:spacing w:after="0" w:line="108" w:lineRule="exact"/>
        <w:rPr>
          <w:sz w:val="20"/>
          <w:szCs w:val="20"/>
          <w:color w:val="auto"/>
        </w:rPr>
      </w:pPr>
    </w:p>
    <w:p>
      <w:pPr>
        <w:jc w:val="both"/>
        <w:ind w:right="20"/>
        <w:spacing w:after="0" w:line="250" w:lineRule="auto"/>
        <w:rPr>
          <w:sz w:val="20"/>
          <w:szCs w:val="20"/>
          <w:color w:val="auto"/>
        </w:rPr>
      </w:pPr>
      <w:r>
        <w:rPr>
          <w:rFonts w:ascii="Arial" w:cs="Arial" w:eastAsia="Arial" w:hAnsi="Arial"/>
          <w:sz w:val="20"/>
          <w:szCs w:val="20"/>
          <w:color w:val="auto"/>
        </w:rPr>
        <w:t>The information concerning mine safety violations or other regulatory matters required by Section 1503(a) of the Dodd-Frank Wall Street Reform and Consumer Protection Act and Item 104 of Regulation S-K (17 CFR 229.104) is included in Exhibit 95 to this Quarterly Report on Form 10-Q.</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50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31"/>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920" w:type="dxa"/>
            <w:vAlign w:val="bottom"/>
          </w:tcPr>
          <w:p>
            <w:pPr>
              <w:jc w:val="center"/>
              <w:ind w:right="1201"/>
              <w:spacing w:after="0"/>
              <w:rPr>
                <w:sz w:val="20"/>
                <w:szCs w:val="20"/>
                <w:color w:val="auto"/>
              </w:rPr>
            </w:pPr>
            <w:r>
              <w:rPr>
                <w:rFonts w:ascii="Arial" w:cs="Arial" w:eastAsia="Arial" w:hAnsi="Arial"/>
                <w:sz w:val="20"/>
                <w:szCs w:val="20"/>
                <w:color w:val="auto"/>
                <w:w w:val="97"/>
              </w:rPr>
              <w:t>MARTIN MARIETTA MATERIALS, INC. AND CONSOLIDATED SUBSIDIARIES</w:t>
            </w:r>
          </w:p>
        </w:tc>
      </w:tr>
      <w:tr>
        <w:trPr>
          <w:trHeight w:val="229"/>
        </w:trPr>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920" w:type="dxa"/>
            <w:vAlign w:val="bottom"/>
          </w:tcPr>
          <w:p>
            <w:pPr>
              <w:jc w:val="center"/>
              <w:ind w:right="1201"/>
              <w:spacing w:after="0"/>
              <w:rPr>
                <w:sz w:val="20"/>
                <w:szCs w:val="20"/>
                <w:color w:val="auto"/>
              </w:rPr>
            </w:pPr>
            <w:r>
              <w:rPr>
                <w:rFonts w:ascii="Arial" w:cs="Arial" w:eastAsia="Arial" w:hAnsi="Arial"/>
                <w:sz w:val="20"/>
                <w:szCs w:val="20"/>
                <w:color w:val="auto"/>
                <w:w w:val="93"/>
              </w:rPr>
              <w:t>FORM 10-Q</w:t>
            </w:r>
          </w:p>
        </w:tc>
      </w:tr>
      <w:tr>
        <w:trPr>
          <w:trHeight w:val="250"/>
        </w:trPr>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920" w:type="dxa"/>
            <w:vAlign w:val="bottom"/>
          </w:tcPr>
          <w:p>
            <w:pPr>
              <w:jc w:val="center"/>
              <w:ind w:right="1221"/>
              <w:spacing w:after="0"/>
              <w:rPr>
                <w:sz w:val="20"/>
                <w:szCs w:val="20"/>
                <w:color w:val="auto"/>
              </w:rPr>
            </w:pPr>
            <w:r>
              <w:rPr>
                <w:rFonts w:ascii="Arial" w:cs="Arial" w:eastAsia="Arial" w:hAnsi="Arial"/>
                <w:sz w:val="20"/>
                <w:szCs w:val="20"/>
                <w:color w:val="auto"/>
                <w:w w:val="87"/>
              </w:rPr>
              <w:t>For the Quarter Ended June 30, 2020</w:t>
            </w:r>
          </w:p>
        </w:tc>
      </w:tr>
      <w:tr>
        <w:trPr>
          <w:trHeight w:val="425"/>
        </w:trPr>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920" w:type="dxa"/>
            <w:vAlign w:val="bottom"/>
          </w:tcPr>
          <w:p>
            <w:pPr>
              <w:jc w:val="center"/>
              <w:ind w:right="1221"/>
              <w:spacing w:after="0"/>
              <w:rPr>
                <w:sz w:val="20"/>
                <w:szCs w:val="20"/>
                <w:color w:val="auto"/>
              </w:rPr>
            </w:pPr>
            <w:r>
              <w:rPr>
                <w:rFonts w:ascii="Arial" w:cs="Arial" w:eastAsia="Arial" w:hAnsi="Arial"/>
                <w:sz w:val="20"/>
                <w:szCs w:val="20"/>
                <w:color w:val="auto"/>
                <w:w w:val="95"/>
              </w:rPr>
              <w:t>PART II- OTHER INFORMATION</w:t>
            </w:r>
          </w:p>
        </w:tc>
      </w:tr>
      <w:tr>
        <w:trPr>
          <w:trHeight w:val="250"/>
        </w:trPr>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920" w:type="dxa"/>
            <w:vAlign w:val="bottom"/>
          </w:tcPr>
          <w:p>
            <w:pPr>
              <w:jc w:val="center"/>
              <w:ind w:right="1221"/>
              <w:spacing w:after="0"/>
              <w:rPr>
                <w:sz w:val="20"/>
                <w:szCs w:val="20"/>
                <w:color w:val="auto"/>
              </w:rPr>
            </w:pPr>
            <w:r>
              <w:rPr>
                <w:rFonts w:ascii="Arial" w:cs="Arial" w:eastAsia="Arial" w:hAnsi="Arial"/>
                <w:sz w:val="20"/>
                <w:szCs w:val="20"/>
                <w:color w:val="auto"/>
                <w:w w:val="91"/>
              </w:rPr>
              <w:t>(Continued)</w:t>
            </w:r>
          </w:p>
        </w:tc>
      </w:tr>
      <w:tr>
        <w:trPr>
          <w:trHeight w:val="333"/>
        </w:trPr>
        <w:tc>
          <w:tcPr>
            <w:tcW w:w="11240" w:type="dxa"/>
            <w:vAlign w:val="bottom"/>
            <w:gridSpan w:val="4"/>
          </w:tcPr>
          <w:p>
            <w:pPr>
              <w:spacing w:after="0"/>
              <w:rPr>
                <w:sz w:val="20"/>
                <w:szCs w:val="20"/>
                <w:color w:val="auto"/>
              </w:rPr>
            </w:pPr>
            <w:r>
              <w:rPr>
                <w:rFonts w:ascii="Arial" w:cs="Arial" w:eastAsia="Arial" w:hAnsi="Arial"/>
                <w:sz w:val="20"/>
                <w:szCs w:val="20"/>
                <w:color w:val="auto"/>
              </w:rPr>
              <w:t>Item 6. Exhibits.</w:t>
            </w:r>
          </w:p>
        </w:tc>
      </w:tr>
      <w:tr>
        <w:trPr>
          <w:trHeight w:val="479"/>
        </w:trPr>
        <w:tc>
          <w:tcPr>
            <w:tcW w:w="1160" w:type="dxa"/>
            <w:vAlign w:val="bottom"/>
            <w:tcBorders>
              <w:top w:val="single" w:sz="8" w:color="auto"/>
            </w:tcBorders>
            <w:gridSpan w:val="2"/>
          </w:tcPr>
          <w:p>
            <w:pPr>
              <w:ind w:left="60"/>
              <w:spacing w:after="0"/>
              <w:rPr>
                <w:sz w:val="20"/>
                <w:szCs w:val="20"/>
                <w:color w:val="auto"/>
              </w:rPr>
            </w:pPr>
            <w:r>
              <w:rPr>
                <w:rFonts w:ascii="Arial" w:cs="Arial" w:eastAsia="Arial" w:hAnsi="Arial"/>
                <w:sz w:val="20"/>
                <w:szCs w:val="20"/>
                <w:color w:val="auto"/>
              </w:rPr>
              <w:t>Exhibit No.</w:t>
            </w:r>
          </w:p>
        </w:tc>
        <w:tc>
          <w:tcPr>
            <w:tcW w:w="160" w:type="dxa"/>
            <w:vAlign w:val="bottom"/>
            <w:tcBorders>
              <w:top w:val="single" w:sz="8" w:color="auto"/>
            </w:tcBorders>
          </w:tcPr>
          <w:p>
            <w:pPr>
              <w:spacing w:after="0"/>
              <w:rPr>
                <w:sz w:val="24"/>
                <w:szCs w:val="24"/>
                <w:color w:val="auto"/>
              </w:rPr>
            </w:pPr>
          </w:p>
        </w:tc>
        <w:tc>
          <w:tcPr>
            <w:tcW w:w="9920" w:type="dxa"/>
            <w:vAlign w:val="bottom"/>
          </w:tcPr>
          <w:p>
            <w:pPr>
              <w:ind w:left="4480"/>
              <w:spacing w:after="0"/>
              <w:rPr>
                <w:sz w:val="20"/>
                <w:szCs w:val="20"/>
                <w:color w:val="auto"/>
              </w:rPr>
            </w:pPr>
            <w:r>
              <w:rPr>
                <w:rFonts w:ascii="Arial" w:cs="Arial" w:eastAsia="Arial" w:hAnsi="Arial"/>
                <w:sz w:val="20"/>
                <w:szCs w:val="20"/>
                <w:color w:val="auto"/>
              </w:rPr>
              <w:t>Document</w:t>
            </w:r>
          </w:p>
        </w:tc>
      </w:tr>
      <w:tr>
        <w:trPr>
          <w:trHeight w:val="328"/>
        </w:trPr>
        <w:tc>
          <w:tcPr>
            <w:tcW w:w="1040" w:type="dxa"/>
            <w:vAlign w:val="bottom"/>
            <w:tcBorders>
              <w:top w:val="single" w:sz="8" w:color="auto"/>
            </w:tcBorders>
          </w:tcPr>
          <w:p>
            <w:pPr>
              <w:spacing w:after="0"/>
              <w:rPr>
                <w:rFonts w:ascii="Arial" w:cs="Arial" w:eastAsia="Arial" w:hAnsi="Arial"/>
                <w:sz w:val="20"/>
                <w:szCs w:val="20"/>
                <w:u w:val="single" w:color="auto"/>
                <w:color w:val="0000EE"/>
              </w:rPr>
            </w:pPr>
            <w:hyperlink r:id="rId65">
              <w:r>
                <w:rPr>
                  <w:rFonts w:ascii="Arial" w:cs="Arial" w:eastAsia="Arial" w:hAnsi="Arial"/>
                  <w:sz w:val="20"/>
                  <w:szCs w:val="20"/>
                  <w:u w:val="single" w:color="auto"/>
                  <w:color w:val="0000EE"/>
                </w:rPr>
                <w:t>10.1</w:t>
              </w:r>
            </w:hyperlink>
          </w:p>
        </w:tc>
        <w:tc>
          <w:tcPr>
            <w:tcW w:w="120" w:type="dxa"/>
            <w:vAlign w:val="bottom"/>
          </w:tcPr>
          <w:p>
            <w:pPr>
              <w:spacing w:after="0"/>
              <w:rPr>
                <w:sz w:val="24"/>
                <w:szCs w:val="24"/>
                <w:color w:val="auto"/>
              </w:rPr>
            </w:pPr>
          </w:p>
        </w:tc>
        <w:tc>
          <w:tcPr>
            <w:tcW w:w="10080" w:type="dxa"/>
            <w:vAlign w:val="bottom"/>
            <w:tcBorders>
              <w:top w:val="single" w:sz="8" w:color="auto"/>
            </w:tcBorders>
            <w:gridSpan w:val="2"/>
          </w:tcPr>
          <w:p>
            <w:pPr>
              <w:spacing w:after="0"/>
              <w:rPr>
                <w:sz w:val="20"/>
                <w:szCs w:val="20"/>
                <w:color w:val="auto"/>
              </w:rPr>
            </w:pPr>
            <w:r>
              <w:rPr>
                <w:rFonts w:ascii="Arial" w:cs="Arial" w:eastAsia="Arial" w:hAnsi="Arial"/>
                <w:sz w:val="20"/>
                <w:szCs w:val="20"/>
                <w:color w:val="auto"/>
                <w:w w:val="95"/>
              </w:rPr>
              <w:t>Martin Marietta Nonqualified Deferred Cash Compensation Plan (incorporated by reference to Exhibit 10.1 to the Martin</w:t>
            </w:r>
          </w:p>
        </w:tc>
      </w:tr>
      <w:tr>
        <w:trPr>
          <w:trHeight w:val="250"/>
        </w:trPr>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80" w:type="dxa"/>
            <w:vAlign w:val="bottom"/>
            <w:gridSpan w:val="2"/>
          </w:tcPr>
          <w:p>
            <w:pPr>
              <w:spacing w:after="0"/>
              <w:rPr>
                <w:sz w:val="20"/>
                <w:szCs w:val="20"/>
                <w:color w:val="auto"/>
              </w:rPr>
            </w:pPr>
            <w:r>
              <w:rPr>
                <w:rFonts w:ascii="Arial" w:cs="Arial" w:eastAsia="Arial" w:hAnsi="Arial"/>
                <w:sz w:val="20"/>
                <w:szCs w:val="20"/>
                <w:color w:val="auto"/>
              </w:rPr>
              <w:t>Marietta Materials, Inc. Current Report on Form 8-K, filed on June 29, 2020 (Commission File No. 1-12744))</w:t>
            </w:r>
          </w:p>
        </w:tc>
      </w:tr>
      <w:tr>
        <w:trPr>
          <w:trHeight w:val="330"/>
        </w:trPr>
        <w:tc>
          <w:tcPr>
            <w:tcW w:w="1040" w:type="dxa"/>
            <w:vAlign w:val="bottom"/>
          </w:tcPr>
          <w:p>
            <w:pPr>
              <w:spacing w:after="0"/>
              <w:rPr>
                <w:rFonts w:ascii="Arial" w:cs="Arial" w:eastAsia="Arial" w:hAnsi="Arial"/>
                <w:sz w:val="20"/>
                <w:szCs w:val="20"/>
                <w:u w:val="single" w:color="auto"/>
                <w:color w:val="0000EE"/>
              </w:rPr>
            </w:pPr>
            <w:hyperlink r:id="rId66">
              <w:r>
                <w:rPr>
                  <w:rFonts w:ascii="Arial" w:cs="Arial" w:eastAsia="Arial" w:hAnsi="Arial"/>
                  <w:sz w:val="20"/>
                  <w:szCs w:val="20"/>
                  <w:u w:val="single" w:color="auto"/>
                  <w:color w:val="0000EE"/>
                </w:rPr>
                <w:t>10.2</w:t>
              </w:r>
            </w:hyperlink>
          </w:p>
        </w:tc>
        <w:tc>
          <w:tcPr>
            <w:tcW w:w="120" w:type="dxa"/>
            <w:vAlign w:val="bottom"/>
          </w:tcPr>
          <w:p>
            <w:pPr>
              <w:spacing w:after="0"/>
              <w:rPr>
                <w:sz w:val="24"/>
                <w:szCs w:val="24"/>
                <w:color w:val="auto"/>
              </w:rPr>
            </w:pPr>
          </w:p>
        </w:tc>
        <w:tc>
          <w:tcPr>
            <w:tcW w:w="10080" w:type="dxa"/>
            <w:vAlign w:val="bottom"/>
            <w:gridSpan w:val="2"/>
          </w:tcPr>
          <w:p>
            <w:pPr>
              <w:spacing w:after="0"/>
              <w:rPr>
                <w:sz w:val="20"/>
                <w:szCs w:val="20"/>
                <w:color w:val="auto"/>
              </w:rPr>
            </w:pPr>
            <w:r>
              <w:rPr>
                <w:rFonts w:ascii="Arial" w:cs="Arial" w:eastAsia="Arial" w:hAnsi="Arial"/>
                <w:sz w:val="20"/>
                <w:szCs w:val="20"/>
                <w:color w:val="auto"/>
                <w:w w:val="93"/>
              </w:rPr>
              <w:t>Martin Marietta Nonqualified Deferred Cash Compensation Plan Adoption Agreement (incorporated by reference to Exhibit</w:t>
            </w:r>
          </w:p>
        </w:tc>
      </w:tr>
      <w:tr>
        <w:trPr>
          <w:trHeight w:val="230"/>
        </w:trPr>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80" w:type="dxa"/>
            <w:vAlign w:val="bottom"/>
            <w:gridSpan w:val="2"/>
          </w:tcPr>
          <w:p>
            <w:pPr>
              <w:spacing w:after="0"/>
              <w:rPr>
                <w:sz w:val="20"/>
                <w:szCs w:val="20"/>
                <w:color w:val="auto"/>
              </w:rPr>
            </w:pPr>
            <w:r>
              <w:rPr>
                <w:rFonts w:ascii="Arial" w:cs="Arial" w:eastAsia="Arial" w:hAnsi="Arial"/>
                <w:sz w:val="20"/>
                <w:szCs w:val="20"/>
                <w:color w:val="auto"/>
                <w:w w:val="96"/>
              </w:rPr>
              <w:t>10.2 to the Martin Marietta Materials, Inc. Current Report on Form 8-K, filed on June 29, 2020 (Commission File No. 1-</w:t>
            </w:r>
          </w:p>
        </w:tc>
      </w:tr>
      <w:tr>
        <w:trPr>
          <w:trHeight w:val="250"/>
        </w:trPr>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80" w:type="dxa"/>
            <w:vAlign w:val="bottom"/>
            <w:gridSpan w:val="2"/>
          </w:tcPr>
          <w:p>
            <w:pPr>
              <w:spacing w:after="0"/>
              <w:rPr>
                <w:sz w:val="20"/>
                <w:szCs w:val="20"/>
                <w:color w:val="auto"/>
              </w:rPr>
            </w:pPr>
            <w:r>
              <w:rPr>
                <w:rFonts w:ascii="Arial" w:cs="Arial" w:eastAsia="Arial" w:hAnsi="Arial"/>
                <w:sz w:val="20"/>
                <w:szCs w:val="20"/>
                <w:color w:val="auto"/>
              </w:rPr>
              <w:t>12744))</w:t>
            </w:r>
          </w:p>
        </w:tc>
      </w:tr>
      <w:tr>
        <w:trPr>
          <w:trHeight w:val="330"/>
        </w:trPr>
        <w:tc>
          <w:tcPr>
            <w:tcW w:w="1040" w:type="dxa"/>
            <w:vAlign w:val="bottom"/>
          </w:tcPr>
          <w:p>
            <w:pPr>
              <w:spacing w:after="0"/>
              <w:rPr>
                <w:rFonts w:ascii="Arial" w:cs="Arial" w:eastAsia="Arial" w:hAnsi="Arial"/>
                <w:sz w:val="20"/>
                <w:szCs w:val="20"/>
                <w:u w:val="single" w:color="auto"/>
                <w:color w:val="0000EE"/>
              </w:rPr>
            </w:pPr>
            <w:hyperlink w:anchor="page53">
              <w:r>
                <w:rPr>
                  <w:rFonts w:ascii="Arial" w:cs="Arial" w:eastAsia="Arial" w:hAnsi="Arial"/>
                  <w:sz w:val="20"/>
                  <w:szCs w:val="20"/>
                  <w:u w:val="single" w:color="auto"/>
                  <w:color w:val="0000EE"/>
                </w:rPr>
                <w:t>31.01</w:t>
              </w:r>
            </w:hyperlink>
          </w:p>
        </w:tc>
        <w:tc>
          <w:tcPr>
            <w:tcW w:w="120" w:type="dxa"/>
            <w:vAlign w:val="bottom"/>
          </w:tcPr>
          <w:p>
            <w:pPr>
              <w:spacing w:after="0"/>
              <w:rPr>
                <w:sz w:val="24"/>
                <w:szCs w:val="24"/>
                <w:color w:val="auto"/>
              </w:rPr>
            </w:pPr>
          </w:p>
        </w:tc>
        <w:tc>
          <w:tcPr>
            <w:tcW w:w="10080" w:type="dxa"/>
            <w:vAlign w:val="bottom"/>
            <w:gridSpan w:val="2"/>
          </w:tcPr>
          <w:p>
            <w:pPr>
              <w:spacing w:after="0"/>
              <w:rPr>
                <w:sz w:val="20"/>
                <w:szCs w:val="20"/>
                <w:color w:val="auto"/>
              </w:rPr>
            </w:pPr>
            <w:r>
              <w:rPr>
                <w:rFonts w:ascii="Arial" w:cs="Arial" w:eastAsia="Arial" w:hAnsi="Arial"/>
                <w:sz w:val="20"/>
                <w:szCs w:val="20"/>
                <w:color w:val="auto"/>
                <w:w w:val="91"/>
              </w:rPr>
              <w:t>Certification dated July 28, 2020 of Chief Executive Officer pursuant to Securities and Exchange Act of 1934 Rule 13a-14 as</w:t>
            </w:r>
          </w:p>
        </w:tc>
      </w:tr>
      <w:tr>
        <w:trPr>
          <w:trHeight w:val="250"/>
        </w:trPr>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80" w:type="dxa"/>
            <w:vAlign w:val="bottom"/>
            <w:gridSpan w:val="2"/>
          </w:tcPr>
          <w:p>
            <w:pPr>
              <w:spacing w:after="0"/>
              <w:rPr>
                <w:sz w:val="20"/>
                <w:szCs w:val="20"/>
                <w:color w:val="auto"/>
              </w:rPr>
            </w:pPr>
            <w:r>
              <w:rPr>
                <w:rFonts w:ascii="Arial" w:cs="Arial" w:eastAsia="Arial" w:hAnsi="Arial"/>
                <w:sz w:val="20"/>
                <w:szCs w:val="20"/>
                <w:color w:val="auto"/>
              </w:rPr>
              <w:t>adopted pursuant to Section 302 of the Sarbanes-Oxley Act of 2002</w:t>
            </w:r>
          </w:p>
        </w:tc>
      </w:tr>
      <w:tr>
        <w:trPr>
          <w:trHeight w:val="330"/>
        </w:trPr>
        <w:tc>
          <w:tcPr>
            <w:tcW w:w="1040" w:type="dxa"/>
            <w:vAlign w:val="bottom"/>
          </w:tcPr>
          <w:p>
            <w:pPr>
              <w:spacing w:after="0"/>
              <w:rPr>
                <w:rFonts w:ascii="Arial" w:cs="Arial" w:eastAsia="Arial" w:hAnsi="Arial"/>
                <w:sz w:val="20"/>
                <w:szCs w:val="20"/>
                <w:u w:val="single" w:color="auto"/>
                <w:color w:val="0000EE"/>
              </w:rPr>
            </w:pPr>
            <w:hyperlink w:anchor="page55">
              <w:r>
                <w:rPr>
                  <w:rFonts w:ascii="Arial" w:cs="Arial" w:eastAsia="Arial" w:hAnsi="Arial"/>
                  <w:sz w:val="20"/>
                  <w:szCs w:val="20"/>
                  <w:u w:val="single" w:color="auto"/>
                  <w:color w:val="0000EE"/>
                </w:rPr>
                <w:t>31.02</w:t>
              </w:r>
            </w:hyperlink>
          </w:p>
        </w:tc>
        <w:tc>
          <w:tcPr>
            <w:tcW w:w="120" w:type="dxa"/>
            <w:vAlign w:val="bottom"/>
          </w:tcPr>
          <w:p>
            <w:pPr>
              <w:spacing w:after="0"/>
              <w:rPr>
                <w:sz w:val="24"/>
                <w:szCs w:val="24"/>
                <w:color w:val="auto"/>
              </w:rPr>
            </w:pPr>
          </w:p>
        </w:tc>
        <w:tc>
          <w:tcPr>
            <w:tcW w:w="10080" w:type="dxa"/>
            <w:vAlign w:val="bottom"/>
            <w:gridSpan w:val="2"/>
          </w:tcPr>
          <w:p>
            <w:pPr>
              <w:spacing w:after="0"/>
              <w:rPr>
                <w:sz w:val="20"/>
                <w:szCs w:val="20"/>
                <w:color w:val="auto"/>
              </w:rPr>
            </w:pPr>
            <w:r>
              <w:rPr>
                <w:rFonts w:ascii="Arial" w:cs="Arial" w:eastAsia="Arial" w:hAnsi="Arial"/>
                <w:sz w:val="20"/>
                <w:szCs w:val="20"/>
                <w:color w:val="auto"/>
                <w:w w:val="92"/>
              </w:rPr>
              <w:t>Certification dated July 28, 2020 of Chief Financial Officer pursuant to Securities and Exchange Act of 1934 Rule 13a-14 as</w:t>
            </w:r>
          </w:p>
        </w:tc>
      </w:tr>
      <w:tr>
        <w:trPr>
          <w:trHeight w:val="250"/>
        </w:trPr>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80" w:type="dxa"/>
            <w:vAlign w:val="bottom"/>
            <w:gridSpan w:val="2"/>
          </w:tcPr>
          <w:p>
            <w:pPr>
              <w:spacing w:after="0"/>
              <w:rPr>
                <w:sz w:val="20"/>
                <w:szCs w:val="20"/>
                <w:color w:val="auto"/>
              </w:rPr>
            </w:pPr>
            <w:r>
              <w:rPr>
                <w:rFonts w:ascii="Arial" w:cs="Arial" w:eastAsia="Arial" w:hAnsi="Arial"/>
                <w:sz w:val="20"/>
                <w:szCs w:val="20"/>
                <w:color w:val="auto"/>
              </w:rPr>
              <w:t>adopted pursuant to Section 302 of the Sarbanes-Oxley Act of 2002</w:t>
            </w:r>
          </w:p>
        </w:tc>
      </w:tr>
      <w:tr>
        <w:trPr>
          <w:trHeight w:val="330"/>
        </w:trPr>
        <w:tc>
          <w:tcPr>
            <w:tcW w:w="1040" w:type="dxa"/>
            <w:vAlign w:val="bottom"/>
          </w:tcPr>
          <w:p>
            <w:pPr>
              <w:spacing w:after="0"/>
              <w:rPr>
                <w:rFonts w:ascii="Arial" w:cs="Arial" w:eastAsia="Arial" w:hAnsi="Arial"/>
                <w:sz w:val="20"/>
                <w:szCs w:val="20"/>
                <w:u w:val="single" w:color="auto"/>
                <w:color w:val="0000EE"/>
              </w:rPr>
            </w:pPr>
            <w:hyperlink w:anchor="page57">
              <w:r>
                <w:rPr>
                  <w:rFonts w:ascii="Arial" w:cs="Arial" w:eastAsia="Arial" w:hAnsi="Arial"/>
                  <w:sz w:val="20"/>
                  <w:szCs w:val="20"/>
                  <w:u w:val="single" w:color="auto"/>
                  <w:color w:val="0000EE"/>
                </w:rPr>
                <w:t>32.01</w:t>
              </w:r>
            </w:hyperlink>
          </w:p>
        </w:tc>
        <w:tc>
          <w:tcPr>
            <w:tcW w:w="120" w:type="dxa"/>
            <w:vAlign w:val="bottom"/>
          </w:tcPr>
          <w:p>
            <w:pPr>
              <w:spacing w:after="0"/>
              <w:rPr>
                <w:sz w:val="24"/>
                <w:szCs w:val="24"/>
                <w:color w:val="auto"/>
              </w:rPr>
            </w:pPr>
          </w:p>
        </w:tc>
        <w:tc>
          <w:tcPr>
            <w:tcW w:w="10080" w:type="dxa"/>
            <w:vAlign w:val="bottom"/>
            <w:gridSpan w:val="2"/>
          </w:tcPr>
          <w:p>
            <w:pPr>
              <w:spacing w:after="0"/>
              <w:rPr>
                <w:sz w:val="20"/>
                <w:szCs w:val="20"/>
                <w:color w:val="auto"/>
              </w:rPr>
            </w:pPr>
            <w:r>
              <w:rPr>
                <w:rFonts w:ascii="Arial" w:cs="Arial" w:eastAsia="Arial" w:hAnsi="Arial"/>
                <w:sz w:val="20"/>
                <w:szCs w:val="20"/>
                <w:color w:val="auto"/>
                <w:w w:val="97"/>
              </w:rPr>
              <w:t>Written Statement dated July 28, 2020 of Chief Executive Officer required by 18 U.S.C. 1350, as adopted pursuant to</w:t>
            </w:r>
          </w:p>
        </w:tc>
      </w:tr>
      <w:tr>
        <w:trPr>
          <w:trHeight w:val="250"/>
        </w:trPr>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80" w:type="dxa"/>
            <w:vAlign w:val="bottom"/>
            <w:gridSpan w:val="2"/>
          </w:tcPr>
          <w:p>
            <w:pPr>
              <w:spacing w:after="0"/>
              <w:rPr>
                <w:sz w:val="20"/>
                <w:szCs w:val="20"/>
                <w:color w:val="auto"/>
              </w:rPr>
            </w:pPr>
            <w:r>
              <w:rPr>
                <w:rFonts w:ascii="Arial" w:cs="Arial" w:eastAsia="Arial" w:hAnsi="Arial"/>
                <w:sz w:val="20"/>
                <w:szCs w:val="20"/>
                <w:color w:val="auto"/>
              </w:rPr>
              <w:t>Section 906 of the Sarbanes-Oxley Act of 2002</w:t>
            </w:r>
          </w:p>
        </w:tc>
      </w:tr>
      <w:tr>
        <w:trPr>
          <w:trHeight w:val="330"/>
        </w:trPr>
        <w:tc>
          <w:tcPr>
            <w:tcW w:w="1040" w:type="dxa"/>
            <w:vAlign w:val="bottom"/>
          </w:tcPr>
          <w:p>
            <w:pPr>
              <w:spacing w:after="0"/>
              <w:rPr>
                <w:rFonts w:ascii="Arial" w:cs="Arial" w:eastAsia="Arial" w:hAnsi="Arial"/>
                <w:sz w:val="20"/>
                <w:szCs w:val="20"/>
                <w:u w:val="single" w:color="auto"/>
                <w:color w:val="0000EE"/>
              </w:rPr>
            </w:pPr>
            <w:hyperlink w:anchor="page58">
              <w:r>
                <w:rPr>
                  <w:rFonts w:ascii="Arial" w:cs="Arial" w:eastAsia="Arial" w:hAnsi="Arial"/>
                  <w:sz w:val="20"/>
                  <w:szCs w:val="20"/>
                  <w:u w:val="single" w:color="auto"/>
                  <w:color w:val="0000EE"/>
                </w:rPr>
                <w:t>32.02</w:t>
              </w:r>
            </w:hyperlink>
          </w:p>
        </w:tc>
        <w:tc>
          <w:tcPr>
            <w:tcW w:w="120" w:type="dxa"/>
            <w:vAlign w:val="bottom"/>
          </w:tcPr>
          <w:p>
            <w:pPr>
              <w:spacing w:after="0"/>
              <w:rPr>
                <w:sz w:val="24"/>
                <w:szCs w:val="24"/>
                <w:color w:val="auto"/>
              </w:rPr>
            </w:pPr>
          </w:p>
        </w:tc>
        <w:tc>
          <w:tcPr>
            <w:tcW w:w="10080" w:type="dxa"/>
            <w:vAlign w:val="bottom"/>
            <w:gridSpan w:val="2"/>
          </w:tcPr>
          <w:p>
            <w:pPr>
              <w:spacing w:after="0"/>
              <w:rPr>
                <w:sz w:val="20"/>
                <w:szCs w:val="20"/>
                <w:color w:val="auto"/>
              </w:rPr>
            </w:pPr>
            <w:r>
              <w:rPr>
                <w:rFonts w:ascii="Arial" w:cs="Arial" w:eastAsia="Arial" w:hAnsi="Arial"/>
                <w:sz w:val="20"/>
                <w:szCs w:val="20"/>
                <w:color w:val="auto"/>
                <w:w w:val="97"/>
              </w:rPr>
              <w:t>Written Statement dated July 28, 2020 of Chief Financial Officer required by 18 U.S.C. 1350, as adopted pursuant to</w:t>
            </w:r>
          </w:p>
        </w:tc>
      </w:tr>
      <w:tr>
        <w:trPr>
          <w:trHeight w:val="250"/>
        </w:trPr>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80" w:type="dxa"/>
            <w:vAlign w:val="bottom"/>
            <w:gridSpan w:val="2"/>
          </w:tcPr>
          <w:p>
            <w:pPr>
              <w:spacing w:after="0"/>
              <w:rPr>
                <w:sz w:val="20"/>
                <w:szCs w:val="20"/>
                <w:color w:val="auto"/>
              </w:rPr>
            </w:pPr>
            <w:r>
              <w:rPr>
                <w:rFonts w:ascii="Arial" w:cs="Arial" w:eastAsia="Arial" w:hAnsi="Arial"/>
                <w:sz w:val="20"/>
                <w:szCs w:val="20"/>
                <w:color w:val="auto"/>
              </w:rPr>
              <w:t>Section 906 of the Sarbanes-Oxley Act of 2002</w:t>
            </w:r>
          </w:p>
        </w:tc>
      </w:tr>
    </w:tbl>
    <w:p>
      <w:pPr>
        <w:spacing w:after="0" w:line="101" w:lineRule="exact"/>
        <w:rPr>
          <w:sz w:val="20"/>
          <w:szCs w:val="20"/>
          <w:color w:val="auto"/>
        </w:rPr>
      </w:pPr>
    </w:p>
    <w:p>
      <w:pPr>
        <w:ind w:left="1160" w:hanging="1152"/>
        <w:spacing w:after="0"/>
        <w:tabs>
          <w:tab w:leader="none" w:pos="1160" w:val="left"/>
        </w:tabs>
        <w:numPr>
          <w:ilvl w:val="0"/>
          <w:numId w:val="17"/>
        </w:numPr>
        <w:rPr>
          <w:rFonts w:ascii="Arial" w:cs="Arial" w:eastAsia="Arial" w:hAnsi="Arial"/>
          <w:sz w:val="20"/>
          <w:szCs w:val="20"/>
          <w:u w:val="single" w:color="auto"/>
          <w:color w:val="0000EE"/>
        </w:rPr>
      </w:pPr>
      <w:r>
        <w:rPr>
          <w:rFonts w:ascii="Arial" w:cs="Arial" w:eastAsia="Arial" w:hAnsi="Arial"/>
          <w:sz w:val="20"/>
          <w:szCs w:val="20"/>
          <w:color w:val="auto"/>
        </w:rPr>
        <w:t>Mine Safety Disclosures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0" w:type="dxa"/>
            <w:vAlign w:val="bottom"/>
          </w:tcPr>
          <w:p>
            <w:pPr>
              <w:spacing w:after="0"/>
              <w:rPr>
                <w:sz w:val="20"/>
                <w:szCs w:val="20"/>
                <w:color w:val="auto"/>
              </w:rPr>
            </w:pPr>
            <w:r>
              <w:rPr>
                <w:rFonts w:ascii="Arial" w:cs="Arial" w:eastAsia="Arial" w:hAnsi="Arial"/>
                <w:sz w:val="20"/>
                <w:szCs w:val="20"/>
                <w:color w:val="auto"/>
              </w:rPr>
              <w:t>101.INS</w:t>
            </w:r>
          </w:p>
        </w:tc>
        <w:tc>
          <w:tcPr>
            <w:tcW w:w="10280" w:type="dxa"/>
            <w:vAlign w:val="bottom"/>
          </w:tcPr>
          <w:p>
            <w:pPr>
              <w:ind w:left="200"/>
              <w:spacing w:after="0"/>
              <w:rPr>
                <w:sz w:val="20"/>
                <w:szCs w:val="20"/>
                <w:color w:val="auto"/>
              </w:rPr>
            </w:pPr>
            <w:r>
              <w:rPr>
                <w:rFonts w:ascii="Arial" w:cs="Arial" w:eastAsia="Arial" w:hAnsi="Arial"/>
                <w:sz w:val="20"/>
                <w:szCs w:val="20"/>
                <w:color w:val="auto"/>
                <w:w w:val="90"/>
              </w:rPr>
              <w:t>Inline XBRL Instance Document – The instance document does not appear in the Interactive Data File because its XBRL tags</w:t>
            </w:r>
          </w:p>
        </w:tc>
      </w:tr>
      <w:tr>
        <w:trPr>
          <w:trHeight w:val="250"/>
        </w:trPr>
        <w:tc>
          <w:tcPr>
            <w:tcW w:w="960" w:type="dxa"/>
            <w:vAlign w:val="bottom"/>
          </w:tcPr>
          <w:p>
            <w:pPr>
              <w:spacing w:after="0"/>
              <w:rPr>
                <w:sz w:val="21"/>
                <w:szCs w:val="21"/>
                <w:color w:val="auto"/>
              </w:rPr>
            </w:pPr>
          </w:p>
        </w:tc>
        <w:tc>
          <w:tcPr>
            <w:tcW w:w="10280" w:type="dxa"/>
            <w:vAlign w:val="bottom"/>
          </w:tcPr>
          <w:p>
            <w:pPr>
              <w:ind w:left="200"/>
              <w:spacing w:after="0"/>
              <w:rPr>
                <w:sz w:val="20"/>
                <w:szCs w:val="20"/>
                <w:color w:val="auto"/>
              </w:rPr>
            </w:pPr>
            <w:r>
              <w:rPr>
                <w:rFonts w:ascii="Arial" w:cs="Arial" w:eastAsia="Arial" w:hAnsi="Arial"/>
                <w:sz w:val="20"/>
                <w:szCs w:val="20"/>
                <w:color w:val="auto"/>
              </w:rPr>
              <w:t>are embedded within the Inline XBRL document.</w:t>
            </w:r>
          </w:p>
        </w:tc>
      </w:tr>
      <w:tr>
        <w:trPr>
          <w:trHeight w:val="351"/>
        </w:trPr>
        <w:tc>
          <w:tcPr>
            <w:tcW w:w="960" w:type="dxa"/>
            <w:vAlign w:val="bottom"/>
          </w:tcPr>
          <w:p>
            <w:pPr>
              <w:spacing w:after="0"/>
              <w:rPr>
                <w:sz w:val="20"/>
                <w:szCs w:val="20"/>
                <w:color w:val="auto"/>
              </w:rPr>
            </w:pPr>
            <w:r>
              <w:rPr>
                <w:rFonts w:ascii="Arial" w:cs="Arial" w:eastAsia="Arial" w:hAnsi="Arial"/>
                <w:sz w:val="20"/>
                <w:szCs w:val="20"/>
                <w:color w:val="auto"/>
              </w:rPr>
              <w:t>101.SCH</w:t>
            </w:r>
          </w:p>
        </w:tc>
        <w:tc>
          <w:tcPr>
            <w:tcW w:w="10280" w:type="dxa"/>
            <w:vAlign w:val="bottom"/>
          </w:tcPr>
          <w:p>
            <w:pPr>
              <w:ind w:left="200"/>
              <w:spacing w:after="0"/>
              <w:rPr>
                <w:sz w:val="20"/>
                <w:szCs w:val="20"/>
                <w:color w:val="auto"/>
              </w:rPr>
            </w:pPr>
            <w:r>
              <w:rPr>
                <w:rFonts w:ascii="Arial" w:cs="Arial" w:eastAsia="Arial" w:hAnsi="Arial"/>
                <w:sz w:val="20"/>
                <w:szCs w:val="20"/>
                <w:color w:val="auto"/>
              </w:rPr>
              <w:t>Inline XBRL Taxonomy Extension Schema Document</w:t>
            </w:r>
          </w:p>
        </w:tc>
      </w:tr>
      <w:tr>
        <w:trPr>
          <w:trHeight w:val="351"/>
        </w:trPr>
        <w:tc>
          <w:tcPr>
            <w:tcW w:w="960" w:type="dxa"/>
            <w:vAlign w:val="bottom"/>
          </w:tcPr>
          <w:p>
            <w:pPr>
              <w:spacing w:after="0"/>
              <w:rPr>
                <w:sz w:val="20"/>
                <w:szCs w:val="20"/>
                <w:color w:val="auto"/>
              </w:rPr>
            </w:pPr>
            <w:r>
              <w:rPr>
                <w:rFonts w:ascii="Arial" w:cs="Arial" w:eastAsia="Arial" w:hAnsi="Arial"/>
                <w:sz w:val="20"/>
                <w:szCs w:val="20"/>
                <w:color w:val="auto"/>
              </w:rPr>
              <w:t>101.CAL</w:t>
            </w:r>
          </w:p>
        </w:tc>
        <w:tc>
          <w:tcPr>
            <w:tcW w:w="10280" w:type="dxa"/>
            <w:vAlign w:val="bottom"/>
          </w:tcPr>
          <w:p>
            <w:pPr>
              <w:ind w:left="200"/>
              <w:spacing w:after="0"/>
              <w:rPr>
                <w:sz w:val="20"/>
                <w:szCs w:val="20"/>
                <w:color w:val="auto"/>
              </w:rPr>
            </w:pPr>
            <w:r>
              <w:rPr>
                <w:rFonts w:ascii="Arial" w:cs="Arial" w:eastAsia="Arial" w:hAnsi="Arial"/>
                <w:sz w:val="20"/>
                <w:szCs w:val="20"/>
                <w:color w:val="auto"/>
              </w:rPr>
              <w:t>Inline XBRL Taxonomy Extension Calculation Linkbase Document</w:t>
            </w:r>
          </w:p>
        </w:tc>
      </w:tr>
      <w:tr>
        <w:trPr>
          <w:trHeight w:val="351"/>
        </w:trPr>
        <w:tc>
          <w:tcPr>
            <w:tcW w:w="960" w:type="dxa"/>
            <w:vAlign w:val="bottom"/>
          </w:tcPr>
          <w:p>
            <w:pPr>
              <w:spacing w:after="0"/>
              <w:rPr>
                <w:sz w:val="20"/>
                <w:szCs w:val="20"/>
                <w:color w:val="auto"/>
              </w:rPr>
            </w:pPr>
            <w:r>
              <w:rPr>
                <w:rFonts w:ascii="Arial" w:cs="Arial" w:eastAsia="Arial" w:hAnsi="Arial"/>
                <w:sz w:val="20"/>
                <w:szCs w:val="20"/>
                <w:color w:val="auto"/>
              </w:rPr>
              <w:t>101.LAB</w:t>
            </w:r>
          </w:p>
        </w:tc>
        <w:tc>
          <w:tcPr>
            <w:tcW w:w="10280" w:type="dxa"/>
            <w:vAlign w:val="bottom"/>
          </w:tcPr>
          <w:p>
            <w:pPr>
              <w:ind w:left="200"/>
              <w:spacing w:after="0"/>
              <w:rPr>
                <w:sz w:val="20"/>
                <w:szCs w:val="20"/>
                <w:color w:val="auto"/>
              </w:rPr>
            </w:pPr>
            <w:r>
              <w:rPr>
                <w:rFonts w:ascii="Arial" w:cs="Arial" w:eastAsia="Arial" w:hAnsi="Arial"/>
                <w:sz w:val="20"/>
                <w:szCs w:val="20"/>
                <w:color w:val="auto"/>
              </w:rPr>
              <w:t>Inline XBRL Taxonomy Extension Label Linkbase Document</w:t>
            </w:r>
          </w:p>
        </w:tc>
      </w:tr>
      <w:tr>
        <w:trPr>
          <w:trHeight w:val="351"/>
        </w:trPr>
        <w:tc>
          <w:tcPr>
            <w:tcW w:w="960" w:type="dxa"/>
            <w:vAlign w:val="bottom"/>
          </w:tcPr>
          <w:p>
            <w:pPr>
              <w:spacing w:after="0"/>
              <w:rPr>
                <w:sz w:val="20"/>
                <w:szCs w:val="20"/>
                <w:color w:val="auto"/>
              </w:rPr>
            </w:pPr>
            <w:r>
              <w:rPr>
                <w:rFonts w:ascii="Arial" w:cs="Arial" w:eastAsia="Arial" w:hAnsi="Arial"/>
                <w:sz w:val="20"/>
                <w:szCs w:val="20"/>
                <w:color w:val="auto"/>
              </w:rPr>
              <w:t>101.PRE</w:t>
            </w:r>
          </w:p>
        </w:tc>
        <w:tc>
          <w:tcPr>
            <w:tcW w:w="10280" w:type="dxa"/>
            <w:vAlign w:val="bottom"/>
          </w:tcPr>
          <w:p>
            <w:pPr>
              <w:ind w:left="200"/>
              <w:spacing w:after="0"/>
              <w:rPr>
                <w:sz w:val="20"/>
                <w:szCs w:val="20"/>
                <w:color w:val="auto"/>
              </w:rPr>
            </w:pPr>
            <w:r>
              <w:rPr>
                <w:rFonts w:ascii="Arial" w:cs="Arial" w:eastAsia="Arial" w:hAnsi="Arial"/>
                <w:sz w:val="20"/>
                <w:szCs w:val="20"/>
                <w:color w:val="auto"/>
              </w:rPr>
              <w:t>Inline XBRL Taxonomy Extension Presentation Linkbase Document</w:t>
            </w:r>
          </w:p>
        </w:tc>
      </w:tr>
      <w:tr>
        <w:trPr>
          <w:trHeight w:val="351"/>
        </w:trPr>
        <w:tc>
          <w:tcPr>
            <w:tcW w:w="960" w:type="dxa"/>
            <w:vAlign w:val="bottom"/>
          </w:tcPr>
          <w:p>
            <w:pPr>
              <w:spacing w:after="0"/>
              <w:rPr>
                <w:sz w:val="20"/>
                <w:szCs w:val="20"/>
                <w:color w:val="auto"/>
              </w:rPr>
            </w:pPr>
            <w:r>
              <w:rPr>
                <w:rFonts w:ascii="Arial" w:cs="Arial" w:eastAsia="Arial" w:hAnsi="Arial"/>
                <w:sz w:val="20"/>
                <w:szCs w:val="20"/>
                <w:color w:val="auto"/>
              </w:rPr>
              <w:t>101.DEF</w:t>
            </w:r>
          </w:p>
        </w:tc>
        <w:tc>
          <w:tcPr>
            <w:tcW w:w="10280" w:type="dxa"/>
            <w:vAlign w:val="bottom"/>
          </w:tcPr>
          <w:p>
            <w:pPr>
              <w:ind w:left="200"/>
              <w:spacing w:after="0"/>
              <w:rPr>
                <w:sz w:val="20"/>
                <w:szCs w:val="20"/>
                <w:color w:val="auto"/>
              </w:rPr>
            </w:pPr>
            <w:r>
              <w:rPr>
                <w:rFonts w:ascii="Arial" w:cs="Arial" w:eastAsia="Arial" w:hAnsi="Arial"/>
                <w:sz w:val="20"/>
                <w:szCs w:val="20"/>
                <w:color w:val="auto"/>
              </w:rPr>
              <w:t>Inline XBRL Taxonomy Extension Definition Linkbase</w:t>
            </w:r>
          </w:p>
        </w:tc>
      </w:tr>
    </w:tbl>
    <w:p>
      <w:pPr>
        <w:spacing w:after="0" w:line="101" w:lineRule="exact"/>
        <w:rPr>
          <w:sz w:val="20"/>
          <w:szCs w:val="20"/>
          <w:color w:val="auto"/>
        </w:rPr>
      </w:pPr>
    </w:p>
    <w:p>
      <w:pPr>
        <w:ind w:left="1160" w:hanging="1152"/>
        <w:spacing w:after="0"/>
        <w:tabs>
          <w:tab w:leader="none" w:pos="1160" w:val="left"/>
        </w:tabs>
        <w:numPr>
          <w:ilvl w:val="0"/>
          <w:numId w:val="18"/>
        </w:numPr>
        <w:rPr>
          <w:rFonts w:ascii="Arial" w:cs="Arial" w:eastAsia="Arial" w:hAnsi="Arial"/>
          <w:sz w:val="20"/>
          <w:szCs w:val="20"/>
          <w:color w:val="auto"/>
        </w:rPr>
      </w:pPr>
      <w:r>
        <w:rPr>
          <w:rFonts w:ascii="Arial" w:cs="Arial" w:eastAsia="Arial" w:hAnsi="Arial"/>
          <w:sz w:val="20"/>
          <w:szCs w:val="20"/>
          <w:color w:val="auto"/>
        </w:rPr>
        <w:t>Cover Page Interactive Data File (formatted as inline XBRL and contained in Exhibit 101)</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333" w:lineRule="exact"/>
        <w:rPr>
          <w:rFonts w:ascii="Arial" w:cs="Arial" w:eastAsia="Arial" w:hAnsi="Arial"/>
          <w:sz w:val="20"/>
          <w:szCs w:val="20"/>
          <w:color w:val="auto"/>
        </w:rPr>
      </w:pPr>
    </w:p>
    <w:p>
      <w:pPr>
        <w:ind w:left="5080"/>
        <w:spacing w:after="0"/>
        <w:rPr>
          <w:rFonts w:ascii="Arial" w:cs="Arial" w:eastAsia="Arial" w:hAnsi="Arial"/>
          <w:sz w:val="20"/>
          <w:szCs w:val="20"/>
          <w:color w:val="auto"/>
        </w:rPr>
      </w:pPr>
      <w:r>
        <w:rPr>
          <w:rFonts w:ascii="Arial" w:cs="Arial" w:eastAsia="Arial" w:hAnsi="Arial"/>
          <w:sz w:val="20"/>
          <w:szCs w:val="20"/>
          <w:color w:val="auto"/>
        </w:rPr>
        <w:t>Page 51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1" w:name="page52"/>
    <w:bookmarkEnd w:id="51"/>
    <w:p>
      <w:pPr>
        <w:jc w:val="center"/>
        <w:spacing w:after="0"/>
        <w:rPr>
          <w:sz w:val="20"/>
          <w:szCs w:val="20"/>
          <w:color w:val="auto"/>
        </w:rPr>
      </w:pPr>
      <w:r>
        <w:rPr>
          <w:rFonts w:ascii="Arial" w:cs="Arial" w:eastAsia="Arial" w:hAnsi="Arial"/>
          <w:sz w:val="20"/>
          <w:szCs w:val="20"/>
          <w:color w:val="auto"/>
        </w:rPr>
        <w:t>SIGNATURES</w:t>
      </w:r>
    </w:p>
    <w:p>
      <w:pPr>
        <w:spacing w:after="0" w:line="216"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thereunto duly authorized.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2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4140" w:type="dxa"/>
            <w:vAlign w:val="bottom"/>
          </w:tcPr>
          <w:p>
            <w:pPr>
              <w:spacing w:after="0"/>
              <w:rPr>
                <w:sz w:val="20"/>
                <w:szCs w:val="20"/>
                <w:color w:val="auto"/>
              </w:rPr>
            </w:pPr>
            <w:r>
              <w:rPr>
                <w:rFonts w:ascii="Arial" w:cs="Arial" w:eastAsia="Arial" w:hAnsi="Arial"/>
                <w:sz w:val="20"/>
                <w:szCs w:val="20"/>
                <w:color w:val="auto"/>
              </w:rPr>
              <w:t>MARTIN MARIETTA MATERIALS, INC.</w:t>
            </w:r>
          </w:p>
        </w:tc>
      </w:tr>
      <w:tr>
        <w:trPr>
          <w:trHeight w:val="250"/>
        </w:trPr>
        <w:tc>
          <w:tcPr>
            <w:tcW w:w="332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4140" w:type="dxa"/>
            <w:vAlign w:val="bottom"/>
          </w:tcPr>
          <w:p>
            <w:pPr>
              <w:jc w:val="center"/>
              <w:ind w:right="1901"/>
              <w:spacing w:after="0"/>
              <w:rPr>
                <w:sz w:val="20"/>
                <w:szCs w:val="20"/>
                <w:color w:val="auto"/>
              </w:rPr>
            </w:pPr>
            <w:r>
              <w:rPr>
                <w:rFonts w:ascii="Arial" w:cs="Arial" w:eastAsia="Arial" w:hAnsi="Arial"/>
                <w:sz w:val="20"/>
                <w:szCs w:val="20"/>
                <w:color w:val="auto"/>
                <w:w w:val="89"/>
              </w:rPr>
              <w:t>(Registrant)</w:t>
            </w:r>
          </w:p>
        </w:tc>
      </w:tr>
      <w:tr>
        <w:trPr>
          <w:trHeight w:val="455"/>
        </w:trPr>
        <w:tc>
          <w:tcPr>
            <w:tcW w:w="3320" w:type="dxa"/>
            <w:vAlign w:val="bottom"/>
          </w:tcPr>
          <w:p>
            <w:pPr>
              <w:spacing w:after="0"/>
              <w:rPr>
                <w:sz w:val="20"/>
                <w:szCs w:val="20"/>
                <w:color w:val="auto"/>
              </w:rPr>
            </w:pPr>
            <w:r>
              <w:rPr>
                <w:rFonts w:ascii="Arial" w:cs="Arial" w:eastAsia="Arial" w:hAnsi="Arial"/>
                <w:sz w:val="20"/>
                <w:szCs w:val="20"/>
                <w:color w:val="auto"/>
              </w:rPr>
              <w:t>Date: July 28, 2020</w:t>
            </w:r>
          </w:p>
        </w:tc>
        <w:tc>
          <w:tcPr>
            <w:tcW w:w="7920" w:type="dxa"/>
            <w:vAlign w:val="bottom"/>
            <w:gridSpan w:val="2"/>
          </w:tcPr>
          <w:p>
            <w:pPr>
              <w:ind w:left="3380"/>
              <w:spacing w:after="0"/>
              <w:rPr>
                <w:sz w:val="20"/>
                <w:szCs w:val="20"/>
                <w:color w:val="auto"/>
              </w:rPr>
            </w:pPr>
            <w:r>
              <w:rPr>
                <w:rFonts w:ascii="Arial" w:cs="Arial" w:eastAsia="Arial" w:hAnsi="Arial"/>
                <w:sz w:val="20"/>
                <w:szCs w:val="20"/>
                <w:color w:val="auto"/>
              </w:rPr>
              <w:t>By: /s/ James A. J. Nickolas</w:t>
            </w:r>
          </w:p>
        </w:tc>
      </w:tr>
      <w:tr>
        <w:trPr>
          <w:trHeight w:val="206"/>
        </w:trPr>
        <w:tc>
          <w:tcPr>
            <w:tcW w:w="332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4140" w:type="dxa"/>
            <w:vAlign w:val="bottom"/>
            <w:tcBorders>
              <w:top w:val="single" w:sz="8" w:color="auto"/>
            </w:tcBorders>
          </w:tcPr>
          <w:p>
            <w:pPr>
              <w:spacing w:after="0" w:line="207" w:lineRule="exact"/>
              <w:rPr>
                <w:sz w:val="20"/>
                <w:szCs w:val="20"/>
                <w:color w:val="auto"/>
              </w:rPr>
            </w:pPr>
            <w:r>
              <w:rPr>
                <w:rFonts w:ascii="Arial" w:cs="Arial" w:eastAsia="Arial" w:hAnsi="Arial"/>
                <w:sz w:val="20"/>
                <w:szCs w:val="20"/>
                <w:color w:val="auto"/>
              </w:rPr>
              <w:t>James A. J. Nickolas</w:t>
            </w:r>
          </w:p>
        </w:tc>
      </w:tr>
      <w:tr>
        <w:trPr>
          <w:trHeight w:val="230"/>
        </w:trPr>
        <w:tc>
          <w:tcPr>
            <w:tcW w:w="332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4140" w:type="dxa"/>
            <w:vAlign w:val="bottom"/>
          </w:tcPr>
          <w:p>
            <w:pPr>
              <w:spacing w:after="0"/>
              <w:rPr>
                <w:sz w:val="20"/>
                <w:szCs w:val="20"/>
                <w:color w:val="auto"/>
              </w:rPr>
            </w:pPr>
            <w:r>
              <w:rPr>
                <w:rFonts w:ascii="Arial" w:cs="Arial" w:eastAsia="Arial" w:hAnsi="Arial"/>
                <w:sz w:val="20"/>
                <w:szCs w:val="20"/>
                <w:color w:val="auto"/>
              </w:rPr>
              <w:t>Sr. Vice President and</w:t>
            </w:r>
          </w:p>
        </w:tc>
      </w:tr>
      <w:tr>
        <w:trPr>
          <w:trHeight w:val="250"/>
        </w:trPr>
        <w:tc>
          <w:tcPr>
            <w:tcW w:w="332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4140" w:type="dxa"/>
            <w:vAlign w:val="bottom"/>
          </w:tcPr>
          <w:p>
            <w:pPr>
              <w:jc w:val="center"/>
              <w:ind w:right="1881"/>
              <w:spacing w:after="0"/>
              <w:rPr>
                <w:sz w:val="20"/>
                <w:szCs w:val="20"/>
                <w:color w:val="auto"/>
              </w:rPr>
            </w:pPr>
            <w:r>
              <w:rPr>
                <w:rFonts w:ascii="Arial" w:cs="Arial" w:eastAsia="Arial" w:hAnsi="Arial"/>
                <w:sz w:val="20"/>
                <w:szCs w:val="20"/>
                <w:color w:val="auto"/>
                <w:w w:val="93"/>
              </w:rPr>
              <w:t>Chief Financial Officer</w:t>
            </w:r>
          </w:p>
        </w:tc>
      </w:tr>
      <w:tr>
        <w:trPr>
          <w:trHeight w:val="905"/>
        </w:trPr>
        <w:tc>
          <w:tcPr>
            <w:tcW w:w="3320" w:type="dxa"/>
            <w:vAlign w:val="bottom"/>
          </w:tcPr>
          <w:p>
            <w:pPr>
              <w:spacing w:after="0"/>
              <w:rPr>
                <w:sz w:val="24"/>
                <w:szCs w:val="24"/>
                <w:color w:val="auto"/>
              </w:rPr>
            </w:pPr>
          </w:p>
        </w:tc>
        <w:tc>
          <w:tcPr>
            <w:tcW w:w="7920" w:type="dxa"/>
            <w:vAlign w:val="bottom"/>
            <w:gridSpan w:val="2"/>
          </w:tcPr>
          <w:p>
            <w:pPr>
              <w:ind w:left="1760"/>
              <w:spacing w:after="0"/>
              <w:rPr>
                <w:sz w:val="20"/>
                <w:szCs w:val="20"/>
                <w:color w:val="auto"/>
              </w:rPr>
            </w:pPr>
            <w:r>
              <w:rPr>
                <w:rFonts w:ascii="Arial" w:cs="Arial" w:eastAsia="Arial" w:hAnsi="Arial"/>
                <w:sz w:val="20"/>
                <w:szCs w:val="20"/>
                <w:color w:val="auto"/>
              </w:rPr>
              <w:t>Page 52 of 52</w:t>
            </w:r>
          </w:p>
        </w:tc>
      </w:tr>
    </w:tbl>
    <w:p>
      <w:pPr>
        <w:sectPr>
          <w:pgSz w:w="11900" w:h="16838" w:orient="portrait"/>
          <w:cols w:equalWidth="0" w:num="1">
            <w:col w:w="11240"/>
          </w:cols>
          <w:pgMar w:left="320" w:top="352"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20"/>
          <w:szCs w:val="20"/>
          <w:b w:val="1"/>
          <w:bCs w:val="1"/>
          <w:color w:val="auto"/>
        </w:rPr>
        <w:t>EXHIBIT 31.01</w:t>
      </w:r>
    </w:p>
    <w:p>
      <w:pPr>
        <w:spacing w:after="0" w:line="200" w:lineRule="exact"/>
        <w:rPr>
          <w:sz w:val="20"/>
          <w:szCs w:val="20"/>
          <w:color w:val="auto"/>
        </w:rPr>
      </w:pPr>
    </w:p>
    <w:p>
      <w:pPr>
        <w:spacing w:after="0" w:line="286" w:lineRule="exact"/>
        <w:rPr>
          <w:sz w:val="20"/>
          <w:szCs w:val="20"/>
          <w:color w:val="auto"/>
        </w:rPr>
      </w:pPr>
    </w:p>
    <w:p>
      <w:pPr>
        <w:jc w:val="center"/>
        <w:spacing w:after="0" w:line="267" w:lineRule="auto"/>
        <w:rPr>
          <w:sz w:val="20"/>
          <w:szCs w:val="20"/>
          <w:color w:val="auto"/>
        </w:rPr>
      </w:pPr>
      <w:r>
        <w:rPr>
          <w:rFonts w:ascii="Arial" w:cs="Arial" w:eastAsia="Arial" w:hAnsi="Arial"/>
          <w:sz w:val="20"/>
          <w:szCs w:val="20"/>
          <w:b w:val="1"/>
          <w:bCs w:val="1"/>
          <w:color w:val="auto"/>
        </w:rPr>
        <w:t>CERTIFICATION PURSUANT TO SECURITIES AND EXCHANGE ACT OF 1934 RULE 13a-14 AS ADOPTED PURSUANT TO SECTION 302 OF SARBANES-OXLEY ACT OF 2002</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color w:val="auto"/>
        </w:rPr>
        <w:t>I, C. Howard Nye, certify that:</w:t>
      </w:r>
    </w:p>
    <w:p>
      <w:pPr>
        <w:spacing w:after="0" w:line="229" w:lineRule="exact"/>
        <w:rPr>
          <w:sz w:val="20"/>
          <w:szCs w:val="20"/>
          <w:color w:val="auto"/>
        </w:rPr>
      </w:pPr>
    </w:p>
    <w:p>
      <w:pPr>
        <w:ind w:left="1300" w:hanging="442"/>
        <w:spacing w:after="0"/>
        <w:tabs>
          <w:tab w:leader="none" w:pos="1300" w:val="left"/>
        </w:tabs>
        <w:numPr>
          <w:ilvl w:val="0"/>
          <w:numId w:val="19"/>
        </w:numPr>
        <w:rPr>
          <w:rFonts w:ascii="Arial" w:cs="Arial" w:eastAsia="Arial" w:hAnsi="Arial"/>
          <w:sz w:val="20"/>
          <w:szCs w:val="20"/>
          <w:color w:val="auto"/>
        </w:rPr>
      </w:pPr>
      <w:r>
        <w:rPr>
          <w:rFonts w:ascii="Arial" w:cs="Arial" w:eastAsia="Arial" w:hAnsi="Arial"/>
          <w:sz w:val="20"/>
          <w:szCs w:val="20"/>
          <w:color w:val="auto"/>
        </w:rPr>
        <w:t>I have reviewed this Form 10-Q of Martin Marietta Materials, Inc.;</w:t>
      </w:r>
    </w:p>
    <w:p>
      <w:pPr>
        <w:spacing w:after="0" w:line="229" w:lineRule="exact"/>
        <w:rPr>
          <w:rFonts w:ascii="Arial" w:cs="Arial" w:eastAsia="Arial" w:hAnsi="Arial"/>
          <w:sz w:val="20"/>
          <w:szCs w:val="20"/>
          <w:color w:val="auto"/>
        </w:rPr>
      </w:pPr>
    </w:p>
    <w:p>
      <w:pPr>
        <w:jc w:val="both"/>
        <w:ind w:left="1300" w:hanging="442"/>
        <w:spacing w:after="0" w:line="250" w:lineRule="auto"/>
        <w:tabs>
          <w:tab w:leader="none" w:pos="1300" w:val="left"/>
        </w:tabs>
        <w:numPr>
          <w:ilvl w:val="0"/>
          <w:numId w:val="19"/>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9" w:lineRule="exact"/>
        <w:rPr>
          <w:rFonts w:ascii="Arial" w:cs="Arial" w:eastAsia="Arial" w:hAnsi="Arial"/>
          <w:sz w:val="20"/>
          <w:szCs w:val="20"/>
          <w:color w:val="auto"/>
        </w:rPr>
      </w:pPr>
    </w:p>
    <w:p>
      <w:pPr>
        <w:jc w:val="both"/>
        <w:ind w:left="1300" w:hanging="442"/>
        <w:spacing w:after="0" w:line="250" w:lineRule="auto"/>
        <w:tabs>
          <w:tab w:leader="none" w:pos="1300" w:val="left"/>
        </w:tabs>
        <w:numPr>
          <w:ilvl w:val="0"/>
          <w:numId w:val="19"/>
        </w:numPr>
        <w:rPr>
          <w:rFonts w:ascii="Arial" w:cs="Arial" w:eastAsia="Arial" w:hAnsi="Arial"/>
          <w:sz w:val="20"/>
          <w:szCs w:val="20"/>
          <w:color w:val="auto"/>
        </w:rPr>
      </w:pPr>
      <w:r>
        <w:rPr>
          <w:rFonts w:ascii="Arial" w:cs="Arial" w:eastAsia="Arial" w:hAnsi="Arial"/>
          <w:sz w:val="20"/>
          <w:szCs w:val="20"/>
          <w:color w:val="auto"/>
        </w:rPr>
        <w:t>Based on my knowledge, the consolidated financial statements, and other financial information included in this report, fairly present in all material respects the consolidated financial condition, results of operations and cash flows of the registrant as of, and for, the periods presented in this report;</w:t>
      </w:r>
    </w:p>
    <w:p>
      <w:pPr>
        <w:spacing w:after="0" w:line="199" w:lineRule="exact"/>
        <w:rPr>
          <w:rFonts w:ascii="Arial" w:cs="Arial" w:eastAsia="Arial" w:hAnsi="Arial"/>
          <w:sz w:val="20"/>
          <w:szCs w:val="20"/>
          <w:color w:val="auto"/>
        </w:rPr>
      </w:pPr>
    </w:p>
    <w:p>
      <w:pPr>
        <w:jc w:val="both"/>
        <w:ind w:left="1300" w:right="20" w:hanging="442"/>
        <w:spacing w:after="0" w:line="250" w:lineRule="auto"/>
        <w:tabs>
          <w:tab w:leader="none" w:pos="1300" w:val="left"/>
        </w:tabs>
        <w:numPr>
          <w:ilvl w:val="0"/>
          <w:numId w:val="19"/>
        </w:numPr>
        <w:rPr>
          <w:rFonts w:ascii="Arial" w:cs="Arial" w:eastAsia="Arial" w:hAnsi="Arial"/>
          <w:sz w:val="20"/>
          <w:szCs w:val="20"/>
          <w:color w:val="auto"/>
        </w:rPr>
      </w:pPr>
      <w:r>
        <w:rPr>
          <w:rFonts w:ascii="Arial" w:cs="Arial" w:eastAsia="Arial" w:hAnsi="Arial"/>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9" w:lineRule="exact"/>
        <w:rPr>
          <w:rFonts w:ascii="Arial" w:cs="Arial" w:eastAsia="Arial" w:hAnsi="Arial"/>
          <w:sz w:val="20"/>
          <w:szCs w:val="20"/>
          <w:color w:val="auto"/>
        </w:rPr>
      </w:pPr>
    </w:p>
    <w:p>
      <w:pPr>
        <w:jc w:val="both"/>
        <w:ind w:left="2160" w:hanging="438"/>
        <w:spacing w:after="0" w:line="246" w:lineRule="auto"/>
        <w:tabs>
          <w:tab w:leader="none" w:pos="2160" w:val="left"/>
        </w:tabs>
        <w:numPr>
          <w:ilvl w:val="1"/>
          <w:numId w:val="19"/>
        </w:numPr>
        <w:rPr>
          <w:rFonts w:ascii="Arial" w:cs="Arial" w:eastAsia="Arial" w:hAnsi="Arial"/>
          <w:sz w:val="20"/>
          <w:szCs w:val="20"/>
          <w:color w:val="auto"/>
        </w:rPr>
      </w:pPr>
      <w:r>
        <w:rPr>
          <w:rFonts w:ascii="Arial" w:cs="Arial" w:eastAsia="Arial" w:hAnsi="Arial"/>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4" w:lineRule="exact"/>
        <w:rPr>
          <w:rFonts w:ascii="Arial" w:cs="Arial" w:eastAsia="Arial" w:hAnsi="Arial"/>
          <w:sz w:val="20"/>
          <w:szCs w:val="20"/>
          <w:color w:val="auto"/>
        </w:rPr>
      </w:pPr>
    </w:p>
    <w:p>
      <w:pPr>
        <w:jc w:val="both"/>
        <w:ind w:left="2160" w:hanging="438"/>
        <w:spacing w:after="0" w:line="246" w:lineRule="auto"/>
        <w:tabs>
          <w:tab w:leader="none" w:pos="2160" w:val="left"/>
        </w:tabs>
        <w:numPr>
          <w:ilvl w:val="1"/>
          <w:numId w:val="19"/>
        </w:numPr>
        <w:rPr>
          <w:rFonts w:ascii="Arial" w:cs="Arial" w:eastAsia="Arial" w:hAnsi="Arial"/>
          <w:sz w:val="20"/>
          <w:szCs w:val="20"/>
          <w:color w:val="auto"/>
        </w:rPr>
      </w:pPr>
      <w:r>
        <w:rPr>
          <w:rFonts w:ascii="Arial" w:cs="Arial" w:eastAsia="Arial" w:hAnsi="Arial"/>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consolidated financial statements for external purposes in accordance with generally accepted accounting principles;</w:t>
      </w:r>
    </w:p>
    <w:p>
      <w:pPr>
        <w:spacing w:after="0" w:line="204" w:lineRule="exact"/>
        <w:rPr>
          <w:rFonts w:ascii="Arial" w:cs="Arial" w:eastAsia="Arial" w:hAnsi="Arial"/>
          <w:sz w:val="20"/>
          <w:szCs w:val="20"/>
          <w:color w:val="auto"/>
        </w:rPr>
      </w:pPr>
    </w:p>
    <w:p>
      <w:pPr>
        <w:jc w:val="both"/>
        <w:ind w:left="2160" w:hanging="438"/>
        <w:spacing w:after="0" w:line="250" w:lineRule="auto"/>
        <w:tabs>
          <w:tab w:leader="none" w:pos="2160" w:val="left"/>
        </w:tabs>
        <w:numPr>
          <w:ilvl w:val="1"/>
          <w:numId w:val="19"/>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9" w:lineRule="exact"/>
        <w:rPr>
          <w:rFonts w:ascii="Arial" w:cs="Arial" w:eastAsia="Arial" w:hAnsi="Arial"/>
          <w:sz w:val="20"/>
          <w:szCs w:val="20"/>
          <w:color w:val="auto"/>
        </w:rPr>
      </w:pPr>
    </w:p>
    <w:p>
      <w:pPr>
        <w:jc w:val="both"/>
        <w:ind w:left="2160" w:hanging="438"/>
        <w:spacing w:after="0" w:line="246" w:lineRule="auto"/>
        <w:tabs>
          <w:tab w:leader="none" w:pos="2160" w:val="left"/>
        </w:tabs>
        <w:numPr>
          <w:ilvl w:val="1"/>
          <w:numId w:val="19"/>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483235</wp:posOffset>
            </wp:positionV>
            <wp:extent cx="714946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53" w:name="page54"/>
    <w:bookmarkEnd w:id="53"/>
    <w:p>
      <w:pPr>
        <w:spacing w:after="0" w:line="47" w:lineRule="exact"/>
        <w:rPr>
          <w:sz w:val="20"/>
          <w:szCs w:val="20"/>
          <w:color w:val="auto"/>
        </w:rPr>
      </w:pPr>
    </w:p>
    <w:p>
      <w:pPr>
        <w:jc w:val="both"/>
        <w:ind w:left="1300" w:hanging="442"/>
        <w:spacing w:after="0" w:line="250" w:lineRule="auto"/>
        <w:tabs>
          <w:tab w:leader="none" w:pos="1300" w:val="left"/>
        </w:tabs>
        <w:numPr>
          <w:ilvl w:val="0"/>
          <w:numId w:val="20"/>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9" w:lineRule="exact"/>
        <w:rPr>
          <w:rFonts w:ascii="Arial" w:cs="Arial" w:eastAsia="Arial" w:hAnsi="Arial"/>
          <w:sz w:val="20"/>
          <w:szCs w:val="20"/>
          <w:color w:val="auto"/>
        </w:rPr>
      </w:pPr>
    </w:p>
    <w:p>
      <w:pPr>
        <w:jc w:val="both"/>
        <w:ind w:left="2160" w:hanging="438"/>
        <w:spacing w:after="0" w:line="250" w:lineRule="auto"/>
        <w:tabs>
          <w:tab w:leader="none" w:pos="2160" w:val="left"/>
        </w:tabs>
        <w:numPr>
          <w:ilvl w:val="1"/>
          <w:numId w:val="20"/>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9" w:lineRule="exact"/>
        <w:rPr>
          <w:rFonts w:ascii="Arial" w:cs="Arial" w:eastAsia="Arial" w:hAnsi="Arial"/>
          <w:sz w:val="20"/>
          <w:szCs w:val="20"/>
          <w:color w:val="auto"/>
        </w:rPr>
      </w:pPr>
    </w:p>
    <w:p>
      <w:pPr>
        <w:ind w:left="2160" w:hanging="438"/>
        <w:spacing w:after="0" w:line="260" w:lineRule="auto"/>
        <w:tabs>
          <w:tab w:leader="none" w:pos="2160" w:val="left"/>
        </w:tabs>
        <w:numPr>
          <w:ilvl w:val="1"/>
          <w:numId w:val="20"/>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180" w:type="dxa"/>
            <w:vAlign w:val="bottom"/>
          </w:tcPr>
          <w:p>
            <w:pPr>
              <w:spacing w:after="0"/>
              <w:rPr>
                <w:sz w:val="20"/>
                <w:szCs w:val="20"/>
                <w:color w:val="auto"/>
              </w:rPr>
            </w:pPr>
            <w:r>
              <w:rPr>
                <w:rFonts w:ascii="Arial" w:cs="Arial" w:eastAsia="Arial" w:hAnsi="Arial"/>
                <w:sz w:val="20"/>
                <w:szCs w:val="20"/>
                <w:color w:val="auto"/>
              </w:rPr>
              <w:t>Date: July 28, 2020</w:t>
            </w:r>
          </w:p>
        </w:tc>
        <w:tc>
          <w:tcPr>
            <w:tcW w:w="7060" w:type="dxa"/>
            <w:vAlign w:val="bottom"/>
            <w:gridSpan w:val="2"/>
          </w:tcPr>
          <w:p>
            <w:pPr>
              <w:ind w:left="2580"/>
              <w:spacing w:after="0"/>
              <w:rPr>
                <w:sz w:val="20"/>
                <w:szCs w:val="20"/>
                <w:color w:val="auto"/>
              </w:rPr>
            </w:pPr>
            <w:r>
              <w:rPr>
                <w:rFonts w:ascii="Arial" w:cs="Arial" w:eastAsia="Arial" w:hAnsi="Arial"/>
                <w:sz w:val="20"/>
                <w:szCs w:val="20"/>
                <w:color w:val="auto"/>
              </w:rPr>
              <w:t>By:  /s/ C. Howard Nye</w:t>
            </w:r>
          </w:p>
        </w:tc>
      </w:tr>
      <w:tr>
        <w:trPr>
          <w:trHeight w:val="206"/>
        </w:trPr>
        <w:tc>
          <w:tcPr>
            <w:tcW w:w="41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4040" w:type="dxa"/>
            <w:vAlign w:val="bottom"/>
            <w:tcBorders>
              <w:top w:val="single" w:sz="8" w:color="auto"/>
            </w:tcBorders>
          </w:tcPr>
          <w:p>
            <w:pPr>
              <w:spacing w:after="0" w:line="207" w:lineRule="exact"/>
              <w:rPr>
                <w:sz w:val="20"/>
                <w:szCs w:val="20"/>
                <w:color w:val="auto"/>
              </w:rPr>
            </w:pPr>
            <w:r>
              <w:rPr>
                <w:rFonts w:ascii="Arial" w:cs="Arial" w:eastAsia="Arial" w:hAnsi="Arial"/>
                <w:sz w:val="20"/>
                <w:szCs w:val="20"/>
                <w:color w:val="auto"/>
              </w:rPr>
              <w:t>C. Howard Nye</w:t>
            </w:r>
          </w:p>
        </w:tc>
      </w:tr>
      <w:tr>
        <w:trPr>
          <w:trHeight w:val="230"/>
        </w:trPr>
        <w:tc>
          <w:tcPr>
            <w:tcW w:w="418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4040" w:type="dxa"/>
            <w:vAlign w:val="bottom"/>
          </w:tcPr>
          <w:p>
            <w:pPr>
              <w:spacing w:after="0"/>
              <w:rPr>
                <w:sz w:val="20"/>
                <w:szCs w:val="20"/>
                <w:color w:val="auto"/>
              </w:rPr>
            </w:pPr>
            <w:r>
              <w:rPr>
                <w:rFonts w:ascii="Arial" w:cs="Arial" w:eastAsia="Arial" w:hAnsi="Arial"/>
                <w:sz w:val="20"/>
                <w:szCs w:val="20"/>
                <w:color w:val="auto"/>
              </w:rPr>
              <w:t>Chairman, President and</w:t>
            </w:r>
          </w:p>
        </w:tc>
      </w:tr>
      <w:tr>
        <w:trPr>
          <w:trHeight w:val="250"/>
        </w:trPr>
        <w:tc>
          <w:tcPr>
            <w:tcW w:w="4180" w:type="dxa"/>
            <w:vAlign w:val="bottom"/>
          </w:tcPr>
          <w:p>
            <w:pPr>
              <w:spacing w:after="0"/>
              <w:rPr>
                <w:sz w:val="21"/>
                <w:szCs w:val="21"/>
                <w:color w:val="auto"/>
              </w:rPr>
            </w:pPr>
          </w:p>
        </w:tc>
        <w:tc>
          <w:tcPr>
            <w:tcW w:w="3020" w:type="dxa"/>
            <w:vAlign w:val="bottom"/>
          </w:tcPr>
          <w:p>
            <w:pPr>
              <w:spacing w:after="0"/>
              <w:rPr>
                <w:sz w:val="21"/>
                <w:szCs w:val="21"/>
                <w:color w:val="auto"/>
              </w:rPr>
            </w:pPr>
          </w:p>
        </w:tc>
        <w:tc>
          <w:tcPr>
            <w:tcW w:w="4040" w:type="dxa"/>
            <w:vAlign w:val="bottom"/>
          </w:tcPr>
          <w:p>
            <w:pPr>
              <w:ind w:left="160"/>
              <w:spacing w:after="0"/>
              <w:rPr>
                <w:sz w:val="20"/>
                <w:szCs w:val="20"/>
                <w:color w:val="auto"/>
              </w:rPr>
            </w:pPr>
            <w:r>
              <w:rPr>
                <w:rFonts w:ascii="Arial" w:cs="Arial" w:eastAsia="Arial" w:hAnsi="Arial"/>
                <w:sz w:val="20"/>
                <w:szCs w:val="20"/>
                <w:color w:val="auto"/>
              </w:rPr>
              <w:t>Chief Executive Officer</w:t>
            </w:r>
          </w:p>
        </w:tc>
      </w:tr>
    </w:tbl>
    <w:p>
      <w:pPr>
        <w:sectPr>
          <w:pgSz w:w="11900" w:h="16838" w:orient="portrait"/>
          <w:cols w:equalWidth="0" w:num="1">
            <w:col w:w="11240"/>
          </w:cols>
          <w:pgMar w:left="320" w:top="1440" w:right="339" w:bottom="1440" w:gutter="0" w:footer="0" w:header="0"/>
        </w:sectPr>
      </w:pPr>
    </w:p>
    <w:bookmarkStart w:id="54" w:name="page55"/>
    <w:bookmarkEnd w:id="54"/>
    <w:p>
      <w:pPr>
        <w:jc w:val="right"/>
        <w:spacing w:after="0"/>
        <w:rPr>
          <w:sz w:val="20"/>
          <w:szCs w:val="20"/>
          <w:color w:val="auto"/>
        </w:rPr>
      </w:pPr>
      <w:r>
        <w:rPr>
          <w:rFonts w:ascii="Arial" w:cs="Arial" w:eastAsia="Arial" w:hAnsi="Arial"/>
          <w:sz w:val="20"/>
          <w:szCs w:val="20"/>
          <w:b w:val="1"/>
          <w:bCs w:val="1"/>
          <w:color w:val="auto"/>
        </w:rPr>
        <w:t>EXHIBIT 31.02</w:t>
      </w:r>
    </w:p>
    <w:p>
      <w:pPr>
        <w:spacing w:after="0" w:line="200" w:lineRule="exact"/>
        <w:rPr>
          <w:sz w:val="20"/>
          <w:szCs w:val="20"/>
          <w:color w:val="auto"/>
        </w:rPr>
      </w:pPr>
    </w:p>
    <w:p>
      <w:pPr>
        <w:spacing w:after="0" w:line="286" w:lineRule="exact"/>
        <w:rPr>
          <w:sz w:val="20"/>
          <w:szCs w:val="20"/>
          <w:color w:val="auto"/>
        </w:rPr>
      </w:pPr>
    </w:p>
    <w:p>
      <w:pPr>
        <w:jc w:val="center"/>
        <w:spacing w:after="0" w:line="267" w:lineRule="auto"/>
        <w:rPr>
          <w:sz w:val="20"/>
          <w:szCs w:val="20"/>
          <w:color w:val="auto"/>
        </w:rPr>
      </w:pPr>
      <w:r>
        <w:rPr>
          <w:rFonts w:ascii="Arial" w:cs="Arial" w:eastAsia="Arial" w:hAnsi="Arial"/>
          <w:sz w:val="20"/>
          <w:szCs w:val="20"/>
          <w:b w:val="1"/>
          <w:bCs w:val="1"/>
          <w:color w:val="auto"/>
        </w:rPr>
        <w:t>CERTIFICATION PURSUANT TO SECURITIES AND EXCHANGE ACT OF 1934 RULE 13a-14 AS ADOPTED PURSUANT TO SECTION 302 OF SARBANES-OXLEY ACT OF 2002</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color w:val="auto"/>
        </w:rPr>
        <w:t>I, James A. J. Nickolas, certify that:</w:t>
      </w:r>
    </w:p>
    <w:p>
      <w:pPr>
        <w:spacing w:after="0" w:line="229" w:lineRule="exact"/>
        <w:rPr>
          <w:sz w:val="20"/>
          <w:szCs w:val="20"/>
          <w:color w:val="auto"/>
        </w:rPr>
      </w:pPr>
    </w:p>
    <w:p>
      <w:pPr>
        <w:ind w:left="1300" w:hanging="442"/>
        <w:spacing w:after="0"/>
        <w:tabs>
          <w:tab w:leader="none" w:pos="1300" w:val="left"/>
        </w:tabs>
        <w:numPr>
          <w:ilvl w:val="0"/>
          <w:numId w:val="21"/>
        </w:numPr>
        <w:rPr>
          <w:rFonts w:ascii="Arial" w:cs="Arial" w:eastAsia="Arial" w:hAnsi="Arial"/>
          <w:sz w:val="20"/>
          <w:szCs w:val="20"/>
          <w:color w:val="auto"/>
        </w:rPr>
      </w:pPr>
      <w:r>
        <w:rPr>
          <w:rFonts w:ascii="Arial" w:cs="Arial" w:eastAsia="Arial" w:hAnsi="Arial"/>
          <w:sz w:val="20"/>
          <w:szCs w:val="20"/>
          <w:color w:val="auto"/>
        </w:rPr>
        <w:t>I have reviewed this Form 10-Q of Martin Marietta Materials, Inc.;</w:t>
      </w:r>
    </w:p>
    <w:p>
      <w:pPr>
        <w:spacing w:after="0" w:line="229" w:lineRule="exact"/>
        <w:rPr>
          <w:rFonts w:ascii="Arial" w:cs="Arial" w:eastAsia="Arial" w:hAnsi="Arial"/>
          <w:sz w:val="20"/>
          <w:szCs w:val="20"/>
          <w:color w:val="auto"/>
        </w:rPr>
      </w:pPr>
    </w:p>
    <w:p>
      <w:pPr>
        <w:jc w:val="both"/>
        <w:ind w:left="1300" w:hanging="442"/>
        <w:spacing w:after="0" w:line="250" w:lineRule="auto"/>
        <w:tabs>
          <w:tab w:leader="none" w:pos="1300" w:val="left"/>
        </w:tabs>
        <w:numPr>
          <w:ilvl w:val="0"/>
          <w:numId w:val="21"/>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9" w:lineRule="exact"/>
        <w:rPr>
          <w:rFonts w:ascii="Arial" w:cs="Arial" w:eastAsia="Arial" w:hAnsi="Arial"/>
          <w:sz w:val="20"/>
          <w:szCs w:val="20"/>
          <w:color w:val="auto"/>
        </w:rPr>
      </w:pPr>
    </w:p>
    <w:p>
      <w:pPr>
        <w:jc w:val="both"/>
        <w:ind w:left="1300" w:hanging="442"/>
        <w:spacing w:after="0" w:line="250" w:lineRule="auto"/>
        <w:tabs>
          <w:tab w:leader="none" w:pos="1300" w:val="left"/>
        </w:tabs>
        <w:numPr>
          <w:ilvl w:val="0"/>
          <w:numId w:val="21"/>
        </w:numPr>
        <w:rPr>
          <w:rFonts w:ascii="Arial" w:cs="Arial" w:eastAsia="Arial" w:hAnsi="Arial"/>
          <w:sz w:val="20"/>
          <w:szCs w:val="20"/>
          <w:color w:val="auto"/>
        </w:rPr>
      </w:pPr>
      <w:r>
        <w:rPr>
          <w:rFonts w:ascii="Arial" w:cs="Arial" w:eastAsia="Arial" w:hAnsi="Arial"/>
          <w:sz w:val="20"/>
          <w:szCs w:val="20"/>
          <w:color w:val="auto"/>
        </w:rPr>
        <w:t>Based on my knowledge, the consolidated financial statements, and other financial information included in this report, fairly present in all material respects the consolidated financial condition, results of operations and cash flows of the registrant as of, and for, the periods presented in this report;</w:t>
      </w:r>
    </w:p>
    <w:p>
      <w:pPr>
        <w:spacing w:after="0" w:line="199" w:lineRule="exact"/>
        <w:rPr>
          <w:rFonts w:ascii="Arial" w:cs="Arial" w:eastAsia="Arial" w:hAnsi="Arial"/>
          <w:sz w:val="20"/>
          <w:szCs w:val="20"/>
          <w:color w:val="auto"/>
        </w:rPr>
      </w:pPr>
    </w:p>
    <w:p>
      <w:pPr>
        <w:jc w:val="both"/>
        <w:ind w:left="1300" w:right="20" w:hanging="442"/>
        <w:spacing w:after="0" w:line="250" w:lineRule="auto"/>
        <w:tabs>
          <w:tab w:leader="none" w:pos="1300" w:val="left"/>
        </w:tabs>
        <w:numPr>
          <w:ilvl w:val="0"/>
          <w:numId w:val="21"/>
        </w:numPr>
        <w:rPr>
          <w:rFonts w:ascii="Arial" w:cs="Arial" w:eastAsia="Arial" w:hAnsi="Arial"/>
          <w:sz w:val="20"/>
          <w:szCs w:val="20"/>
          <w:color w:val="auto"/>
        </w:rPr>
      </w:pPr>
      <w:r>
        <w:rPr>
          <w:rFonts w:ascii="Arial" w:cs="Arial" w:eastAsia="Arial" w:hAnsi="Arial"/>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9" w:lineRule="exact"/>
        <w:rPr>
          <w:rFonts w:ascii="Arial" w:cs="Arial" w:eastAsia="Arial" w:hAnsi="Arial"/>
          <w:sz w:val="20"/>
          <w:szCs w:val="20"/>
          <w:color w:val="auto"/>
        </w:rPr>
      </w:pPr>
    </w:p>
    <w:p>
      <w:pPr>
        <w:jc w:val="both"/>
        <w:ind w:left="2160" w:hanging="438"/>
        <w:spacing w:after="0" w:line="246" w:lineRule="auto"/>
        <w:tabs>
          <w:tab w:leader="none" w:pos="2160" w:val="left"/>
        </w:tabs>
        <w:numPr>
          <w:ilvl w:val="1"/>
          <w:numId w:val="21"/>
        </w:numPr>
        <w:rPr>
          <w:rFonts w:ascii="Arial" w:cs="Arial" w:eastAsia="Arial" w:hAnsi="Arial"/>
          <w:sz w:val="20"/>
          <w:szCs w:val="20"/>
          <w:color w:val="auto"/>
        </w:rPr>
      </w:pPr>
      <w:r>
        <w:rPr>
          <w:rFonts w:ascii="Arial" w:cs="Arial" w:eastAsia="Arial" w:hAnsi="Arial"/>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4" w:lineRule="exact"/>
        <w:rPr>
          <w:rFonts w:ascii="Arial" w:cs="Arial" w:eastAsia="Arial" w:hAnsi="Arial"/>
          <w:sz w:val="20"/>
          <w:szCs w:val="20"/>
          <w:color w:val="auto"/>
        </w:rPr>
      </w:pPr>
    </w:p>
    <w:p>
      <w:pPr>
        <w:jc w:val="both"/>
        <w:ind w:left="2160" w:hanging="438"/>
        <w:spacing w:after="0" w:line="246" w:lineRule="auto"/>
        <w:tabs>
          <w:tab w:leader="none" w:pos="2160" w:val="left"/>
        </w:tabs>
        <w:numPr>
          <w:ilvl w:val="1"/>
          <w:numId w:val="21"/>
        </w:numPr>
        <w:rPr>
          <w:rFonts w:ascii="Arial" w:cs="Arial" w:eastAsia="Arial" w:hAnsi="Arial"/>
          <w:sz w:val="20"/>
          <w:szCs w:val="20"/>
          <w:color w:val="auto"/>
        </w:rPr>
      </w:pPr>
      <w:r>
        <w:rPr>
          <w:rFonts w:ascii="Arial" w:cs="Arial" w:eastAsia="Arial" w:hAnsi="Arial"/>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consolidated financial statements for external purposes in accordance with generally accepted accounting principles;</w:t>
      </w:r>
    </w:p>
    <w:p>
      <w:pPr>
        <w:spacing w:after="0" w:line="204" w:lineRule="exact"/>
        <w:rPr>
          <w:rFonts w:ascii="Arial" w:cs="Arial" w:eastAsia="Arial" w:hAnsi="Arial"/>
          <w:sz w:val="20"/>
          <w:szCs w:val="20"/>
          <w:color w:val="auto"/>
        </w:rPr>
      </w:pPr>
    </w:p>
    <w:p>
      <w:pPr>
        <w:jc w:val="both"/>
        <w:ind w:left="2160" w:hanging="438"/>
        <w:spacing w:after="0" w:line="250" w:lineRule="auto"/>
        <w:tabs>
          <w:tab w:leader="none" w:pos="2160" w:val="left"/>
        </w:tabs>
        <w:numPr>
          <w:ilvl w:val="1"/>
          <w:numId w:val="21"/>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9" w:lineRule="exact"/>
        <w:rPr>
          <w:rFonts w:ascii="Arial" w:cs="Arial" w:eastAsia="Arial" w:hAnsi="Arial"/>
          <w:sz w:val="20"/>
          <w:szCs w:val="20"/>
          <w:color w:val="auto"/>
        </w:rPr>
      </w:pPr>
    </w:p>
    <w:p>
      <w:pPr>
        <w:jc w:val="both"/>
        <w:ind w:left="2160" w:hanging="438"/>
        <w:spacing w:after="0" w:line="246" w:lineRule="auto"/>
        <w:tabs>
          <w:tab w:leader="none" w:pos="2160" w:val="left"/>
        </w:tabs>
        <w:numPr>
          <w:ilvl w:val="1"/>
          <w:numId w:val="21"/>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492125</wp:posOffset>
            </wp:positionV>
            <wp:extent cx="714946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55" w:name="page56"/>
    <w:bookmarkEnd w:id="55"/>
    <w:p>
      <w:pPr>
        <w:spacing w:after="0" w:line="47" w:lineRule="exact"/>
        <w:rPr>
          <w:sz w:val="20"/>
          <w:szCs w:val="20"/>
          <w:color w:val="auto"/>
        </w:rPr>
      </w:pPr>
    </w:p>
    <w:p>
      <w:pPr>
        <w:jc w:val="both"/>
        <w:ind w:left="1300" w:hanging="442"/>
        <w:spacing w:after="0" w:line="250" w:lineRule="auto"/>
        <w:tabs>
          <w:tab w:leader="none" w:pos="1300" w:val="left"/>
        </w:tabs>
        <w:numPr>
          <w:ilvl w:val="0"/>
          <w:numId w:val="22"/>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9" w:lineRule="exact"/>
        <w:rPr>
          <w:rFonts w:ascii="Arial" w:cs="Arial" w:eastAsia="Arial" w:hAnsi="Arial"/>
          <w:sz w:val="20"/>
          <w:szCs w:val="20"/>
          <w:color w:val="auto"/>
        </w:rPr>
      </w:pPr>
    </w:p>
    <w:p>
      <w:pPr>
        <w:jc w:val="both"/>
        <w:ind w:left="2160" w:hanging="438"/>
        <w:spacing w:after="0" w:line="250" w:lineRule="auto"/>
        <w:tabs>
          <w:tab w:leader="none" w:pos="2160" w:val="left"/>
        </w:tabs>
        <w:numPr>
          <w:ilvl w:val="1"/>
          <w:numId w:val="22"/>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99" w:lineRule="exact"/>
        <w:rPr>
          <w:rFonts w:ascii="Arial" w:cs="Arial" w:eastAsia="Arial" w:hAnsi="Arial"/>
          <w:sz w:val="20"/>
          <w:szCs w:val="20"/>
          <w:color w:val="auto"/>
        </w:rPr>
      </w:pPr>
    </w:p>
    <w:p>
      <w:pPr>
        <w:ind w:left="2160" w:hanging="438"/>
        <w:spacing w:after="0" w:line="260" w:lineRule="auto"/>
        <w:tabs>
          <w:tab w:leader="none" w:pos="2160" w:val="left"/>
        </w:tabs>
        <w:numPr>
          <w:ilvl w:val="1"/>
          <w:numId w:val="22"/>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140" w:type="dxa"/>
            <w:vAlign w:val="bottom"/>
          </w:tcPr>
          <w:p>
            <w:pPr>
              <w:spacing w:after="0"/>
              <w:rPr>
                <w:sz w:val="20"/>
                <w:szCs w:val="20"/>
                <w:color w:val="auto"/>
              </w:rPr>
            </w:pPr>
            <w:r>
              <w:rPr>
                <w:rFonts w:ascii="Arial" w:cs="Arial" w:eastAsia="Arial" w:hAnsi="Arial"/>
                <w:sz w:val="20"/>
                <w:szCs w:val="20"/>
                <w:color w:val="auto"/>
              </w:rPr>
              <w:t>Date: July 28, 2020</w:t>
            </w:r>
          </w:p>
        </w:tc>
        <w:tc>
          <w:tcPr>
            <w:tcW w:w="7100" w:type="dxa"/>
            <w:vAlign w:val="bottom"/>
            <w:gridSpan w:val="2"/>
          </w:tcPr>
          <w:p>
            <w:pPr>
              <w:ind w:left="2600"/>
              <w:spacing w:after="0"/>
              <w:rPr>
                <w:sz w:val="20"/>
                <w:szCs w:val="20"/>
                <w:color w:val="auto"/>
              </w:rPr>
            </w:pPr>
            <w:r>
              <w:rPr>
                <w:rFonts w:ascii="Arial" w:cs="Arial" w:eastAsia="Arial" w:hAnsi="Arial"/>
                <w:sz w:val="20"/>
                <w:szCs w:val="20"/>
                <w:color w:val="auto"/>
              </w:rPr>
              <w:t>By:  /s/ James A. J. Nickolas</w:t>
            </w:r>
          </w:p>
        </w:tc>
      </w:tr>
      <w:tr>
        <w:trPr>
          <w:trHeight w:val="206"/>
        </w:trPr>
        <w:tc>
          <w:tcPr>
            <w:tcW w:w="414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4060" w:type="dxa"/>
            <w:vAlign w:val="bottom"/>
            <w:tcBorders>
              <w:top w:val="single" w:sz="8" w:color="auto"/>
            </w:tcBorders>
          </w:tcPr>
          <w:p>
            <w:pPr>
              <w:spacing w:after="0" w:line="207" w:lineRule="exact"/>
              <w:rPr>
                <w:sz w:val="20"/>
                <w:szCs w:val="20"/>
                <w:color w:val="auto"/>
              </w:rPr>
            </w:pPr>
            <w:r>
              <w:rPr>
                <w:rFonts w:ascii="Arial" w:cs="Arial" w:eastAsia="Arial" w:hAnsi="Arial"/>
                <w:sz w:val="20"/>
                <w:szCs w:val="20"/>
                <w:color w:val="auto"/>
              </w:rPr>
              <w:t>James A. J. Nickolas</w:t>
            </w:r>
          </w:p>
        </w:tc>
      </w:tr>
      <w:tr>
        <w:trPr>
          <w:trHeight w:val="229"/>
        </w:trPr>
        <w:tc>
          <w:tcPr>
            <w:tcW w:w="414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20"/>
                <w:szCs w:val="20"/>
                <w:color w:val="auto"/>
              </w:rPr>
              <w:t>Sr. Vice President and</w:t>
            </w:r>
          </w:p>
        </w:tc>
      </w:tr>
      <w:tr>
        <w:trPr>
          <w:trHeight w:val="250"/>
        </w:trPr>
        <w:tc>
          <w:tcPr>
            <w:tcW w:w="4140" w:type="dxa"/>
            <w:vAlign w:val="bottom"/>
          </w:tcPr>
          <w:p>
            <w:pPr>
              <w:spacing w:after="0"/>
              <w:rPr>
                <w:sz w:val="21"/>
                <w:szCs w:val="21"/>
                <w:color w:val="auto"/>
              </w:rPr>
            </w:pPr>
          </w:p>
        </w:tc>
        <w:tc>
          <w:tcPr>
            <w:tcW w:w="3040" w:type="dxa"/>
            <w:vAlign w:val="bottom"/>
          </w:tcPr>
          <w:p>
            <w:pPr>
              <w:spacing w:after="0"/>
              <w:rPr>
                <w:sz w:val="21"/>
                <w:szCs w:val="21"/>
                <w:color w:val="auto"/>
              </w:rPr>
            </w:pPr>
          </w:p>
        </w:tc>
        <w:tc>
          <w:tcPr>
            <w:tcW w:w="4060" w:type="dxa"/>
            <w:vAlign w:val="bottom"/>
          </w:tcPr>
          <w:p>
            <w:pPr>
              <w:ind w:left="140"/>
              <w:spacing w:after="0"/>
              <w:rPr>
                <w:sz w:val="20"/>
                <w:szCs w:val="20"/>
                <w:color w:val="auto"/>
              </w:rPr>
            </w:pPr>
            <w:r>
              <w:rPr>
                <w:rFonts w:ascii="Arial" w:cs="Arial" w:eastAsia="Arial" w:hAnsi="Arial"/>
                <w:sz w:val="20"/>
                <w:szCs w:val="20"/>
                <w:color w:val="auto"/>
              </w:rPr>
              <w:t>Chief Financial Officer</w:t>
            </w:r>
          </w:p>
        </w:tc>
      </w:tr>
    </w:tbl>
    <w:p>
      <w:pPr>
        <w:sectPr>
          <w:pgSz w:w="11900" w:h="16838" w:orient="portrait"/>
          <w:cols w:equalWidth="0" w:num="1">
            <w:col w:w="11240"/>
          </w:cols>
          <w:pgMar w:left="320" w:top="1440" w:right="339" w:bottom="1440" w:gutter="0" w:footer="0" w:header="0"/>
        </w:sectPr>
      </w:pPr>
    </w:p>
    <w:bookmarkStart w:id="56" w:name="page57"/>
    <w:bookmarkEnd w:id="56"/>
    <w:p>
      <w:pPr>
        <w:jc w:val="right"/>
        <w:spacing w:after="0"/>
        <w:rPr>
          <w:sz w:val="20"/>
          <w:szCs w:val="20"/>
          <w:color w:val="auto"/>
        </w:rPr>
      </w:pPr>
      <w:r>
        <w:rPr>
          <w:rFonts w:ascii="Arial" w:cs="Arial" w:eastAsia="Arial" w:hAnsi="Arial"/>
          <w:sz w:val="20"/>
          <w:szCs w:val="20"/>
          <w:b w:val="1"/>
          <w:bCs w:val="1"/>
          <w:color w:val="auto"/>
        </w:rPr>
        <w:t>EXHIBIT 32.01</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Written Statement Pursuant to 18 U.S.C. 1350,</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Adopted Pursuant to Section 906 of the Sarbanes-Oxley Act of 2002</w:t>
      </w:r>
    </w:p>
    <w:p>
      <w:pPr>
        <w:spacing w:after="0" w:line="213"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0"/>
          <w:szCs w:val="20"/>
          <w:color w:val="auto"/>
        </w:rPr>
        <w:t>In connection with the Quarterly Report on Form 10-Q for the period ended June 30, 2020 (the “Report”) of Martin Marietta Materials, Inc. (the “Registrant”), as filed with the Securities and Exchange Commission on the date hereof, I, C. Howard Nye, the Chief Executive Officer of the Registrant, certify, to the best of my knowledge, that:</w:t>
      </w:r>
    </w:p>
    <w:p>
      <w:pPr>
        <w:spacing w:after="0" w:line="199" w:lineRule="exact"/>
        <w:rPr>
          <w:sz w:val="20"/>
          <w:szCs w:val="20"/>
          <w:color w:val="auto"/>
        </w:rPr>
      </w:pPr>
    </w:p>
    <w:p>
      <w:pPr>
        <w:ind w:left="1700" w:hanging="842"/>
        <w:spacing w:after="0" w:line="260" w:lineRule="auto"/>
        <w:tabs>
          <w:tab w:leader="none" w:pos="1700" w:val="left"/>
        </w:tabs>
        <w:numPr>
          <w:ilvl w:val="0"/>
          <w:numId w:val="23"/>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as amended; and</w:t>
      </w:r>
    </w:p>
    <w:p>
      <w:pPr>
        <w:spacing w:after="0" w:line="190" w:lineRule="exact"/>
        <w:rPr>
          <w:rFonts w:ascii="Arial" w:cs="Arial" w:eastAsia="Arial" w:hAnsi="Arial"/>
          <w:sz w:val="20"/>
          <w:szCs w:val="20"/>
          <w:color w:val="auto"/>
        </w:rPr>
      </w:pPr>
    </w:p>
    <w:p>
      <w:pPr>
        <w:ind w:left="1700" w:right="20" w:hanging="842"/>
        <w:spacing w:after="0" w:line="260" w:lineRule="auto"/>
        <w:tabs>
          <w:tab w:leader="none" w:pos="1700" w:val="left"/>
        </w:tabs>
        <w:numPr>
          <w:ilvl w:val="0"/>
          <w:numId w:val="23"/>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Registrant.</w:t>
      </w:r>
    </w:p>
    <w:p>
      <w:pPr>
        <w:spacing w:after="0" w:line="200" w:lineRule="exact"/>
        <w:rPr>
          <w:sz w:val="20"/>
          <w:szCs w:val="20"/>
          <w:color w:val="auto"/>
        </w:rPr>
      </w:pPr>
    </w:p>
    <w:p>
      <w:pPr>
        <w:spacing w:after="0" w:line="220" w:lineRule="exact"/>
        <w:rPr>
          <w:sz w:val="20"/>
          <w:szCs w:val="20"/>
          <w:color w:val="auto"/>
        </w:rPr>
      </w:pPr>
    </w:p>
    <w:p>
      <w:pPr>
        <w:ind w:left="6760"/>
        <w:spacing w:after="0"/>
        <w:rPr>
          <w:sz w:val="20"/>
          <w:szCs w:val="20"/>
          <w:color w:val="auto"/>
        </w:rPr>
      </w:pPr>
      <w:r>
        <w:rPr>
          <w:rFonts w:ascii="Arial" w:cs="Arial" w:eastAsia="Arial" w:hAnsi="Arial"/>
          <w:sz w:val="20"/>
          <w:szCs w:val="20"/>
          <w:color w:val="auto"/>
        </w:rPr>
        <w:t>/s/ C. Howard Nye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10160</wp:posOffset>
            </wp:positionV>
            <wp:extent cx="284607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ind w:left="6760"/>
        <w:spacing w:after="0"/>
        <w:rPr>
          <w:sz w:val="20"/>
          <w:szCs w:val="20"/>
          <w:color w:val="auto"/>
        </w:rPr>
      </w:pPr>
      <w:r>
        <w:rPr>
          <w:rFonts w:ascii="Arial" w:cs="Arial" w:eastAsia="Arial" w:hAnsi="Arial"/>
          <w:sz w:val="20"/>
          <w:szCs w:val="20"/>
          <w:color w:val="auto"/>
        </w:rPr>
        <w:t>C. Howard Nye</w:t>
      </w:r>
    </w:p>
    <w:p>
      <w:pPr>
        <w:spacing w:after="0" w:line="8" w:lineRule="exact"/>
        <w:rPr>
          <w:sz w:val="20"/>
          <w:szCs w:val="20"/>
          <w:color w:val="auto"/>
        </w:rPr>
      </w:pPr>
    </w:p>
    <w:p>
      <w:pPr>
        <w:ind w:left="6760"/>
        <w:spacing w:after="0"/>
        <w:rPr>
          <w:sz w:val="20"/>
          <w:szCs w:val="20"/>
          <w:color w:val="auto"/>
        </w:rPr>
      </w:pPr>
      <w:r>
        <w:rPr>
          <w:rFonts w:ascii="Arial" w:cs="Arial" w:eastAsia="Arial" w:hAnsi="Arial"/>
          <w:sz w:val="20"/>
          <w:szCs w:val="20"/>
          <w:color w:val="auto"/>
        </w:rPr>
        <w:t>Chairman, President and</w:t>
      </w:r>
    </w:p>
    <w:p>
      <w:pPr>
        <w:ind w:left="6900"/>
        <w:spacing w:after="0"/>
        <w:rPr>
          <w:sz w:val="20"/>
          <w:szCs w:val="20"/>
          <w:color w:val="auto"/>
        </w:rPr>
      </w:pPr>
      <w:r>
        <w:rPr>
          <w:rFonts w:ascii="Arial" w:cs="Arial" w:eastAsia="Arial" w:hAnsi="Arial"/>
          <w:sz w:val="20"/>
          <w:szCs w:val="20"/>
          <w:color w:val="auto"/>
        </w:rPr>
        <w:t>Chief Executive Officer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Dated: July 28, 2020</w:t>
      </w:r>
    </w:p>
    <w:p>
      <w:pPr>
        <w:spacing w:after="0" w:line="229" w:lineRule="exact"/>
        <w:rPr>
          <w:sz w:val="20"/>
          <w:szCs w:val="20"/>
          <w:color w:val="auto"/>
        </w:rPr>
      </w:pPr>
    </w:p>
    <w:p>
      <w:pPr>
        <w:ind w:right="20"/>
        <w:spacing w:after="0" w:line="287" w:lineRule="auto"/>
        <w:rPr>
          <w:sz w:val="20"/>
          <w:szCs w:val="20"/>
          <w:color w:val="auto"/>
        </w:rPr>
      </w:pPr>
      <w:r>
        <w:rPr>
          <w:rFonts w:ascii="Arial" w:cs="Arial" w:eastAsia="Arial" w:hAnsi="Arial"/>
          <w:sz w:val="19"/>
          <w:szCs w:val="19"/>
          <w:color w:val="auto"/>
        </w:rPr>
        <w:t>A signed original of this written statement required by Section 906 has been provided to Martin Marietta Materials, Inc. and will be retained by Martin Marietta Materials, Inc. and furnished to the Securities and Exchange Commission or its staff upon request.</w:t>
      </w:r>
    </w:p>
    <w:p>
      <w:pPr>
        <w:sectPr>
          <w:pgSz w:w="11900" w:h="16838" w:orient="portrait"/>
          <w:cols w:equalWidth="0" w:num="1">
            <w:col w:w="11240"/>
          </w:cols>
          <w:pgMar w:left="320" w:top="118" w:right="339" w:bottom="1440" w:gutter="0" w:footer="0" w:header="0"/>
        </w:sectPr>
      </w:pPr>
    </w:p>
    <w:bookmarkStart w:id="57" w:name="page58"/>
    <w:bookmarkEnd w:id="57"/>
    <w:p>
      <w:pPr>
        <w:jc w:val="right"/>
        <w:spacing w:after="0"/>
        <w:rPr>
          <w:sz w:val="20"/>
          <w:szCs w:val="20"/>
          <w:color w:val="auto"/>
        </w:rPr>
      </w:pPr>
      <w:r>
        <w:rPr>
          <w:rFonts w:ascii="Arial" w:cs="Arial" w:eastAsia="Arial" w:hAnsi="Arial"/>
          <w:sz w:val="20"/>
          <w:szCs w:val="20"/>
          <w:b w:val="1"/>
          <w:bCs w:val="1"/>
          <w:color w:val="auto"/>
        </w:rPr>
        <w:t>EXHIBIT 32.02</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Written Statement Pursuant to 18 U.S.C. 1350,</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Adopted Pursuant to Section 906 of the Sarbanes-Oxley Act of 2002</w:t>
      </w:r>
    </w:p>
    <w:p>
      <w:pPr>
        <w:spacing w:after="0" w:line="213"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0"/>
          <w:szCs w:val="20"/>
          <w:color w:val="auto"/>
        </w:rPr>
        <w:t>In connection with the Quarterly Report on Form 10-Q for the period ended June 30, 2020 (the “Report”) of Martin Marietta Materials, Inc. (the “Registrant”), as filed with the Securities and Exchange Commission on the date hereof, I, James A. J. Nickolas, the Chief Financial Officer of the Registrant, certify, to the best of my knowledge, that:</w:t>
      </w:r>
    </w:p>
    <w:p>
      <w:pPr>
        <w:spacing w:after="0" w:line="199" w:lineRule="exact"/>
        <w:rPr>
          <w:sz w:val="20"/>
          <w:szCs w:val="20"/>
          <w:color w:val="auto"/>
        </w:rPr>
      </w:pPr>
    </w:p>
    <w:p>
      <w:pPr>
        <w:ind w:left="1700" w:hanging="842"/>
        <w:spacing w:after="0" w:line="260" w:lineRule="auto"/>
        <w:tabs>
          <w:tab w:leader="none" w:pos="1700" w:val="left"/>
        </w:tabs>
        <w:numPr>
          <w:ilvl w:val="0"/>
          <w:numId w:val="24"/>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as amended; and</w:t>
      </w:r>
    </w:p>
    <w:p>
      <w:pPr>
        <w:spacing w:after="0" w:line="190" w:lineRule="exact"/>
        <w:rPr>
          <w:rFonts w:ascii="Arial" w:cs="Arial" w:eastAsia="Arial" w:hAnsi="Arial"/>
          <w:sz w:val="20"/>
          <w:szCs w:val="20"/>
          <w:color w:val="auto"/>
        </w:rPr>
      </w:pPr>
    </w:p>
    <w:p>
      <w:pPr>
        <w:ind w:left="1700" w:right="20" w:hanging="842"/>
        <w:spacing w:after="0" w:line="260" w:lineRule="auto"/>
        <w:tabs>
          <w:tab w:leader="none" w:pos="1700" w:val="left"/>
        </w:tabs>
        <w:numPr>
          <w:ilvl w:val="0"/>
          <w:numId w:val="24"/>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Registrant.</w:t>
      </w:r>
    </w:p>
    <w:p>
      <w:pPr>
        <w:spacing w:after="0" w:line="200" w:lineRule="exact"/>
        <w:rPr>
          <w:sz w:val="20"/>
          <w:szCs w:val="20"/>
          <w:color w:val="auto"/>
        </w:rPr>
      </w:pPr>
    </w:p>
    <w:p>
      <w:pPr>
        <w:spacing w:after="0" w:line="220" w:lineRule="exact"/>
        <w:rPr>
          <w:sz w:val="20"/>
          <w:szCs w:val="20"/>
          <w:color w:val="auto"/>
        </w:rPr>
      </w:pPr>
    </w:p>
    <w:p>
      <w:pPr>
        <w:ind w:left="6760"/>
        <w:spacing w:after="0"/>
        <w:rPr>
          <w:sz w:val="20"/>
          <w:szCs w:val="20"/>
          <w:color w:val="auto"/>
        </w:rPr>
      </w:pPr>
      <w:r>
        <w:rPr>
          <w:rFonts w:ascii="Arial" w:cs="Arial" w:eastAsia="Arial" w:hAnsi="Arial"/>
          <w:sz w:val="20"/>
          <w:szCs w:val="20"/>
          <w:color w:val="auto"/>
        </w:rPr>
        <w:t>/s/ James A. J. Nickolas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10160</wp:posOffset>
            </wp:positionV>
            <wp:extent cx="284607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ind w:left="6760"/>
        <w:spacing w:after="0"/>
        <w:rPr>
          <w:sz w:val="20"/>
          <w:szCs w:val="20"/>
          <w:color w:val="auto"/>
        </w:rPr>
      </w:pPr>
      <w:r>
        <w:rPr>
          <w:rFonts w:ascii="Arial" w:cs="Arial" w:eastAsia="Arial" w:hAnsi="Arial"/>
          <w:sz w:val="20"/>
          <w:szCs w:val="20"/>
          <w:color w:val="auto"/>
        </w:rPr>
        <w:t>James A. J. Nickolas</w:t>
      </w:r>
    </w:p>
    <w:p>
      <w:pPr>
        <w:spacing w:after="0" w:line="8" w:lineRule="exact"/>
        <w:rPr>
          <w:sz w:val="20"/>
          <w:szCs w:val="20"/>
          <w:color w:val="auto"/>
        </w:rPr>
      </w:pPr>
    </w:p>
    <w:p>
      <w:pPr>
        <w:ind w:left="6760"/>
        <w:spacing w:after="0"/>
        <w:rPr>
          <w:sz w:val="20"/>
          <w:szCs w:val="20"/>
          <w:color w:val="auto"/>
        </w:rPr>
      </w:pPr>
      <w:r>
        <w:rPr>
          <w:rFonts w:ascii="Arial" w:cs="Arial" w:eastAsia="Arial" w:hAnsi="Arial"/>
          <w:sz w:val="20"/>
          <w:szCs w:val="20"/>
          <w:color w:val="auto"/>
        </w:rPr>
        <w:t>Sr. Vice President and</w:t>
      </w:r>
    </w:p>
    <w:p>
      <w:pPr>
        <w:ind w:left="6900"/>
        <w:spacing w:after="0"/>
        <w:rPr>
          <w:sz w:val="20"/>
          <w:szCs w:val="20"/>
          <w:color w:val="auto"/>
        </w:rPr>
      </w:pPr>
      <w:r>
        <w:rPr>
          <w:rFonts w:ascii="Arial" w:cs="Arial" w:eastAsia="Arial" w:hAnsi="Arial"/>
          <w:sz w:val="20"/>
          <w:szCs w:val="20"/>
          <w:color w:val="auto"/>
        </w:rPr>
        <w:t>Chief Financial Officer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Dated: July 28, 2020</w:t>
      </w:r>
    </w:p>
    <w:p>
      <w:pPr>
        <w:spacing w:after="0" w:line="229" w:lineRule="exact"/>
        <w:rPr>
          <w:sz w:val="20"/>
          <w:szCs w:val="20"/>
          <w:color w:val="auto"/>
        </w:rPr>
      </w:pPr>
    </w:p>
    <w:p>
      <w:pPr>
        <w:ind w:right="20"/>
        <w:spacing w:after="0" w:line="287" w:lineRule="auto"/>
        <w:rPr>
          <w:sz w:val="20"/>
          <w:szCs w:val="20"/>
          <w:color w:val="auto"/>
        </w:rPr>
      </w:pPr>
      <w:r>
        <w:rPr>
          <w:rFonts w:ascii="Arial" w:cs="Arial" w:eastAsia="Arial" w:hAnsi="Arial"/>
          <w:sz w:val="19"/>
          <w:szCs w:val="19"/>
          <w:color w:val="auto"/>
        </w:rPr>
        <w:t>A signed original of this written statement required by Section 906 has been provided to Martin Marietta Materials, Inc. and will be retained by Martin Marietta Materials, Inc. and furnished to the Securities and Exchange Commission or its staff upon request.</w:t>
      </w:r>
    </w:p>
    <w:p>
      <w:pPr>
        <w:sectPr>
          <w:pgSz w:w="11900" w:h="16838" w:orient="portrait"/>
          <w:cols w:equalWidth="0" w:num="1">
            <w:col w:w="11240"/>
          </w:cols>
          <w:pgMar w:left="320" w:top="118" w:right="339" w:bottom="1440" w:gutter="0" w:footer="0" w:header="0"/>
        </w:sectPr>
      </w:pPr>
    </w:p>
    <w:bookmarkStart w:id="58" w:name="page59"/>
    <w:bookmarkEnd w:id="58"/>
    <w:p>
      <w:pPr>
        <w:jc w:val="right"/>
        <w:spacing w:after="0"/>
        <w:rPr>
          <w:sz w:val="20"/>
          <w:szCs w:val="20"/>
          <w:color w:val="auto"/>
        </w:rPr>
      </w:pPr>
      <w:r>
        <w:rPr>
          <w:rFonts w:ascii="Arial" w:cs="Arial" w:eastAsia="Arial" w:hAnsi="Arial"/>
          <w:sz w:val="20"/>
          <w:szCs w:val="20"/>
          <w:b w:val="1"/>
          <w:bCs w:val="1"/>
          <w:color w:val="auto"/>
        </w:rPr>
        <w:t>EXHIBIT 95</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MINE SAFETY DISCLOSURES</w:t>
      </w:r>
    </w:p>
    <w:p>
      <w:pPr>
        <w:spacing w:after="0" w:line="235"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The operation of the Corporation’s domestic aggregates quarries and mines is subject to regulation by the federal Mine Safety and Health Administration (MSHA) under the Federal Mine Safety and Health Act of 1977 (the Mine Act). MSHA inspects the Corporation’s quarries and mines on a regular basis and issues various citations and orders when it believes a violation has occurred under the Mine Act. Whenever MSHA issues a citation or order, it also generally proposes a civil penalty, or fine, related to the alleged violation. Citations or orders may be contested and appealed, and as part of that process, are often reduced in severity and amount, and are sometimes dismissed.</w:t>
      </w:r>
    </w:p>
    <w:p>
      <w:pPr>
        <w:spacing w:after="0" w:line="178"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Under the Dodd-Frank Wall Street Reform and Consumer Protection Act (the Dodd-Frank Act), the Corporation is required to present information regarding certain mining safety and health citations which MSHA has issued with respect to its aggregates mining operations in its periodic reports filed with the Securities and Exchange Commission (SEC). In evaluating this information, consideration should be given to factors such as: (i) the number of citations and orders will vary depending on the size of the quarry or mine and types of operations (underground or surface), (ii) the number of citations issued will vary from inspector to inspector and location to location, and (iii) citations and orders can be contested and appealed, and in that process, may be reduced in severity and amount, and are sometimes dismissed.</w:t>
      </w:r>
    </w:p>
    <w:p>
      <w:pPr>
        <w:spacing w:after="0" w:line="178"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The Corporation has provided the information below in response to the SEC’s rules and regulations issued under the provisions of the Dodd-Frank Act. The disclosures reflect U.S. mining operations only, as the requirements of the Dodd-Frank Act and the SEC rules and regulations thereunder do not apply to the Corporation’s quarries and mines operated outside the United States.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The Corporation presents the following items regarding certain mining safety and health matters for the three months ended June 30, 2020:</w:t>
      </w:r>
    </w:p>
    <w:p>
      <w:pPr>
        <w:spacing w:after="0" w:line="252" w:lineRule="exact"/>
        <w:rPr>
          <w:sz w:val="20"/>
          <w:szCs w:val="20"/>
          <w:color w:val="auto"/>
        </w:rPr>
      </w:pPr>
    </w:p>
    <w:p>
      <w:pPr>
        <w:jc w:val="both"/>
        <w:ind w:left="440" w:hanging="432"/>
        <w:spacing w:after="0" w:line="259" w:lineRule="auto"/>
        <w:tabs>
          <w:tab w:leader="none" w:pos="440" w:val="left"/>
        </w:tabs>
        <w:numPr>
          <w:ilvl w:val="0"/>
          <w:numId w:val="25"/>
        </w:numPr>
        <w:rPr>
          <w:rFonts w:ascii="Arial" w:cs="Arial" w:eastAsia="Arial" w:hAnsi="Arial"/>
          <w:sz w:val="19"/>
          <w:szCs w:val="19"/>
          <w:b w:val="1"/>
          <w:bCs w:val="1"/>
          <w:color w:val="auto"/>
        </w:rPr>
      </w:pPr>
      <w:r>
        <w:rPr>
          <w:rFonts w:ascii="Arial" w:cs="Arial" w:eastAsia="Arial" w:hAnsi="Arial"/>
          <w:sz w:val="19"/>
          <w:szCs w:val="19"/>
          <w:color w:val="auto"/>
        </w:rPr>
        <w:t>Total number of violations of mandatory health or safety standards that could significantly and substantially contribute to the cause and effect of a mine safety or health hazard under section 104 of the Mine Act for which the Corporation has received a citation from MSHA (hereinafter, “Section 104 S&amp;S Citations”). If MSHA determines that a violation of a mandatory health or safety standard is likely to result in a reasonably serious injury or illness under the unique circumstance contributed to by the violation, MSHA will classify the violation as a “significant and substantial” violation (commonly referred to as an S&amp;S violation). MSHA inspectors will classify each citation or order written as an S&amp;S violation or not.</w:t>
      </w:r>
    </w:p>
    <w:p>
      <w:pPr>
        <w:spacing w:after="0" w:line="164" w:lineRule="exact"/>
        <w:rPr>
          <w:rFonts w:ascii="Arial" w:cs="Arial" w:eastAsia="Arial" w:hAnsi="Arial"/>
          <w:sz w:val="19"/>
          <w:szCs w:val="19"/>
          <w:b w:val="1"/>
          <w:bCs w:val="1"/>
          <w:color w:val="auto"/>
        </w:rPr>
      </w:pPr>
    </w:p>
    <w:p>
      <w:pPr>
        <w:jc w:val="both"/>
        <w:ind w:left="440" w:hanging="432"/>
        <w:spacing w:after="0" w:line="246" w:lineRule="auto"/>
        <w:tabs>
          <w:tab w:leader="none" w:pos="440" w:val="left"/>
        </w:tabs>
        <w:numPr>
          <w:ilvl w:val="0"/>
          <w:numId w:val="25"/>
        </w:numPr>
        <w:rPr>
          <w:rFonts w:ascii="Arial" w:cs="Arial" w:eastAsia="Arial" w:hAnsi="Arial"/>
          <w:sz w:val="20"/>
          <w:szCs w:val="20"/>
          <w:b w:val="1"/>
          <w:bCs w:val="1"/>
          <w:color w:val="auto"/>
        </w:rPr>
      </w:pPr>
      <w:r>
        <w:rPr>
          <w:rFonts w:ascii="Arial" w:cs="Arial" w:eastAsia="Arial" w:hAnsi="Arial"/>
          <w:sz w:val="20"/>
          <w:szCs w:val="20"/>
          <w:color w:val="auto"/>
        </w:rPr>
        <w:t>Total number of orders issued under section 104(b) of the Mine Act (hereinafter, “Section 104(b) Orders”). These orders are issued for situations in which MSHA determines a previous violation covered by a Section 104(a) citation has not been totally abated within the prescribed time period, so a further order is needed to require the mine operator to immediately withdraw all persons (except authorized persons) from the affected area of a quarry or mine.</w:t>
      </w:r>
    </w:p>
    <w:p>
      <w:pPr>
        <w:spacing w:after="0" w:line="204" w:lineRule="exact"/>
        <w:rPr>
          <w:rFonts w:ascii="Arial" w:cs="Arial" w:eastAsia="Arial" w:hAnsi="Arial"/>
          <w:sz w:val="20"/>
          <w:szCs w:val="20"/>
          <w:b w:val="1"/>
          <w:bCs w:val="1"/>
          <w:color w:val="auto"/>
        </w:rPr>
      </w:pPr>
    </w:p>
    <w:p>
      <w:pPr>
        <w:jc w:val="both"/>
        <w:ind w:left="440" w:hanging="432"/>
        <w:spacing w:after="0" w:line="291" w:lineRule="auto"/>
        <w:tabs>
          <w:tab w:leader="none" w:pos="440" w:val="left"/>
        </w:tabs>
        <w:numPr>
          <w:ilvl w:val="0"/>
          <w:numId w:val="25"/>
        </w:numPr>
        <w:rPr>
          <w:rFonts w:ascii="Arial" w:cs="Arial" w:eastAsia="Arial" w:hAnsi="Arial"/>
          <w:sz w:val="18"/>
          <w:szCs w:val="18"/>
          <w:b w:val="1"/>
          <w:bCs w:val="1"/>
          <w:color w:val="auto"/>
        </w:rPr>
      </w:pPr>
      <w:r>
        <w:rPr>
          <w:rFonts w:ascii="Arial" w:cs="Arial" w:eastAsia="Arial" w:hAnsi="Arial"/>
          <w:sz w:val="18"/>
          <w:szCs w:val="18"/>
          <w:color w:val="auto"/>
        </w:rPr>
        <w:t>Total number of citations and orders for unwarrantable failure of the mine operator to comply with mandatory health or safety standards under Section 104(d) of the Mine Act (hereinafter, “Section 104(d) Citations and Orders”). These violations are similar to those described above, but the standard is that the violation could significantly and substantially contribute to the cause and effect of a safety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449580</wp:posOffset>
            </wp:positionV>
            <wp:extent cx="714946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9" w:name="page60"/>
    <w:bookmarkEnd w:id="59"/>
    <w:p>
      <w:pPr>
        <w:ind w:left="440"/>
        <w:spacing w:after="0" w:line="261" w:lineRule="auto"/>
        <w:rPr>
          <w:sz w:val="20"/>
          <w:szCs w:val="20"/>
          <w:color w:val="auto"/>
        </w:rPr>
      </w:pPr>
      <w:r>
        <w:rPr>
          <w:rFonts w:ascii="Arial" w:cs="Arial" w:eastAsia="Arial" w:hAnsi="Arial"/>
          <w:sz w:val="20"/>
          <w:szCs w:val="20"/>
          <w:color w:val="auto"/>
        </w:rPr>
        <w:t>or health hazard, but the conditions do not cause imminent danger, and the MSHA inspector finds that the violation is caused by an unwarranted failure of the operator to comply with the health and safety standards.</w:t>
      </w:r>
    </w:p>
    <w:p>
      <w:pPr>
        <w:spacing w:after="0" w:line="189" w:lineRule="exact"/>
        <w:rPr>
          <w:sz w:val="20"/>
          <w:szCs w:val="20"/>
          <w:color w:val="auto"/>
        </w:rPr>
      </w:pPr>
    </w:p>
    <w:p>
      <w:pPr>
        <w:jc w:val="both"/>
        <w:ind w:left="440" w:hanging="432"/>
        <w:spacing w:after="0" w:line="244" w:lineRule="auto"/>
        <w:tabs>
          <w:tab w:leader="none" w:pos="440" w:val="left"/>
        </w:tabs>
        <w:numPr>
          <w:ilvl w:val="0"/>
          <w:numId w:val="26"/>
        </w:numPr>
        <w:rPr>
          <w:rFonts w:ascii="Arial" w:cs="Arial" w:eastAsia="Arial" w:hAnsi="Arial"/>
          <w:sz w:val="20"/>
          <w:szCs w:val="20"/>
          <w:b w:val="1"/>
          <w:bCs w:val="1"/>
          <w:color w:val="auto"/>
        </w:rPr>
      </w:pPr>
      <w:r>
        <w:rPr>
          <w:rFonts w:ascii="Arial" w:cs="Arial" w:eastAsia="Arial" w:hAnsi="Arial"/>
          <w:sz w:val="20"/>
          <w:szCs w:val="20"/>
          <w:color w:val="auto"/>
        </w:rPr>
        <w:t>Total number of flagrant violations under section 110(b)(2) of the Mine Act (hereinafter, “Section 110(b)(2) Violations”). These violations are penalty violations issued if MSHA determines that violations are “flagrant”, for which civil penalties may be assessed. A “flagrant” violation means a reckless or repeated failure to make reasonable efforts to eliminate a known violation of a mandatory health or safety standard that substantially and proximately caused, or reasonably could have been expected to cause, death or serious bodily injury.</w:t>
      </w:r>
    </w:p>
    <w:p>
      <w:pPr>
        <w:spacing w:after="0" w:line="207" w:lineRule="exact"/>
        <w:rPr>
          <w:rFonts w:ascii="Arial" w:cs="Arial" w:eastAsia="Arial" w:hAnsi="Arial"/>
          <w:sz w:val="20"/>
          <w:szCs w:val="20"/>
          <w:b w:val="1"/>
          <w:bCs w:val="1"/>
          <w:color w:val="auto"/>
        </w:rPr>
      </w:pPr>
    </w:p>
    <w:p>
      <w:pPr>
        <w:jc w:val="both"/>
        <w:ind w:left="440" w:hanging="432"/>
        <w:spacing w:after="0" w:line="263" w:lineRule="auto"/>
        <w:tabs>
          <w:tab w:leader="none" w:pos="440" w:val="left"/>
        </w:tabs>
        <w:numPr>
          <w:ilvl w:val="0"/>
          <w:numId w:val="26"/>
        </w:numPr>
        <w:rPr>
          <w:rFonts w:ascii="Arial" w:cs="Arial" w:eastAsia="Arial" w:hAnsi="Arial"/>
          <w:sz w:val="19"/>
          <w:szCs w:val="19"/>
          <w:b w:val="1"/>
          <w:bCs w:val="1"/>
          <w:color w:val="auto"/>
        </w:rPr>
      </w:pPr>
      <w:r>
        <w:rPr>
          <w:rFonts w:ascii="Arial" w:cs="Arial" w:eastAsia="Arial" w:hAnsi="Arial"/>
          <w:sz w:val="19"/>
          <w:szCs w:val="19"/>
          <w:color w:val="auto"/>
        </w:rPr>
        <w:t>Total number of imminent danger orders issued under section 107(a) of the Mine Act (hereinafter, “Section 107(a) Orders”). These orders are issued for situations in which MSHA determines an imminent danger exists in the quarry or mine and results in orders of immediate withdrawal of all persons (except certain authorized persons) from the area of the quarry or mine affected by its condition until the imminent danger and the underlying conditions causing the imminent danger no longer exist.</w:t>
      </w:r>
    </w:p>
    <w:p>
      <w:pPr>
        <w:spacing w:after="0" w:line="189" w:lineRule="exact"/>
        <w:rPr>
          <w:rFonts w:ascii="Arial" w:cs="Arial" w:eastAsia="Arial" w:hAnsi="Arial"/>
          <w:sz w:val="19"/>
          <w:szCs w:val="19"/>
          <w:b w:val="1"/>
          <w:bCs w:val="1"/>
          <w:color w:val="auto"/>
        </w:rPr>
      </w:pPr>
    </w:p>
    <w:p>
      <w:pPr>
        <w:jc w:val="both"/>
        <w:ind w:left="440" w:hanging="432"/>
        <w:spacing w:after="0" w:line="282" w:lineRule="auto"/>
        <w:tabs>
          <w:tab w:leader="none" w:pos="440"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Total dollar value of proposed assessments from MSHA under the Mine Act. These are the amounts of proposed assessments issued by MSHA with each citation or order for the time period covered by the reports. Penalties are assessed by MSHA according to a formula that considers a number of factors, including the mine operator’s history, size, negligence, gravity of the violation, good faith in trying to correct the violation promptly, and the effect of the penalty on the operator’s ability to continue in business.</w:t>
      </w:r>
    </w:p>
    <w:p>
      <w:pPr>
        <w:spacing w:after="0" w:line="174" w:lineRule="exact"/>
        <w:rPr>
          <w:rFonts w:ascii="Arial" w:cs="Arial" w:eastAsia="Arial" w:hAnsi="Arial"/>
          <w:sz w:val="18"/>
          <w:szCs w:val="18"/>
          <w:b w:val="1"/>
          <w:bCs w:val="1"/>
          <w:color w:val="auto"/>
        </w:rPr>
      </w:pPr>
    </w:p>
    <w:p>
      <w:pPr>
        <w:jc w:val="both"/>
        <w:ind w:left="440" w:hanging="432"/>
        <w:spacing w:after="0" w:line="291" w:lineRule="auto"/>
        <w:tabs>
          <w:tab w:leader="none" w:pos="440"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Total number of mining-related fatalities. Mines subject to the Mine Act are required to report all fatalities occurring at their facilities unless the fatality is determined to be “non-chargeable” to the mining industry. The final rules of the SEC require disclosure of mining-related fatalities at mines subject to the Mine Act. Only fatalities determined by MSHA not to be mining-related may be excluded.</w:t>
      </w:r>
    </w:p>
    <w:p>
      <w:pPr>
        <w:spacing w:after="0" w:line="165" w:lineRule="exact"/>
        <w:rPr>
          <w:rFonts w:ascii="Arial" w:cs="Arial" w:eastAsia="Arial" w:hAnsi="Arial"/>
          <w:sz w:val="18"/>
          <w:szCs w:val="18"/>
          <w:b w:val="1"/>
          <w:bCs w:val="1"/>
          <w:color w:val="auto"/>
        </w:rPr>
      </w:pPr>
    </w:p>
    <w:p>
      <w:pPr>
        <w:jc w:val="both"/>
        <w:ind w:left="440" w:hanging="432"/>
        <w:spacing w:after="0" w:line="282" w:lineRule="auto"/>
        <w:tabs>
          <w:tab w:leader="none" w:pos="440"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Receipt of written notice from MSHA of a pattern (or a potential to have such a pattern) of violations of mandatory health or safety standards that are of such nature as could have significantly and substantially contributed to the cause and effect of other mine health or safety hazards under Section 104(e) of the Mine Act. If MSHA determines that a mine has a “pattern” of these types of violations, or the potential to have such a pattern, MSHA is required to notify the mine operator of the existence of such a thing.</w:t>
      </w:r>
    </w:p>
    <w:p>
      <w:pPr>
        <w:spacing w:after="0" w:line="174" w:lineRule="exact"/>
        <w:rPr>
          <w:rFonts w:ascii="Arial" w:cs="Arial" w:eastAsia="Arial" w:hAnsi="Arial"/>
          <w:sz w:val="18"/>
          <w:szCs w:val="18"/>
          <w:b w:val="1"/>
          <w:bCs w:val="1"/>
          <w:color w:val="auto"/>
        </w:rPr>
      </w:pPr>
    </w:p>
    <w:p>
      <w:pPr>
        <w:ind w:left="440" w:hanging="432"/>
        <w:spacing w:after="0"/>
        <w:tabs>
          <w:tab w:leader="none" w:pos="440" w:val="left"/>
        </w:tabs>
        <w:numPr>
          <w:ilvl w:val="0"/>
          <w:numId w:val="26"/>
        </w:numPr>
        <w:rPr>
          <w:rFonts w:ascii="Arial" w:cs="Arial" w:eastAsia="Arial" w:hAnsi="Arial"/>
          <w:sz w:val="20"/>
          <w:szCs w:val="20"/>
          <w:b w:val="1"/>
          <w:bCs w:val="1"/>
          <w:color w:val="auto"/>
        </w:rPr>
      </w:pPr>
      <w:r>
        <w:rPr>
          <w:rFonts w:ascii="Arial" w:cs="Arial" w:eastAsia="Arial" w:hAnsi="Arial"/>
          <w:sz w:val="20"/>
          <w:szCs w:val="20"/>
          <w:color w:val="auto"/>
        </w:rPr>
        <w:t>Legal actions before the Federal Mine Safety and Health Review Commissions pending as of the last day of period.</w:t>
      </w:r>
    </w:p>
    <w:p>
      <w:pPr>
        <w:spacing w:after="0" w:line="229" w:lineRule="exact"/>
        <w:rPr>
          <w:rFonts w:ascii="Arial" w:cs="Arial" w:eastAsia="Arial" w:hAnsi="Arial"/>
          <w:sz w:val="20"/>
          <w:szCs w:val="20"/>
          <w:b w:val="1"/>
          <w:bCs w:val="1"/>
          <w:color w:val="auto"/>
        </w:rPr>
      </w:pPr>
    </w:p>
    <w:p>
      <w:pPr>
        <w:ind w:left="440" w:hanging="432"/>
        <w:spacing w:after="0"/>
        <w:tabs>
          <w:tab w:leader="none" w:pos="440" w:val="left"/>
        </w:tabs>
        <w:numPr>
          <w:ilvl w:val="0"/>
          <w:numId w:val="26"/>
        </w:numPr>
        <w:rPr>
          <w:rFonts w:ascii="Arial" w:cs="Arial" w:eastAsia="Arial" w:hAnsi="Arial"/>
          <w:sz w:val="20"/>
          <w:szCs w:val="20"/>
          <w:b w:val="1"/>
          <w:bCs w:val="1"/>
          <w:color w:val="auto"/>
        </w:rPr>
      </w:pPr>
      <w:r>
        <w:rPr>
          <w:rFonts w:ascii="Arial" w:cs="Arial" w:eastAsia="Arial" w:hAnsi="Arial"/>
          <w:sz w:val="20"/>
          <w:szCs w:val="20"/>
          <w:color w:val="auto"/>
        </w:rPr>
        <w:t>Legal actions before the Federal Mine Safety and Health Review Commissions initiated during period.</w:t>
      </w:r>
    </w:p>
    <w:p>
      <w:pPr>
        <w:spacing w:after="0" w:line="229" w:lineRule="exact"/>
        <w:rPr>
          <w:rFonts w:ascii="Arial" w:cs="Arial" w:eastAsia="Arial" w:hAnsi="Arial"/>
          <w:sz w:val="20"/>
          <w:szCs w:val="20"/>
          <w:b w:val="1"/>
          <w:bCs w:val="1"/>
          <w:color w:val="auto"/>
        </w:rPr>
      </w:pPr>
    </w:p>
    <w:p>
      <w:pPr>
        <w:ind w:left="440" w:hanging="432"/>
        <w:spacing w:after="0"/>
        <w:tabs>
          <w:tab w:leader="none" w:pos="440" w:val="left"/>
        </w:tabs>
        <w:numPr>
          <w:ilvl w:val="0"/>
          <w:numId w:val="26"/>
        </w:numPr>
        <w:rPr>
          <w:rFonts w:ascii="Arial" w:cs="Arial" w:eastAsia="Arial" w:hAnsi="Arial"/>
          <w:sz w:val="20"/>
          <w:szCs w:val="20"/>
          <w:b w:val="1"/>
          <w:bCs w:val="1"/>
          <w:color w:val="auto"/>
        </w:rPr>
      </w:pPr>
      <w:r>
        <w:rPr>
          <w:rFonts w:ascii="Arial" w:cs="Arial" w:eastAsia="Arial" w:hAnsi="Arial"/>
          <w:sz w:val="20"/>
          <w:szCs w:val="20"/>
          <w:color w:val="auto"/>
        </w:rPr>
        <w:t>Legal actions before the Federal Mine Safety and Health Review Commissions resolved during period.</w:t>
      </w:r>
    </w:p>
    <w:p>
      <w:pPr>
        <w:spacing w:after="0" w:line="22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Federal Mine Safety and Health Review Commission (the Commission) is an independent adjudicative agency that provides administrative trial and appellate review of legal disputes arising under the Mine Act. The cases may involve, among other questions, challenges by operators to citations, orders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471805</wp:posOffset>
            </wp:positionV>
            <wp:extent cx="714946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0" w:name="page61"/>
    <w:bookmarkEnd w:id="60"/>
    <w:p>
      <w:pPr>
        <w:jc w:val="both"/>
        <w:spacing w:after="0" w:line="259" w:lineRule="auto"/>
        <w:rPr>
          <w:sz w:val="20"/>
          <w:szCs w:val="20"/>
          <w:color w:val="auto"/>
        </w:rPr>
      </w:pPr>
      <w:r>
        <w:rPr>
          <w:rFonts w:ascii="Arial" w:cs="Arial" w:eastAsia="Arial" w:hAnsi="Arial"/>
          <w:sz w:val="19"/>
          <w:szCs w:val="19"/>
          <w:color w:val="auto"/>
        </w:rPr>
        <w:t>penalties they have received from MSHA, or complaints of discrimination by miners under Section 105 of the Mine Act. Appendix 1 shows, for each of the Corporation’s quarries and mines identified, as of June 30, 2020, the number of legal actions pending before the Commission, along with the number of legal actions initiated before the Commission during the quarter as well as resolved during the quarter. In addition, Appendix 1 includes a footnote to the column for legal actions before the Commission pending as of the last day of the period, which footnote breaks down that total number of legal actions pending by categories according to the type of proceeding in accordance with various categories established by the Procedural Rules of the Commission.</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color w:val="auto"/>
        </w:rPr>
        <w:t>Appendix 1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781685</wp:posOffset>
            </wp:positionV>
            <wp:extent cx="714946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52"/>
        </w:trPr>
        <w:tc>
          <w:tcPr>
            <w:tcW w:w="10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40" w:type="dxa"/>
            <w:vAlign w:val="bottom"/>
            <w:gridSpan w:val="2"/>
          </w:tcPr>
          <w:p>
            <w:pPr>
              <w:ind w:left="620"/>
              <w:spacing w:after="0"/>
              <w:rPr>
                <w:sz w:val="20"/>
                <w:szCs w:val="20"/>
                <w:color w:val="auto"/>
              </w:rPr>
            </w:pPr>
            <w:r>
              <w:rPr>
                <w:rFonts w:ascii="Arial" w:cs="Arial" w:eastAsia="Arial" w:hAnsi="Arial"/>
                <w:sz w:val="20"/>
                <w:szCs w:val="20"/>
                <w:color w:val="auto"/>
                <w:w w:val="99"/>
              </w:rPr>
              <w:t>Appendix 1</w:t>
            </w:r>
          </w:p>
        </w:tc>
      </w:tr>
      <w:tr>
        <w:trPr>
          <w:trHeight w:val="446"/>
        </w:trPr>
        <w:tc>
          <w:tcPr>
            <w:tcW w:w="10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20" w:type="dxa"/>
            <w:vAlign w:val="bottom"/>
            <w:gridSpan w:val="2"/>
          </w:tcPr>
          <w:p>
            <w:pPr>
              <w:ind w:left="20"/>
              <w:spacing w:after="0"/>
              <w:rPr>
                <w:sz w:val="20"/>
                <w:szCs w:val="20"/>
                <w:color w:val="auto"/>
              </w:rPr>
            </w:pPr>
            <w:r>
              <w:rPr>
                <w:rFonts w:ascii="Arial" w:cs="Arial" w:eastAsia="Arial" w:hAnsi="Arial"/>
                <w:sz w:val="20"/>
                <w:szCs w:val="20"/>
                <w:b w:val="1"/>
                <w:bCs w:val="1"/>
                <w:color w:val="auto"/>
                <w:w w:val="87"/>
              </w:rPr>
              <w:t>Received Received</w:t>
            </w: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29"/>
        </w:trPr>
        <w:tc>
          <w:tcPr>
            <w:tcW w:w="10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20" w:type="dxa"/>
            <w:vAlign w:val="bottom"/>
            <w:gridSpan w:val="2"/>
          </w:tcPr>
          <w:p>
            <w:pPr>
              <w:ind w:left="20"/>
              <w:spacing w:after="0"/>
              <w:rPr>
                <w:sz w:val="20"/>
                <w:szCs w:val="20"/>
                <w:color w:val="auto"/>
              </w:rPr>
            </w:pPr>
            <w:r>
              <w:rPr>
                <w:rFonts w:ascii="Arial" w:cs="Arial" w:eastAsia="Arial" w:hAnsi="Arial"/>
                <w:sz w:val="20"/>
                <w:szCs w:val="20"/>
                <w:b w:val="1"/>
                <w:bCs w:val="1"/>
                <w:color w:val="auto"/>
                <w:w w:val="89"/>
              </w:rPr>
              <w:t>Notice of Notice of</w:t>
            </w:r>
          </w:p>
        </w:tc>
        <w:tc>
          <w:tcPr>
            <w:tcW w:w="680" w:type="dxa"/>
            <w:vAlign w:val="bottom"/>
          </w:tcPr>
          <w:p>
            <w:pPr>
              <w:jc w:val="center"/>
              <w:spacing w:after="0"/>
              <w:rPr>
                <w:sz w:val="20"/>
                <w:szCs w:val="20"/>
                <w:color w:val="auto"/>
              </w:rPr>
            </w:pPr>
            <w:r>
              <w:rPr>
                <w:rFonts w:ascii="Arial" w:cs="Arial" w:eastAsia="Arial" w:hAnsi="Arial"/>
                <w:sz w:val="20"/>
                <w:szCs w:val="20"/>
                <w:b w:val="1"/>
                <w:bCs w:val="1"/>
                <w:color w:val="auto"/>
                <w:w w:val="91"/>
              </w:rPr>
              <w:t>Legal</w:t>
            </w:r>
          </w:p>
        </w:tc>
        <w:tc>
          <w:tcPr>
            <w:tcW w:w="8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10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tcPr>
          <w:p>
            <w:pPr>
              <w:jc w:val="center"/>
              <w:spacing w:after="0"/>
              <w:rPr>
                <w:sz w:val="20"/>
                <w:szCs w:val="20"/>
                <w:color w:val="auto"/>
              </w:rPr>
            </w:pPr>
            <w:r>
              <w:rPr>
                <w:rFonts w:ascii="Arial" w:cs="Arial" w:eastAsia="Arial" w:hAnsi="Arial"/>
                <w:sz w:val="20"/>
                <w:szCs w:val="20"/>
                <w:b w:val="1"/>
                <w:bCs w:val="1"/>
                <w:color w:val="auto"/>
                <w:w w:val="91"/>
              </w:rPr>
              <w:t>Total</w:t>
            </w:r>
          </w:p>
        </w:tc>
        <w:tc>
          <w:tcPr>
            <w:tcW w:w="2300" w:type="dxa"/>
            <w:vAlign w:val="bottom"/>
            <w:gridSpan w:val="3"/>
          </w:tcPr>
          <w:p>
            <w:pPr>
              <w:jc w:val="center"/>
              <w:spacing w:after="0"/>
              <w:rPr>
                <w:sz w:val="20"/>
                <w:szCs w:val="20"/>
                <w:color w:val="auto"/>
              </w:rPr>
            </w:pPr>
            <w:r>
              <w:rPr>
                <w:rFonts w:ascii="Arial" w:cs="Arial" w:eastAsia="Arial" w:hAnsi="Arial"/>
                <w:sz w:val="20"/>
                <w:szCs w:val="20"/>
                <w:b w:val="1"/>
                <w:bCs w:val="1"/>
                <w:color w:val="auto"/>
                <w:w w:val="91"/>
              </w:rPr>
              <w:t>Pattern Potential Actions</w:t>
            </w:r>
          </w:p>
        </w:tc>
        <w:tc>
          <w:tcPr>
            <w:tcW w:w="8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9"/>
        </w:trPr>
        <w:tc>
          <w:tcPr>
            <w:tcW w:w="10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Arial" w:cs="Arial" w:eastAsia="Arial" w:hAnsi="Arial"/>
                <w:sz w:val="20"/>
                <w:szCs w:val="20"/>
                <w:b w:val="1"/>
                <w:bCs w:val="1"/>
                <w:color w:val="auto"/>
                <w:w w:val="85"/>
              </w:rPr>
              <w:t>Section</w:t>
            </w: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center"/>
              <w:ind w:right="81"/>
              <w:spacing w:after="0"/>
              <w:rPr>
                <w:sz w:val="20"/>
                <w:szCs w:val="20"/>
                <w:color w:val="auto"/>
              </w:rPr>
            </w:pPr>
            <w:r>
              <w:rPr>
                <w:rFonts w:ascii="Arial" w:cs="Arial" w:eastAsia="Arial" w:hAnsi="Arial"/>
                <w:sz w:val="20"/>
                <w:szCs w:val="20"/>
                <w:b w:val="1"/>
                <w:bCs w:val="1"/>
                <w:color w:val="auto"/>
                <w:w w:val="91"/>
              </w:rPr>
              <w:t>Total</w:t>
            </w:r>
          </w:p>
        </w:tc>
        <w:tc>
          <w:tcPr>
            <w:tcW w:w="820" w:type="dxa"/>
            <w:vAlign w:val="bottom"/>
          </w:tcPr>
          <w:p>
            <w:pPr>
              <w:jc w:val="center"/>
              <w:spacing w:after="0"/>
              <w:rPr>
                <w:sz w:val="20"/>
                <w:szCs w:val="20"/>
                <w:color w:val="auto"/>
              </w:rPr>
            </w:pPr>
            <w:r>
              <w:rPr>
                <w:rFonts w:ascii="Arial" w:cs="Arial" w:eastAsia="Arial" w:hAnsi="Arial"/>
                <w:sz w:val="20"/>
                <w:szCs w:val="20"/>
                <w:b w:val="1"/>
                <w:bCs w:val="1"/>
                <w:color w:val="auto"/>
                <w:w w:val="95"/>
              </w:rPr>
              <w:t>Number</w:t>
            </w:r>
          </w:p>
        </w:tc>
        <w:tc>
          <w:tcPr>
            <w:tcW w:w="800" w:type="dxa"/>
            <w:vAlign w:val="bottom"/>
          </w:tcPr>
          <w:p>
            <w:pPr>
              <w:jc w:val="center"/>
              <w:spacing w:after="0"/>
              <w:rPr>
                <w:sz w:val="20"/>
                <w:szCs w:val="20"/>
                <w:color w:val="auto"/>
              </w:rPr>
            </w:pPr>
            <w:r>
              <w:rPr>
                <w:rFonts w:ascii="Arial" w:cs="Arial" w:eastAsia="Arial" w:hAnsi="Arial"/>
                <w:sz w:val="20"/>
                <w:szCs w:val="20"/>
                <w:b w:val="1"/>
                <w:bCs w:val="1"/>
                <w:color w:val="auto"/>
                <w:w w:val="84"/>
              </w:rPr>
              <w:t>of</w:t>
            </w:r>
          </w:p>
        </w:tc>
        <w:tc>
          <w:tcPr>
            <w:tcW w:w="1500" w:type="dxa"/>
            <w:vAlign w:val="bottom"/>
            <w:gridSpan w:val="2"/>
          </w:tcPr>
          <w:p>
            <w:pPr>
              <w:ind w:left="80"/>
              <w:spacing w:after="0"/>
              <w:rPr>
                <w:sz w:val="20"/>
                <w:szCs w:val="20"/>
                <w:color w:val="auto"/>
              </w:rPr>
            </w:pPr>
            <w:r>
              <w:rPr>
                <w:rFonts w:ascii="Arial" w:cs="Arial" w:eastAsia="Arial" w:hAnsi="Arial"/>
                <w:sz w:val="20"/>
                <w:szCs w:val="20"/>
                <w:b w:val="1"/>
                <w:bCs w:val="1"/>
                <w:color w:val="auto"/>
                <w:w w:val="90"/>
              </w:rPr>
              <w:t>to have Pending</w:t>
            </w:r>
          </w:p>
        </w:tc>
        <w:tc>
          <w:tcPr>
            <w:tcW w:w="820" w:type="dxa"/>
            <w:vAlign w:val="bottom"/>
          </w:tcPr>
          <w:p>
            <w:pPr>
              <w:jc w:val="center"/>
              <w:spacing w:after="0"/>
              <w:rPr>
                <w:sz w:val="20"/>
                <w:szCs w:val="20"/>
                <w:color w:val="auto"/>
              </w:rPr>
            </w:pPr>
            <w:r>
              <w:rPr>
                <w:rFonts w:ascii="Arial" w:cs="Arial" w:eastAsia="Arial" w:hAnsi="Arial"/>
                <w:sz w:val="20"/>
                <w:szCs w:val="20"/>
                <w:b w:val="1"/>
                <w:bCs w:val="1"/>
                <w:color w:val="auto"/>
                <w:w w:val="91"/>
              </w:rPr>
              <w:t>Legal</w:t>
            </w:r>
          </w:p>
        </w:tc>
        <w:tc>
          <w:tcPr>
            <w:tcW w:w="820" w:type="dxa"/>
            <w:vAlign w:val="bottom"/>
          </w:tcPr>
          <w:p>
            <w:pPr>
              <w:jc w:val="center"/>
              <w:spacing w:after="0"/>
              <w:rPr>
                <w:sz w:val="20"/>
                <w:szCs w:val="20"/>
                <w:color w:val="auto"/>
              </w:rPr>
            </w:pPr>
            <w:r>
              <w:rPr>
                <w:rFonts w:ascii="Arial" w:cs="Arial" w:eastAsia="Arial" w:hAnsi="Arial"/>
                <w:sz w:val="20"/>
                <w:szCs w:val="20"/>
                <w:b w:val="1"/>
                <w:bCs w:val="1"/>
                <w:color w:val="auto"/>
                <w:w w:val="91"/>
              </w:rPr>
              <w:t>Legal</w:t>
            </w:r>
          </w:p>
        </w:tc>
      </w:tr>
      <w:tr>
        <w:trPr>
          <w:trHeight w:val="229"/>
        </w:trPr>
        <w:tc>
          <w:tcPr>
            <w:tcW w:w="10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Arial" w:cs="Arial" w:eastAsia="Arial" w:hAnsi="Arial"/>
                <w:sz w:val="20"/>
                <w:szCs w:val="20"/>
                <w:b w:val="1"/>
                <w:bCs w:val="1"/>
                <w:color w:val="auto"/>
                <w:w w:val="91"/>
              </w:rPr>
              <w:t>104(d)</w:t>
            </w: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center"/>
              <w:ind w:right="61"/>
              <w:spacing w:after="0"/>
              <w:rPr>
                <w:sz w:val="20"/>
                <w:szCs w:val="20"/>
                <w:color w:val="auto"/>
              </w:rPr>
            </w:pPr>
            <w:r>
              <w:rPr>
                <w:rFonts w:ascii="Arial" w:cs="Arial" w:eastAsia="Arial" w:hAnsi="Arial"/>
                <w:sz w:val="20"/>
                <w:szCs w:val="20"/>
                <w:b w:val="1"/>
                <w:bCs w:val="1"/>
                <w:color w:val="auto"/>
                <w:w w:val="95"/>
              </w:rPr>
              <w:t>Dollar</w:t>
            </w:r>
          </w:p>
        </w:tc>
        <w:tc>
          <w:tcPr>
            <w:tcW w:w="820" w:type="dxa"/>
            <w:vAlign w:val="bottom"/>
          </w:tcPr>
          <w:p>
            <w:pPr>
              <w:jc w:val="center"/>
              <w:spacing w:after="0"/>
              <w:rPr>
                <w:sz w:val="20"/>
                <w:szCs w:val="20"/>
                <w:color w:val="auto"/>
              </w:rPr>
            </w:pPr>
            <w:r>
              <w:rPr>
                <w:rFonts w:ascii="Arial" w:cs="Arial" w:eastAsia="Arial" w:hAnsi="Arial"/>
                <w:sz w:val="20"/>
                <w:szCs w:val="20"/>
                <w:b w:val="1"/>
                <w:bCs w:val="1"/>
                <w:color w:val="auto"/>
                <w:w w:val="84"/>
              </w:rPr>
              <w:t>of</w:t>
            </w:r>
          </w:p>
        </w:tc>
        <w:tc>
          <w:tcPr>
            <w:tcW w:w="1620" w:type="dxa"/>
            <w:vAlign w:val="bottom"/>
            <w:gridSpan w:val="2"/>
          </w:tcPr>
          <w:p>
            <w:pPr>
              <w:ind w:left="20"/>
              <w:spacing w:after="0"/>
              <w:rPr>
                <w:sz w:val="20"/>
                <w:szCs w:val="20"/>
                <w:color w:val="auto"/>
              </w:rPr>
            </w:pPr>
            <w:r>
              <w:rPr>
                <w:rFonts w:ascii="Arial" w:cs="Arial" w:eastAsia="Arial" w:hAnsi="Arial"/>
                <w:sz w:val="20"/>
                <w:szCs w:val="20"/>
                <w:b w:val="1"/>
                <w:bCs w:val="1"/>
                <w:color w:val="auto"/>
                <w:w w:val="99"/>
              </w:rPr>
              <w:t>Violation Pattern</w:t>
            </w:r>
          </w:p>
        </w:tc>
        <w:tc>
          <w:tcPr>
            <w:tcW w:w="680" w:type="dxa"/>
            <w:vAlign w:val="bottom"/>
          </w:tcPr>
          <w:p>
            <w:pPr>
              <w:jc w:val="center"/>
              <w:spacing w:after="0"/>
              <w:rPr>
                <w:sz w:val="20"/>
                <w:szCs w:val="20"/>
                <w:color w:val="auto"/>
              </w:rPr>
            </w:pPr>
            <w:r>
              <w:rPr>
                <w:rFonts w:ascii="Arial" w:cs="Arial" w:eastAsia="Arial" w:hAnsi="Arial"/>
                <w:sz w:val="20"/>
                <w:szCs w:val="20"/>
                <w:b w:val="1"/>
                <w:bCs w:val="1"/>
                <w:color w:val="auto"/>
                <w:w w:val="85"/>
              </w:rPr>
              <w:t>as of</w:t>
            </w:r>
          </w:p>
        </w:tc>
        <w:tc>
          <w:tcPr>
            <w:tcW w:w="820" w:type="dxa"/>
            <w:vAlign w:val="bottom"/>
          </w:tcPr>
          <w:p>
            <w:pPr>
              <w:jc w:val="center"/>
              <w:spacing w:after="0"/>
              <w:rPr>
                <w:sz w:val="20"/>
                <w:szCs w:val="20"/>
                <w:color w:val="auto"/>
              </w:rPr>
            </w:pPr>
            <w:r>
              <w:rPr>
                <w:rFonts w:ascii="Arial" w:cs="Arial" w:eastAsia="Arial" w:hAnsi="Arial"/>
                <w:sz w:val="20"/>
                <w:szCs w:val="20"/>
                <w:b w:val="1"/>
                <w:bCs w:val="1"/>
                <w:color w:val="auto"/>
                <w:w w:val="87"/>
              </w:rPr>
              <w:t>Actions</w:t>
            </w:r>
          </w:p>
        </w:tc>
        <w:tc>
          <w:tcPr>
            <w:tcW w:w="820" w:type="dxa"/>
            <w:vAlign w:val="bottom"/>
          </w:tcPr>
          <w:p>
            <w:pPr>
              <w:jc w:val="center"/>
              <w:spacing w:after="0"/>
              <w:rPr>
                <w:sz w:val="20"/>
                <w:szCs w:val="20"/>
                <w:color w:val="auto"/>
              </w:rPr>
            </w:pPr>
            <w:r>
              <w:rPr>
                <w:rFonts w:ascii="Arial" w:cs="Arial" w:eastAsia="Arial" w:hAnsi="Arial"/>
                <w:sz w:val="20"/>
                <w:szCs w:val="20"/>
                <w:b w:val="1"/>
                <w:bCs w:val="1"/>
                <w:color w:val="auto"/>
                <w:w w:val="87"/>
              </w:rPr>
              <w:t>Actions</w:t>
            </w:r>
          </w:p>
        </w:tc>
      </w:tr>
      <w:tr>
        <w:trPr>
          <w:trHeight w:val="230"/>
        </w:trPr>
        <w:tc>
          <w:tcPr>
            <w:tcW w:w="10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20" w:type="dxa"/>
            <w:vAlign w:val="bottom"/>
            <w:gridSpan w:val="3"/>
          </w:tcPr>
          <w:p>
            <w:pPr>
              <w:ind w:left="80"/>
              <w:spacing w:after="0"/>
              <w:rPr>
                <w:sz w:val="20"/>
                <w:szCs w:val="20"/>
                <w:color w:val="auto"/>
              </w:rPr>
            </w:pPr>
            <w:r>
              <w:rPr>
                <w:rFonts w:ascii="Arial" w:cs="Arial" w:eastAsia="Arial" w:hAnsi="Arial"/>
                <w:sz w:val="20"/>
                <w:szCs w:val="20"/>
                <w:b w:val="1"/>
                <w:bCs w:val="1"/>
                <w:color w:val="auto"/>
                <w:w w:val="87"/>
              </w:rPr>
              <w:t>Section Section Citations</w:t>
            </w:r>
          </w:p>
        </w:tc>
        <w:tc>
          <w:tcPr>
            <w:tcW w:w="800" w:type="dxa"/>
            <w:vAlign w:val="bottom"/>
          </w:tcPr>
          <w:p>
            <w:pPr>
              <w:ind w:left="120"/>
              <w:spacing w:after="0"/>
              <w:rPr>
                <w:sz w:val="20"/>
                <w:szCs w:val="20"/>
                <w:color w:val="auto"/>
              </w:rPr>
            </w:pPr>
            <w:r>
              <w:rPr>
                <w:rFonts w:ascii="Arial" w:cs="Arial" w:eastAsia="Arial" w:hAnsi="Arial"/>
                <w:sz w:val="20"/>
                <w:szCs w:val="20"/>
                <w:b w:val="1"/>
                <w:bCs w:val="1"/>
                <w:color w:val="auto"/>
                <w:w w:val="91"/>
              </w:rPr>
              <w:t>Section</w:t>
            </w:r>
          </w:p>
        </w:tc>
        <w:tc>
          <w:tcPr>
            <w:tcW w:w="740" w:type="dxa"/>
            <w:vAlign w:val="bottom"/>
          </w:tcPr>
          <w:p>
            <w:pPr>
              <w:jc w:val="right"/>
              <w:spacing w:after="0"/>
              <w:rPr>
                <w:sz w:val="20"/>
                <w:szCs w:val="20"/>
                <w:color w:val="auto"/>
              </w:rPr>
            </w:pPr>
            <w:r>
              <w:rPr>
                <w:rFonts w:ascii="Arial" w:cs="Arial" w:eastAsia="Arial" w:hAnsi="Arial"/>
                <w:sz w:val="20"/>
                <w:szCs w:val="20"/>
                <w:b w:val="1"/>
                <w:bCs w:val="1"/>
                <w:color w:val="auto"/>
                <w:w w:val="94"/>
              </w:rPr>
              <w:t>Section</w:t>
            </w:r>
          </w:p>
        </w:tc>
        <w:tc>
          <w:tcPr>
            <w:tcW w:w="160" w:type="dxa"/>
            <w:vAlign w:val="bottom"/>
          </w:tcPr>
          <w:p>
            <w:pPr>
              <w:spacing w:after="0"/>
              <w:rPr>
                <w:sz w:val="19"/>
                <w:szCs w:val="19"/>
                <w:color w:val="auto"/>
              </w:rPr>
            </w:pPr>
          </w:p>
        </w:tc>
        <w:tc>
          <w:tcPr>
            <w:tcW w:w="940" w:type="dxa"/>
            <w:vAlign w:val="bottom"/>
          </w:tcPr>
          <w:p>
            <w:pPr>
              <w:jc w:val="center"/>
              <w:ind w:right="81"/>
              <w:spacing w:after="0"/>
              <w:rPr>
                <w:sz w:val="20"/>
                <w:szCs w:val="20"/>
                <w:color w:val="auto"/>
              </w:rPr>
            </w:pPr>
            <w:r>
              <w:rPr>
                <w:rFonts w:ascii="Arial" w:cs="Arial" w:eastAsia="Arial" w:hAnsi="Arial"/>
                <w:sz w:val="20"/>
                <w:szCs w:val="20"/>
                <w:b w:val="1"/>
                <w:bCs w:val="1"/>
                <w:color w:val="auto"/>
                <w:w w:val="87"/>
              </w:rPr>
              <w:t>Value of</w:t>
            </w:r>
          </w:p>
        </w:tc>
        <w:tc>
          <w:tcPr>
            <w:tcW w:w="820" w:type="dxa"/>
            <w:vAlign w:val="bottom"/>
          </w:tcPr>
          <w:p>
            <w:pPr>
              <w:jc w:val="center"/>
              <w:spacing w:after="0"/>
              <w:rPr>
                <w:sz w:val="20"/>
                <w:szCs w:val="20"/>
                <w:color w:val="auto"/>
              </w:rPr>
            </w:pPr>
            <w:r>
              <w:rPr>
                <w:rFonts w:ascii="Arial" w:cs="Arial" w:eastAsia="Arial" w:hAnsi="Arial"/>
                <w:sz w:val="20"/>
                <w:szCs w:val="20"/>
                <w:b w:val="1"/>
                <w:bCs w:val="1"/>
                <w:color w:val="auto"/>
                <w:w w:val="93"/>
              </w:rPr>
              <w:t>Mining</w:t>
            </w:r>
          </w:p>
        </w:tc>
        <w:tc>
          <w:tcPr>
            <w:tcW w:w="800" w:type="dxa"/>
            <w:vAlign w:val="bottom"/>
          </w:tcPr>
          <w:p>
            <w:pPr>
              <w:jc w:val="center"/>
              <w:spacing w:after="0"/>
              <w:rPr>
                <w:sz w:val="20"/>
                <w:szCs w:val="20"/>
                <w:color w:val="auto"/>
              </w:rPr>
            </w:pPr>
            <w:r>
              <w:rPr>
                <w:rFonts w:ascii="Arial" w:cs="Arial" w:eastAsia="Arial" w:hAnsi="Arial"/>
                <w:sz w:val="20"/>
                <w:szCs w:val="20"/>
                <w:b w:val="1"/>
                <w:bCs w:val="1"/>
                <w:color w:val="auto"/>
                <w:w w:val="93"/>
              </w:rPr>
              <w:t>Under</w:t>
            </w:r>
          </w:p>
        </w:tc>
        <w:tc>
          <w:tcPr>
            <w:tcW w:w="820" w:type="dxa"/>
            <w:vAlign w:val="bottom"/>
          </w:tcPr>
          <w:p>
            <w:pPr>
              <w:jc w:val="center"/>
              <w:spacing w:after="0"/>
              <w:rPr>
                <w:sz w:val="20"/>
                <w:szCs w:val="20"/>
                <w:color w:val="auto"/>
              </w:rPr>
            </w:pPr>
            <w:r>
              <w:rPr>
                <w:rFonts w:ascii="Arial" w:cs="Arial" w:eastAsia="Arial" w:hAnsi="Arial"/>
                <w:sz w:val="20"/>
                <w:szCs w:val="20"/>
                <w:b w:val="1"/>
                <w:bCs w:val="1"/>
                <w:color w:val="auto"/>
                <w:w w:val="89"/>
              </w:rPr>
              <w:t>under</w:t>
            </w:r>
          </w:p>
        </w:tc>
        <w:tc>
          <w:tcPr>
            <w:tcW w:w="680" w:type="dxa"/>
            <w:vAlign w:val="bottom"/>
          </w:tcPr>
          <w:p>
            <w:pPr>
              <w:jc w:val="center"/>
              <w:spacing w:after="0"/>
              <w:rPr>
                <w:sz w:val="20"/>
                <w:szCs w:val="20"/>
                <w:color w:val="auto"/>
              </w:rPr>
            </w:pPr>
            <w:r>
              <w:rPr>
                <w:rFonts w:ascii="Arial" w:cs="Arial" w:eastAsia="Arial" w:hAnsi="Arial"/>
                <w:sz w:val="20"/>
                <w:szCs w:val="20"/>
                <w:b w:val="1"/>
                <w:bCs w:val="1"/>
                <w:color w:val="auto"/>
                <w:w w:val="92"/>
              </w:rPr>
              <w:t>Last</w:t>
            </w:r>
          </w:p>
        </w:tc>
        <w:tc>
          <w:tcPr>
            <w:tcW w:w="1640" w:type="dxa"/>
            <w:vAlign w:val="bottom"/>
            <w:gridSpan w:val="2"/>
          </w:tcPr>
          <w:p>
            <w:pPr>
              <w:spacing w:after="0"/>
              <w:rPr>
                <w:sz w:val="20"/>
                <w:szCs w:val="20"/>
                <w:color w:val="auto"/>
              </w:rPr>
            </w:pPr>
            <w:r>
              <w:rPr>
                <w:rFonts w:ascii="Arial" w:cs="Arial" w:eastAsia="Arial" w:hAnsi="Arial"/>
                <w:sz w:val="20"/>
                <w:szCs w:val="20"/>
                <w:b w:val="1"/>
                <w:bCs w:val="1"/>
                <w:color w:val="auto"/>
                <w:w w:val="87"/>
              </w:rPr>
              <w:t>Instituted Resolved</w:t>
            </w:r>
          </w:p>
        </w:tc>
      </w:tr>
      <w:tr>
        <w:trPr>
          <w:trHeight w:val="229"/>
        </w:trPr>
        <w:tc>
          <w:tcPr>
            <w:tcW w:w="10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60" w:type="dxa"/>
            <w:vAlign w:val="bottom"/>
            <w:gridSpan w:val="2"/>
          </w:tcPr>
          <w:p>
            <w:pPr>
              <w:ind w:left="20"/>
              <w:spacing w:after="0"/>
              <w:rPr>
                <w:sz w:val="20"/>
                <w:szCs w:val="20"/>
                <w:color w:val="auto"/>
              </w:rPr>
            </w:pPr>
            <w:r>
              <w:rPr>
                <w:rFonts w:ascii="Arial" w:cs="Arial" w:eastAsia="Arial" w:hAnsi="Arial"/>
                <w:sz w:val="20"/>
                <w:szCs w:val="20"/>
                <w:b w:val="1"/>
                <w:bCs w:val="1"/>
                <w:color w:val="auto"/>
                <w:w w:val="98"/>
              </w:rPr>
              <w:t>104 S&amp;S 104(b)</w:t>
            </w:r>
          </w:p>
        </w:tc>
        <w:tc>
          <w:tcPr>
            <w:tcW w:w="760" w:type="dxa"/>
            <w:vAlign w:val="bottom"/>
          </w:tcPr>
          <w:p>
            <w:pPr>
              <w:jc w:val="center"/>
              <w:spacing w:after="0"/>
              <w:rPr>
                <w:sz w:val="20"/>
                <w:szCs w:val="20"/>
                <w:color w:val="auto"/>
              </w:rPr>
            </w:pPr>
            <w:r>
              <w:rPr>
                <w:rFonts w:ascii="Arial" w:cs="Arial" w:eastAsia="Arial" w:hAnsi="Arial"/>
                <w:sz w:val="20"/>
                <w:szCs w:val="20"/>
                <w:b w:val="1"/>
                <w:bCs w:val="1"/>
                <w:color w:val="auto"/>
                <w:w w:val="89"/>
              </w:rPr>
              <w:t>and</w:t>
            </w:r>
          </w:p>
        </w:tc>
        <w:tc>
          <w:tcPr>
            <w:tcW w:w="1540" w:type="dxa"/>
            <w:vAlign w:val="bottom"/>
            <w:gridSpan w:val="2"/>
          </w:tcPr>
          <w:p>
            <w:pPr>
              <w:jc w:val="right"/>
              <w:ind w:right="1"/>
              <w:spacing w:after="0"/>
              <w:rPr>
                <w:sz w:val="20"/>
                <w:szCs w:val="20"/>
                <w:color w:val="auto"/>
              </w:rPr>
            </w:pPr>
            <w:r>
              <w:rPr>
                <w:rFonts w:ascii="Arial" w:cs="Arial" w:eastAsia="Arial" w:hAnsi="Arial"/>
                <w:sz w:val="20"/>
                <w:szCs w:val="20"/>
                <w:b w:val="1"/>
                <w:bCs w:val="1"/>
                <w:color w:val="auto"/>
                <w:w w:val="96"/>
              </w:rPr>
              <w:t>110(b)(2) 107(a)</w:t>
            </w:r>
          </w:p>
        </w:tc>
        <w:tc>
          <w:tcPr>
            <w:tcW w:w="160" w:type="dxa"/>
            <w:vAlign w:val="bottom"/>
          </w:tcPr>
          <w:p>
            <w:pPr>
              <w:spacing w:after="0"/>
              <w:rPr>
                <w:sz w:val="19"/>
                <w:szCs w:val="19"/>
                <w:color w:val="auto"/>
              </w:rPr>
            </w:pPr>
          </w:p>
        </w:tc>
        <w:tc>
          <w:tcPr>
            <w:tcW w:w="940" w:type="dxa"/>
            <w:vAlign w:val="bottom"/>
          </w:tcPr>
          <w:p>
            <w:pPr>
              <w:jc w:val="center"/>
              <w:ind w:right="81"/>
              <w:spacing w:after="0"/>
              <w:rPr>
                <w:sz w:val="20"/>
                <w:szCs w:val="20"/>
                <w:color w:val="auto"/>
              </w:rPr>
            </w:pPr>
            <w:r>
              <w:rPr>
                <w:rFonts w:ascii="Arial" w:cs="Arial" w:eastAsia="Arial" w:hAnsi="Arial"/>
                <w:sz w:val="20"/>
                <w:szCs w:val="20"/>
                <w:b w:val="1"/>
                <w:bCs w:val="1"/>
                <w:color w:val="auto"/>
              </w:rPr>
              <w:t>MSHA</w:t>
            </w:r>
          </w:p>
        </w:tc>
        <w:tc>
          <w:tcPr>
            <w:tcW w:w="820" w:type="dxa"/>
            <w:vAlign w:val="bottom"/>
          </w:tcPr>
          <w:p>
            <w:pPr>
              <w:jc w:val="center"/>
              <w:spacing w:after="0"/>
              <w:rPr>
                <w:sz w:val="20"/>
                <w:szCs w:val="20"/>
                <w:color w:val="auto"/>
              </w:rPr>
            </w:pPr>
            <w:r>
              <w:rPr>
                <w:rFonts w:ascii="Arial" w:cs="Arial" w:eastAsia="Arial" w:hAnsi="Arial"/>
                <w:sz w:val="20"/>
                <w:szCs w:val="20"/>
                <w:b w:val="1"/>
                <w:bCs w:val="1"/>
                <w:color w:val="auto"/>
                <w:w w:val="88"/>
              </w:rPr>
              <w:t>Related</w:t>
            </w:r>
          </w:p>
        </w:tc>
        <w:tc>
          <w:tcPr>
            <w:tcW w:w="800" w:type="dxa"/>
            <w:vAlign w:val="bottom"/>
          </w:tcPr>
          <w:p>
            <w:pPr>
              <w:jc w:val="center"/>
              <w:spacing w:after="0"/>
              <w:rPr>
                <w:sz w:val="20"/>
                <w:szCs w:val="20"/>
                <w:color w:val="auto"/>
              </w:rPr>
            </w:pPr>
            <w:r>
              <w:rPr>
                <w:rFonts w:ascii="Arial" w:cs="Arial" w:eastAsia="Arial" w:hAnsi="Arial"/>
                <w:sz w:val="20"/>
                <w:szCs w:val="20"/>
                <w:b w:val="1"/>
                <w:bCs w:val="1"/>
                <w:color w:val="auto"/>
                <w:w w:val="85"/>
              </w:rPr>
              <w:t>Section</w:t>
            </w:r>
          </w:p>
        </w:tc>
        <w:tc>
          <w:tcPr>
            <w:tcW w:w="820" w:type="dxa"/>
            <w:vAlign w:val="bottom"/>
          </w:tcPr>
          <w:p>
            <w:pPr>
              <w:jc w:val="center"/>
              <w:spacing w:after="0"/>
              <w:rPr>
                <w:sz w:val="20"/>
                <w:szCs w:val="20"/>
                <w:color w:val="auto"/>
              </w:rPr>
            </w:pPr>
            <w:r>
              <w:rPr>
                <w:rFonts w:ascii="Arial" w:cs="Arial" w:eastAsia="Arial" w:hAnsi="Arial"/>
                <w:sz w:val="20"/>
                <w:szCs w:val="20"/>
                <w:b w:val="1"/>
                <w:bCs w:val="1"/>
                <w:color w:val="auto"/>
                <w:w w:val="85"/>
              </w:rPr>
              <w:t>Section</w:t>
            </w:r>
          </w:p>
        </w:tc>
        <w:tc>
          <w:tcPr>
            <w:tcW w:w="680" w:type="dxa"/>
            <w:vAlign w:val="bottom"/>
          </w:tcPr>
          <w:p>
            <w:pPr>
              <w:jc w:val="center"/>
              <w:spacing w:after="0"/>
              <w:rPr>
                <w:sz w:val="20"/>
                <w:szCs w:val="20"/>
                <w:color w:val="auto"/>
              </w:rPr>
            </w:pPr>
            <w:r>
              <w:rPr>
                <w:rFonts w:ascii="Arial" w:cs="Arial" w:eastAsia="Arial" w:hAnsi="Arial"/>
                <w:sz w:val="20"/>
                <w:szCs w:val="20"/>
                <w:b w:val="1"/>
                <w:bCs w:val="1"/>
                <w:color w:val="auto"/>
                <w:w w:val="91"/>
              </w:rPr>
              <w:t>Day of</w:t>
            </w:r>
          </w:p>
        </w:tc>
        <w:tc>
          <w:tcPr>
            <w:tcW w:w="820" w:type="dxa"/>
            <w:vAlign w:val="bottom"/>
          </w:tcPr>
          <w:p>
            <w:pPr>
              <w:jc w:val="center"/>
              <w:spacing w:after="0"/>
              <w:rPr>
                <w:sz w:val="20"/>
                <w:szCs w:val="20"/>
                <w:color w:val="auto"/>
              </w:rPr>
            </w:pPr>
            <w:r>
              <w:rPr>
                <w:rFonts w:ascii="Arial" w:cs="Arial" w:eastAsia="Arial" w:hAnsi="Arial"/>
                <w:sz w:val="20"/>
                <w:szCs w:val="20"/>
                <w:b w:val="1"/>
                <w:bCs w:val="1"/>
                <w:color w:val="auto"/>
                <w:w w:val="93"/>
              </w:rPr>
              <w:t>During</w:t>
            </w:r>
          </w:p>
        </w:tc>
        <w:tc>
          <w:tcPr>
            <w:tcW w:w="820" w:type="dxa"/>
            <w:vAlign w:val="bottom"/>
          </w:tcPr>
          <w:p>
            <w:pPr>
              <w:jc w:val="center"/>
              <w:spacing w:after="0"/>
              <w:rPr>
                <w:sz w:val="20"/>
                <w:szCs w:val="20"/>
                <w:color w:val="auto"/>
              </w:rPr>
            </w:pPr>
            <w:r>
              <w:rPr>
                <w:rFonts w:ascii="Arial" w:cs="Arial" w:eastAsia="Arial" w:hAnsi="Arial"/>
                <w:sz w:val="20"/>
                <w:szCs w:val="20"/>
                <w:b w:val="1"/>
                <w:bCs w:val="1"/>
                <w:color w:val="auto"/>
                <w:w w:val="93"/>
              </w:rPr>
              <w:t>During</w:t>
            </w:r>
          </w:p>
        </w:tc>
      </w:tr>
      <w:tr>
        <w:trPr>
          <w:trHeight w:val="230"/>
        </w:trPr>
        <w:tc>
          <w:tcPr>
            <w:tcW w:w="1000" w:type="dxa"/>
            <w:vAlign w:val="bottom"/>
          </w:tcPr>
          <w:p>
            <w:pPr>
              <w:spacing w:after="0"/>
              <w:rPr>
                <w:sz w:val="19"/>
                <w:szCs w:val="19"/>
                <w:color w:val="auto"/>
              </w:rPr>
            </w:pPr>
          </w:p>
        </w:tc>
        <w:tc>
          <w:tcPr>
            <w:tcW w:w="2180" w:type="dxa"/>
            <w:vAlign w:val="bottom"/>
            <w:gridSpan w:val="3"/>
          </w:tcPr>
          <w:p>
            <w:pPr>
              <w:ind w:left="60"/>
              <w:spacing w:after="0"/>
              <w:rPr>
                <w:sz w:val="20"/>
                <w:szCs w:val="20"/>
                <w:color w:val="auto"/>
              </w:rPr>
            </w:pPr>
            <w:r>
              <w:rPr>
                <w:rFonts w:ascii="Arial" w:cs="Arial" w:eastAsia="Arial" w:hAnsi="Arial"/>
                <w:sz w:val="20"/>
                <w:szCs w:val="20"/>
                <w:b w:val="1"/>
                <w:bCs w:val="1"/>
                <w:color w:val="auto"/>
                <w:w w:val="94"/>
              </w:rPr>
              <w:t>MSHA Citations Orders</w:t>
            </w:r>
          </w:p>
        </w:tc>
        <w:tc>
          <w:tcPr>
            <w:tcW w:w="760" w:type="dxa"/>
            <w:vAlign w:val="bottom"/>
          </w:tcPr>
          <w:p>
            <w:pPr>
              <w:jc w:val="center"/>
              <w:spacing w:after="0"/>
              <w:rPr>
                <w:sz w:val="20"/>
                <w:szCs w:val="20"/>
                <w:color w:val="auto"/>
              </w:rPr>
            </w:pPr>
            <w:r>
              <w:rPr>
                <w:rFonts w:ascii="Arial" w:cs="Arial" w:eastAsia="Arial" w:hAnsi="Arial"/>
                <w:sz w:val="20"/>
                <w:szCs w:val="20"/>
                <w:b w:val="1"/>
                <w:bCs w:val="1"/>
                <w:color w:val="auto"/>
                <w:w w:val="91"/>
              </w:rPr>
              <w:t>Orders</w:t>
            </w:r>
          </w:p>
        </w:tc>
        <w:tc>
          <w:tcPr>
            <w:tcW w:w="1540" w:type="dxa"/>
            <w:vAlign w:val="bottom"/>
            <w:gridSpan w:val="2"/>
          </w:tcPr>
          <w:p>
            <w:pPr>
              <w:jc w:val="right"/>
              <w:spacing w:after="0"/>
              <w:rPr>
                <w:sz w:val="20"/>
                <w:szCs w:val="20"/>
                <w:color w:val="auto"/>
              </w:rPr>
            </w:pPr>
            <w:r>
              <w:rPr>
                <w:rFonts w:ascii="Arial" w:cs="Arial" w:eastAsia="Arial" w:hAnsi="Arial"/>
                <w:sz w:val="20"/>
                <w:szCs w:val="20"/>
                <w:b w:val="1"/>
                <w:bCs w:val="1"/>
                <w:color w:val="auto"/>
                <w:w w:val="87"/>
              </w:rPr>
              <w:t>Violations Orders</w:t>
            </w:r>
          </w:p>
        </w:tc>
        <w:tc>
          <w:tcPr>
            <w:tcW w:w="1920" w:type="dxa"/>
            <w:vAlign w:val="bottom"/>
            <w:gridSpan w:val="3"/>
          </w:tcPr>
          <w:p>
            <w:pPr>
              <w:ind w:left="40"/>
              <w:spacing w:after="0"/>
              <w:rPr>
                <w:sz w:val="20"/>
                <w:szCs w:val="20"/>
                <w:color w:val="auto"/>
              </w:rPr>
            </w:pPr>
            <w:r>
              <w:rPr>
                <w:rFonts w:ascii="Arial" w:cs="Arial" w:eastAsia="Arial" w:hAnsi="Arial"/>
                <w:sz w:val="20"/>
                <w:szCs w:val="20"/>
                <w:b w:val="1"/>
                <w:bCs w:val="1"/>
                <w:color w:val="auto"/>
                <w:w w:val="86"/>
              </w:rPr>
              <w:t>Assessment/ Fatalities</w:t>
            </w:r>
          </w:p>
        </w:tc>
        <w:tc>
          <w:tcPr>
            <w:tcW w:w="800" w:type="dxa"/>
            <w:vAlign w:val="bottom"/>
          </w:tcPr>
          <w:p>
            <w:pPr>
              <w:jc w:val="center"/>
              <w:spacing w:after="0"/>
              <w:rPr>
                <w:sz w:val="20"/>
                <w:szCs w:val="20"/>
                <w:color w:val="auto"/>
              </w:rPr>
            </w:pPr>
            <w:r>
              <w:rPr>
                <w:rFonts w:ascii="Arial" w:cs="Arial" w:eastAsia="Arial" w:hAnsi="Arial"/>
                <w:sz w:val="20"/>
                <w:szCs w:val="20"/>
                <w:b w:val="1"/>
                <w:bCs w:val="1"/>
                <w:color w:val="auto"/>
                <w:w w:val="89"/>
              </w:rPr>
              <w:t>104(e)</w:t>
            </w:r>
          </w:p>
        </w:tc>
        <w:tc>
          <w:tcPr>
            <w:tcW w:w="820" w:type="dxa"/>
            <w:vAlign w:val="bottom"/>
          </w:tcPr>
          <w:p>
            <w:pPr>
              <w:jc w:val="center"/>
              <w:spacing w:after="0"/>
              <w:rPr>
                <w:sz w:val="20"/>
                <w:szCs w:val="20"/>
                <w:color w:val="auto"/>
              </w:rPr>
            </w:pPr>
            <w:r>
              <w:rPr>
                <w:rFonts w:ascii="Arial" w:cs="Arial" w:eastAsia="Arial" w:hAnsi="Arial"/>
                <w:sz w:val="20"/>
                <w:szCs w:val="20"/>
                <w:b w:val="1"/>
                <w:bCs w:val="1"/>
                <w:color w:val="auto"/>
                <w:w w:val="89"/>
              </w:rPr>
              <w:t>104(e)</w:t>
            </w:r>
          </w:p>
        </w:tc>
        <w:tc>
          <w:tcPr>
            <w:tcW w:w="680" w:type="dxa"/>
            <w:vAlign w:val="bottom"/>
          </w:tcPr>
          <w:p>
            <w:pPr>
              <w:jc w:val="center"/>
              <w:spacing w:after="0"/>
              <w:rPr>
                <w:sz w:val="20"/>
                <w:szCs w:val="20"/>
                <w:color w:val="auto"/>
              </w:rPr>
            </w:pPr>
            <w:r>
              <w:rPr>
                <w:rFonts w:ascii="Arial" w:cs="Arial" w:eastAsia="Arial" w:hAnsi="Arial"/>
                <w:sz w:val="20"/>
                <w:szCs w:val="20"/>
                <w:b w:val="1"/>
                <w:bCs w:val="1"/>
                <w:color w:val="auto"/>
                <w:w w:val="89"/>
              </w:rPr>
              <w:t>Period</w:t>
            </w:r>
          </w:p>
        </w:tc>
        <w:tc>
          <w:tcPr>
            <w:tcW w:w="820" w:type="dxa"/>
            <w:vAlign w:val="bottom"/>
          </w:tcPr>
          <w:p>
            <w:pPr>
              <w:jc w:val="center"/>
              <w:spacing w:after="0"/>
              <w:rPr>
                <w:sz w:val="20"/>
                <w:szCs w:val="20"/>
                <w:color w:val="auto"/>
              </w:rPr>
            </w:pPr>
            <w:r>
              <w:rPr>
                <w:rFonts w:ascii="Arial" w:cs="Arial" w:eastAsia="Arial" w:hAnsi="Arial"/>
                <w:sz w:val="20"/>
                <w:szCs w:val="20"/>
                <w:b w:val="1"/>
                <w:bCs w:val="1"/>
                <w:color w:val="auto"/>
                <w:w w:val="89"/>
              </w:rPr>
              <w:t>Period</w:t>
            </w:r>
          </w:p>
        </w:tc>
        <w:tc>
          <w:tcPr>
            <w:tcW w:w="820" w:type="dxa"/>
            <w:vAlign w:val="bottom"/>
          </w:tcPr>
          <w:p>
            <w:pPr>
              <w:jc w:val="center"/>
              <w:spacing w:after="0"/>
              <w:rPr>
                <w:sz w:val="20"/>
                <w:szCs w:val="20"/>
                <w:color w:val="auto"/>
              </w:rPr>
            </w:pPr>
            <w:r>
              <w:rPr>
                <w:rFonts w:ascii="Arial" w:cs="Arial" w:eastAsia="Arial" w:hAnsi="Arial"/>
                <w:sz w:val="20"/>
                <w:szCs w:val="20"/>
                <w:b w:val="1"/>
                <w:bCs w:val="1"/>
                <w:color w:val="auto"/>
                <w:w w:val="89"/>
              </w:rPr>
              <w:t>Period</w:t>
            </w:r>
          </w:p>
        </w:tc>
      </w:tr>
      <w:tr>
        <w:trPr>
          <w:trHeight w:val="252"/>
        </w:trPr>
        <w:tc>
          <w:tcPr>
            <w:tcW w:w="1000" w:type="dxa"/>
            <w:vAlign w:val="bottom"/>
          </w:tcPr>
          <w:p>
            <w:pPr>
              <w:ind w:left="120"/>
              <w:spacing w:after="0"/>
              <w:rPr>
                <w:sz w:val="20"/>
                <w:szCs w:val="20"/>
                <w:color w:val="auto"/>
              </w:rPr>
            </w:pPr>
            <w:r>
              <w:rPr>
                <w:rFonts w:ascii="Arial" w:cs="Arial" w:eastAsia="Arial" w:hAnsi="Arial"/>
                <w:sz w:val="20"/>
                <w:szCs w:val="20"/>
                <w:b w:val="1"/>
                <w:bCs w:val="1"/>
                <w:color w:val="auto"/>
              </w:rPr>
              <w:t>Location</w:t>
            </w:r>
          </w:p>
        </w:tc>
        <w:tc>
          <w:tcPr>
            <w:tcW w:w="720" w:type="dxa"/>
            <w:vAlign w:val="bottom"/>
          </w:tcPr>
          <w:p>
            <w:pPr>
              <w:jc w:val="center"/>
              <w:spacing w:after="0"/>
              <w:rPr>
                <w:sz w:val="20"/>
                <w:szCs w:val="20"/>
                <w:color w:val="auto"/>
              </w:rPr>
            </w:pPr>
            <w:r>
              <w:rPr>
                <w:rFonts w:ascii="Arial" w:cs="Arial" w:eastAsia="Arial" w:hAnsi="Arial"/>
                <w:sz w:val="20"/>
                <w:szCs w:val="20"/>
                <w:b w:val="1"/>
                <w:bCs w:val="1"/>
                <w:color w:val="auto"/>
              </w:rPr>
              <w:t>ID</w:t>
            </w:r>
          </w:p>
        </w:tc>
        <w:tc>
          <w:tcPr>
            <w:tcW w:w="760" w:type="dxa"/>
            <w:vAlign w:val="bottom"/>
          </w:tcPr>
          <w:p>
            <w:pPr>
              <w:jc w:val="center"/>
              <w:spacing w:after="0"/>
              <w:rPr>
                <w:sz w:val="20"/>
                <w:szCs w:val="20"/>
                <w:color w:val="auto"/>
              </w:rPr>
            </w:pPr>
            <w:r>
              <w:rPr>
                <w:rFonts w:ascii="Arial" w:cs="Arial" w:eastAsia="Arial" w:hAnsi="Arial"/>
                <w:sz w:val="20"/>
                <w:szCs w:val="20"/>
                <w:b w:val="1"/>
                <w:bCs w:val="1"/>
                <w:color w:val="auto"/>
                <w:w w:val="89"/>
              </w:rPr>
              <w:t>(#)</w:t>
            </w:r>
          </w:p>
        </w:tc>
        <w:tc>
          <w:tcPr>
            <w:tcW w:w="700" w:type="dxa"/>
            <w:vAlign w:val="bottom"/>
          </w:tcPr>
          <w:p>
            <w:pPr>
              <w:jc w:val="center"/>
              <w:spacing w:after="0"/>
              <w:rPr>
                <w:sz w:val="20"/>
                <w:szCs w:val="20"/>
                <w:color w:val="auto"/>
              </w:rPr>
            </w:pPr>
            <w:r>
              <w:rPr>
                <w:rFonts w:ascii="Arial" w:cs="Arial" w:eastAsia="Arial" w:hAnsi="Arial"/>
                <w:sz w:val="20"/>
                <w:szCs w:val="20"/>
                <w:b w:val="1"/>
                <w:bCs w:val="1"/>
                <w:color w:val="auto"/>
                <w:w w:val="89"/>
              </w:rPr>
              <w:t>(#)</w:t>
            </w:r>
          </w:p>
        </w:tc>
        <w:tc>
          <w:tcPr>
            <w:tcW w:w="760" w:type="dxa"/>
            <w:vAlign w:val="bottom"/>
          </w:tcPr>
          <w:p>
            <w:pPr>
              <w:jc w:val="center"/>
              <w:spacing w:after="0"/>
              <w:rPr>
                <w:sz w:val="20"/>
                <w:szCs w:val="20"/>
                <w:color w:val="auto"/>
              </w:rPr>
            </w:pPr>
            <w:r>
              <w:rPr>
                <w:rFonts w:ascii="Arial" w:cs="Arial" w:eastAsia="Arial" w:hAnsi="Arial"/>
                <w:sz w:val="20"/>
                <w:szCs w:val="20"/>
                <w:b w:val="1"/>
                <w:bCs w:val="1"/>
                <w:color w:val="auto"/>
                <w:w w:val="97"/>
              </w:rPr>
              <w:t>(#)</w:t>
            </w:r>
          </w:p>
        </w:tc>
        <w:tc>
          <w:tcPr>
            <w:tcW w:w="800" w:type="dxa"/>
            <w:vAlign w:val="bottom"/>
          </w:tcPr>
          <w:p>
            <w:pPr>
              <w:jc w:val="center"/>
              <w:spacing w:after="0"/>
              <w:rPr>
                <w:sz w:val="20"/>
                <w:szCs w:val="20"/>
                <w:color w:val="auto"/>
              </w:rPr>
            </w:pPr>
            <w:r>
              <w:rPr>
                <w:rFonts w:ascii="Arial" w:cs="Arial" w:eastAsia="Arial" w:hAnsi="Arial"/>
                <w:sz w:val="20"/>
                <w:szCs w:val="20"/>
                <w:b w:val="1"/>
                <w:bCs w:val="1"/>
                <w:color w:val="auto"/>
                <w:w w:val="97"/>
              </w:rPr>
              <w:t>(#)</w:t>
            </w:r>
          </w:p>
        </w:tc>
        <w:tc>
          <w:tcPr>
            <w:tcW w:w="740" w:type="dxa"/>
            <w:vAlign w:val="bottom"/>
          </w:tcPr>
          <w:p>
            <w:pPr>
              <w:jc w:val="center"/>
              <w:spacing w:after="0"/>
              <w:rPr>
                <w:sz w:val="20"/>
                <w:szCs w:val="20"/>
                <w:color w:val="auto"/>
              </w:rPr>
            </w:pPr>
            <w:r>
              <w:rPr>
                <w:rFonts w:ascii="Arial" w:cs="Arial" w:eastAsia="Arial" w:hAnsi="Arial"/>
                <w:sz w:val="20"/>
                <w:szCs w:val="20"/>
                <w:b w:val="1"/>
                <w:bCs w:val="1"/>
                <w:color w:val="auto"/>
                <w:w w:val="97"/>
              </w:rPr>
              <w:t>(#)</w:t>
            </w:r>
          </w:p>
        </w:tc>
        <w:tc>
          <w:tcPr>
            <w:tcW w:w="1100" w:type="dxa"/>
            <w:vAlign w:val="bottom"/>
            <w:gridSpan w:val="2"/>
          </w:tcPr>
          <w:p>
            <w:pPr>
              <w:jc w:val="center"/>
              <w:spacing w:after="0"/>
              <w:rPr>
                <w:sz w:val="20"/>
                <w:szCs w:val="20"/>
                <w:color w:val="auto"/>
              </w:rPr>
            </w:pPr>
            <w:r>
              <w:rPr>
                <w:rFonts w:ascii="Arial" w:cs="Arial" w:eastAsia="Arial" w:hAnsi="Arial"/>
                <w:sz w:val="20"/>
                <w:szCs w:val="20"/>
                <w:b w:val="1"/>
                <w:bCs w:val="1"/>
                <w:color w:val="auto"/>
                <w:w w:val="85"/>
              </w:rPr>
              <w:t>$Proposed</w:t>
            </w:r>
          </w:p>
        </w:tc>
        <w:tc>
          <w:tcPr>
            <w:tcW w:w="820" w:type="dxa"/>
            <w:vAlign w:val="bottom"/>
          </w:tcPr>
          <w:p>
            <w:pPr>
              <w:jc w:val="center"/>
              <w:spacing w:after="0"/>
              <w:rPr>
                <w:sz w:val="20"/>
                <w:szCs w:val="20"/>
                <w:color w:val="auto"/>
              </w:rPr>
            </w:pPr>
            <w:r>
              <w:rPr>
                <w:rFonts w:ascii="Arial" w:cs="Arial" w:eastAsia="Arial" w:hAnsi="Arial"/>
                <w:sz w:val="20"/>
                <w:szCs w:val="20"/>
                <w:b w:val="1"/>
                <w:bCs w:val="1"/>
                <w:color w:val="auto"/>
                <w:w w:val="97"/>
              </w:rPr>
              <w:t>(#)</w:t>
            </w:r>
          </w:p>
        </w:tc>
        <w:tc>
          <w:tcPr>
            <w:tcW w:w="800" w:type="dxa"/>
            <w:vAlign w:val="bottom"/>
          </w:tcPr>
          <w:p>
            <w:pPr>
              <w:jc w:val="center"/>
              <w:spacing w:after="0"/>
              <w:rPr>
                <w:sz w:val="20"/>
                <w:szCs w:val="20"/>
                <w:color w:val="auto"/>
              </w:rPr>
            </w:pPr>
            <w:r>
              <w:rPr>
                <w:rFonts w:ascii="Arial" w:cs="Arial" w:eastAsia="Arial" w:hAnsi="Arial"/>
                <w:sz w:val="20"/>
                <w:szCs w:val="20"/>
                <w:b w:val="1"/>
                <w:bCs w:val="1"/>
                <w:color w:val="auto"/>
                <w:w w:val="86"/>
              </w:rPr>
              <w:t>(yes/no)</w:t>
            </w:r>
          </w:p>
        </w:tc>
        <w:tc>
          <w:tcPr>
            <w:tcW w:w="820" w:type="dxa"/>
            <w:vAlign w:val="bottom"/>
          </w:tcPr>
          <w:p>
            <w:pPr>
              <w:jc w:val="center"/>
              <w:spacing w:after="0"/>
              <w:rPr>
                <w:sz w:val="20"/>
                <w:szCs w:val="20"/>
                <w:color w:val="auto"/>
              </w:rPr>
            </w:pPr>
            <w:r>
              <w:rPr>
                <w:rFonts w:ascii="Arial" w:cs="Arial" w:eastAsia="Arial" w:hAnsi="Arial"/>
                <w:sz w:val="20"/>
                <w:szCs w:val="20"/>
                <w:b w:val="1"/>
                <w:bCs w:val="1"/>
                <w:color w:val="auto"/>
                <w:w w:val="86"/>
              </w:rPr>
              <w:t>(yes/no)</w:t>
            </w:r>
          </w:p>
        </w:tc>
        <w:tc>
          <w:tcPr>
            <w:tcW w:w="680" w:type="dxa"/>
            <w:vAlign w:val="bottom"/>
          </w:tcPr>
          <w:p>
            <w:pPr>
              <w:jc w:val="center"/>
              <w:spacing w:after="0"/>
              <w:rPr>
                <w:sz w:val="20"/>
                <w:szCs w:val="20"/>
                <w:color w:val="auto"/>
              </w:rPr>
            </w:pPr>
            <w:r>
              <w:rPr>
                <w:rFonts w:ascii="Arial" w:cs="Arial" w:eastAsia="Arial" w:hAnsi="Arial"/>
                <w:sz w:val="20"/>
                <w:szCs w:val="20"/>
                <w:b w:val="1"/>
                <w:bCs w:val="1"/>
                <w:color w:val="auto"/>
                <w:w w:val="99"/>
              </w:rPr>
              <w:t>(#)*</w:t>
            </w:r>
          </w:p>
        </w:tc>
        <w:tc>
          <w:tcPr>
            <w:tcW w:w="820" w:type="dxa"/>
            <w:vAlign w:val="bottom"/>
          </w:tcPr>
          <w:p>
            <w:pPr>
              <w:jc w:val="center"/>
              <w:spacing w:after="0"/>
              <w:rPr>
                <w:sz w:val="20"/>
                <w:szCs w:val="20"/>
                <w:color w:val="auto"/>
              </w:rPr>
            </w:pPr>
            <w:r>
              <w:rPr>
                <w:rFonts w:ascii="Arial" w:cs="Arial" w:eastAsia="Arial" w:hAnsi="Arial"/>
                <w:sz w:val="20"/>
                <w:szCs w:val="20"/>
                <w:b w:val="1"/>
                <w:bCs w:val="1"/>
                <w:color w:val="auto"/>
                <w:w w:val="97"/>
              </w:rPr>
              <w:t>(#)</w:t>
            </w:r>
          </w:p>
        </w:tc>
        <w:tc>
          <w:tcPr>
            <w:tcW w:w="820" w:type="dxa"/>
            <w:vAlign w:val="bottom"/>
          </w:tcPr>
          <w:p>
            <w:pPr>
              <w:jc w:val="center"/>
              <w:spacing w:after="0"/>
              <w:rPr>
                <w:sz w:val="20"/>
                <w:szCs w:val="20"/>
                <w:color w:val="auto"/>
              </w:rPr>
            </w:pPr>
            <w:r>
              <w:rPr>
                <w:rFonts w:ascii="Arial" w:cs="Arial" w:eastAsia="Arial" w:hAnsi="Arial"/>
                <w:sz w:val="20"/>
                <w:szCs w:val="20"/>
                <w:b w:val="1"/>
                <w:bCs w:val="1"/>
                <w:color w:val="auto"/>
                <w:w w:val="97"/>
              </w:rPr>
              <w:t>(#)</w:t>
            </w:r>
          </w:p>
        </w:tc>
      </w:tr>
      <w:tr>
        <w:trPr>
          <w:trHeight w:val="226"/>
        </w:trPr>
        <w:tc>
          <w:tcPr>
            <w:tcW w:w="100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Alexander</w:t>
            </w: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r>
      <w:tr>
        <w:trPr>
          <w:trHeight w:val="246"/>
        </w:trPr>
        <w:tc>
          <w:tcPr>
            <w:tcW w:w="100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7"/>
              </w:rPr>
              <w:t>3101636</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60" w:type="dxa"/>
            <w:vAlign w:val="bottom"/>
            <w:shd w:val="clear" w:color="auto" w:fill="CFF0FC"/>
          </w:tcPr>
          <w:p>
            <w:pPr>
              <w:ind w:left="40"/>
              <w:spacing w:after="0"/>
              <w:rPr>
                <w:sz w:val="20"/>
                <w:szCs w:val="20"/>
                <w:color w:val="auto"/>
              </w:rPr>
            </w:pPr>
            <w:r>
              <w:rPr>
                <w:rFonts w:ascii="Arial" w:cs="Arial" w:eastAsia="Arial" w:hAnsi="Arial"/>
                <w:sz w:val="20"/>
                <w:szCs w:val="20"/>
                <w:color w:val="auto"/>
                <w:w w:val="8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71"/>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r>
      <w:tr>
        <w:trPr>
          <w:trHeight w:val="226"/>
        </w:trPr>
        <w:tc>
          <w:tcPr>
            <w:tcW w:w="1000" w:type="dxa"/>
            <w:vAlign w:val="bottom"/>
          </w:tcPr>
          <w:p>
            <w:pPr>
              <w:spacing w:after="0" w:line="227" w:lineRule="exact"/>
              <w:rPr>
                <w:sz w:val="20"/>
                <w:szCs w:val="20"/>
                <w:color w:val="auto"/>
              </w:rPr>
            </w:pPr>
            <w:r>
              <w:rPr>
                <w:rFonts w:ascii="Arial" w:cs="Arial" w:eastAsia="Arial" w:hAnsi="Arial"/>
                <w:sz w:val="20"/>
                <w:szCs w:val="20"/>
                <w:color w:val="auto"/>
              </w:rPr>
              <w:t>Amelia</w:t>
            </w: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46"/>
        </w:trPr>
        <w:tc>
          <w:tcPr>
            <w:tcW w:w="1000" w:type="dxa"/>
            <w:vAlign w:val="bottom"/>
          </w:tcPr>
          <w:p>
            <w:pPr>
              <w:spacing w:after="0"/>
              <w:rPr>
                <w:sz w:val="20"/>
                <w:szCs w:val="20"/>
                <w:color w:val="auto"/>
              </w:rPr>
            </w:pPr>
            <w:r>
              <w:rPr>
                <w:rFonts w:ascii="Arial" w:cs="Arial" w:eastAsia="Arial" w:hAnsi="Arial"/>
                <w:sz w:val="20"/>
                <w:szCs w:val="20"/>
                <w:color w:val="auto"/>
              </w:rPr>
              <w:t>Quarry</w:t>
            </w:r>
          </w:p>
        </w:tc>
        <w:tc>
          <w:tcPr>
            <w:tcW w:w="720" w:type="dxa"/>
            <w:vAlign w:val="bottom"/>
          </w:tcPr>
          <w:p>
            <w:pPr>
              <w:jc w:val="center"/>
              <w:spacing w:after="0"/>
              <w:rPr>
                <w:sz w:val="20"/>
                <w:szCs w:val="20"/>
                <w:color w:val="auto"/>
              </w:rPr>
            </w:pPr>
            <w:r>
              <w:rPr>
                <w:rFonts w:ascii="Arial" w:cs="Arial" w:eastAsia="Arial" w:hAnsi="Arial"/>
                <w:sz w:val="20"/>
                <w:szCs w:val="20"/>
                <w:color w:val="auto"/>
                <w:w w:val="87"/>
              </w:rPr>
              <w:t>4407372</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60" w:type="dxa"/>
            <w:vAlign w:val="bottom"/>
          </w:tcPr>
          <w:p>
            <w:pPr>
              <w:ind w:left="40"/>
              <w:spacing w:after="0"/>
              <w:rPr>
                <w:sz w:val="20"/>
                <w:szCs w:val="20"/>
                <w:color w:val="auto"/>
              </w:rPr>
            </w:pPr>
            <w:r>
              <w:rPr>
                <w:rFonts w:ascii="Arial" w:cs="Arial" w:eastAsia="Arial" w:hAnsi="Arial"/>
                <w:sz w:val="20"/>
                <w:szCs w:val="20"/>
                <w:color w:val="auto"/>
                <w:w w:val="89"/>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71"/>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r>
      <w:tr>
        <w:trPr>
          <w:trHeight w:val="226"/>
        </w:trPr>
        <w:tc>
          <w:tcPr>
            <w:tcW w:w="100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American</w:t>
            </w: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r>
      <w:tr>
        <w:trPr>
          <w:trHeight w:val="246"/>
        </w:trPr>
        <w:tc>
          <w:tcPr>
            <w:tcW w:w="1000" w:type="dxa"/>
            <w:vAlign w:val="bottom"/>
            <w:shd w:val="clear" w:color="auto" w:fill="CFF0FC"/>
          </w:tcPr>
          <w:p>
            <w:pPr>
              <w:spacing w:after="0"/>
              <w:rPr>
                <w:sz w:val="20"/>
                <w:szCs w:val="20"/>
                <w:color w:val="auto"/>
              </w:rPr>
            </w:pPr>
            <w:r>
              <w:rPr>
                <w:rFonts w:ascii="Arial" w:cs="Arial" w:eastAsia="Arial" w:hAnsi="Arial"/>
                <w:sz w:val="20"/>
                <w:szCs w:val="20"/>
                <w:color w:val="auto"/>
              </w:rPr>
              <w:t>Stone</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7"/>
              </w:rPr>
              <w:t>3100189</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60" w:type="dxa"/>
            <w:vAlign w:val="bottom"/>
            <w:shd w:val="clear" w:color="auto" w:fill="CFF0FC"/>
          </w:tcPr>
          <w:p>
            <w:pPr>
              <w:ind w:left="40"/>
              <w:spacing w:after="0"/>
              <w:rPr>
                <w:sz w:val="20"/>
                <w:szCs w:val="20"/>
                <w:color w:val="auto"/>
              </w:rPr>
            </w:pPr>
            <w:r>
              <w:rPr>
                <w:rFonts w:ascii="Arial" w:cs="Arial" w:eastAsia="Arial" w:hAnsi="Arial"/>
                <w:sz w:val="20"/>
                <w:szCs w:val="20"/>
                <w:color w:val="auto"/>
                <w:w w:val="8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71"/>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r>
      <w:tr>
        <w:trPr>
          <w:trHeight w:val="226"/>
        </w:trPr>
        <w:tc>
          <w:tcPr>
            <w:tcW w:w="1000" w:type="dxa"/>
            <w:vAlign w:val="bottom"/>
          </w:tcPr>
          <w:p>
            <w:pPr>
              <w:spacing w:after="0" w:line="227" w:lineRule="exact"/>
              <w:rPr>
                <w:sz w:val="20"/>
                <w:szCs w:val="20"/>
                <w:color w:val="auto"/>
              </w:rPr>
            </w:pPr>
            <w:r>
              <w:rPr>
                <w:rFonts w:ascii="Arial" w:cs="Arial" w:eastAsia="Arial" w:hAnsi="Arial"/>
                <w:sz w:val="20"/>
                <w:szCs w:val="20"/>
                <w:color w:val="auto"/>
              </w:rPr>
              <w:t>Anderson</w:t>
            </w: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1000" w:type="dxa"/>
            <w:vAlign w:val="bottom"/>
          </w:tcPr>
          <w:p>
            <w:pPr>
              <w:spacing w:after="0"/>
              <w:rPr>
                <w:sz w:val="20"/>
                <w:szCs w:val="20"/>
                <w:color w:val="auto"/>
              </w:rPr>
            </w:pPr>
            <w:r>
              <w:rPr>
                <w:rFonts w:ascii="Arial" w:cs="Arial" w:eastAsia="Arial" w:hAnsi="Arial"/>
                <w:sz w:val="20"/>
                <w:szCs w:val="20"/>
                <w:color w:val="auto"/>
              </w:rPr>
              <w:t>Creek</w:t>
            </w: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46"/>
        </w:trPr>
        <w:tc>
          <w:tcPr>
            <w:tcW w:w="1000" w:type="dxa"/>
            <w:vAlign w:val="bottom"/>
          </w:tcPr>
          <w:p>
            <w:pPr>
              <w:spacing w:after="0"/>
              <w:rPr>
                <w:sz w:val="20"/>
                <w:szCs w:val="20"/>
                <w:color w:val="auto"/>
              </w:rPr>
            </w:pPr>
            <w:r>
              <w:rPr>
                <w:rFonts w:ascii="Arial" w:cs="Arial" w:eastAsia="Arial" w:hAnsi="Arial"/>
                <w:sz w:val="20"/>
                <w:szCs w:val="20"/>
                <w:color w:val="auto"/>
              </w:rPr>
              <w:t>Quarry</w:t>
            </w:r>
          </w:p>
        </w:tc>
        <w:tc>
          <w:tcPr>
            <w:tcW w:w="720" w:type="dxa"/>
            <w:vAlign w:val="bottom"/>
          </w:tcPr>
          <w:p>
            <w:pPr>
              <w:jc w:val="center"/>
              <w:spacing w:after="0"/>
              <w:rPr>
                <w:sz w:val="20"/>
                <w:szCs w:val="20"/>
                <w:color w:val="auto"/>
              </w:rPr>
            </w:pPr>
            <w:r>
              <w:rPr>
                <w:rFonts w:ascii="Arial" w:cs="Arial" w:eastAsia="Arial" w:hAnsi="Arial"/>
                <w:sz w:val="20"/>
                <w:szCs w:val="20"/>
                <w:color w:val="auto"/>
                <w:w w:val="87"/>
              </w:rPr>
              <w:t>4402963</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60" w:type="dxa"/>
            <w:vAlign w:val="bottom"/>
          </w:tcPr>
          <w:p>
            <w:pPr>
              <w:ind w:left="40"/>
              <w:spacing w:after="0"/>
              <w:rPr>
                <w:sz w:val="20"/>
                <w:szCs w:val="20"/>
                <w:color w:val="auto"/>
              </w:rPr>
            </w:pPr>
            <w:r>
              <w:rPr>
                <w:rFonts w:ascii="Arial" w:cs="Arial" w:eastAsia="Arial" w:hAnsi="Arial"/>
                <w:sz w:val="20"/>
                <w:szCs w:val="20"/>
                <w:color w:val="auto"/>
                <w:w w:val="89"/>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246</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71"/>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r>
      <w:tr>
        <w:trPr>
          <w:trHeight w:val="226"/>
        </w:trPr>
        <w:tc>
          <w:tcPr>
            <w:tcW w:w="100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Arrowood</w:t>
            </w: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r>
      <w:tr>
        <w:trPr>
          <w:trHeight w:val="246"/>
        </w:trPr>
        <w:tc>
          <w:tcPr>
            <w:tcW w:w="100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7"/>
              </w:rPr>
              <w:t>3100059</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60" w:type="dxa"/>
            <w:vAlign w:val="bottom"/>
            <w:shd w:val="clear" w:color="auto" w:fill="CFF0FC"/>
          </w:tcPr>
          <w:p>
            <w:pPr>
              <w:ind w:left="40"/>
              <w:spacing w:after="0"/>
              <w:rPr>
                <w:sz w:val="20"/>
                <w:szCs w:val="20"/>
                <w:color w:val="auto"/>
              </w:rPr>
            </w:pPr>
            <w:r>
              <w:rPr>
                <w:rFonts w:ascii="Arial" w:cs="Arial" w:eastAsia="Arial" w:hAnsi="Arial"/>
                <w:sz w:val="20"/>
                <w:szCs w:val="20"/>
                <w:color w:val="auto"/>
                <w:w w:val="8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720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71"/>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r>
      <w:tr>
        <w:trPr>
          <w:trHeight w:val="226"/>
        </w:trPr>
        <w:tc>
          <w:tcPr>
            <w:tcW w:w="1000" w:type="dxa"/>
            <w:vAlign w:val="bottom"/>
          </w:tcPr>
          <w:p>
            <w:pPr>
              <w:spacing w:after="0" w:line="227" w:lineRule="exact"/>
              <w:rPr>
                <w:sz w:val="20"/>
                <w:szCs w:val="20"/>
                <w:color w:val="auto"/>
              </w:rPr>
            </w:pPr>
            <w:r>
              <w:rPr>
                <w:rFonts w:ascii="Arial" w:cs="Arial" w:eastAsia="Arial" w:hAnsi="Arial"/>
                <w:sz w:val="20"/>
                <w:szCs w:val="20"/>
                <w:color w:val="auto"/>
              </w:rPr>
              <w:t>Asheboro</w:t>
            </w: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46"/>
        </w:trPr>
        <w:tc>
          <w:tcPr>
            <w:tcW w:w="1000" w:type="dxa"/>
            <w:vAlign w:val="bottom"/>
          </w:tcPr>
          <w:p>
            <w:pPr>
              <w:spacing w:after="0"/>
              <w:rPr>
                <w:sz w:val="20"/>
                <w:szCs w:val="20"/>
                <w:color w:val="auto"/>
              </w:rPr>
            </w:pPr>
            <w:r>
              <w:rPr>
                <w:rFonts w:ascii="Arial" w:cs="Arial" w:eastAsia="Arial" w:hAnsi="Arial"/>
                <w:sz w:val="20"/>
                <w:szCs w:val="20"/>
                <w:color w:val="auto"/>
              </w:rPr>
              <w:t>Quarry</w:t>
            </w:r>
          </w:p>
        </w:tc>
        <w:tc>
          <w:tcPr>
            <w:tcW w:w="720" w:type="dxa"/>
            <w:vAlign w:val="bottom"/>
          </w:tcPr>
          <w:p>
            <w:pPr>
              <w:jc w:val="center"/>
              <w:spacing w:after="0"/>
              <w:rPr>
                <w:sz w:val="20"/>
                <w:szCs w:val="20"/>
                <w:color w:val="auto"/>
              </w:rPr>
            </w:pPr>
            <w:r>
              <w:rPr>
                <w:rFonts w:ascii="Arial" w:cs="Arial" w:eastAsia="Arial" w:hAnsi="Arial"/>
                <w:sz w:val="20"/>
                <w:szCs w:val="20"/>
                <w:color w:val="auto"/>
                <w:w w:val="87"/>
              </w:rPr>
              <w:t>3100066</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60" w:type="dxa"/>
            <w:vAlign w:val="bottom"/>
          </w:tcPr>
          <w:p>
            <w:pPr>
              <w:ind w:left="40"/>
              <w:spacing w:after="0"/>
              <w:rPr>
                <w:sz w:val="20"/>
                <w:szCs w:val="20"/>
                <w:color w:val="auto"/>
              </w:rPr>
            </w:pPr>
            <w:r>
              <w:rPr>
                <w:rFonts w:ascii="Arial" w:cs="Arial" w:eastAsia="Arial" w:hAnsi="Arial"/>
                <w:sz w:val="20"/>
                <w:szCs w:val="20"/>
                <w:color w:val="auto"/>
                <w:w w:val="89"/>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71"/>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r>
      <w:tr>
        <w:trPr>
          <w:trHeight w:val="226"/>
        </w:trPr>
        <w:tc>
          <w:tcPr>
            <w:tcW w:w="100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Bakers</w:t>
            </w: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r>
      <w:tr>
        <w:trPr>
          <w:trHeight w:val="246"/>
        </w:trPr>
        <w:tc>
          <w:tcPr>
            <w:tcW w:w="100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7"/>
              </w:rPr>
              <w:t>3100071</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60" w:type="dxa"/>
            <w:vAlign w:val="bottom"/>
            <w:shd w:val="clear" w:color="auto" w:fill="CFF0FC"/>
          </w:tcPr>
          <w:p>
            <w:pPr>
              <w:ind w:left="40"/>
              <w:spacing w:after="0"/>
              <w:rPr>
                <w:sz w:val="20"/>
                <w:szCs w:val="20"/>
                <w:color w:val="auto"/>
              </w:rPr>
            </w:pPr>
            <w:r>
              <w:rPr>
                <w:rFonts w:ascii="Arial" w:cs="Arial" w:eastAsia="Arial" w:hAnsi="Arial"/>
                <w:sz w:val="20"/>
                <w:szCs w:val="20"/>
                <w:color w:val="auto"/>
                <w:w w:val="8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308</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71"/>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r>
      <w:tr>
        <w:trPr>
          <w:trHeight w:val="226"/>
        </w:trPr>
        <w:tc>
          <w:tcPr>
            <w:tcW w:w="1000" w:type="dxa"/>
            <w:vAlign w:val="bottom"/>
          </w:tcPr>
          <w:p>
            <w:pPr>
              <w:spacing w:after="0" w:line="227" w:lineRule="exact"/>
              <w:rPr>
                <w:sz w:val="20"/>
                <w:szCs w:val="20"/>
                <w:color w:val="auto"/>
              </w:rPr>
            </w:pPr>
            <w:r>
              <w:rPr>
                <w:rFonts w:ascii="Arial" w:cs="Arial" w:eastAsia="Arial" w:hAnsi="Arial"/>
                <w:sz w:val="20"/>
                <w:szCs w:val="20"/>
                <w:color w:val="auto"/>
              </w:rPr>
              <w:t>Belgrade</w:t>
            </w: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46"/>
        </w:trPr>
        <w:tc>
          <w:tcPr>
            <w:tcW w:w="1000" w:type="dxa"/>
            <w:vAlign w:val="bottom"/>
          </w:tcPr>
          <w:p>
            <w:pPr>
              <w:spacing w:after="0"/>
              <w:rPr>
                <w:sz w:val="20"/>
                <w:szCs w:val="20"/>
                <w:color w:val="auto"/>
              </w:rPr>
            </w:pPr>
            <w:r>
              <w:rPr>
                <w:rFonts w:ascii="Arial" w:cs="Arial" w:eastAsia="Arial" w:hAnsi="Arial"/>
                <w:sz w:val="20"/>
                <w:szCs w:val="20"/>
                <w:color w:val="auto"/>
              </w:rPr>
              <w:t>Quarry</w:t>
            </w:r>
          </w:p>
        </w:tc>
        <w:tc>
          <w:tcPr>
            <w:tcW w:w="720" w:type="dxa"/>
            <w:vAlign w:val="bottom"/>
          </w:tcPr>
          <w:p>
            <w:pPr>
              <w:jc w:val="center"/>
              <w:spacing w:after="0"/>
              <w:rPr>
                <w:sz w:val="20"/>
                <w:szCs w:val="20"/>
                <w:color w:val="auto"/>
              </w:rPr>
            </w:pPr>
            <w:r>
              <w:rPr>
                <w:rFonts w:ascii="Arial" w:cs="Arial" w:eastAsia="Arial" w:hAnsi="Arial"/>
                <w:sz w:val="20"/>
                <w:szCs w:val="20"/>
                <w:color w:val="auto"/>
                <w:w w:val="87"/>
              </w:rPr>
              <w:t>3100064</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60" w:type="dxa"/>
            <w:vAlign w:val="bottom"/>
          </w:tcPr>
          <w:p>
            <w:pPr>
              <w:ind w:left="40"/>
              <w:spacing w:after="0"/>
              <w:rPr>
                <w:sz w:val="20"/>
                <w:szCs w:val="20"/>
                <w:color w:val="auto"/>
              </w:rPr>
            </w:pPr>
            <w:r>
              <w:rPr>
                <w:rFonts w:ascii="Arial" w:cs="Arial" w:eastAsia="Arial" w:hAnsi="Arial"/>
                <w:sz w:val="20"/>
                <w:szCs w:val="20"/>
                <w:color w:val="auto"/>
                <w:w w:val="89"/>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123</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71"/>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r>
      <w:tr>
        <w:trPr>
          <w:trHeight w:val="226"/>
        </w:trPr>
        <w:tc>
          <w:tcPr>
            <w:tcW w:w="100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Benson</w:t>
            </w: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r>
      <w:tr>
        <w:trPr>
          <w:trHeight w:val="246"/>
        </w:trPr>
        <w:tc>
          <w:tcPr>
            <w:tcW w:w="100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7"/>
              </w:rPr>
              <w:t>3101979</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60" w:type="dxa"/>
            <w:vAlign w:val="bottom"/>
            <w:shd w:val="clear" w:color="auto" w:fill="CFF0FC"/>
          </w:tcPr>
          <w:p>
            <w:pPr>
              <w:ind w:left="40"/>
              <w:spacing w:after="0"/>
              <w:rPr>
                <w:sz w:val="20"/>
                <w:szCs w:val="20"/>
                <w:color w:val="auto"/>
              </w:rPr>
            </w:pPr>
            <w:r>
              <w:rPr>
                <w:rFonts w:ascii="Arial" w:cs="Arial" w:eastAsia="Arial" w:hAnsi="Arial"/>
                <w:sz w:val="20"/>
                <w:szCs w:val="20"/>
                <w:color w:val="auto"/>
                <w:w w:val="8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71"/>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r>
      <w:tr>
        <w:trPr>
          <w:trHeight w:val="226"/>
        </w:trPr>
        <w:tc>
          <w:tcPr>
            <w:tcW w:w="1000" w:type="dxa"/>
            <w:vAlign w:val="bottom"/>
          </w:tcPr>
          <w:p>
            <w:pPr>
              <w:spacing w:after="0" w:line="227" w:lineRule="exact"/>
              <w:rPr>
                <w:sz w:val="20"/>
                <w:szCs w:val="20"/>
                <w:color w:val="auto"/>
              </w:rPr>
            </w:pPr>
            <w:r>
              <w:rPr>
                <w:rFonts w:ascii="Arial" w:cs="Arial" w:eastAsia="Arial" w:hAnsi="Arial"/>
                <w:sz w:val="20"/>
                <w:szCs w:val="20"/>
                <w:color w:val="auto"/>
              </w:rPr>
              <w:t>Berkeley</w:t>
            </w: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46"/>
        </w:trPr>
        <w:tc>
          <w:tcPr>
            <w:tcW w:w="1000" w:type="dxa"/>
            <w:vAlign w:val="bottom"/>
          </w:tcPr>
          <w:p>
            <w:pPr>
              <w:spacing w:after="0"/>
              <w:rPr>
                <w:sz w:val="20"/>
                <w:szCs w:val="20"/>
                <w:color w:val="auto"/>
              </w:rPr>
            </w:pPr>
            <w:r>
              <w:rPr>
                <w:rFonts w:ascii="Arial" w:cs="Arial" w:eastAsia="Arial" w:hAnsi="Arial"/>
                <w:sz w:val="20"/>
                <w:szCs w:val="20"/>
                <w:color w:val="auto"/>
              </w:rPr>
              <w:t>Quarry</w:t>
            </w:r>
          </w:p>
        </w:tc>
        <w:tc>
          <w:tcPr>
            <w:tcW w:w="720" w:type="dxa"/>
            <w:vAlign w:val="bottom"/>
          </w:tcPr>
          <w:p>
            <w:pPr>
              <w:jc w:val="center"/>
              <w:spacing w:after="0"/>
              <w:rPr>
                <w:sz w:val="20"/>
                <w:szCs w:val="20"/>
                <w:color w:val="auto"/>
              </w:rPr>
            </w:pPr>
            <w:r>
              <w:rPr>
                <w:rFonts w:ascii="Arial" w:cs="Arial" w:eastAsia="Arial" w:hAnsi="Arial"/>
                <w:sz w:val="20"/>
                <w:szCs w:val="20"/>
                <w:color w:val="auto"/>
                <w:w w:val="87"/>
              </w:rPr>
              <w:t>3800072</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60" w:type="dxa"/>
            <w:vAlign w:val="bottom"/>
          </w:tcPr>
          <w:p>
            <w:pPr>
              <w:ind w:left="40"/>
              <w:spacing w:after="0"/>
              <w:rPr>
                <w:sz w:val="20"/>
                <w:szCs w:val="20"/>
                <w:color w:val="auto"/>
              </w:rPr>
            </w:pPr>
            <w:r>
              <w:rPr>
                <w:rFonts w:ascii="Arial" w:cs="Arial" w:eastAsia="Arial" w:hAnsi="Arial"/>
                <w:sz w:val="20"/>
                <w:szCs w:val="20"/>
                <w:color w:val="auto"/>
                <w:w w:val="89"/>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445</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71"/>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r>
      <w:tr>
        <w:trPr>
          <w:trHeight w:val="226"/>
        </w:trPr>
        <w:tc>
          <w:tcPr>
            <w:tcW w:w="100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Bessemer</w:t>
            </w: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r>
      <w:tr>
        <w:trPr>
          <w:trHeight w:val="246"/>
        </w:trPr>
        <w:tc>
          <w:tcPr>
            <w:tcW w:w="1720" w:type="dxa"/>
            <w:vAlign w:val="bottom"/>
            <w:gridSpan w:val="2"/>
            <w:shd w:val="clear" w:color="auto" w:fill="CFF0FC"/>
          </w:tcPr>
          <w:p>
            <w:pPr>
              <w:spacing w:after="0"/>
              <w:rPr>
                <w:sz w:val="20"/>
                <w:szCs w:val="20"/>
                <w:color w:val="auto"/>
              </w:rPr>
            </w:pPr>
            <w:r>
              <w:rPr>
                <w:rFonts w:ascii="Arial" w:cs="Arial" w:eastAsia="Arial" w:hAnsi="Arial"/>
                <w:sz w:val="20"/>
                <w:szCs w:val="20"/>
                <w:color w:val="auto"/>
                <w:w w:val="92"/>
              </w:rPr>
              <w:t>City Quarry 3101105</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60" w:type="dxa"/>
            <w:vAlign w:val="bottom"/>
            <w:shd w:val="clear" w:color="auto" w:fill="CFF0FC"/>
          </w:tcPr>
          <w:p>
            <w:pPr>
              <w:ind w:left="40"/>
              <w:spacing w:after="0"/>
              <w:rPr>
                <w:sz w:val="20"/>
                <w:szCs w:val="20"/>
                <w:color w:val="auto"/>
              </w:rPr>
            </w:pPr>
            <w:r>
              <w:rPr>
                <w:rFonts w:ascii="Arial" w:cs="Arial" w:eastAsia="Arial" w:hAnsi="Arial"/>
                <w:sz w:val="20"/>
                <w:szCs w:val="20"/>
                <w:color w:val="auto"/>
                <w:w w:val="8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71"/>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r>
      <w:tr>
        <w:trPr>
          <w:trHeight w:val="226"/>
        </w:trPr>
        <w:tc>
          <w:tcPr>
            <w:tcW w:w="1000" w:type="dxa"/>
            <w:vAlign w:val="bottom"/>
          </w:tcPr>
          <w:p>
            <w:pPr>
              <w:spacing w:after="0" w:line="227" w:lineRule="exact"/>
              <w:rPr>
                <w:sz w:val="20"/>
                <w:szCs w:val="20"/>
                <w:color w:val="auto"/>
              </w:rPr>
            </w:pPr>
            <w:r>
              <w:rPr>
                <w:rFonts w:ascii="Arial" w:cs="Arial" w:eastAsia="Arial" w:hAnsi="Arial"/>
                <w:sz w:val="20"/>
                <w:szCs w:val="20"/>
                <w:color w:val="auto"/>
              </w:rPr>
              <w:t>Black</w:t>
            </w: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1000" w:type="dxa"/>
            <w:vAlign w:val="bottom"/>
          </w:tcPr>
          <w:p>
            <w:pPr>
              <w:spacing w:after="0"/>
              <w:rPr>
                <w:sz w:val="20"/>
                <w:szCs w:val="20"/>
                <w:color w:val="auto"/>
              </w:rPr>
            </w:pPr>
            <w:r>
              <w:rPr>
                <w:rFonts w:ascii="Arial" w:cs="Arial" w:eastAsia="Arial" w:hAnsi="Arial"/>
                <w:sz w:val="20"/>
                <w:szCs w:val="20"/>
                <w:color w:val="auto"/>
              </w:rPr>
              <w:t>Ankle</w:t>
            </w: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46"/>
        </w:trPr>
        <w:tc>
          <w:tcPr>
            <w:tcW w:w="1000" w:type="dxa"/>
            <w:vAlign w:val="bottom"/>
          </w:tcPr>
          <w:p>
            <w:pPr>
              <w:spacing w:after="0"/>
              <w:rPr>
                <w:sz w:val="20"/>
                <w:szCs w:val="20"/>
                <w:color w:val="auto"/>
              </w:rPr>
            </w:pPr>
            <w:r>
              <w:rPr>
                <w:rFonts w:ascii="Arial" w:cs="Arial" w:eastAsia="Arial" w:hAnsi="Arial"/>
                <w:sz w:val="20"/>
                <w:szCs w:val="20"/>
                <w:color w:val="auto"/>
              </w:rPr>
              <w:t>Quarry</w:t>
            </w:r>
          </w:p>
        </w:tc>
        <w:tc>
          <w:tcPr>
            <w:tcW w:w="720" w:type="dxa"/>
            <w:vAlign w:val="bottom"/>
          </w:tcPr>
          <w:p>
            <w:pPr>
              <w:jc w:val="center"/>
              <w:spacing w:after="0"/>
              <w:rPr>
                <w:sz w:val="20"/>
                <w:szCs w:val="20"/>
                <w:color w:val="auto"/>
              </w:rPr>
            </w:pPr>
            <w:r>
              <w:rPr>
                <w:rFonts w:ascii="Arial" w:cs="Arial" w:eastAsia="Arial" w:hAnsi="Arial"/>
                <w:sz w:val="20"/>
                <w:szCs w:val="20"/>
                <w:color w:val="auto"/>
                <w:w w:val="87"/>
              </w:rPr>
              <w:t>3102220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60" w:type="dxa"/>
            <w:vAlign w:val="bottom"/>
          </w:tcPr>
          <w:p>
            <w:pPr>
              <w:ind w:left="40"/>
              <w:spacing w:after="0"/>
              <w:rPr>
                <w:sz w:val="20"/>
                <w:szCs w:val="20"/>
                <w:color w:val="auto"/>
              </w:rPr>
            </w:pPr>
            <w:r>
              <w:rPr>
                <w:rFonts w:ascii="Arial" w:cs="Arial" w:eastAsia="Arial" w:hAnsi="Arial"/>
                <w:sz w:val="20"/>
                <w:szCs w:val="20"/>
                <w:color w:val="auto"/>
                <w:w w:val="89"/>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71"/>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r>
      <w:tr>
        <w:trPr>
          <w:trHeight w:val="226"/>
        </w:trPr>
        <w:tc>
          <w:tcPr>
            <w:tcW w:w="100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Bonds</w:t>
            </w: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r>
      <w:tr>
        <w:trPr>
          <w:trHeight w:val="246"/>
        </w:trPr>
        <w:tc>
          <w:tcPr>
            <w:tcW w:w="100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7"/>
              </w:rPr>
              <w:t>3101963</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60" w:type="dxa"/>
            <w:vAlign w:val="bottom"/>
            <w:shd w:val="clear" w:color="auto" w:fill="CFF0FC"/>
          </w:tcPr>
          <w:p>
            <w:pPr>
              <w:ind w:left="40"/>
              <w:spacing w:after="0"/>
              <w:rPr>
                <w:sz w:val="20"/>
                <w:szCs w:val="20"/>
                <w:color w:val="auto"/>
              </w:rPr>
            </w:pPr>
            <w:r>
              <w:rPr>
                <w:rFonts w:ascii="Arial" w:cs="Arial" w:eastAsia="Arial" w:hAnsi="Arial"/>
                <w:sz w:val="20"/>
                <w:szCs w:val="20"/>
                <w:color w:val="auto"/>
                <w:w w:val="8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71"/>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r>
      <w:tr>
        <w:trPr>
          <w:trHeight w:val="226"/>
        </w:trPr>
        <w:tc>
          <w:tcPr>
            <w:tcW w:w="1000" w:type="dxa"/>
            <w:vAlign w:val="bottom"/>
          </w:tcPr>
          <w:p>
            <w:pPr>
              <w:spacing w:after="0" w:line="227" w:lineRule="exact"/>
              <w:rPr>
                <w:sz w:val="20"/>
                <w:szCs w:val="20"/>
                <w:color w:val="auto"/>
              </w:rPr>
            </w:pPr>
            <w:r>
              <w:rPr>
                <w:rFonts w:ascii="Arial" w:cs="Arial" w:eastAsia="Arial" w:hAnsi="Arial"/>
                <w:sz w:val="20"/>
                <w:szCs w:val="20"/>
                <w:color w:val="auto"/>
                <w:w w:val="90"/>
              </w:rPr>
              <w:t>Boonesboro</w:t>
            </w: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46"/>
        </w:trPr>
        <w:tc>
          <w:tcPr>
            <w:tcW w:w="1000" w:type="dxa"/>
            <w:vAlign w:val="bottom"/>
          </w:tcPr>
          <w:p>
            <w:pPr>
              <w:spacing w:after="0"/>
              <w:rPr>
                <w:sz w:val="20"/>
                <w:szCs w:val="20"/>
                <w:color w:val="auto"/>
              </w:rPr>
            </w:pPr>
            <w:r>
              <w:rPr>
                <w:rFonts w:ascii="Arial" w:cs="Arial" w:eastAsia="Arial" w:hAnsi="Arial"/>
                <w:sz w:val="20"/>
                <w:szCs w:val="20"/>
                <w:color w:val="auto"/>
              </w:rPr>
              <w:t>Quarry</w:t>
            </w:r>
          </w:p>
        </w:tc>
        <w:tc>
          <w:tcPr>
            <w:tcW w:w="720" w:type="dxa"/>
            <w:vAlign w:val="bottom"/>
          </w:tcPr>
          <w:p>
            <w:pPr>
              <w:jc w:val="center"/>
              <w:spacing w:after="0"/>
              <w:rPr>
                <w:sz w:val="20"/>
                <w:szCs w:val="20"/>
                <w:color w:val="auto"/>
              </w:rPr>
            </w:pPr>
            <w:r>
              <w:rPr>
                <w:rFonts w:ascii="Arial" w:cs="Arial" w:eastAsia="Arial" w:hAnsi="Arial"/>
                <w:sz w:val="20"/>
                <w:szCs w:val="20"/>
                <w:color w:val="auto"/>
                <w:w w:val="87"/>
              </w:rPr>
              <w:t>1800024</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60" w:type="dxa"/>
            <w:vAlign w:val="bottom"/>
          </w:tcPr>
          <w:p>
            <w:pPr>
              <w:ind w:left="40"/>
              <w:spacing w:after="0"/>
              <w:rPr>
                <w:sz w:val="20"/>
                <w:szCs w:val="20"/>
                <w:color w:val="auto"/>
              </w:rPr>
            </w:pPr>
            <w:r>
              <w:rPr>
                <w:rFonts w:ascii="Arial" w:cs="Arial" w:eastAsia="Arial" w:hAnsi="Arial"/>
                <w:sz w:val="20"/>
                <w:szCs w:val="20"/>
                <w:color w:val="auto"/>
                <w:w w:val="89"/>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71"/>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r>
      <w:tr>
        <w:trPr>
          <w:trHeight w:val="226"/>
        </w:trPr>
        <w:tc>
          <w:tcPr>
            <w:tcW w:w="100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Burlington</w:t>
            </w: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r>
      <w:tr>
        <w:trPr>
          <w:trHeight w:val="246"/>
        </w:trPr>
        <w:tc>
          <w:tcPr>
            <w:tcW w:w="100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7"/>
              </w:rPr>
              <w:t>3100042</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60" w:type="dxa"/>
            <w:vAlign w:val="bottom"/>
            <w:shd w:val="clear" w:color="auto" w:fill="CFF0FC"/>
          </w:tcPr>
          <w:p>
            <w:pPr>
              <w:ind w:left="40"/>
              <w:spacing w:after="0"/>
              <w:rPr>
                <w:sz w:val="20"/>
                <w:szCs w:val="20"/>
                <w:color w:val="auto"/>
              </w:rPr>
            </w:pPr>
            <w:r>
              <w:rPr>
                <w:rFonts w:ascii="Arial" w:cs="Arial" w:eastAsia="Arial" w:hAnsi="Arial"/>
                <w:sz w:val="20"/>
                <w:szCs w:val="20"/>
                <w:color w:val="auto"/>
                <w:w w:val="8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123</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71"/>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r>
      <w:tr>
        <w:trPr>
          <w:trHeight w:val="226"/>
        </w:trPr>
        <w:tc>
          <w:tcPr>
            <w:tcW w:w="1000" w:type="dxa"/>
            <w:vAlign w:val="bottom"/>
          </w:tcPr>
          <w:p>
            <w:pPr>
              <w:spacing w:after="0" w:line="227" w:lineRule="exact"/>
              <w:rPr>
                <w:sz w:val="20"/>
                <w:szCs w:val="20"/>
                <w:color w:val="auto"/>
              </w:rPr>
            </w:pPr>
            <w:r>
              <w:rPr>
                <w:rFonts w:ascii="Arial" w:cs="Arial" w:eastAsia="Arial" w:hAnsi="Arial"/>
                <w:sz w:val="20"/>
                <w:szCs w:val="20"/>
                <w:color w:val="auto"/>
              </w:rPr>
              <w:t>Caldwell</w:t>
            </w: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46"/>
        </w:trPr>
        <w:tc>
          <w:tcPr>
            <w:tcW w:w="1000" w:type="dxa"/>
            <w:vAlign w:val="bottom"/>
          </w:tcPr>
          <w:p>
            <w:pPr>
              <w:spacing w:after="0"/>
              <w:rPr>
                <w:sz w:val="20"/>
                <w:szCs w:val="20"/>
                <w:color w:val="auto"/>
              </w:rPr>
            </w:pPr>
            <w:r>
              <w:rPr>
                <w:rFonts w:ascii="Arial" w:cs="Arial" w:eastAsia="Arial" w:hAnsi="Arial"/>
                <w:sz w:val="20"/>
                <w:szCs w:val="20"/>
                <w:color w:val="auto"/>
              </w:rPr>
              <w:t>Quarry</w:t>
            </w:r>
          </w:p>
        </w:tc>
        <w:tc>
          <w:tcPr>
            <w:tcW w:w="720" w:type="dxa"/>
            <w:vAlign w:val="bottom"/>
          </w:tcPr>
          <w:p>
            <w:pPr>
              <w:jc w:val="center"/>
              <w:spacing w:after="0"/>
              <w:rPr>
                <w:sz w:val="20"/>
                <w:szCs w:val="20"/>
                <w:color w:val="auto"/>
              </w:rPr>
            </w:pPr>
            <w:r>
              <w:rPr>
                <w:rFonts w:ascii="Arial" w:cs="Arial" w:eastAsia="Arial" w:hAnsi="Arial"/>
                <w:sz w:val="20"/>
                <w:szCs w:val="20"/>
                <w:color w:val="auto"/>
                <w:w w:val="87"/>
              </w:rPr>
              <w:t>3101869</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60" w:type="dxa"/>
            <w:vAlign w:val="bottom"/>
          </w:tcPr>
          <w:p>
            <w:pPr>
              <w:ind w:left="40"/>
              <w:spacing w:after="0"/>
              <w:rPr>
                <w:sz w:val="20"/>
                <w:szCs w:val="20"/>
                <w:color w:val="auto"/>
              </w:rPr>
            </w:pPr>
            <w:r>
              <w:rPr>
                <w:rFonts w:ascii="Arial" w:cs="Arial" w:eastAsia="Arial" w:hAnsi="Arial"/>
                <w:sz w:val="20"/>
                <w:szCs w:val="20"/>
                <w:color w:val="auto"/>
                <w:w w:val="89"/>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71"/>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r>
      <w:tr>
        <w:trPr>
          <w:trHeight w:val="226"/>
        </w:trPr>
        <w:tc>
          <w:tcPr>
            <w:tcW w:w="100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Calhoun</w:t>
            </w: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r>
      <w:tr>
        <w:trPr>
          <w:trHeight w:val="246"/>
        </w:trPr>
        <w:tc>
          <w:tcPr>
            <w:tcW w:w="1000" w:type="dxa"/>
            <w:vAlign w:val="bottom"/>
            <w:shd w:val="clear" w:color="auto" w:fill="CFF0FC"/>
          </w:tcPr>
          <w:p>
            <w:pPr>
              <w:spacing w:after="0"/>
              <w:rPr>
                <w:sz w:val="20"/>
                <w:szCs w:val="20"/>
                <w:color w:val="auto"/>
              </w:rPr>
            </w:pPr>
            <w:r>
              <w:rPr>
                <w:rFonts w:ascii="Arial" w:cs="Arial" w:eastAsia="Arial" w:hAnsi="Arial"/>
                <w:sz w:val="20"/>
                <w:szCs w:val="20"/>
                <w:color w:val="auto"/>
              </w:rPr>
              <w:t>Sand</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7"/>
              </w:rPr>
              <w:t>3800716</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60" w:type="dxa"/>
            <w:vAlign w:val="bottom"/>
            <w:shd w:val="clear" w:color="auto" w:fill="CFF0FC"/>
          </w:tcPr>
          <w:p>
            <w:pPr>
              <w:ind w:left="40"/>
              <w:spacing w:after="0"/>
              <w:rPr>
                <w:sz w:val="20"/>
                <w:szCs w:val="20"/>
                <w:color w:val="auto"/>
              </w:rPr>
            </w:pPr>
            <w:r>
              <w:rPr>
                <w:rFonts w:ascii="Arial" w:cs="Arial" w:eastAsia="Arial" w:hAnsi="Arial"/>
                <w:sz w:val="20"/>
                <w:szCs w:val="20"/>
                <w:color w:val="auto"/>
                <w:w w:val="8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71"/>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1</w:t>
            </w:r>
          </w:p>
        </w:tc>
      </w:tr>
      <w:tr>
        <w:trPr>
          <w:trHeight w:val="226"/>
        </w:trPr>
        <w:tc>
          <w:tcPr>
            <w:tcW w:w="1000" w:type="dxa"/>
            <w:vAlign w:val="bottom"/>
          </w:tcPr>
          <w:p>
            <w:pPr>
              <w:spacing w:after="0" w:line="227" w:lineRule="exact"/>
              <w:rPr>
                <w:sz w:val="20"/>
                <w:szCs w:val="20"/>
                <w:color w:val="auto"/>
              </w:rPr>
            </w:pPr>
            <w:r>
              <w:rPr>
                <w:rFonts w:ascii="Arial" w:cs="Arial" w:eastAsia="Arial" w:hAnsi="Arial"/>
                <w:sz w:val="20"/>
                <w:szCs w:val="20"/>
                <w:color w:val="auto"/>
              </w:rPr>
              <w:t>Castle</w:t>
            </w: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1000" w:type="dxa"/>
            <w:vAlign w:val="bottom"/>
          </w:tcPr>
          <w:p>
            <w:pPr>
              <w:spacing w:after="0"/>
              <w:rPr>
                <w:sz w:val="20"/>
                <w:szCs w:val="20"/>
                <w:color w:val="auto"/>
              </w:rPr>
            </w:pPr>
            <w:r>
              <w:rPr>
                <w:rFonts w:ascii="Arial" w:cs="Arial" w:eastAsia="Arial" w:hAnsi="Arial"/>
                <w:sz w:val="20"/>
                <w:szCs w:val="20"/>
                <w:color w:val="auto"/>
              </w:rPr>
              <w:t>Hayne</w:t>
            </w: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46"/>
        </w:trPr>
        <w:tc>
          <w:tcPr>
            <w:tcW w:w="1000" w:type="dxa"/>
            <w:vAlign w:val="bottom"/>
          </w:tcPr>
          <w:p>
            <w:pPr>
              <w:spacing w:after="0"/>
              <w:rPr>
                <w:sz w:val="20"/>
                <w:szCs w:val="20"/>
                <w:color w:val="auto"/>
              </w:rPr>
            </w:pPr>
            <w:r>
              <w:rPr>
                <w:rFonts w:ascii="Arial" w:cs="Arial" w:eastAsia="Arial" w:hAnsi="Arial"/>
                <w:sz w:val="20"/>
                <w:szCs w:val="20"/>
                <w:color w:val="auto"/>
              </w:rPr>
              <w:t>Quarry</w:t>
            </w:r>
          </w:p>
        </w:tc>
        <w:tc>
          <w:tcPr>
            <w:tcW w:w="720" w:type="dxa"/>
            <w:vAlign w:val="bottom"/>
          </w:tcPr>
          <w:p>
            <w:pPr>
              <w:jc w:val="center"/>
              <w:spacing w:after="0"/>
              <w:rPr>
                <w:sz w:val="20"/>
                <w:szCs w:val="20"/>
                <w:color w:val="auto"/>
              </w:rPr>
            </w:pPr>
            <w:r>
              <w:rPr>
                <w:rFonts w:ascii="Arial" w:cs="Arial" w:eastAsia="Arial" w:hAnsi="Arial"/>
                <w:sz w:val="20"/>
                <w:szCs w:val="20"/>
                <w:color w:val="auto"/>
                <w:w w:val="87"/>
              </w:rPr>
              <w:t>3100063</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60" w:type="dxa"/>
            <w:vAlign w:val="bottom"/>
          </w:tcPr>
          <w:p>
            <w:pPr>
              <w:ind w:left="40"/>
              <w:spacing w:after="0"/>
              <w:rPr>
                <w:sz w:val="20"/>
                <w:szCs w:val="20"/>
                <w:color w:val="auto"/>
              </w:rPr>
            </w:pPr>
            <w:r>
              <w:rPr>
                <w:rFonts w:ascii="Arial" w:cs="Arial" w:eastAsia="Arial" w:hAnsi="Arial"/>
                <w:sz w:val="20"/>
                <w:szCs w:val="20"/>
                <w:color w:val="auto"/>
                <w:w w:val="89"/>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71"/>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r>
      <w:tr>
        <w:trPr>
          <w:trHeight w:val="243"/>
        </w:trPr>
        <w:tc>
          <w:tcPr>
            <w:tcW w:w="1000" w:type="dxa"/>
            <w:vAlign w:val="bottom"/>
            <w:shd w:val="clear" w:color="auto" w:fill="CFF0FC"/>
          </w:tcPr>
          <w:p>
            <w:pPr>
              <w:spacing w:after="0"/>
              <w:rPr>
                <w:sz w:val="20"/>
                <w:szCs w:val="20"/>
                <w:color w:val="auto"/>
              </w:rPr>
            </w:pPr>
            <w:r>
              <w:rPr>
                <w:rFonts w:ascii="Arial" w:cs="Arial" w:eastAsia="Arial" w:hAnsi="Arial"/>
                <w:sz w:val="20"/>
                <w:szCs w:val="20"/>
                <w:color w:val="auto"/>
              </w:rPr>
              <w:t>Cayce</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7"/>
              </w:rPr>
              <w:t>3800016</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60" w:type="dxa"/>
            <w:vAlign w:val="bottom"/>
            <w:shd w:val="clear" w:color="auto" w:fill="CFF0FC"/>
          </w:tcPr>
          <w:p>
            <w:pPr>
              <w:ind w:left="40"/>
              <w:spacing w:after="0"/>
              <w:rPr>
                <w:sz w:val="20"/>
                <w:szCs w:val="20"/>
                <w:color w:val="auto"/>
              </w:rPr>
            </w:pPr>
            <w:r>
              <w:rPr>
                <w:rFonts w:ascii="Arial" w:cs="Arial" w:eastAsia="Arial" w:hAnsi="Arial"/>
                <w:sz w:val="20"/>
                <w:szCs w:val="20"/>
                <w:color w:val="auto"/>
                <w:w w:val="8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258</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71"/>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r>
      <w:tr>
        <w:trPr>
          <w:trHeight w:val="226"/>
        </w:trPr>
        <w:tc>
          <w:tcPr>
            <w:tcW w:w="1000" w:type="dxa"/>
            <w:vAlign w:val="bottom"/>
          </w:tcPr>
          <w:p>
            <w:pPr>
              <w:spacing w:after="0" w:line="227" w:lineRule="exact"/>
              <w:rPr>
                <w:sz w:val="20"/>
                <w:szCs w:val="20"/>
                <w:color w:val="auto"/>
              </w:rPr>
            </w:pPr>
            <w:r>
              <w:rPr>
                <w:rFonts w:ascii="Arial" w:cs="Arial" w:eastAsia="Arial" w:hAnsi="Arial"/>
                <w:sz w:val="20"/>
                <w:szCs w:val="20"/>
                <w:color w:val="auto"/>
              </w:rPr>
              <w:t>Central</w:t>
            </w: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9"/>
        </w:trPr>
        <w:tc>
          <w:tcPr>
            <w:tcW w:w="1000" w:type="dxa"/>
            <w:vAlign w:val="bottom"/>
          </w:tcPr>
          <w:p>
            <w:pPr>
              <w:spacing w:after="0"/>
              <w:rPr>
                <w:sz w:val="20"/>
                <w:szCs w:val="20"/>
                <w:color w:val="auto"/>
              </w:rPr>
            </w:pPr>
            <w:r>
              <w:rPr>
                <w:rFonts w:ascii="Arial" w:cs="Arial" w:eastAsia="Arial" w:hAnsi="Arial"/>
                <w:sz w:val="20"/>
                <w:szCs w:val="20"/>
                <w:color w:val="auto"/>
              </w:rPr>
              <w:t>Rock</w:t>
            </w: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46"/>
        </w:trPr>
        <w:tc>
          <w:tcPr>
            <w:tcW w:w="1000" w:type="dxa"/>
            <w:vAlign w:val="bottom"/>
          </w:tcPr>
          <w:p>
            <w:pPr>
              <w:spacing w:after="0"/>
              <w:rPr>
                <w:sz w:val="20"/>
                <w:szCs w:val="20"/>
                <w:color w:val="auto"/>
              </w:rPr>
            </w:pPr>
            <w:r>
              <w:rPr>
                <w:rFonts w:ascii="Arial" w:cs="Arial" w:eastAsia="Arial" w:hAnsi="Arial"/>
                <w:sz w:val="20"/>
                <w:szCs w:val="20"/>
                <w:color w:val="auto"/>
              </w:rPr>
              <w:t>Quarry</w:t>
            </w:r>
          </w:p>
        </w:tc>
        <w:tc>
          <w:tcPr>
            <w:tcW w:w="720" w:type="dxa"/>
            <w:vAlign w:val="bottom"/>
          </w:tcPr>
          <w:p>
            <w:pPr>
              <w:jc w:val="center"/>
              <w:spacing w:after="0"/>
              <w:rPr>
                <w:sz w:val="20"/>
                <w:szCs w:val="20"/>
                <w:color w:val="auto"/>
              </w:rPr>
            </w:pPr>
            <w:r>
              <w:rPr>
                <w:rFonts w:ascii="Arial" w:cs="Arial" w:eastAsia="Arial" w:hAnsi="Arial"/>
                <w:sz w:val="20"/>
                <w:szCs w:val="20"/>
                <w:color w:val="auto"/>
                <w:w w:val="87"/>
              </w:rPr>
              <w:t>3100050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60" w:type="dxa"/>
            <w:vAlign w:val="bottom"/>
          </w:tcPr>
          <w:p>
            <w:pPr>
              <w:ind w:left="40"/>
              <w:spacing w:after="0"/>
              <w:rPr>
                <w:sz w:val="20"/>
                <w:szCs w:val="20"/>
                <w:color w:val="auto"/>
              </w:rPr>
            </w:pPr>
            <w:r>
              <w:rPr>
                <w:rFonts w:ascii="Arial" w:cs="Arial" w:eastAsia="Arial" w:hAnsi="Arial"/>
                <w:sz w:val="20"/>
                <w:szCs w:val="20"/>
                <w:color w:val="auto"/>
                <w:w w:val="89"/>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71"/>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r>
      <w:tr>
        <w:trPr>
          <w:trHeight w:val="226"/>
        </w:trPr>
        <w:tc>
          <w:tcPr>
            <w:tcW w:w="100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Charlotte</w:t>
            </w: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r>
      <w:tr>
        <w:trPr>
          <w:trHeight w:val="246"/>
        </w:trPr>
        <w:tc>
          <w:tcPr>
            <w:tcW w:w="100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7"/>
              </w:rPr>
              <w:t>3100057</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60" w:type="dxa"/>
            <w:vAlign w:val="bottom"/>
            <w:shd w:val="clear" w:color="auto" w:fill="CFF0FC"/>
          </w:tcPr>
          <w:p>
            <w:pPr>
              <w:ind w:left="40"/>
              <w:spacing w:after="0"/>
              <w:rPr>
                <w:sz w:val="20"/>
                <w:szCs w:val="20"/>
                <w:color w:val="auto"/>
              </w:rPr>
            </w:pPr>
            <w:r>
              <w:rPr>
                <w:rFonts w:ascii="Arial" w:cs="Arial" w:eastAsia="Arial" w:hAnsi="Arial"/>
                <w:sz w:val="20"/>
                <w:szCs w:val="20"/>
                <w:color w:val="auto"/>
                <w:w w:val="8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123</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71"/>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r>
      <w:tr>
        <w:trPr>
          <w:trHeight w:val="226"/>
        </w:trPr>
        <w:tc>
          <w:tcPr>
            <w:tcW w:w="1000" w:type="dxa"/>
            <w:vAlign w:val="bottom"/>
          </w:tcPr>
          <w:p>
            <w:pPr>
              <w:spacing w:after="0" w:line="227" w:lineRule="exact"/>
              <w:rPr>
                <w:sz w:val="20"/>
                <w:szCs w:val="20"/>
                <w:color w:val="auto"/>
              </w:rPr>
            </w:pPr>
            <w:r>
              <w:rPr>
                <w:rFonts w:ascii="Arial" w:cs="Arial" w:eastAsia="Arial" w:hAnsi="Arial"/>
                <w:sz w:val="20"/>
                <w:szCs w:val="20"/>
                <w:color w:val="auto"/>
                <w:w w:val="99"/>
              </w:rPr>
              <w:t>Churchville</w:t>
            </w: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46"/>
        </w:trPr>
        <w:tc>
          <w:tcPr>
            <w:tcW w:w="1000" w:type="dxa"/>
            <w:vAlign w:val="bottom"/>
          </w:tcPr>
          <w:p>
            <w:pPr>
              <w:spacing w:after="0"/>
              <w:rPr>
                <w:sz w:val="20"/>
                <w:szCs w:val="20"/>
                <w:color w:val="auto"/>
              </w:rPr>
            </w:pPr>
            <w:r>
              <w:rPr>
                <w:rFonts w:ascii="Arial" w:cs="Arial" w:eastAsia="Arial" w:hAnsi="Arial"/>
                <w:sz w:val="20"/>
                <w:szCs w:val="20"/>
                <w:color w:val="auto"/>
              </w:rPr>
              <w:t>Quarry</w:t>
            </w:r>
          </w:p>
        </w:tc>
        <w:tc>
          <w:tcPr>
            <w:tcW w:w="720" w:type="dxa"/>
            <w:vAlign w:val="bottom"/>
          </w:tcPr>
          <w:p>
            <w:pPr>
              <w:jc w:val="center"/>
              <w:spacing w:after="0"/>
              <w:rPr>
                <w:sz w:val="20"/>
                <w:szCs w:val="20"/>
                <w:color w:val="auto"/>
              </w:rPr>
            </w:pPr>
            <w:r>
              <w:rPr>
                <w:rFonts w:ascii="Arial" w:cs="Arial" w:eastAsia="Arial" w:hAnsi="Arial"/>
                <w:sz w:val="20"/>
                <w:szCs w:val="20"/>
                <w:color w:val="auto"/>
                <w:w w:val="87"/>
              </w:rPr>
              <w:t>1800012</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60" w:type="dxa"/>
            <w:vAlign w:val="bottom"/>
          </w:tcPr>
          <w:p>
            <w:pPr>
              <w:ind w:left="40"/>
              <w:spacing w:after="0"/>
              <w:rPr>
                <w:sz w:val="20"/>
                <w:szCs w:val="20"/>
                <w:color w:val="auto"/>
              </w:rPr>
            </w:pPr>
            <w:r>
              <w:rPr>
                <w:rFonts w:ascii="Arial" w:cs="Arial" w:eastAsia="Arial" w:hAnsi="Arial"/>
                <w:sz w:val="20"/>
                <w:szCs w:val="20"/>
                <w:color w:val="auto"/>
                <w:w w:val="89"/>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71"/>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r>
      <w:tr>
        <w:trPr>
          <w:trHeight w:val="226"/>
        </w:trPr>
        <w:tc>
          <w:tcPr>
            <w:tcW w:w="100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Clarks</w:t>
            </w: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r>
      <w:tr>
        <w:trPr>
          <w:trHeight w:val="246"/>
        </w:trPr>
        <w:tc>
          <w:tcPr>
            <w:tcW w:w="100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7"/>
              </w:rPr>
              <w:t>3102009</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60" w:type="dxa"/>
            <w:vAlign w:val="bottom"/>
            <w:shd w:val="clear" w:color="auto" w:fill="CFF0FC"/>
          </w:tcPr>
          <w:p>
            <w:pPr>
              <w:ind w:left="40"/>
              <w:spacing w:after="0"/>
              <w:rPr>
                <w:sz w:val="20"/>
                <w:szCs w:val="20"/>
                <w:color w:val="auto"/>
              </w:rPr>
            </w:pPr>
            <w:r>
              <w:rPr>
                <w:rFonts w:ascii="Arial" w:cs="Arial" w:eastAsia="Arial" w:hAnsi="Arial"/>
                <w:sz w:val="20"/>
                <w:szCs w:val="20"/>
                <w:color w:val="auto"/>
                <w:w w:val="8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71"/>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r>
      <w:tr>
        <w:trPr>
          <w:trHeight w:val="226"/>
        </w:trPr>
        <w:tc>
          <w:tcPr>
            <w:tcW w:w="1000" w:type="dxa"/>
            <w:vAlign w:val="bottom"/>
          </w:tcPr>
          <w:p>
            <w:pPr>
              <w:spacing w:after="0" w:line="227" w:lineRule="exact"/>
              <w:rPr>
                <w:sz w:val="20"/>
                <w:szCs w:val="20"/>
                <w:color w:val="auto"/>
              </w:rPr>
            </w:pPr>
            <w:r>
              <w:rPr>
                <w:rFonts w:ascii="Arial" w:cs="Arial" w:eastAsia="Arial" w:hAnsi="Arial"/>
                <w:sz w:val="20"/>
                <w:szCs w:val="20"/>
                <w:color w:val="auto"/>
                <w:w w:val="89"/>
              </w:rPr>
              <w:t>Cumberland</w:t>
            </w: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46"/>
        </w:trPr>
        <w:tc>
          <w:tcPr>
            <w:tcW w:w="1000" w:type="dxa"/>
            <w:vAlign w:val="bottom"/>
          </w:tcPr>
          <w:p>
            <w:pPr>
              <w:spacing w:after="0"/>
              <w:rPr>
                <w:sz w:val="20"/>
                <w:szCs w:val="20"/>
                <w:color w:val="auto"/>
              </w:rPr>
            </w:pPr>
            <w:r>
              <w:rPr>
                <w:rFonts w:ascii="Arial" w:cs="Arial" w:eastAsia="Arial" w:hAnsi="Arial"/>
                <w:sz w:val="20"/>
                <w:szCs w:val="20"/>
                <w:color w:val="auto"/>
              </w:rPr>
              <w:t>Quarry</w:t>
            </w:r>
          </w:p>
        </w:tc>
        <w:tc>
          <w:tcPr>
            <w:tcW w:w="720" w:type="dxa"/>
            <w:vAlign w:val="bottom"/>
          </w:tcPr>
          <w:p>
            <w:pPr>
              <w:jc w:val="center"/>
              <w:spacing w:after="0"/>
              <w:rPr>
                <w:sz w:val="20"/>
                <w:szCs w:val="20"/>
                <w:color w:val="auto"/>
              </w:rPr>
            </w:pPr>
            <w:r>
              <w:rPr>
                <w:rFonts w:ascii="Arial" w:cs="Arial" w:eastAsia="Arial" w:hAnsi="Arial"/>
                <w:sz w:val="20"/>
                <w:szCs w:val="20"/>
                <w:color w:val="auto"/>
                <w:w w:val="87"/>
              </w:rPr>
              <w:t>3102237</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60" w:type="dxa"/>
            <w:vAlign w:val="bottom"/>
          </w:tcPr>
          <w:p>
            <w:pPr>
              <w:ind w:left="40"/>
              <w:spacing w:after="0"/>
              <w:rPr>
                <w:sz w:val="20"/>
                <w:szCs w:val="20"/>
                <w:color w:val="auto"/>
              </w:rPr>
            </w:pPr>
            <w:r>
              <w:rPr>
                <w:rFonts w:ascii="Arial" w:cs="Arial" w:eastAsia="Arial" w:hAnsi="Arial"/>
                <w:sz w:val="20"/>
                <w:szCs w:val="20"/>
                <w:color w:val="auto"/>
                <w:w w:val="89"/>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71"/>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r>
      <w:tr>
        <w:trPr>
          <w:trHeight w:val="226"/>
        </w:trPr>
        <w:tc>
          <w:tcPr>
            <w:tcW w:w="100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Denver</w:t>
            </w: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r>
      <w:tr>
        <w:trPr>
          <w:trHeight w:val="246"/>
        </w:trPr>
        <w:tc>
          <w:tcPr>
            <w:tcW w:w="100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7"/>
              </w:rPr>
              <w:t>3101971</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60" w:type="dxa"/>
            <w:vAlign w:val="bottom"/>
            <w:shd w:val="clear" w:color="auto" w:fill="CFF0FC"/>
          </w:tcPr>
          <w:p>
            <w:pPr>
              <w:ind w:left="40"/>
              <w:spacing w:after="0"/>
              <w:rPr>
                <w:sz w:val="20"/>
                <w:szCs w:val="20"/>
                <w:color w:val="auto"/>
              </w:rPr>
            </w:pPr>
            <w:r>
              <w:rPr>
                <w:rFonts w:ascii="Arial" w:cs="Arial" w:eastAsia="Arial" w:hAnsi="Arial"/>
                <w:sz w:val="20"/>
                <w:szCs w:val="20"/>
                <w:color w:val="auto"/>
                <w:w w:val="8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123</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71"/>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r>
      <w:tr>
        <w:trPr>
          <w:trHeight w:val="226"/>
        </w:trPr>
        <w:tc>
          <w:tcPr>
            <w:tcW w:w="1000" w:type="dxa"/>
            <w:vAlign w:val="bottom"/>
          </w:tcPr>
          <w:p>
            <w:pPr>
              <w:spacing w:after="0" w:line="227" w:lineRule="exact"/>
              <w:rPr>
                <w:sz w:val="20"/>
                <w:szCs w:val="20"/>
                <w:color w:val="auto"/>
              </w:rPr>
            </w:pPr>
            <w:r>
              <w:rPr>
                <w:rFonts w:ascii="Arial" w:cs="Arial" w:eastAsia="Arial" w:hAnsi="Arial"/>
                <w:sz w:val="20"/>
                <w:szCs w:val="20"/>
                <w:color w:val="auto"/>
              </w:rPr>
              <w:t>Doswell</w:t>
            </w: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50"/>
        </w:trPr>
        <w:tc>
          <w:tcPr>
            <w:tcW w:w="1720" w:type="dxa"/>
            <w:vAlign w:val="bottom"/>
            <w:gridSpan w:val="2"/>
          </w:tcPr>
          <w:p>
            <w:pPr>
              <w:spacing w:after="0"/>
              <w:rPr>
                <w:sz w:val="20"/>
                <w:szCs w:val="20"/>
                <w:color w:val="auto"/>
              </w:rPr>
            </w:pPr>
            <w:r>
              <w:rPr>
                <w:rFonts w:ascii="Arial" w:cs="Arial" w:eastAsia="Arial" w:hAnsi="Arial"/>
                <w:sz w:val="20"/>
                <w:szCs w:val="20"/>
                <w:color w:val="auto"/>
                <w:w w:val="96"/>
              </w:rPr>
              <w:t>Quarry VA 4400045</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60" w:type="dxa"/>
            <w:vAlign w:val="bottom"/>
          </w:tcPr>
          <w:p>
            <w:pPr>
              <w:ind w:left="40"/>
              <w:spacing w:after="0"/>
              <w:rPr>
                <w:sz w:val="20"/>
                <w:szCs w:val="20"/>
                <w:color w:val="auto"/>
              </w:rPr>
            </w:pPr>
            <w:r>
              <w:rPr>
                <w:rFonts w:ascii="Arial" w:cs="Arial" w:eastAsia="Arial" w:hAnsi="Arial"/>
                <w:sz w:val="20"/>
                <w:szCs w:val="20"/>
                <w:color w:val="auto"/>
                <w:w w:val="89"/>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71"/>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477520</wp:posOffset>
            </wp:positionV>
            <wp:extent cx="714946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340"/>
          </w:cols>
          <w:pgMar w:left="320" w:top="122" w:right="239" w:bottom="618"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52"/>
        </w:trPr>
        <w:tc>
          <w:tcPr>
            <w:tcW w:w="2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gridSpan w:val="2"/>
          </w:tcPr>
          <w:p>
            <w:pPr>
              <w:ind w:left="20"/>
              <w:spacing w:after="0"/>
              <w:rPr>
                <w:sz w:val="20"/>
                <w:szCs w:val="20"/>
                <w:color w:val="auto"/>
              </w:rPr>
            </w:pPr>
            <w:r>
              <w:rPr>
                <w:rFonts w:ascii="Arial" w:cs="Arial" w:eastAsia="Arial" w:hAnsi="Arial"/>
                <w:sz w:val="20"/>
                <w:szCs w:val="20"/>
                <w:color w:val="auto"/>
                <w:w w:val="91"/>
              </w:rPr>
              <w:t>Appendix 1</w:t>
            </w:r>
          </w:p>
        </w:tc>
      </w:tr>
      <w:tr>
        <w:trPr>
          <w:trHeight w:val="225"/>
        </w:trPr>
        <w:tc>
          <w:tcPr>
            <w:tcW w:w="2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3"/>
        </w:trPr>
        <w:tc>
          <w:tcPr>
            <w:tcW w:w="2140" w:type="dxa"/>
            <w:vAlign w:val="bottom"/>
            <w:shd w:val="clear" w:color="auto" w:fill="CFF0FC"/>
          </w:tcPr>
          <w:p>
            <w:pPr>
              <w:spacing w:after="0"/>
              <w:rPr>
                <w:sz w:val="20"/>
                <w:szCs w:val="20"/>
                <w:color w:val="auto"/>
              </w:rPr>
            </w:pPr>
            <w:r>
              <w:rPr>
                <w:rFonts w:ascii="Arial" w:cs="Arial" w:eastAsia="Arial" w:hAnsi="Arial"/>
                <w:sz w:val="20"/>
                <w:szCs w:val="20"/>
                <w:color w:val="auto"/>
              </w:rPr>
              <w:t>East Alamance Quarry</w:t>
            </w:r>
          </w:p>
        </w:tc>
        <w:tc>
          <w:tcPr>
            <w:tcW w:w="9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95"/>
              </w:rPr>
              <w:t>3102021</w:t>
            </w:r>
          </w:p>
        </w:tc>
        <w:tc>
          <w:tcPr>
            <w:tcW w:w="5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40" w:type="dxa"/>
            <w:vAlign w:val="bottom"/>
          </w:tcPr>
          <w:p>
            <w:pPr>
              <w:spacing w:after="0"/>
              <w:rPr>
                <w:sz w:val="20"/>
                <w:szCs w:val="20"/>
                <w:color w:val="auto"/>
              </w:rPr>
            </w:pPr>
            <w:r>
              <w:rPr>
                <w:rFonts w:ascii="Arial" w:cs="Arial" w:eastAsia="Arial" w:hAnsi="Arial"/>
                <w:sz w:val="20"/>
                <w:szCs w:val="20"/>
                <w:color w:val="auto"/>
              </w:rPr>
              <w:t>Edmund Sand</w:t>
            </w:r>
          </w:p>
        </w:tc>
        <w:tc>
          <w:tcPr>
            <w:tcW w:w="920" w:type="dxa"/>
            <w:vAlign w:val="bottom"/>
          </w:tcPr>
          <w:p>
            <w:pPr>
              <w:jc w:val="right"/>
              <w:ind w:right="61"/>
              <w:spacing w:after="0"/>
              <w:rPr>
                <w:sz w:val="20"/>
                <w:szCs w:val="20"/>
                <w:color w:val="auto"/>
              </w:rPr>
            </w:pPr>
            <w:r>
              <w:rPr>
                <w:rFonts w:ascii="Arial" w:cs="Arial" w:eastAsia="Arial" w:hAnsi="Arial"/>
                <w:sz w:val="20"/>
                <w:szCs w:val="20"/>
                <w:color w:val="auto"/>
                <w:w w:val="95"/>
              </w:rPr>
              <w:t>3800662</w:t>
            </w:r>
          </w:p>
        </w:tc>
        <w:tc>
          <w:tcPr>
            <w:tcW w:w="5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40" w:type="dxa"/>
            <w:vAlign w:val="bottom"/>
            <w:shd w:val="clear" w:color="auto" w:fill="CFF0FC"/>
          </w:tcPr>
          <w:p>
            <w:pPr>
              <w:spacing w:after="0"/>
              <w:rPr>
                <w:sz w:val="20"/>
                <w:szCs w:val="20"/>
                <w:color w:val="auto"/>
              </w:rPr>
            </w:pPr>
            <w:r>
              <w:rPr>
                <w:rFonts w:ascii="Arial" w:cs="Arial" w:eastAsia="Arial" w:hAnsi="Arial"/>
                <w:sz w:val="20"/>
                <w:szCs w:val="20"/>
                <w:color w:val="auto"/>
              </w:rPr>
              <w:t>Fountain Quarry</w:t>
            </w:r>
          </w:p>
        </w:tc>
        <w:tc>
          <w:tcPr>
            <w:tcW w:w="9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95"/>
              </w:rPr>
              <w:t>3100065</w:t>
            </w:r>
          </w:p>
        </w:tc>
        <w:tc>
          <w:tcPr>
            <w:tcW w:w="5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123</w:t>
            </w:r>
          </w:p>
        </w:tc>
        <w:tc>
          <w:tcPr>
            <w:tcW w:w="5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40" w:type="dxa"/>
            <w:vAlign w:val="bottom"/>
          </w:tcPr>
          <w:p>
            <w:pPr>
              <w:spacing w:after="0"/>
              <w:rPr>
                <w:sz w:val="20"/>
                <w:szCs w:val="20"/>
                <w:color w:val="auto"/>
              </w:rPr>
            </w:pPr>
            <w:r>
              <w:rPr>
                <w:rFonts w:ascii="Arial" w:cs="Arial" w:eastAsia="Arial" w:hAnsi="Arial"/>
                <w:sz w:val="20"/>
                <w:szCs w:val="20"/>
                <w:color w:val="auto"/>
              </w:rPr>
              <w:t>Franklin Quarry</w:t>
            </w:r>
          </w:p>
        </w:tc>
        <w:tc>
          <w:tcPr>
            <w:tcW w:w="920" w:type="dxa"/>
            <w:vAlign w:val="bottom"/>
          </w:tcPr>
          <w:p>
            <w:pPr>
              <w:jc w:val="right"/>
              <w:ind w:right="61"/>
              <w:spacing w:after="0"/>
              <w:rPr>
                <w:sz w:val="20"/>
                <w:szCs w:val="20"/>
                <w:color w:val="auto"/>
              </w:rPr>
            </w:pPr>
            <w:r>
              <w:rPr>
                <w:rFonts w:ascii="Arial" w:cs="Arial" w:eastAsia="Arial" w:hAnsi="Arial"/>
                <w:sz w:val="20"/>
                <w:szCs w:val="20"/>
                <w:color w:val="auto"/>
                <w:w w:val="95"/>
              </w:rPr>
              <w:t>3102130</w:t>
            </w:r>
          </w:p>
        </w:tc>
        <w:tc>
          <w:tcPr>
            <w:tcW w:w="5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123</w:t>
            </w:r>
          </w:p>
        </w:tc>
        <w:tc>
          <w:tcPr>
            <w:tcW w:w="5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40" w:type="dxa"/>
            <w:vAlign w:val="bottom"/>
            <w:shd w:val="clear" w:color="auto" w:fill="CFF0FC"/>
          </w:tcPr>
          <w:p>
            <w:pPr>
              <w:spacing w:after="0"/>
              <w:rPr>
                <w:sz w:val="20"/>
                <w:szCs w:val="20"/>
                <w:color w:val="auto"/>
              </w:rPr>
            </w:pPr>
            <w:r>
              <w:rPr>
                <w:rFonts w:ascii="Arial" w:cs="Arial" w:eastAsia="Arial" w:hAnsi="Arial"/>
                <w:sz w:val="20"/>
                <w:szCs w:val="20"/>
                <w:color w:val="auto"/>
              </w:rPr>
              <w:t>Frederick Quarry</w:t>
            </w:r>
          </w:p>
        </w:tc>
        <w:tc>
          <w:tcPr>
            <w:tcW w:w="9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95"/>
              </w:rPr>
              <w:t>1800013</w:t>
            </w:r>
          </w:p>
        </w:tc>
        <w:tc>
          <w:tcPr>
            <w:tcW w:w="5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40" w:type="dxa"/>
            <w:vAlign w:val="bottom"/>
          </w:tcPr>
          <w:p>
            <w:pPr>
              <w:spacing w:after="0"/>
              <w:rPr>
                <w:sz w:val="20"/>
                <w:szCs w:val="20"/>
                <w:color w:val="auto"/>
              </w:rPr>
            </w:pPr>
            <w:r>
              <w:rPr>
                <w:rFonts w:ascii="Arial" w:cs="Arial" w:eastAsia="Arial" w:hAnsi="Arial"/>
                <w:sz w:val="20"/>
                <w:szCs w:val="20"/>
                <w:color w:val="auto"/>
              </w:rPr>
              <w:t>Fuquay Quarry</w:t>
            </w:r>
          </w:p>
        </w:tc>
        <w:tc>
          <w:tcPr>
            <w:tcW w:w="920" w:type="dxa"/>
            <w:vAlign w:val="bottom"/>
          </w:tcPr>
          <w:p>
            <w:pPr>
              <w:jc w:val="right"/>
              <w:ind w:right="61"/>
              <w:spacing w:after="0"/>
              <w:rPr>
                <w:sz w:val="20"/>
                <w:szCs w:val="20"/>
                <w:color w:val="auto"/>
              </w:rPr>
            </w:pPr>
            <w:r>
              <w:rPr>
                <w:rFonts w:ascii="Arial" w:cs="Arial" w:eastAsia="Arial" w:hAnsi="Arial"/>
                <w:sz w:val="20"/>
                <w:szCs w:val="20"/>
                <w:color w:val="auto"/>
                <w:w w:val="95"/>
              </w:rPr>
              <w:t>3102055</w:t>
            </w:r>
          </w:p>
        </w:tc>
        <w:tc>
          <w:tcPr>
            <w:tcW w:w="540" w:type="dxa"/>
            <w:vAlign w:val="bottom"/>
          </w:tcPr>
          <w:p>
            <w:pPr>
              <w:jc w:val="right"/>
              <w:ind w:right="201"/>
              <w:spacing w:after="0"/>
              <w:rPr>
                <w:sz w:val="20"/>
                <w:szCs w:val="20"/>
                <w:color w:val="auto"/>
              </w:rPr>
            </w:pPr>
            <w:r>
              <w:rPr>
                <w:rFonts w:ascii="Arial" w:cs="Arial" w:eastAsia="Arial" w:hAnsi="Arial"/>
                <w:sz w:val="20"/>
                <w:szCs w:val="20"/>
                <w:color w:val="auto"/>
              </w:rPr>
              <w:t>1</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w w:val="87"/>
              </w:rPr>
              <w:t>1,017</w:t>
            </w:r>
          </w:p>
        </w:tc>
        <w:tc>
          <w:tcPr>
            <w:tcW w:w="5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40" w:type="dxa"/>
            <w:vAlign w:val="bottom"/>
            <w:shd w:val="clear" w:color="auto" w:fill="CFF0FC"/>
          </w:tcPr>
          <w:p>
            <w:pPr>
              <w:spacing w:after="0"/>
              <w:rPr>
                <w:sz w:val="20"/>
                <w:szCs w:val="20"/>
                <w:color w:val="auto"/>
              </w:rPr>
            </w:pPr>
            <w:r>
              <w:rPr>
                <w:rFonts w:ascii="Arial" w:cs="Arial" w:eastAsia="Arial" w:hAnsi="Arial"/>
                <w:sz w:val="20"/>
                <w:szCs w:val="20"/>
                <w:color w:val="auto"/>
              </w:rPr>
              <w:t>Garner Quarry</w:t>
            </w:r>
          </w:p>
        </w:tc>
        <w:tc>
          <w:tcPr>
            <w:tcW w:w="9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95"/>
              </w:rPr>
              <w:t>3100072</w:t>
            </w:r>
          </w:p>
        </w:tc>
        <w:tc>
          <w:tcPr>
            <w:tcW w:w="5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40" w:type="dxa"/>
            <w:vAlign w:val="bottom"/>
          </w:tcPr>
          <w:p>
            <w:pPr>
              <w:spacing w:after="0"/>
              <w:rPr>
                <w:sz w:val="20"/>
                <w:szCs w:val="20"/>
                <w:color w:val="auto"/>
              </w:rPr>
            </w:pPr>
            <w:r>
              <w:rPr>
                <w:rFonts w:ascii="Arial" w:cs="Arial" w:eastAsia="Arial" w:hAnsi="Arial"/>
                <w:sz w:val="20"/>
                <w:szCs w:val="20"/>
                <w:color w:val="auto"/>
              </w:rPr>
              <w:t>Georgetown II Quarry</w:t>
            </w:r>
          </w:p>
        </w:tc>
        <w:tc>
          <w:tcPr>
            <w:tcW w:w="920" w:type="dxa"/>
            <w:vAlign w:val="bottom"/>
          </w:tcPr>
          <w:p>
            <w:pPr>
              <w:jc w:val="right"/>
              <w:ind w:right="61"/>
              <w:spacing w:after="0"/>
              <w:rPr>
                <w:sz w:val="20"/>
                <w:szCs w:val="20"/>
                <w:color w:val="auto"/>
              </w:rPr>
            </w:pPr>
            <w:r>
              <w:rPr>
                <w:rFonts w:ascii="Arial" w:cs="Arial" w:eastAsia="Arial" w:hAnsi="Arial"/>
                <w:sz w:val="20"/>
                <w:szCs w:val="20"/>
                <w:color w:val="auto"/>
                <w:w w:val="95"/>
              </w:rPr>
              <w:t>3800525</w:t>
            </w:r>
          </w:p>
        </w:tc>
        <w:tc>
          <w:tcPr>
            <w:tcW w:w="5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157</w:t>
            </w:r>
          </w:p>
        </w:tc>
        <w:tc>
          <w:tcPr>
            <w:tcW w:w="5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40" w:type="dxa"/>
            <w:vAlign w:val="bottom"/>
            <w:shd w:val="clear" w:color="auto" w:fill="CFF0FC"/>
          </w:tcPr>
          <w:p>
            <w:pPr>
              <w:spacing w:after="0"/>
              <w:rPr>
                <w:sz w:val="20"/>
                <w:szCs w:val="20"/>
                <w:color w:val="auto"/>
              </w:rPr>
            </w:pPr>
            <w:r>
              <w:rPr>
                <w:rFonts w:ascii="Arial" w:cs="Arial" w:eastAsia="Arial" w:hAnsi="Arial"/>
                <w:sz w:val="20"/>
                <w:szCs w:val="20"/>
                <w:color w:val="auto"/>
                <w:w w:val="98"/>
              </w:rPr>
              <w:t>Greensboro Portable Plt</w:t>
            </w:r>
          </w:p>
        </w:tc>
        <w:tc>
          <w:tcPr>
            <w:tcW w:w="9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95"/>
              </w:rPr>
              <w:t>3102336</w:t>
            </w:r>
          </w:p>
        </w:tc>
        <w:tc>
          <w:tcPr>
            <w:tcW w:w="5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40" w:type="dxa"/>
            <w:vAlign w:val="bottom"/>
          </w:tcPr>
          <w:p>
            <w:pPr>
              <w:spacing w:after="0"/>
              <w:rPr>
                <w:sz w:val="20"/>
                <w:szCs w:val="20"/>
                <w:color w:val="auto"/>
              </w:rPr>
            </w:pPr>
            <w:r>
              <w:rPr>
                <w:rFonts w:ascii="Arial" w:cs="Arial" w:eastAsia="Arial" w:hAnsi="Arial"/>
                <w:sz w:val="20"/>
                <w:szCs w:val="20"/>
                <w:color w:val="auto"/>
                <w:w w:val="91"/>
              </w:rPr>
              <w:t>Greensboro Portable Plt II</w:t>
            </w:r>
          </w:p>
        </w:tc>
        <w:tc>
          <w:tcPr>
            <w:tcW w:w="920" w:type="dxa"/>
            <w:vAlign w:val="bottom"/>
          </w:tcPr>
          <w:p>
            <w:pPr>
              <w:jc w:val="right"/>
              <w:ind w:right="61"/>
              <w:spacing w:after="0"/>
              <w:rPr>
                <w:sz w:val="20"/>
                <w:szCs w:val="20"/>
                <w:color w:val="auto"/>
              </w:rPr>
            </w:pPr>
            <w:r>
              <w:rPr>
                <w:rFonts w:ascii="Arial" w:cs="Arial" w:eastAsia="Arial" w:hAnsi="Arial"/>
                <w:sz w:val="20"/>
                <w:szCs w:val="20"/>
                <w:color w:val="auto"/>
                <w:w w:val="95"/>
              </w:rPr>
              <w:t>3102335</w:t>
            </w:r>
          </w:p>
        </w:tc>
        <w:tc>
          <w:tcPr>
            <w:tcW w:w="5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40" w:type="dxa"/>
            <w:vAlign w:val="bottom"/>
            <w:shd w:val="clear" w:color="auto" w:fill="CFF0FC"/>
          </w:tcPr>
          <w:p>
            <w:pPr>
              <w:spacing w:after="0"/>
              <w:rPr>
                <w:sz w:val="20"/>
                <w:szCs w:val="20"/>
                <w:color w:val="auto"/>
              </w:rPr>
            </w:pPr>
            <w:r>
              <w:rPr>
                <w:rFonts w:ascii="Arial" w:cs="Arial" w:eastAsia="Arial" w:hAnsi="Arial"/>
                <w:sz w:val="20"/>
                <w:szCs w:val="20"/>
                <w:color w:val="auto"/>
              </w:rPr>
              <w:t>Hickory Quarry</w:t>
            </w:r>
          </w:p>
        </w:tc>
        <w:tc>
          <w:tcPr>
            <w:tcW w:w="9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95"/>
              </w:rPr>
              <w:t>3100043</w:t>
            </w:r>
          </w:p>
        </w:tc>
        <w:tc>
          <w:tcPr>
            <w:tcW w:w="5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40" w:type="dxa"/>
            <w:vAlign w:val="bottom"/>
          </w:tcPr>
          <w:p>
            <w:pPr>
              <w:spacing w:after="0"/>
              <w:rPr>
                <w:sz w:val="20"/>
                <w:szCs w:val="20"/>
                <w:color w:val="auto"/>
              </w:rPr>
            </w:pPr>
            <w:r>
              <w:rPr>
                <w:rFonts w:ascii="Arial" w:cs="Arial" w:eastAsia="Arial" w:hAnsi="Arial"/>
                <w:sz w:val="20"/>
                <w:szCs w:val="20"/>
                <w:color w:val="auto"/>
              </w:rPr>
              <w:t>Hicone</w:t>
            </w:r>
          </w:p>
        </w:tc>
        <w:tc>
          <w:tcPr>
            <w:tcW w:w="920" w:type="dxa"/>
            <w:vAlign w:val="bottom"/>
          </w:tcPr>
          <w:p>
            <w:pPr>
              <w:jc w:val="right"/>
              <w:ind w:right="61"/>
              <w:spacing w:after="0"/>
              <w:rPr>
                <w:sz w:val="20"/>
                <w:szCs w:val="20"/>
                <w:color w:val="auto"/>
              </w:rPr>
            </w:pPr>
            <w:r>
              <w:rPr>
                <w:rFonts w:ascii="Arial" w:cs="Arial" w:eastAsia="Arial" w:hAnsi="Arial"/>
                <w:sz w:val="20"/>
                <w:szCs w:val="20"/>
                <w:color w:val="auto"/>
                <w:w w:val="95"/>
              </w:rPr>
              <w:t>3102088</w:t>
            </w:r>
          </w:p>
        </w:tc>
        <w:tc>
          <w:tcPr>
            <w:tcW w:w="5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40" w:type="dxa"/>
            <w:vAlign w:val="bottom"/>
            <w:shd w:val="clear" w:color="auto" w:fill="CFF0FC"/>
          </w:tcPr>
          <w:p>
            <w:pPr>
              <w:spacing w:after="0"/>
              <w:rPr>
                <w:sz w:val="20"/>
                <w:szCs w:val="20"/>
                <w:color w:val="auto"/>
              </w:rPr>
            </w:pPr>
            <w:r>
              <w:rPr>
                <w:rFonts w:ascii="Arial" w:cs="Arial" w:eastAsia="Arial" w:hAnsi="Arial"/>
                <w:sz w:val="20"/>
                <w:szCs w:val="20"/>
                <w:color w:val="auto"/>
              </w:rPr>
              <w:t>Jamestown Quarry</w:t>
            </w:r>
          </w:p>
        </w:tc>
        <w:tc>
          <w:tcPr>
            <w:tcW w:w="9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95"/>
              </w:rPr>
              <w:t>3100051</w:t>
            </w:r>
          </w:p>
        </w:tc>
        <w:tc>
          <w:tcPr>
            <w:tcW w:w="5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123</w:t>
            </w:r>
          </w:p>
        </w:tc>
        <w:tc>
          <w:tcPr>
            <w:tcW w:w="5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40" w:type="dxa"/>
            <w:vAlign w:val="bottom"/>
          </w:tcPr>
          <w:p>
            <w:pPr>
              <w:spacing w:after="0"/>
              <w:rPr>
                <w:sz w:val="20"/>
                <w:szCs w:val="20"/>
                <w:color w:val="auto"/>
              </w:rPr>
            </w:pPr>
            <w:r>
              <w:rPr>
                <w:rFonts w:ascii="Arial" w:cs="Arial" w:eastAsia="Arial" w:hAnsi="Arial"/>
                <w:sz w:val="20"/>
                <w:szCs w:val="20"/>
                <w:color w:val="auto"/>
              </w:rPr>
              <w:t>Kannapolis Quarry</w:t>
            </w:r>
          </w:p>
        </w:tc>
        <w:tc>
          <w:tcPr>
            <w:tcW w:w="920" w:type="dxa"/>
            <w:vAlign w:val="bottom"/>
          </w:tcPr>
          <w:p>
            <w:pPr>
              <w:jc w:val="right"/>
              <w:ind w:right="61"/>
              <w:spacing w:after="0"/>
              <w:rPr>
                <w:sz w:val="20"/>
                <w:szCs w:val="20"/>
                <w:color w:val="auto"/>
              </w:rPr>
            </w:pPr>
            <w:r>
              <w:rPr>
                <w:rFonts w:ascii="Arial" w:cs="Arial" w:eastAsia="Arial" w:hAnsi="Arial"/>
                <w:sz w:val="20"/>
                <w:szCs w:val="20"/>
                <w:color w:val="auto"/>
                <w:w w:val="95"/>
              </w:rPr>
              <w:t>3100070</w:t>
            </w:r>
          </w:p>
        </w:tc>
        <w:tc>
          <w:tcPr>
            <w:tcW w:w="5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40" w:type="dxa"/>
            <w:vAlign w:val="bottom"/>
            <w:shd w:val="clear" w:color="auto" w:fill="CFF0FC"/>
          </w:tcPr>
          <w:p>
            <w:pPr>
              <w:spacing w:after="0"/>
              <w:rPr>
                <w:sz w:val="20"/>
                <w:szCs w:val="20"/>
                <w:color w:val="auto"/>
              </w:rPr>
            </w:pPr>
            <w:r>
              <w:rPr>
                <w:rFonts w:ascii="Arial" w:cs="Arial" w:eastAsia="Arial" w:hAnsi="Arial"/>
                <w:sz w:val="20"/>
                <w:szCs w:val="20"/>
                <w:color w:val="auto"/>
              </w:rPr>
              <w:t>Kent Sand &amp; Gravel</w:t>
            </w:r>
          </w:p>
        </w:tc>
        <w:tc>
          <w:tcPr>
            <w:tcW w:w="9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95"/>
              </w:rPr>
              <w:t>1800745</w:t>
            </w:r>
          </w:p>
        </w:tc>
        <w:tc>
          <w:tcPr>
            <w:tcW w:w="5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123</w:t>
            </w:r>
          </w:p>
        </w:tc>
        <w:tc>
          <w:tcPr>
            <w:tcW w:w="5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40" w:type="dxa"/>
            <w:vAlign w:val="bottom"/>
          </w:tcPr>
          <w:p>
            <w:pPr>
              <w:spacing w:after="0"/>
              <w:rPr>
                <w:sz w:val="20"/>
                <w:szCs w:val="20"/>
                <w:color w:val="auto"/>
              </w:rPr>
            </w:pPr>
            <w:r>
              <w:rPr>
                <w:rFonts w:ascii="Arial" w:cs="Arial" w:eastAsia="Arial" w:hAnsi="Arial"/>
                <w:sz w:val="20"/>
                <w:szCs w:val="20"/>
                <w:color w:val="auto"/>
              </w:rPr>
              <w:t>Kings Mountain Quarry</w:t>
            </w:r>
          </w:p>
        </w:tc>
        <w:tc>
          <w:tcPr>
            <w:tcW w:w="920" w:type="dxa"/>
            <w:vAlign w:val="bottom"/>
          </w:tcPr>
          <w:p>
            <w:pPr>
              <w:jc w:val="right"/>
              <w:ind w:right="61"/>
              <w:spacing w:after="0"/>
              <w:rPr>
                <w:sz w:val="20"/>
                <w:szCs w:val="20"/>
                <w:color w:val="auto"/>
              </w:rPr>
            </w:pPr>
            <w:r>
              <w:rPr>
                <w:rFonts w:ascii="Arial" w:cs="Arial" w:eastAsia="Arial" w:hAnsi="Arial"/>
                <w:sz w:val="20"/>
                <w:szCs w:val="20"/>
                <w:color w:val="auto"/>
                <w:w w:val="95"/>
              </w:rPr>
              <w:t>3100047</w:t>
            </w:r>
          </w:p>
        </w:tc>
        <w:tc>
          <w:tcPr>
            <w:tcW w:w="5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40" w:type="dxa"/>
            <w:vAlign w:val="bottom"/>
            <w:shd w:val="clear" w:color="auto" w:fill="CFF0FC"/>
          </w:tcPr>
          <w:p>
            <w:pPr>
              <w:spacing w:after="0"/>
              <w:rPr>
                <w:sz w:val="20"/>
                <w:szCs w:val="20"/>
                <w:color w:val="auto"/>
              </w:rPr>
            </w:pPr>
            <w:r>
              <w:rPr>
                <w:rFonts w:ascii="Arial" w:cs="Arial" w:eastAsia="Arial" w:hAnsi="Arial"/>
                <w:sz w:val="20"/>
                <w:szCs w:val="20"/>
                <w:color w:val="auto"/>
              </w:rPr>
              <w:t>Lemon Springs Quarry</w:t>
            </w:r>
          </w:p>
        </w:tc>
        <w:tc>
          <w:tcPr>
            <w:tcW w:w="9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95"/>
              </w:rPr>
              <w:t>3101104</w:t>
            </w:r>
          </w:p>
        </w:tc>
        <w:tc>
          <w:tcPr>
            <w:tcW w:w="5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40" w:type="dxa"/>
            <w:vAlign w:val="bottom"/>
          </w:tcPr>
          <w:p>
            <w:pPr>
              <w:spacing w:after="0"/>
              <w:rPr>
                <w:sz w:val="20"/>
                <w:szCs w:val="20"/>
                <w:color w:val="auto"/>
              </w:rPr>
            </w:pPr>
            <w:r>
              <w:rPr>
                <w:rFonts w:ascii="Arial" w:cs="Arial" w:eastAsia="Arial" w:hAnsi="Arial"/>
                <w:sz w:val="20"/>
                <w:szCs w:val="20"/>
                <w:color w:val="auto"/>
              </w:rPr>
              <w:t>Loamy Sand Gravel</w:t>
            </w:r>
          </w:p>
        </w:tc>
        <w:tc>
          <w:tcPr>
            <w:tcW w:w="920" w:type="dxa"/>
            <w:vAlign w:val="bottom"/>
          </w:tcPr>
          <w:p>
            <w:pPr>
              <w:jc w:val="right"/>
              <w:ind w:right="61"/>
              <w:spacing w:after="0"/>
              <w:rPr>
                <w:sz w:val="20"/>
                <w:szCs w:val="20"/>
                <w:color w:val="auto"/>
              </w:rPr>
            </w:pPr>
            <w:r>
              <w:rPr>
                <w:rFonts w:ascii="Arial" w:cs="Arial" w:eastAsia="Arial" w:hAnsi="Arial"/>
                <w:sz w:val="20"/>
                <w:szCs w:val="20"/>
                <w:color w:val="auto"/>
                <w:w w:val="95"/>
              </w:rPr>
              <w:t>3800721</w:t>
            </w:r>
          </w:p>
        </w:tc>
        <w:tc>
          <w:tcPr>
            <w:tcW w:w="5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40" w:type="dxa"/>
            <w:vAlign w:val="bottom"/>
            <w:shd w:val="clear" w:color="auto" w:fill="CFF0FC"/>
          </w:tcPr>
          <w:p>
            <w:pPr>
              <w:spacing w:after="0"/>
              <w:rPr>
                <w:sz w:val="20"/>
                <w:szCs w:val="20"/>
                <w:color w:val="auto"/>
              </w:rPr>
            </w:pPr>
            <w:r>
              <w:rPr>
                <w:rFonts w:ascii="Arial" w:cs="Arial" w:eastAsia="Arial" w:hAnsi="Arial"/>
                <w:sz w:val="20"/>
                <w:szCs w:val="20"/>
                <w:color w:val="auto"/>
              </w:rPr>
              <w:t>Maiden Quarry</w:t>
            </w:r>
          </w:p>
        </w:tc>
        <w:tc>
          <w:tcPr>
            <w:tcW w:w="9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95"/>
              </w:rPr>
              <w:t>3102125</w:t>
            </w:r>
          </w:p>
        </w:tc>
        <w:tc>
          <w:tcPr>
            <w:tcW w:w="5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40" w:type="dxa"/>
            <w:vAlign w:val="bottom"/>
          </w:tcPr>
          <w:p>
            <w:pPr>
              <w:spacing w:after="0"/>
              <w:rPr>
                <w:sz w:val="20"/>
                <w:szCs w:val="20"/>
                <w:color w:val="auto"/>
              </w:rPr>
            </w:pPr>
            <w:r>
              <w:rPr>
                <w:rFonts w:ascii="Arial" w:cs="Arial" w:eastAsia="Arial" w:hAnsi="Arial"/>
                <w:sz w:val="20"/>
                <w:szCs w:val="20"/>
                <w:color w:val="auto"/>
              </w:rPr>
              <w:t>Mallard Creek Quarry</w:t>
            </w:r>
          </w:p>
        </w:tc>
        <w:tc>
          <w:tcPr>
            <w:tcW w:w="920" w:type="dxa"/>
            <w:vAlign w:val="bottom"/>
          </w:tcPr>
          <w:p>
            <w:pPr>
              <w:jc w:val="right"/>
              <w:ind w:right="61"/>
              <w:spacing w:after="0"/>
              <w:rPr>
                <w:sz w:val="20"/>
                <w:szCs w:val="20"/>
                <w:color w:val="auto"/>
              </w:rPr>
            </w:pPr>
            <w:r>
              <w:rPr>
                <w:rFonts w:ascii="Arial" w:cs="Arial" w:eastAsia="Arial" w:hAnsi="Arial"/>
                <w:sz w:val="20"/>
                <w:szCs w:val="20"/>
                <w:color w:val="auto"/>
                <w:w w:val="95"/>
              </w:rPr>
              <w:t>3102006</w:t>
            </w:r>
          </w:p>
        </w:tc>
        <w:tc>
          <w:tcPr>
            <w:tcW w:w="5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185</w:t>
            </w:r>
          </w:p>
        </w:tc>
        <w:tc>
          <w:tcPr>
            <w:tcW w:w="5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40" w:type="dxa"/>
            <w:vAlign w:val="bottom"/>
            <w:shd w:val="clear" w:color="auto" w:fill="CFF0FC"/>
          </w:tcPr>
          <w:p>
            <w:pPr>
              <w:spacing w:after="0"/>
              <w:rPr>
                <w:sz w:val="20"/>
                <w:szCs w:val="20"/>
                <w:color w:val="auto"/>
              </w:rPr>
            </w:pPr>
            <w:r>
              <w:rPr>
                <w:rFonts w:ascii="Arial" w:cs="Arial" w:eastAsia="Arial" w:hAnsi="Arial"/>
                <w:sz w:val="20"/>
                <w:szCs w:val="20"/>
                <w:color w:val="auto"/>
              </w:rPr>
              <w:t>Matthews Quarry</w:t>
            </w:r>
          </w:p>
        </w:tc>
        <w:tc>
          <w:tcPr>
            <w:tcW w:w="9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95"/>
              </w:rPr>
              <w:t>3102084</w:t>
            </w:r>
          </w:p>
        </w:tc>
        <w:tc>
          <w:tcPr>
            <w:tcW w:w="5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40" w:type="dxa"/>
            <w:vAlign w:val="bottom"/>
          </w:tcPr>
          <w:p>
            <w:pPr>
              <w:spacing w:after="0"/>
              <w:rPr>
                <w:sz w:val="20"/>
                <w:szCs w:val="20"/>
                <w:color w:val="auto"/>
              </w:rPr>
            </w:pPr>
            <w:r>
              <w:rPr>
                <w:rFonts w:ascii="Arial" w:cs="Arial" w:eastAsia="Arial" w:hAnsi="Arial"/>
                <w:sz w:val="20"/>
                <w:szCs w:val="20"/>
                <w:color w:val="auto"/>
              </w:rPr>
              <w:t>Medford Quarry</w:t>
            </w:r>
          </w:p>
        </w:tc>
        <w:tc>
          <w:tcPr>
            <w:tcW w:w="920" w:type="dxa"/>
            <w:vAlign w:val="bottom"/>
          </w:tcPr>
          <w:p>
            <w:pPr>
              <w:jc w:val="right"/>
              <w:ind w:right="61"/>
              <w:spacing w:after="0"/>
              <w:rPr>
                <w:sz w:val="20"/>
                <w:szCs w:val="20"/>
                <w:color w:val="auto"/>
              </w:rPr>
            </w:pPr>
            <w:r>
              <w:rPr>
                <w:rFonts w:ascii="Arial" w:cs="Arial" w:eastAsia="Arial" w:hAnsi="Arial"/>
                <w:sz w:val="20"/>
                <w:szCs w:val="20"/>
                <w:color w:val="auto"/>
                <w:w w:val="95"/>
              </w:rPr>
              <w:t>1800035</w:t>
            </w:r>
          </w:p>
        </w:tc>
        <w:tc>
          <w:tcPr>
            <w:tcW w:w="5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40" w:type="dxa"/>
            <w:vAlign w:val="bottom"/>
            <w:shd w:val="clear" w:color="auto" w:fill="CFF0FC"/>
          </w:tcPr>
          <w:p>
            <w:pPr>
              <w:spacing w:after="0"/>
              <w:rPr>
                <w:sz w:val="20"/>
                <w:szCs w:val="20"/>
                <w:color w:val="auto"/>
              </w:rPr>
            </w:pPr>
            <w:r>
              <w:rPr>
                <w:rFonts w:ascii="Arial" w:cs="Arial" w:eastAsia="Arial" w:hAnsi="Arial"/>
                <w:sz w:val="20"/>
                <w:szCs w:val="20"/>
                <w:color w:val="auto"/>
              </w:rPr>
              <w:t>Midlothian Quarry</w:t>
            </w:r>
          </w:p>
        </w:tc>
        <w:tc>
          <w:tcPr>
            <w:tcW w:w="9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95"/>
              </w:rPr>
              <w:t>4403767</w:t>
            </w:r>
          </w:p>
        </w:tc>
        <w:tc>
          <w:tcPr>
            <w:tcW w:w="5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40" w:type="dxa"/>
            <w:vAlign w:val="bottom"/>
          </w:tcPr>
          <w:p>
            <w:pPr>
              <w:spacing w:after="0"/>
              <w:rPr>
                <w:sz w:val="20"/>
                <w:szCs w:val="20"/>
                <w:color w:val="auto"/>
              </w:rPr>
            </w:pPr>
            <w:r>
              <w:rPr>
                <w:rFonts w:ascii="Arial" w:cs="Arial" w:eastAsia="Arial" w:hAnsi="Arial"/>
                <w:sz w:val="20"/>
                <w:szCs w:val="20"/>
                <w:color w:val="auto"/>
                <w:w w:val="96"/>
              </w:rPr>
              <w:t>Misc Greensboro District</w:t>
            </w:r>
          </w:p>
        </w:tc>
        <w:tc>
          <w:tcPr>
            <w:tcW w:w="920" w:type="dxa"/>
            <w:vAlign w:val="bottom"/>
          </w:tcPr>
          <w:p>
            <w:pPr>
              <w:jc w:val="right"/>
              <w:ind w:right="61"/>
              <w:spacing w:after="0"/>
              <w:rPr>
                <w:sz w:val="20"/>
                <w:szCs w:val="20"/>
                <w:color w:val="auto"/>
              </w:rPr>
            </w:pPr>
            <w:r>
              <w:rPr>
                <w:rFonts w:ascii="Arial" w:cs="Arial" w:eastAsia="Arial" w:hAnsi="Arial"/>
                <w:sz w:val="20"/>
                <w:szCs w:val="20"/>
                <w:color w:val="auto"/>
              </w:rPr>
              <w:t>B8611</w:t>
            </w:r>
          </w:p>
        </w:tc>
        <w:tc>
          <w:tcPr>
            <w:tcW w:w="5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40" w:type="dxa"/>
            <w:vAlign w:val="bottom"/>
            <w:shd w:val="clear" w:color="auto" w:fill="CFF0FC"/>
          </w:tcPr>
          <w:p>
            <w:pPr>
              <w:spacing w:after="0"/>
              <w:rPr>
                <w:sz w:val="20"/>
                <w:szCs w:val="20"/>
                <w:color w:val="auto"/>
              </w:rPr>
            </w:pPr>
            <w:r>
              <w:rPr>
                <w:rFonts w:ascii="Arial" w:cs="Arial" w:eastAsia="Arial" w:hAnsi="Arial"/>
                <w:sz w:val="20"/>
                <w:szCs w:val="20"/>
                <w:color w:val="auto"/>
              </w:rPr>
              <w:t>North Columbia</w:t>
            </w:r>
          </w:p>
        </w:tc>
        <w:tc>
          <w:tcPr>
            <w:tcW w:w="9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95"/>
              </w:rPr>
              <w:t>3800146</w:t>
            </w:r>
          </w:p>
        </w:tc>
        <w:tc>
          <w:tcPr>
            <w:tcW w:w="5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521</w:t>
            </w:r>
          </w:p>
        </w:tc>
        <w:tc>
          <w:tcPr>
            <w:tcW w:w="5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40" w:type="dxa"/>
            <w:vAlign w:val="bottom"/>
          </w:tcPr>
          <w:p>
            <w:pPr>
              <w:spacing w:after="0"/>
              <w:rPr>
                <w:sz w:val="20"/>
                <w:szCs w:val="20"/>
                <w:color w:val="auto"/>
              </w:rPr>
            </w:pPr>
            <w:r>
              <w:rPr>
                <w:rFonts w:ascii="Arial" w:cs="Arial" w:eastAsia="Arial" w:hAnsi="Arial"/>
                <w:sz w:val="20"/>
                <w:szCs w:val="20"/>
                <w:color w:val="auto"/>
              </w:rPr>
              <w:t>North East Quarry</w:t>
            </w:r>
          </w:p>
        </w:tc>
        <w:tc>
          <w:tcPr>
            <w:tcW w:w="920" w:type="dxa"/>
            <w:vAlign w:val="bottom"/>
          </w:tcPr>
          <w:p>
            <w:pPr>
              <w:jc w:val="right"/>
              <w:ind w:right="61"/>
              <w:spacing w:after="0"/>
              <w:rPr>
                <w:sz w:val="20"/>
                <w:szCs w:val="20"/>
                <w:color w:val="auto"/>
              </w:rPr>
            </w:pPr>
            <w:r>
              <w:rPr>
                <w:rFonts w:ascii="Arial" w:cs="Arial" w:eastAsia="Arial" w:hAnsi="Arial"/>
                <w:sz w:val="20"/>
                <w:szCs w:val="20"/>
                <w:color w:val="auto"/>
                <w:w w:val="95"/>
              </w:rPr>
              <w:t>1800417</w:t>
            </w:r>
          </w:p>
        </w:tc>
        <w:tc>
          <w:tcPr>
            <w:tcW w:w="5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246</w:t>
            </w:r>
          </w:p>
        </w:tc>
        <w:tc>
          <w:tcPr>
            <w:tcW w:w="5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40" w:type="dxa"/>
            <w:vAlign w:val="bottom"/>
            <w:shd w:val="clear" w:color="auto" w:fill="CFF0FC"/>
          </w:tcPr>
          <w:p>
            <w:pPr>
              <w:spacing w:after="0"/>
              <w:rPr>
                <w:sz w:val="20"/>
                <w:szCs w:val="20"/>
                <w:color w:val="auto"/>
              </w:rPr>
            </w:pPr>
            <w:r>
              <w:rPr>
                <w:rFonts w:ascii="Arial" w:cs="Arial" w:eastAsia="Arial" w:hAnsi="Arial"/>
                <w:sz w:val="20"/>
                <w:szCs w:val="20"/>
                <w:color w:val="auto"/>
              </w:rPr>
              <w:t>Old Charleston Sand</w:t>
            </w:r>
          </w:p>
        </w:tc>
        <w:tc>
          <w:tcPr>
            <w:tcW w:w="9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95"/>
              </w:rPr>
              <w:t>3800702</w:t>
            </w:r>
          </w:p>
        </w:tc>
        <w:tc>
          <w:tcPr>
            <w:tcW w:w="5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40" w:type="dxa"/>
            <w:vAlign w:val="bottom"/>
          </w:tcPr>
          <w:p>
            <w:pPr>
              <w:spacing w:after="0"/>
              <w:rPr>
                <w:sz w:val="20"/>
                <w:szCs w:val="20"/>
                <w:color w:val="auto"/>
              </w:rPr>
            </w:pPr>
            <w:r>
              <w:rPr>
                <w:rFonts w:ascii="Arial" w:cs="Arial" w:eastAsia="Arial" w:hAnsi="Arial"/>
                <w:sz w:val="20"/>
                <w:szCs w:val="20"/>
                <w:color w:val="auto"/>
              </w:rPr>
              <w:t>Onslow Quarry</w:t>
            </w:r>
          </w:p>
        </w:tc>
        <w:tc>
          <w:tcPr>
            <w:tcW w:w="920" w:type="dxa"/>
            <w:vAlign w:val="bottom"/>
          </w:tcPr>
          <w:p>
            <w:pPr>
              <w:jc w:val="right"/>
              <w:ind w:right="61"/>
              <w:spacing w:after="0"/>
              <w:rPr>
                <w:sz w:val="20"/>
                <w:szCs w:val="20"/>
                <w:color w:val="auto"/>
              </w:rPr>
            </w:pPr>
            <w:r>
              <w:rPr>
                <w:rFonts w:ascii="Arial" w:cs="Arial" w:eastAsia="Arial" w:hAnsi="Arial"/>
                <w:sz w:val="20"/>
                <w:szCs w:val="20"/>
                <w:color w:val="auto"/>
                <w:w w:val="95"/>
              </w:rPr>
              <w:t>3102120</w:t>
            </w:r>
          </w:p>
        </w:tc>
        <w:tc>
          <w:tcPr>
            <w:tcW w:w="5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40" w:type="dxa"/>
            <w:vAlign w:val="bottom"/>
            <w:shd w:val="clear" w:color="auto" w:fill="CFF0FC"/>
          </w:tcPr>
          <w:p>
            <w:pPr>
              <w:spacing w:after="0"/>
              <w:rPr>
                <w:sz w:val="20"/>
                <w:szCs w:val="20"/>
                <w:color w:val="auto"/>
              </w:rPr>
            </w:pPr>
            <w:r>
              <w:rPr>
                <w:rFonts w:ascii="Arial" w:cs="Arial" w:eastAsia="Arial" w:hAnsi="Arial"/>
                <w:sz w:val="20"/>
                <w:szCs w:val="20"/>
                <w:color w:val="auto"/>
              </w:rPr>
              <w:t>Pinesburg Quarry</w:t>
            </w:r>
          </w:p>
        </w:tc>
        <w:tc>
          <w:tcPr>
            <w:tcW w:w="9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95"/>
              </w:rPr>
              <w:t>1800021</w:t>
            </w:r>
          </w:p>
        </w:tc>
        <w:tc>
          <w:tcPr>
            <w:tcW w:w="5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40" w:type="dxa"/>
            <w:vAlign w:val="bottom"/>
          </w:tcPr>
          <w:p>
            <w:pPr>
              <w:spacing w:after="0"/>
              <w:rPr>
                <w:sz w:val="20"/>
                <w:szCs w:val="20"/>
                <w:color w:val="auto"/>
              </w:rPr>
            </w:pPr>
            <w:r>
              <w:rPr>
                <w:rFonts w:ascii="Arial" w:cs="Arial" w:eastAsia="Arial" w:hAnsi="Arial"/>
                <w:sz w:val="20"/>
                <w:szCs w:val="20"/>
                <w:color w:val="auto"/>
              </w:rPr>
              <w:t>Pomona Quarry</w:t>
            </w:r>
          </w:p>
        </w:tc>
        <w:tc>
          <w:tcPr>
            <w:tcW w:w="920" w:type="dxa"/>
            <w:vAlign w:val="bottom"/>
          </w:tcPr>
          <w:p>
            <w:pPr>
              <w:jc w:val="right"/>
              <w:ind w:right="61"/>
              <w:spacing w:after="0"/>
              <w:rPr>
                <w:sz w:val="20"/>
                <w:szCs w:val="20"/>
                <w:color w:val="auto"/>
              </w:rPr>
            </w:pPr>
            <w:r>
              <w:rPr>
                <w:rFonts w:ascii="Arial" w:cs="Arial" w:eastAsia="Arial" w:hAnsi="Arial"/>
                <w:sz w:val="20"/>
                <w:szCs w:val="20"/>
                <w:color w:val="auto"/>
                <w:w w:val="95"/>
              </w:rPr>
              <w:t>3100052</w:t>
            </w:r>
          </w:p>
        </w:tc>
        <w:tc>
          <w:tcPr>
            <w:tcW w:w="5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40" w:type="dxa"/>
            <w:vAlign w:val="bottom"/>
            <w:shd w:val="clear" w:color="auto" w:fill="CFF0FC"/>
          </w:tcPr>
          <w:p>
            <w:pPr>
              <w:spacing w:after="0"/>
              <w:rPr>
                <w:sz w:val="20"/>
                <w:szCs w:val="20"/>
                <w:color w:val="auto"/>
              </w:rPr>
            </w:pPr>
            <w:r>
              <w:rPr>
                <w:rFonts w:ascii="Arial" w:cs="Arial" w:eastAsia="Arial" w:hAnsi="Arial"/>
                <w:sz w:val="20"/>
                <w:szCs w:val="20"/>
                <w:color w:val="auto"/>
              </w:rPr>
              <w:t>Raleigh Durham Quarry</w:t>
            </w:r>
          </w:p>
        </w:tc>
        <w:tc>
          <w:tcPr>
            <w:tcW w:w="9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95"/>
              </w:rPr>
              <w:t>3101941</w:t>
            </w:r>
          </w:p>
        </w:tc>
        <w:tc>
          <w:tcPr>
            <w:tcW w:w="5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40" w:type="dxa"/>
            <w:vAlign w:val="bottom"/>
          </w:tcPr>
          <w:p>
            <w:pPr>
              <w:spacing w:after="0"/>
              <w:rPr>
                <w:sz w:val="20"/>
                <w:szCs w:val="20"/>
                <w:color w:val="auto"/>
              </w:rPr>
            </w:pPr>
            <w:r>
              <w:rPr>
                <w:rFonts w:ascii="Arial" w:cs="Arial" w:eastAsia="Arial" w:hAnsi="Arial"/>
                <w:sz w:val="20"/>
                <w:szCs w:val="20"/>
                <w:color w:val="auto"/>
              </w:rPr>
              <w:t>Red Hill Quarry</w:t>
            </w:r>
          </w:p>
        </w:tc>
        <w:tc>
          <w:tcPr>
            <w:tcW w:w="920" w:type="dxa"/>
            <w:vAlign w:val="bottom"/>
          </w:tcPr>
          <w:p>
            <w:pPr>
              <w:jc w:val="right"/>
              <w:ind w:right="61"/>
              <w:spacing w:after="0"/>
              <w:rPr>
                <w:sz w:val="20"/>
                <w:szCs w:val="20"/>
                <w:color w:val="auto"/>
              </w:rPr>
            </w:pPr>
            <w:r>
              <w:rPr>
                <w:rFonts w:ascii="Arial" w:cs="Arial" w:eastAsia="Arial" w:hAnsi="Arial"/>
                <w:sz w:val="20"/>
                <w:szCs w:val="20"/>
                <w:color w:val="auto"/>
                <w:w w:val="95"/>
              </w:rPr>
              <w:t>4400072</w:t>
            </w:r>
          </w:p>
        </w:tc>
        <w:tc>
          <w:tcPr>
            <w:tcW w:w="5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40" w:type="dxa"/>
            <w:vAlign w:val="bottom"/>
            <w:shd w:val="clear" w:color="auto" w:fill="CFF0FC"/>
          </w:tcPr>
          <w:p>
            <w:pPr>
              <w:spacing w:after="0"/>
              <w:rPr>
                <w:sz w:val="20"/>
                <w:szCs w:val="20"/>
                <w:color w:val="auto"/>
              </w:rPr>
            </w:pPr>
            <w:r>
              <w:rPr>
                <w:rFonts w:ascii="Arial" w:cs="Arial" w:eastAsia="Arial" w:hAnsi="Arial"/>
                <w:sz w:val="20"/>
                <w:szCs w:val="20"/>
                <w:color w:val="auto"/>
              </w:rPr>
              <w:t>Reidsville Quarry</w:t>
            </w:r>
          </w:p>
        </w:tc>
        <w:tc>
          <w:tcPr>
            <w:tcW w:w="9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95"/>
              </w:rPr>
              <w:t>3100068</w:t>
            </w:r>
          </w:p>
        </w:tc>
        <w:tc>
          <w:tcPr>
            <w:tcW w:w="5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50"/>
        </w:trPr>
        <w:tc>
          <w:tcPr>
            <w:tcW w:w="2140" w:type="dxa"/>
            <w:vAlign w:val="bottom"/>
          </w:tcPr>
          <w:p>
            <w:pPr>
              <w:spacing w:after="0"/>
              <w:rPr>
                <w:sz w:val="20"/>
                <w:szCs w:val="20"/>
                <w:color w:val="auto"/>
              </w:rPr>
            </w:pPr>
            <w:r>
              <w:rPr>
                <w:rFonts w:ascii="Arial" w:cs="Arial" w:eastAsia="Arial" w:hAnsi="Arial"/>
                <w:sz w:val="20"/>
                <w:szCs w:val="20"/>
                <w:color w:val="auto"/>
              </w:rPr>
              <w:t>Rock Hill Quarry</w:t>
            </w:r>
          </w:p>
        </w:tc>
        <w:tc>
          <w:tcPr>
            <w:tcW w:w="920" w:type="dxa"/>
            <w:vAlign w:val="bottom"/>
          </w:tcPr>
          <w:p>
            <w:pPr>
              <w:jc w:val="right"/>
              <w:ind w:right="61"/>
              <w:spacing w:after="0"/>
              <w:rPr>
                <w:sz w:val="20"/>
                <w:szCs w:val="20"/>
                <w:color w:val="auto"/>
              </w:rPr>
            </w:pPr>
            <w:r>
              <w:rPr>
                <w:rFonts w:ascii="Arial" w:cs="Arial" w:eastAsia="Arial" w:hAnsi="Arial"/>
                <w:sz w:val="20"/>
                <w:szCs w:val="20"/>
                <w:color w:val="auto"/>
                <w:w w:val="95"/>
              </w:rPr>
              <w:t>3800026</w:t>
            </w:r>
          </w:p>
        </w:tc>
        <w:tc>
          <w:tcPr>
            <w:tcW w:w="540" w:type="dxa"/>
            <w:vAlign w:val="bottom"/>
          </w:tcPr>
          <w:p>
            <w:pPr>
              <w:jc w:val="right"/>
              <w:ind w:right="201"/>
              <w:spacing w:after="0"/>
              <w:rPr>
                <w:sz w:val="20"/>
                <w:szCs w:val="20"/>
                <w:color w:val="auto"/>
              </w:rPr>
            </w:pPr>
            <w:r>
              <w:rPr>
                <w:rFonts w:ascii="Arial" w:cs="Arial" w:eastAsia="Arial" w:hAnsi="Arial"/>
                <w:sz w:val="20"/>
                <w:szCs w:val="20"/>
                <w:color w:val="auto"/>
              </w:rPr>
              <w:t>1</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308</w:t>
            </w:r>
          </w:p>
        </w:tc>
        <w:tc>
          <w:tcPr>
            <w:tcW w:w="5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756"/>
        </w:trPr>
        <w:tc>
          <w:tcPr>
            <w:tcW w:w="21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52"/>
        </w:trPr>
        <w:tc>
          <w:tcPr>
            <w:tcW w:w="2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80" w:type="dxa"/>
            <w:vAlign w:val="bottom"/>
            <w:gridSpan w:val="2"/>
          </w:tcPr>
          <w:p>
            <w:pPr>
              <w:ind w:left="40"/>
              <w:spacing w:after="0"/>
              <w:rPr>
                <w:sz w:val="20"/>
                <w:szCs w:val="20"/>
                <w:color w:val="auto"/>
              </w:rPr>
            </w:pPr>
            <w:r>
              <w:rPr>
                <w:rFonts w:ascii="Arial" w:cs="Arial" w:eastAsia="Arial" w:hAnsi="Arial"/>
                <w:sz w:val="20"/>
                <w:szCs w:val="20"/>
                <w:color w:val="auto"/>
                <w:w w:val="91"/>
              </w:rPr>
              <w:t>Appendix 1</w:t>
            </w:r>
          </w:p>
        </w:tc>
      </w:tr>
      <w:tr>
        <w:trPr>
          <w:trHeight w:val="225"/>
        </w:trPr>
        <w:tc>
          <w:tcPr>
            <w:tcW w:w="2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3"/>
        </w:trPr>
        <w:tc>
          <w:tcPr>
            <w:tcW w:w="2120" w:type="dxa"/>
            <w:vAlign w:val="bottom"/>
            <w:shd w:val="clear" w:color="auto" w:fill="CFF0FC"/>
          </w:tcPr>
          <w:p>
            <w:pPr>
              <w:spacing w:after="0"/>
              <w:rPr>
                <w:sz w:val="20"/>
                <w:szCs w:val="20"/>
                <w:color w:val="auto"/>
              </w:rPr>
            </w:pPr>
            <w:r>
              <w:rPr>
                <w:rFonts w:ascii="Arial" w:cs="Arial" w:eastAsia="Arial" w:hAnsi="Arial"/>
                <w:sz w:val="20"/>
                <w:szCs w:val="20"/>
                <w:color w:val="auto"/>
              </w:rPr>
              <w:t>Salem Stone</w:t>
            </w:r>
          </w:p>
        </w:tc>
        <w:tc>
          <w:tcPr>
            <w:tcW w:w="9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97"/>
              </w:rPr>
              <w:t>3102038</w:t>
            </w:r>
          </w:p>
        </w:tc>
        <w:tc>
          <w:tcPr>
            <w:tcW w:w="5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20" w:type="dxa"/>
            <w:vAlign w:val="bottom"/>
          </w:tcPr>
          <w:p>
            <w:pPr>
              <w:spacing w:after="0"/>
              <w:rPr>
                <w:sz w:val="20"/>
                <w:szCs w:val="20"/>
                <w:color w:val="auto"/>
              </w:rPr>
            </w:pPr>
            <w:r>
              <w:rPr>
                <w:rFonts w:ascii="Arial" w:cs="Arial" w:eastAsia="Arial" w:hAnsi="Arial"/>
                <w:sz w:val="20"/>
                <w:szCs w:val="20"/>
                <w:color w:val="auto"/>
              </w:rPr>
              <w:t>Statesville Quarry</w:t>
            </w:r>
          </w:p>
        </w:tc>
        <w:tc>
          <w:tcPr>
            <w:tcW w:w="940" w:type="dxa"/>
            <w:vAlign w:val="bottom"/>
          </w:tcPr>
          <w:p>
            <w:pPr>
              <w:jc w:val="right"/>
              <w:ind w:right="61"/>
              <w:spacing w:after="0"/>
              <w:rPr>
                <w:sz w:val="20"/>
                <w:szCs w:val="20"/>
                <w:color w:val="auto"/>
              </w:rPr>
            </w:pPr>
            <w:r>
              <w:rPr>
                <w:rFonts w:ascii="Arial" w:cs="Arial" w:eastAsia="Arial" w:hAnsi="Arial"/>
                <w:sz w:val="20"/>
                <w:szCs w:val="20"/>
                <w:color w:val="auto"/>
                <w:w w:val="97"/>
              </w:rPr>
              <w:t>3100055</w:t>
            </w:r>
          </w:p>
        </w:tc>
        <w:tc>
          <w:tcPr>
            <w:tcW w:w="5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185</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20" w:type="dxa"/>
            <w:vAlign w:val="bottom"/>
            <w:shd w:val="clear" w:color="auto" w:fill="CFF0FC"/>
          </w:tcPr>
          <w:p>
            <w:pPr>
              <w:spacing w:after="0"/>
              <w:rPr>
                <w:sz w:val="20"/>
                <w:szCs w:val="20"/>
                <w:color w:val="auto"/>
              </w:rPr>
            </w:pPr>
            <w:r>
              <w:rPr>
                <w:rFonts w:ascii="Arial" w:cs="Arial" w:eastAsia="Arial" w:hAnsi="Arial"/>
                <w:sz w:val="20"/>
                <w:szCs w:val="20"/>
                <w:color w:val="auto"/>
              </w:rPr>
              <w:t>Texas Quarry</w:t>
            </w:r>
          </w:p>
        </w:tc>
        <w:tc>
          <w:tcPr>
            <w:tcW w:w="9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97"/>
              </w:rPr>
              <w:t>1800009</w:t>
            </w:r>
          </w:p>
        </w:tc>
        <w:tc>
          <w:tcPr>
            <w:tcW w:w="5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20" w:type="dxa"/>
            <w:vAlign w:val="bottom"/>
          </w:tcPr>
          <w:p>
            <w:pPr>
              <w:spacing w:after="0"/>
              <w:rPr>
                <w:sz w:val="20"/>
                <w:szCs w:val="20"/>
                <w:color w:val="auto"/>
              </w:rPr>
            </w:pPr>
            <w:r>
              <w:rPr>
                <w:rFonts w:ascii="Arial" w:cs="Arial" w:eastAsia="Arial" w:hAnsi="Arial"/>
                <w:sz w:val="20"/>
                <w:szCs w:val="20"/>
                <w:color w:val="auto"/>
              </w:rPr>
              <w:t>Thomasville Quarry</w:t>
            </w:r>
          </w:p>
        </w:tc>
        <w:tc>
          <w:tcPr>
            <w:tcW w:w="940" w:type="dxa"/>
            <w:vAlign w:val="bottom"/>
          </w:tcPr>
          <w:p>
            <w:pPr>
              <w:jc w:val="right"/>
              <w:ind w:right="61"/>
              <w:spacing w:after="0"/>
              <w:rPr>
                <w:sz w:val="20"/>
                <w:szCs w:val="20"/>
                <w:color w:val="auto"/>
              </w:rPr>
            </w:pPr>
            <w:r>
              <w:rPr>
                <w:rFonts w:ascii="Arial" w:cs="Arial" w:eastAsia="Arial" w:hAnsi="Arial"/>
                <w:sz w:val="20"/>
                <w:szCs w:val="20"/>
                <w:color w:val="auto"/>
                <w:w w:val="97"/>
              </w:rPr>
              <w:t>3101475</w:t>
            </w:r>
          </w:p>
        </w:tc>
        <w:tc>
          <w:tcPr>
            <w:tcW w:w="5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20" w:type="dxa"/>
            <w:vAlign w:val="bottom"/>
            <w:shd w:val="clear" w:color="auto" w:fill="CFF0FC"/>
          </w:tcPr>
          <w:p>
            <w:pPr>
              <w:spacing w:after="0"/>
              <w:rPr>
                <w:sz w:val="20"/>
                <w:szCs w:val="20"/>
                <w:color w:val="auto"/>
              </w:rPr>
            </w:pPr>
            <w:r>
              <w:rPr>
                <w:rFonts w:ascii="Arial" w:cs="Arial" w:eastAsia="Arial" w:hAnsi="Arial"/>
                <w:sz w:val="20"/>
                <w:szCs w:val="20"/>
                <w:color w:val="auto"/>
              </w:rPr>
              <w:t>Warfordsburg Quarry</w:t>
            </w:r>
          </w:p>
        </w:tc>
        <w:tc>
          <w:tcPr>
            <w:tcW w:w="9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97"/>
              </w:rPr>
              <w:t>3600168</w:t>
            </w:r>
          </w:p>
        </w:tc>
        <w:tc>
          <w:tcPr>
            <w:tcW w:w="5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20" w:type="dxa"/>
            <w:vAlign w:val="bottom"/>
          </w:tcPr>
          <w:p>
            <w:pPr>
              <w:spacing w:after="0"/>
              <w:rPr>
                <w:sz w:val="20"/>
                <w:szCs w:val="20"/>
                <w:color w:val="auto"/>
              </w:rPr>
            </w:pPr>
            <w:r>
              <w:rPr>
                <w:rFonts w:ascii="Arial" w:cs="Arial" w:eastAsia="Arial" w:hAnsi="Arial"/>
                <w:sz w:val="20"/>
                <w:szCs w:val="20"/>
                <w:color w:val="auto"/>
              </w:rPr>
              <w:t>Wilmington Sand</w:t>
            </w:r>
          </w:p>
        </w:tc>
        <w:tc>
          <w:tcPr>
            <w:tcW w:w="940" w:type="dxa"/>
            <w:vAlign w:val="bottom"/>
          </w:tcPr>
          <w:p>
            <w:pPr>
              <w:jc w:val="right"/>
              <w:ind w:right="61"/>
              <w:spacing w:after="0"/>
              <w:rPr>
                <w:sz w:val="20"/>
                <w:szCs w:val="20"/>
                <w:color w:val="auto"/>
              </w:rPr>
            </w:pPr>
            <w:r>
              <w:rPr>
                <w:rFonts w:ascii="Arial" w:cs="Arial" w:eastAsia="Arial" w:hAnsi="Arial"/>
                <w:sz w:val="20"/>
                <w:szCs w:val="20"/>
                <w:color w:val="auto"/>
                <w:w w:val="97"/>
              </w:rPr>
              <w:t>3101308</w:t>
            </w:r>
          </w:p>
        </w:tc>
        <w:tc>
          <w:tcPr>
            <w:tcW w:w="5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20" w:type="dxa"/>
            <w:vAlign w:val="bottom"/>
            <w:shd w:val="clear" w:color="auto" w:fill="CFF0FC"/>
          </w:tcPr>
          <w:p>
            <w:pPr>
              <w:spacing w:after="0"/>
              <w:rPr>
                <w:sz w:val="20"/>
                <w:szCs w:val="20"/>
                <w:color w:val="auto"/>
              </w:rPr>
            </w:pPr>
            <w:r>
              <w:rPr>
                <w:rFonts w:ascii="Arial" w:cs="Arial" w:eastAsia="Arial" w:hAnsi="Arial"/>
                <w:sz w:val="20"/>
                <w:szCs w:val="20"/>
                <w:color w:val="auto"/>
              </w:rPr>
              <w:t>Wilson Quarry</w:t>
            </w:r>
          </w:p>
        </w:tc>
        <w:tc>
          <w:tcPr>
            <w:tcW w:w="9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97"/>
              </w:rPr>
              <w:t>3102230</w:t>
            </w:r>
          </w:p>
        </w:tc>
        <w:tc>
          <w:tcPr>
            <w:tcW w:w="5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20" w:type="dxa"/>
            <w:vAlign w:val="bottom"/>
          </w:tcPr>
          <w:p>
            <w:pPr>
              <w:spacing w:after="0"/>
              <w:rPr>
                <w:sz w:val="20"/>
                <w:szCs w:val="20"/>
                <w:color w:val="auto"/>
              </w:rPr>
            </w:pPr>
            <w:r>
              <w:rPr>
                <w:rFonts w:ascii="Arial" w:cs="Arial" w:eastAsia="Arial" w:hAnsi="Arial"/>
                <w:sz w:val="20"/>
                <w:szCs w:val="20"/>
                <w:color w:val="auto"/>
              </w:rPr>
              <w:t>Woodleaf Quarry</w:t>
            </w:r>
          </w:p>
        </w:tc>
        <w:tc>
          <w:tcPr>
            <w:tcW w:w="940" w:type="dxa"/>
            <w:vAlign w:val="bottom"/>
          </w:tcPr>
          <w:p>
            <w:pPr>
              <w:jc w:val="right"/>
              <w:ind w:right="61"/>
              <w:spacing w:after="0"/>
              <w:rPr>
                <w:sz w:val="20"/>
                <w:szCs w:val="20"/>
                <w:color w:val="auto"/>
              </w:rPr>
            </w:pPr>
            <w:r>
              <w:rPr>
                <w:rFonts w:ascii="Arial" w:cs="Arial" w:eastAsia="Arial" w:hAnsi="Arial"/>
                <w:sz w:val="20"/>
                <w:szCs w:val="20"/>
                <w:color w:val="auto"/>
                <w:w w:val="97"/>
              </w:rPr>
              <w:t>3100069</w:t>
            </w:r>
          </w:p>
        </w:tc>
        <w:tc>
          <w:tcPr>
            <w:tcW w:w="5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20" w:type="dxa"/>
            <w:vAlign w:val="bottom"/>
            <w:shd w:val="clear" w:color="auto" w:fill="CFF0FC"/>
          </w:tcPr>
          <w:p>
            <w:pPr>
              <w:spacing w:after="0"/>
              <w:rPr>
                <w:sz w:val="20"/>
                <w:szCs w:val="20"/>
                <w:color w:val="auto"/>
              </w:rPr>
            </w:pPr>
            <w:r>
              <w:rPr>
                <w:rFonts w:ascii="Arial" w:cs="Arial" w:eastAsia="Arial" w:hAnsi="Arial"/>
                <w:sz w:val="20"/>
                <w:szCs w:val="20"/>
                <w:color w:val="auto"/>
              </w:rPr>
              <w:t>Appling Quarry</w:t>
            </w:r>
          </w:p>
        </w:tc>
        <w:tc>
          <w:tcPr>
            <w:tcW w:w="9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97"/>
              </w:rPr>
              <w:t>0901083</w:t>
            </w:r>
          </w:p>
        </w:tc>
        <w:tc>
          <w:tcPr>
            <w:tcW w:w="5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20" w:type="dxa"/>
            <w:vAlign w:val="bottom"/>
          </w:tcPr>
          <w:p>
            <w:pPr>
              <w:spacing w:after="0"/>
              <w:rPr>
                <w:sz w:val="20"/>
                <w:szCs w:val="20"/>
                <w:color w:val="auto"/>
              </w:rPr>
            </w:pPr>
            <w:r>
              <w:rPr>
                <w:rFonts w:ascii="Arial" w:cs="Arial" w:eastAsia="Arial" w:hAnsi="Arial"/>
                <w:sz w:val="20"/>
                <w:szCs w:val="20"/>
                <w:color w:val="auto"/>
              </w:rPr>
              <w:t>Auburn Al Quarry</w:t>
            </w:r>
          </w:p>
        </w:tc>
        <w:tc>
          <w:tcPr>
            <w:tcW w:w="940" w:type="dxa"/>
            <w:vAlign w:val="bottom"/>
          </w:tcPr>
          <w:p>
            <w:pPr>
              <w:jc w:val="right"/>
              <w:ind w:right="61"/>
              <w:spacing w:after="0"/>
              <w:rPr>
                <w:sz w:val="20"/>
                <w:szCs w:val="20"/>
                <w:color w:val="auto"/>
              </w:rPr>
            </w:pPr>
            <w:r>
              <w:rPr>
                <w:rFonts w:ascii="Arial" w:cs="Arial" w:eastAsia="Arial" w:hAnsi="Arial"/>
                <w:sz w:val="20"/>
                <w:szCs w:val="20"/>
                <w:color w:val="auto"/>
                <w:w w:val="97"/>
              </w:rPr>
              <w:t>0100006</w:t>
            </w:r>
          </w:p>
        </w:tc>
        <w:tc>
          <w:tcPr>
            <w:tcW w:w="5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20" w:type="dxa"/>
            <w:vAlign w:val="bottom"/>
            <w:shd w:val="clear" w:color="auto" w:fill="CFF0FC"/>
          </w:tcPr>
          <w:p>
            <w:pPr>
              <w:spacing w:after="0"/>
              <w:rPr>
                <w:sz w:val="20"/>
                <w:szCs w:val="20"/>
                <w:color w:val="auto"/>
              </w:rPr>
            </w:pPr>
            <w:r>
              <w:rPr>
                <w:rFonts w:ascii="Arial" w:cs="Arial" w:eastAsia="Arial" w:hAnsi="Arial"/>
                <w:sz w:val="20"/>
                <w:szCs w:val="20"/>
                <w:color w:val="auto"/>
              </w:rPr>
              <w:t>Auburn GA Quarry</w:t>
            </w:r>
          </w:p>
        </w:tc>
        <w:tc>
          <w:tcPr>
            <w:tcW w:w="9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97"/>
              </w:rPr>
              <w:t>0900436</w:t>
            </w:r>
          </w:p>
        </w:tc>
        <w:tc>
          <w:tcPr>
            <w:tcW w:w="5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123</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20" w:type="dxa"/>
            <w:vAlign w:val="bottom"/>
          </w:tcPr>
          <w:p>
            <w:pPr>
              <w:spacing w:after="0"/>
              <w:rPr>
                <w:sz w:val="20"/>
                <w:szCs w:val="20"/>
                <w:color w:val="auto"/>
              </w:rPr>
            </w:pPr>
            <w:r>
              <w:rPr>
                <w:rFonts w:ascii="Arial" w:cs="Arial" w:eastAsia="Arial" w:hAnsi="Arial"/>
                <w:sz w:val="20"/>
                <w:szCs w:val="20"/>
                <w:color w:val="auto"/>
              </w:rPr>
              <w:t>Augusta GA Quarry</w:t>
            </w:r>
          </w:p>
        </w:tc>
        <w:tc>
          <w:tcPr>
            <w:tcW w:w="940" w:type="dxa"/>
            <w:vAlign w:val="bottom"/>
          </w:tcPr>
          <w:p>
            <w:pPr>
              <w:jc w:val="right"/>
              <w:ind w:right="61"/>
              <w:spacing w:after="0"/>
              <w:rPr>
                <w:sz w:val="20"/>
                <w:szCs w:val="20"/>
                <w:color w:val="auto"/>
              </w:rPr>
            </w:pPr>
            <w:r>
              <w:rPr>
                <w:rFonts w:ascii="Arial" w:cs="Arial" w:eastAsia="Arial" w:hAnsi="Arial"/>
                <w:sz w:val="20"/>
                <w:szCs w:val="20"/>
                <w:color w:val="auto"/>
                <w:w w:val="97"/>
              </w:rPr>
              <w:t>0900065</w:t>
            </w:r>
          </w:p>
        </w:tc>
        <w:tc>
          <w:tcPr>
            <w:tcW w:w="540" w:type="dxa"/>
            <w:vAlign w:val="bottom"/>
          </w:tcPr>
          <w:p>
            <w:pPr>
              <w:jc w:val="right"/>
              <w:ind w:right="201"/>
              <w:spacing w:after="0"/>
              <w:rPr>
                <w:sz w:val="20"/>
                <w:szCs w:val="20"/>
                <w:color w:val="auto"/>
              </w:rPr>
            </w:pPr>
            <w:r>
              <w:rPr>
                <w:rFonts w:ascii="Arial" w:cs="Arial" w:eastAsia="Arial" w:hAnsi="Arial"/>
                <w:sz w:val="20"/>
                <w:szCs w:val="20"/>
                <w:color w:val="auto"/>
              </w:rPr>
              <w:t>2</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719</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20" w:type="dxa"/>
            <w:vAlign w:val="bottom"/>
            <w:shd w:val="clear" w:color="auto" w:fill="CFF0FC"/>
          </w:tcPr>
          <w:p>
            <w:pPr>
              <w:spacing w:after="0"/>
              <w:rPr>
                <w:sz w:val="20"/>
                <w:szCs w:val="20"/>
                <w:color w:val="auto"/>
              </w:rPr>
            </w:pPr>
            <w:r>
              <w:rPr>
                <w:rFonts w:ascii="Arial" w:cs="Arial" w:eastAsia="Arial" w:hAnsi="Arial"/>
                <w:sz w:val="20"/>
                <w:szCs w:val="20"/>
                <w:color w:val="auto"/>
              </w:rPr>
              <w:t>Ball Ground Quarry</w:t>
            </w:r>
          </w:p>
        </w:tc>
        <w:tc>
          <w:tcPr>
            <w:tcW w:w="9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97"/>
              </w:rPr>
              <w:t>0900955</w:t>
            </w:r>
          </w:p>
        </w:tc>
        <w:tc>
          <w:tcPr>
            <w:tcW w:w="5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1</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w:t>
            </w:r>
          </w:p>
        </w:tc>
        <w:tc>
          <w:tcPr>
            <w:tcW w:w="9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1</w:t>
            </w:r>
          </w:p>
        </w:tc>
        <w:tc>
          <w:tcPr>
            <w:tcW w:w="20" w:type="dxa"/>
            <w:vAlign w:val="bottom"/>
          </w:tcPr>
          <w:p>
            <w:pPr>
              <w:spacing w:after="0"/>
              <w:rPr>
                <w:sz w:val="21"/>
                <w:szCs w:val="21"/>
                <w:color w:val="auto"/>
              </w:rPr>
            </w:pPr>
          </w:p>
        </w:tc>
      </w:tr>
      <w:tr>
        <w:trPr>
          <w:trHeight w:val="243"/>
        </w:trPr>
        <w:tc>
          <w:tcPr>
            <w:tcW w:w="2120" w:type="dxa"/>
            <w:vAlign w:val="bottom"/>
          </w:tcPr>
          <w:p>
            <w:pPr>
              <w:spacing w:after="0"/>
              <w:rPr>
                <w:sz w:val="20"/>
                <w:szCs w:val="20"/>
                <w:color w:val="auto"/>
              </w:rPr>
            </w:pPr>
            <w:r>
              <w:rPr>
                <w:rFonts w:ascii="Arial" w:cs="Arial" w:eastAsia="Arial" w:hAnsi="Arial"/>
                <w:sz w:val="20"/>
                <w:szCs w:val="20"/>
                <w:color w:val="auto"/>
              </w:rPr>
              <w:t>Calhoun Quarry</w:t>
            </w:r>
          </w:p>
        </w:tc>
        <w:tc>
          <w:tcPr>
            <w:tcW w:w="940" w:type="dxa"/>
            <w:vAlign w:val="bottom"/>
          </w:tcPr>
          <w:p>
            <w:pPr>
              <w:jc w:val="right"/>
              <w:ind w:right="61"/>
              <w:spacing w:after="0"/>
              <w:rPr>
                <w:sz w:val="20"/>
                <w:szCs w:val="20"/>
                <w:color w:val="auto"/>
              </w:rPr>
            </w:pPr>
            <w:r>
              <w:rPr>
                <w:rFonts w:ascii="Arial" w:cs="Arial" w:eastAsia="Arial" w:hAnsi="Arial"/>
                <w:sz w:val="20"/>
                <w:szCs w:val="20"/>
                <w:color w:val="auto"/>
                <w:w w:val="97"/>
              </w:rPr>
              <w:t>4003395</w:t>
            </w:r>
          </w:p>
        </w:tc>
        <w:tc>
          <w:tcPr>
            <w:tcW w:w="5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20" w:type="dxa"/>
            <w:vAlign w:val="bottom"/>
            <w:shd w:val="clear" w:color="auto" w:fill="CFF0FC"/>
          </w:tcPr>
          <w:p>
            <w:pPr>
              <w:spacing w:after="0"/>
              <w:rPr>
                <w:sz w:val="20"/>
                <w:szCs w:val="20"/>
                <w:color w:val="auto"/>
              </w:rPr>
            </w:pPr>
            <w:r>
              <w:rPr>
                <w:rFonts w:ascii="Arial" w:cs="Arial" w:eastAsia="Arial" w:hAnsi="Arial"/>
                <w:sz w:val="20"/>
                <w:szCs w:val="20"/>
                <w:color w:val="auto"/>
              </w:rPr>
              <w:t>Chattanooga Quarry</w:t>
            </w:r>
          </w:p>
        </w:tc>
        <w:tc>
          <w:tcPr>
            <w:tcW w:w="9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97"/>
              </w:rPr>
              <w:t>4003159</w:t>
            </w:r>
          </w:p>
        </w:tc>
        <w:tc>
          <w:tcPr>
            <w:tcW w:w="5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20" w:type="dxa"/>
            <w:vAlign w:val="bottom"/>
          </w:tcPr>
          <w:p>
            <w:pPr>
              <w:spacing w:after="0"/>
              <w:rPr>
                <w:sz w:val="20"/>
                <w:szCs w:val="20"/>
                <w:color w:val="auto"/>
              </w:rPr>
            </w:pPr>
            <w:r>
              <w:rPr>
                <w:rFonts w:ascii="Arial" w:cs="Arial" w:eastAsia="Arial" w:hAnsi="Arial"/>
                <w:sz w:val="20"/>
                <w:szCs w:val="20"/>
                <w:color w:val="auto"/>
              </w:rPr>
              <w:t>Cumming Quarry</w:t>
            </w:r>
          </w:p>
        </w:tc>
        <w:tc>
          <w:tcPr>
            <w:tcW w:w="940" w:type="dxa"/>
            <w:vAlign w:val="bottom"/>
          </w:tcPr>
          <w:p>
            <w:pPr>
              <w:jc w:val="right"/>
              <w:ind w:right="61"/>
              <w:spacing w:after="0"/>
              <w:rPr>
                <w:sz w:val="20"/>
                <w:szCs w:val="20"/>
                <w:color w:val="auto"/>
              </w:rPr>
            </w:pPr>
            <w:r>
              <w:rPr>
                <w:rFonts w:ascii="Arial" w:cs="Arial" w:eastAsia="Arial" w:hAnsi="Arial"/>
                <w:sz w:val="20"/>
                <w:szCs w:val="20"/>
                <w:color w:val="auto"/>
                <w:w w:val="97"/>
              </w:rPr>
              <w:t>0900460</w:t>
            </w:r>
          </w:p>
        </w:tc>
        <w:tc>
          <w:tcPr>
            <w:tcW w:w="5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123</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1</w:t>
            </w:r>
          </w:p>
        </w:tc>
        <w:tc>
          <w:tcPr>
            <w:tcW w:w="420" w:type="dxa"/>
            <w:vAlign w:val="bottom"/>
          </w:tcPr>
          <w:p>
            <w:pPr>
              <w:jc w:val="right"/>
              <w:spacing w:after="0"/>
              <w:rPr>
                <w:sz w:val="20"/>
                <w:szCs w:val="20"/>
                <w:color w:val="auto"/>
              </w:rPr>
            </w:pPr>
            <w:r>
              <w:rPr>
                <w:rFonts w:ascii="Arial" w:cs="Arial" w:eastAsia="Arial" w:hAnsi="Arial"/>
                <w:sz w:val="20"/>
                <w:szCs w:val="20"/>
                <w:color w:val="auto"/>
              </w:rPr>
              <w:t>1</w:t>
            </w:r>
          </w:p>
        </w:tc>
        <w:tc>
          <w:tcPr>
            <w:tcW w:w="960" w:type="dxa"/>
            <w:vAlign w:val="bottom"/>
          </w:tcPr>
          <w:p>
            <w:pPr>
              <w:jc w:val="right"/>
              <w:ind w:right="201"/>
              <w:spacing w:after="0"/>
              <w:rPr>
                <w:sz w:val="20"/>
                <w:szCs w:val="20"/>
                <w:color w:val="auto"/>
              </w:rPr>
            </w:pPr>
            <w:r>
              <w:rPr>
                <w:rFonts w:ascii="Arial" w:cs="Arial" w:eastAsia="Arial" w:hAnsi="Arial"/>
                <w:sz w:val="20"/>
                <w:szCs w:val="20"/>
                <w:color w:val="auto"/>
              </w:rPr>
              <w:t>1</w:t>
            </w:r>
          </w:p>
        </w:tc>
        <w:tc>
          <w:tcPr>
            <w:tcW w:w="20" w:type="dxa"/>
            <w:vAlign w:val="bottom"/>
          </w:tcPr>
          <w:p>
            <w:pPr>
              <w:spacing w:after="0"/>
              <w:rPr>
                <w:sz w:val="21"/>
                <w:szCs w:val="21"/>
                <w:color w:val="auto"/>
              </w:rPr>
            </w:pPr>
          </w:p>
        </w:tc>
      </w:tr>
      <w:tr>
        <w:trPr>
          <w:trHeight w:val="243"/>
        </w:trPr>
        <w:tc>
          <w:tcPr>
            <w:tcW w:w="2120" w:type="dxa"/>
            <w:vAlign w:val="bottom"/>
            <w:shd w:val="clear" w:color="auto" w:fill="CFF0FC"/>
          </w:tcPr>
          <w:p>
            <w:pPr>
              <w:spacing w:after="0"/>
              <w:rPr>
                <w:sz w:val="20"/>
                <w:szCs w:val="20"/>
                <w:color w:val="auto"/>
              </w:rPr>
            </w:pPr>
            <w:r>
              <w:rPr>
                <w:rFonts w:ascii="Arial" w:cs="Arial" w:eastAsia="Arial" w:hAnsi="Arial"/>
                <w:sz w:val="20"/>
                <w:szCs w:val="20"/>
                <w:color w:val="auto"/>
              </w:rPr>
              <w:t>Douglasville Quarry</w:t>
            </w:r>
          </w:p>
        </w:tc>
        <w:tc>
          <w:tcPr>
            <w:tcW w:w="9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97"/>
              </w:rPr>
              <w:t>0900024</w:t>
            </w:r>
          </w:p>
        </w:tc>
        <w:tc>
          <w:tcPr>
            <w:tcW w:w="5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20" w:type="dxa"/>
            <w:vAlign w:val="bottom"/>
          </w:tcPr>
          <w:p>
            <w:pPr>
              <w:spacing w:after="0"/>
              <w:rPr>
                <w:sz w:val="20"/>
                <w:szCs w:val="20"/>
                <w:color w:val="auto"/>
              </w:rPr>
            </w:pPr>
            <w:r>
              <w:rPr>
                <w:rFonts w:ascii="Arial" w:cs="Arial" w:eastAsia="Arial" w:hAnsi="Arial"/>
                <w:sz w:val="20"/>
                <w:szCs w:val="20"/>
                <w:color w:val="auto"/>
              </w:rPr>
              <w:t>Edgefield Quarry</w:t>
            </w:r>
          </w:p>
        </w:tc>
        <w:tc>
          <w:tcPr>
            <w:tcW w:w="940" w:type="dxa"/>
            <w:vAlign w:val="bottom"/>
          </w:tcPr>
          <w:p>
            <w:pPr>
              <w:jc w:val="right"/>
              <w:ind w:right="61"/>
              <w:spacing w:after="0"/>
              <w:rPr>
                <w:sz w:val="20"/>
                <w:szCs w:val="20"/>
                <w:color w:val="auto"/>
              </w:rPr>
            </w:pPr>
            <w:r>
              <w:rPr>
                <w:rFonts w:ascii="Arial" w:cs="Arial" w:eastAsia="Arial" w:hAnsi="Arial"/>
                <w:sz w:val="20"/>
                <w:szCs w:val="20"/>
                <w:color w:val="auto"/>
                <w:w w:val="97"/>
              </w:rPr>
              <w:t>3800738</w:t>
            </w:r>
          </w:p>
        </w:tc>
        <w:tc>
          <w:tcPr>
            <w:tcW w:w="5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20" w:type="dxa"/>
            <w:vAlign w:val="bottom"/>
            <w:shd w:val="clear" w:color="auto" w:fill="CFF0FC"/>
          </w:tcPr>
          <w:p>
            <w:pPr>
              <w:spacing w:after="0"/>
              <w:rPr>
                <w:sz w:val="20"/>
                <w:szCs w:val="20"/>
                <w:color w:val="auto"/>
              </w:rPr>
            </w:pPr>
            <w:r>
              <w:rPr>
                <w:rFonts w:ascii="Arial" w:cs="Arial" w:eastAsia="Arial" w:hAnsi="Arial"/>
                <w:sz w:val="20"/>
                <w:szCs w:val="20"/>
                <w:color w:val="auto"/>
              </w:rPr>
              <w:t>Jefferson Quarry</w:t>
            </w:r>
          </w:p>
        </w:tc>
        <w:tc>
          <w:tcPr>
            <w:tcW w:w="9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97"/>
              </w:rPr>
              <w:t>0901106</w:t>
            </w:r>
          </w:p>
        </w:tc>
        <w:tc>
          <w:tcPr>
            <w:tcW w:w="5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20" w:type="dxa"/>
            <w:vAlign w:val="bottom"/>
          </w:tcPr>
          <w:p>
            <w:pPr>
              <w:spacing w:after="0"/>
              <w:rPr>
                <w:sz w:val="20"/>
                <w:szCs w:val="20"/>
                <w:color w:val="auto"/>
              </w:rPr>
            </w:pPr>
            <w:r>
              <w:rPr>
                <w:rFonts w:ascii="Arial" w:cs="Arial" w:eastAsia="Arial" w:hAnsi="Arial"/>
                <w:sz w:val="20"/>
                <w:szCs w:val="20"/>
                <w:color w:val="auto"/>
              </w:rPr>
              <w:t>Junction City Quarry</w:t>
            </w:r>
          </w:p>
        </w:tc>
        <w:tc>
          <w:tcPr>
            <w:tcW w:w="940" w:type="dxa"/>
            <w:vAlign w:val="bottom"/>
          </w:tcPr>
          <w:p>
            <w:pPr>
              <w:jc w:val="right"/>
              <w:ind w:right="61"/>
              <w:spacing w:after="0"/>
              <w:rPr>
                <w:sz w:val="20"/>
                <w:szCs w:val="20"/>
                <w:color w:val="auto"/>
              </w:rPr>
            </w:pPr>
            <w:r>
              <w:rPr>
                <w:rFonts w:ascii="Arial" w:cs="Arial" w:eastAsia="Arial" w:hAnsi="Arial"/>
                <w:sz w:val="20"/>
                <w:szCs w:val="20"/>
                <w:color w:val="auto"/>
                <w:w w:val="97"/>
              </w:rPr>
              <w:t>0901029</w:t>
            </w:r>
          </w:p>
        </w:tc>
        <w:tc>
          <w:tcPr>
            <w:tcW w:w="540" w:type="dxa"/>
            <w:vAlign w:val="bottom"/>
          </w:tcPr>
          <w:p>
            <w:pPr>
              <w:jc w:val="right"/>
              <w:ind w:right="201"/>
              <w:spacing w:after="0"/>
              <w:rPr>
                <w:sz w:val="20"/>
                <w:szCs w:val="20"/>
                <w:color w:val="auto"/>
              </w:rPr>
            </w:pPr>
            <w:r>
              <w:rPr>
                <w:rFonts w:ascii="Arial" w:cs="Arial" w:eastAsia="Arial" w:hAnsi="Arial"/>
                <w:sz w:val="20"/>
                <w:szCs w:val="20"/>
                <w:color w:val="auto"/>
              </w:rPr>
              <w:t>1</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20" w:type="dxa"/>
            <w:vAlign w:val="bottom"/>
            <w:shd w:val="clear" w:color="auto" w:fill="CFF0FC"/>
          </w:tcPr>
          <w:p>
            <w:pPr>
              <w:spacing w:after="0"/>
              <w:rPr>
                <w:sz w:val="20"/>
                <w:szCs w:val="20"/>
                <w:color w:val="auto"/>
              </w:rPr>
            </w:pPr>
            <w:r>
              <w:rPr>
                <w:rFonts w:ascii="Arial" w:cs="Arial" w:eastAsia="Arial" w:hAnsi="Arial"/>
                <w:sz w:val="20"/>
                <w:szCs w:val="20"/>
                <w:color w:val="auto"/>
              </w:rPr>
              <w:t>Lithonia Quarry</w:t>
            </w:r>
          </w:p>
        </w:tc>
        <w:tc>
          <w:tcPr>
            <w:tcW w:w="9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97"/>
              </w:rPr>
              <w:t>0900023</w:t>
            </w:r>
          </w:p>
        </w:tc>
        <w:tc>
          <w:tcPr>
            <w:tcW w:w="5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20" w:type="dxa"/>
            <w:vAlign w:val="bottom"/>
          </w:tcPr>
          <w:p>
            <w:pPr>
              <w:spacing w:after="0"/>
              <w:rPr>
                <w:sz w:val="20"/>
                <w:szCs w:val="20"/>
                <w:color w:val="auto"/>
              </w:rPr>
            </w:pPr>
            <w:r>
              <w:rPr>
                <w:rFonts w:ascii="Arial" w:cs="Arial" w:eastAsia="Arial" w:hAnsi="Arial"/>
                <w:sz w:val="20"/>
                <w:szCs w:val="20"/>
                <w:color w:val="auto"/>
              </w:rPr>
              <w:t>Maylene Quarry</w:t>
            </w:r>
          </w:p>
        </w:tc>
        <w:tc>
          <w:tcPr>
            <w:tcW w:w="940" w:type="dxa"/>
            <w:vAlign w:val="bottom"/>
          </w:tcPr>
          <w:p>
            <w:pPr>
              <w:jc w:val="right"/>
              <w:ind w:right="61"/>
              <w:spacing w:after="0"/>
              <w:rPr>
                <w:sz w:val="20"/>
                <w:szCs w:val="20"/>
                <w:color w:val="auto"/>
              </w:rPr>
            </w:pPr>
            <w:r>
              <w:rPr>
                <w:rFonts w:ascii="Arial" w:cs="Arial" w:eastAsia="Arial" w:hAnsi="Arial"/>
                <w:sz w:val="20"/>
                <w:szCs w:val="20"/>
                <w:color w:val="auto"/>
                <w:w w:val="97"/>
              </w:rPr>
              <w:t>0100634</w:t>
            </w:r>
          </w:p>
        </w:tc>
        <w:tc>
          <w:tcPr>
            <w:tcW w:w="5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20" w:type="dxa"/>
            <w:vAlign w:val="bottom"/>
            <w:shd w:val="clear" w:color="auto" w:fill="CFF0FC"/>
          </w:tcPr>
          <w:p>
            <w:pPr>
              <w:spacing w:after="0"/>
              <w:rPr>
                <w:sz w:val="20"/>
                <w:szCs w:val="20"/>
                <w:color w:val="auto"/>
              </w:rPr>
            </w:pPr>
            <w:r>
              <w:rPr>
                <w:rFonts w:ascii="Arial" w:cs="Arial" w:eastAsia="Arial" w:hAnsi="Arial"/>
                <w:sz w:val="20"/>
                <w:szCs w:val="20"/>
                <w:color w:val="auto"/>
              </w:rPr>
              <w:t>Morgan County</w:t>
            </w:r>
          </w:p>
        </w:tc>
        <w:tc>
          <w:tcPr>
            <w:tcW w:w="9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97"/>
              </w:rPr>
              <w:t>0901126</w:t>
            </w:r>
          </w:p>
        </w:tc>
        <w:tc>
          <w:tcPr>
            <w:tcW w:w="5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1</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597</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20" w:type="dxa"/>
            <w:vAlign w:val="bottom"/>
          </w:tcPr>
          <w:p>
            <w:pPr>
              <w:spacing w:after="0"/>
              <w:rPr>
                <w:sz w:val="20"/>
                <w:szCs w:val="20"/>
                <w:color w:val="auto"/>
              </w:rPr>
            </w:pPr>
            <w:r>
              <w:rPr>
                <w:rFonts w:ascii="Arial" w:cs="Arial" w:eastAsia="Arial" w:hAnsi="Arial"/>
                <w:sz w:val="20"/>
                <w:szCs w:val="20"/>
                <w:color w:val="auto"/>
              </w:rPr>
              <w:t>Newton Quarry</w:t>
            </w:r>
          </w:p>
        </w:tc>
        <w:tc>
          <w:tcPr>
            <w:tcW w:w="940" w:type="dxa"/>
            <w:vAlign w:val="bottom"/>
          </w:tcPr>
          <w:p>
            <w:pPr>
              <w:jc w:val="right"/>
              <w:ind w:right="61"/>
              <w:spacing w:after="0"/>
              <w:rPr>
                <w:sz w:val="20"/>
                <w:szCs w:val="20"/>
                <w:color w:val="auto"/>
              </w:rPr>
            </w:pPr>
            <w:r>
              <w:rPr>
                <w:rFonts w:ascii="Arial" w:cs="Arial" w:eastAsia="Arial" w:hAnsi="Arial"/>
                <w:sz w:val="20"/>
                <w:szCs w:val="20"/>
                <w:color w:val="auto"/>
                <w:w w:val="97"/>
              </w:rPr>
              <w:t>0900899</w:t>
            </w:r>
          </w:p>
        </w:tc>
        <w:tc>
          <w:tcPr>
            <w:tcW w:w="5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123</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20" w:type="dxa"/>
            <w:vAlign w:val="bottom"/>
            <w:shd w:val="clear" w:color="auto" w:fill="CFF0FC"/>
          </w:tcPr>
          <w:p>
            <w:pPr>
              <w:spacing w:after="0"/>
              <w:rPr>
                <w:sz w:val="20"/>
                <w:szCs w:val="20"/>
                <w:color w:val="auto"/>
              </w:rPr>
            </w:pPr>
            <w:r>
              <w:rPr>
                <w:rFonts w:ascii="Arial" w:cs="Arial" w:eastAsia="Arial" w:hAnsi="Arial"/>
                <w:sz w:val="20"/>
                <w:szCs w:val="20"/>
                <w:color w:val="auto"/>
              </w:rPr>
              <w:t>O'Neal Plant  Co 19</w:t>
            </w:r>
          </w:p>
        </w:tc>
        <w:tc>
          <w:tcPr>
            <w:tcW w:w="9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97"/>
              </w:rPr>
              <w:t>0103076</w:t>
            </w:r>
          </w:p>
        </w:tc>
        <w:tc>
          <w:tcPr>
            <w:tcW w:w="5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20" w:type="dxa"/>
            <w:vAlign w:val="bottom"/>
          </w:tcPr>
          <w:p>
            <w:pPr>
              <w:spacing w:after="0"/>
              <w:rPr>
                <w:sz w:val="20"/>
                <w:szCs w:val="20"/>
                <w:color w:val="auto"/>
              </w:rPr>
            </w:pPr>
            <w:r>
              <w:rPr>
                <w:rFonts w:ascii="Arial" w:cs="Arial" w:eastAsia="Arial" w:hAnsi="Arial"/>
                <w:sz w:val="20"/>
                <w:szCs w:val="20"/>
                <w:color w:val="auto"/>
              </w:rPr>
              <w:t>Paulding Quarry</w:t>
            </w:r>
          </w:p>
        </w:tc>
        <w:tc>
          <w:tcPr>
            <w:tcW w:w="940" w:type="dxa"/>
            <w:vAlign w:val="bottom"/>
          </w:tcPr>
          <w:p>
            <w:pPr>
              <w:jc w:val="right"/>
              <w:ind w:right="61"/>
              <w:spacing w:after="0"/>
              <w:rPr>
                <w:sz w:val="20"/>
                <w:szCs w:val="20"/>
                <w:color w:val="auto"/>
              </w:rPr>
            </w:pPr>
            <w:r>
              <w:rPr>
                <w:rFonts w:ascii="Arial" w:cs="Arial" w:eastAsia="Arial" w:hAnsi="Arial"/>
                <w:sz w:val="20"/>
                <w:szCs w:val="20"/>
                <w:color w:val="auto"/>
                <w:w w:val="97"/>
              </w:rPr>
              <w:t>0901107</w:t>
            </w:r>
          </w:p>
        </w:tc>
        <w:tc>
          <w:tcPr>
            <w:tcW w:w="5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20" w:type="dxa"/>
            <w:vAlign w:val="bottom"/>
            <w:shd w:val="clear" w:color="auto" w:fill="CFF0FC"/>
          </w:tcPr>
          <w:p>
            <w:pPr>
              <w:spacing w:after="0"/>
              <w:rPr>
                <w:sz w:val="20"/>
                <w:szCs w:val="20"/>
                <w:color w:val="auto"/>
              </w:rPr>
            </w:pPr>
            <w:r>
              <w:rPr>
                <w:rFonts w:ascii="Arial" w:cs="Arial" w:eastAsia="Arial" w:hAnsi="Arial"/>
                <w:sz w:val="20"/>
                <w:szCs w:val="20"/>
                <w:color w:val="auto"/>
              </w:rPr>
              <w:t>Perry Quarry</w:t>
            </w:r>
          </w:p>
        </w:tc>
        <w:tc>
          <w:tcPr>
            <w:tcW w:w="9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97"/>
              </w:rPr>
              <w:t>0801083</w:t>
            </w:r>
          </w:p>
        </w:tc>
        <w:tc>
          <w:tcPr>
            <w:tcW w:w="5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20" w:type="dxa"/>
            <w:vAlign w:val="bottom"/>
          </w:tcPr>
          <w:p>
            <w:pPr>
              <w:spacing w:after="0"/>
              <w:rPr>
                <w:sz w:val="20"/>
                <w:szCs w:val="20"/>
                <w:color w:val="auto"/>
              </w:rPr>
            </w:pPr>
            <w:r>
              <w:rPr>
                <w:rFonts w:ascii="Arial" w:cs="Arial" w:eastAsia="Arial" w:hAnsi="Arial"/>
                <w:sz w:val="20"/>
                <w:szCs w:val="20"/>
                <w:color w:val="auto"/>
              </w:rPr>
              <w:t>Red Oak Quarry</w:t>
            </w:r>
          </w:p>
        </w:tc>
        <w:tc>
          <w:tcPr>
            <w:tcW w:w="940" w:type="dxa"/>
            <w:vAlign w:val="bottom"/>
          </w:tcPr>
          <w:p>
            <w:pPr>
              <w:jc w:val="right"/>
              <w:ind w:right="61"/>
              <w:spacing w:after="0"/>
              <w:rPr>
                <w:sz w:val="20"/>
                <w:szCs w:val="20"/>
                <w:color w:val="auto"/>
              </w:rPr>
            </w:pPr>
            <w:r>
              <w:rPr>
                <w:rFonts w:ascii="Arial" w:cs="Arial" w:eastAsia="Arial" w:hAnsi="Arial"/>
                <w:sz w:val="20"/>
                <w:szCs w:val="20"/>
                <w:color w:val="auto"/>
                <w:w w:val="97"/>
              </w:rPr>
              <w:t>0900069</w:t>
            </w:r>
          </w:p>
        </w:tc>
        <w:tc>
          <w:tcPr>
            <w:tcW w:w="5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20" w:type="dxa"/>
            <w:vAlign w:val="bottom"/>
            <w:shd w:val="clear" w:color="auto" w:fill="CFF0FC"/>
          </w:tcPr>
          <w:p>
            <w:pPr>
              <w:spacing w:after="0"/>
              <w:rPr>
                <w:sz w:val="20"/>
                <w:szCs w:val="20"/>
                <w:color w:val="auto"/>
              </w:rPr>
            </w:pPr>
            <w:r>
              <w:rPr>
                <w:rFonts w:ascii="Arial" w:cs="Arial" w:eastAsia="Arial" w:hAnsi="Arial"/>
                <w:sz w:val="20"/>
                <w:szCs w:val="20"/>
                <w:color w:val="auto"/>
              </w:rPr>
              <w:t>Ruby Quarry</w:t>
            </w:r>
          </w:p>
        </w:tc>
        <w:tc>
          <w:tcPr>
            <w:tcW w:w="9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97"/>
              </w:rPr>
              <w:t>0900074</w:t>
            </w:r>
          </w:p>
        </w:tc>
        <w:tc>
          <w:tcPr>
            <w:tcW w:w="5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20" w:type="dxa"/>
            <w:vAlign w:val="bottom"/>
          </w:tcPr>
          <w:p>
            <w:pPr>
              <w:spacing w:after="0"/>
              <w:rPr>
                <w:sz w:val="20"/>
                <w:szCs w:val="20"/>
                <w:color w:val="auto"/>
              </w:rPr>
            </w:pPr>
            <w:r>
              <w:rPr>
                <w:rFonts w:ascii="Arial" w:cs="Arial" w:eastAsia="Arial" w:hAnsi="Arial"/>
                <w:sz w:val="20"/>
                <w:szCs w:val="20"/>
                <w:color w:val="auto"/>
              </w:rPr>
              <w:t>Six Mile Quarry</w:t>
            </w:r>
          </w:p>
        </w:tc>
        <w:tc>
          <w:tcPr>
            <w:tcW w:w="940" w:type="dxa"/>
            <w:vAlign w:val="bottom"/>
          </w:tcPr>
          <w:p>
            <w:pPr>
              <w:jc w:val="right"/>
              <w:ind w:right="61"/>
              <w:spacing w:after="0"/>
              <w:rPr>
                <w:sz w:val="20"/>
                <w:szCs w:val="20"/>
                <w:color w:val="auto"/>
              </w:rPr>
            </w:pPr>
            <w:r>
              <w:rPr>
                <w:rFonts w:ascii="Arial" w:cs="Arial" w:eastAsia="Arial" w:hAnsi="Arial"/>
                <w:sz w:val="20"/>
                <w:szCs w:val="20"/>
                <w:color w:val="auto"/>
                <w:w w:val="97"/>
              </w:rPr>
              <w:t>0901144</w:t>
            </w:r>
          </w:p>
        </w:tc>
        <w:tc>
          <w:tcPr>
            <w:tcW w:w="5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20" w:type="dxa"/>
            <w:vAlign w:val="bottom"/>
            <w:shd w:val="clear" w:color="auto" w:fill="CFF0FC"/>
          </w:tcPr>
          <w:p>
            <w:pPr>
              <w:spacing w:after="0"/>
              <w:rPr>
                <w:sz w:val="20"/>
                <w:szCs w:val="20"/>
                <w:color w:val="auto"/>
              </w:rPr>
            </w:pPr>
            <w:r>
              <w:rPr>
                <w:rFonts w:ascii="Arial" w:cs="Arial" w:eastAsia="Arial" w:hAnsi="Arial"/>
                <w:sz w:val="20"/>
                <w:szCs w:val="20"/>
                <w:color w:val="auto"/>
                <w:w w:val="92"/>
              </w:rPr>
              <w:t>St. Marys Sand Company</w:t>
            </w:r>
          </w:p>
        </w:tc>
        <w:tc>
          <w:tcPr>
            <w:tcW w:w="9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97"/>
              </w:rPr>
              <w:t>0901199</w:t>
            </w:r>
          </w:p>
        </w:tc>
        <w:tc>
          <w:tcPr>
            <w:tcW w:w="5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157</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20" w:type="dxa"/>
            <w:vAlign w:val="bottom"/>
          </w:tcPr>
          <w:p>
            <w:pPr>
              <w:spacing w:after="0"/>
              <w:rPr>
                <w:sz w:val="20"/>
                <w:szCs w:val="20"/>
                <w:color w:val="auto"/>
              </w:rPr>
            </w:pPr>
            <w:r>
              <w:rPr>
                <w:rFonts w:ascii="Arial" w:cs="Arial" w:eastAsia="Arial" w:hAnsi="Arial"/>
                <w:sz w:val="20"/>
                <w:szCs w:val="20"/>
                <w:color w:val="auto"/>
              </w:rPr>
              <w:t>Tyrone Quarry</w:t>
            </w:r>
          </w:p>
        </w:tc>
        <w:tc>
          <w:tcPr>
            <w:tcW w:w="940" w:type="dxa"/>
            <w:vAlign w:val="bottom"/>
          </w:tcPr>
          <w:p>
            <w:pPr>
              <w:jc w:val="right"/>
              <w:ind w:right="61"/>
              <w:spacing w:after="0"/>
              <w:rPr>
                <w:sz w:val="20"/>
                <w:szCs w:val="20"/>
                <w:color w:val="auto"/>
              </w:rPr>
            </w:pPr>
            <w:r>
              <w:rPr>
                <w:rFonts w:ascii="Arial" w:cs="Arial" w:eastAsia="Arial" w:hAnsi="Arial"/>
                <w:sz w:val="20"/>
                <w:szCs w:val="20"/>
                <w:color w:val="auto"/>
                <w:w w:val="97"/>
              </w:rPr>
              <w:t>0900306</w:t>
            </w:r>
          </w:p>
        </w:tc>
        <w:tc>
          <w:tcPr>
            <w:tcW w:w="5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123</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20" w:type="dxa"/>
            <w:vAlign w:val="bottom"/>
            <w:shd w:val="clear" w:color="auto" w:fill="CFF0FC"/>
          </w:tcPr>
          <w:p>
            <w:pPr>
              <w:spacing w:after="0"/>
              <w:rPr>
                <w:sz w:val="20"/>
                <w:szCs w:val="20"/>
                <w:color w:val="auto"/>
              </w:rPr>
            </w:pPr>
            <w:r>
              <w:rPr>
                <w:rFonts w:ascii="Arial" w:cs="Arial" w:eastAsia="Arial" w:hAnsi="Arial"/>
                <w:sz w:val="20"/>
                <w:szCs w:val="20"/>
                <w:color w:val="auto"/>
              </w:rPr>
              <w:t>Vance Quarry  Co 19</w:t>
            </w:r>
          </w:p>
        </w:tc>
        <w:tc>
          <w:tcPr>
            <w:tcW w:w="9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97"/>
              </w:rPr>
              <w:t>0103022</w:t>
            </w:r>
          </w:p>
        </w:tc>
        <w:tc>
          <w:tcPr>
            <w:tcW w:w="5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50"/>
        </w:trPr>
        <w:tc>
          <w:tcPr>
            <w:tcW w:w="2120" w:type="dxa"/>
            <w:vAlign w:val="bottom"/>
          </w:tcPr>
          <w:p>
            <w:pPr>
              <w:spacing w:after="0"/>
              <w:rPr>
                <w:sz w:val="20"/>
                <w:szCs w:val="20"/>
                <w:color w:val="auto"/>
              </w:rPr>
            </w:pPr>
            <w:r>
              <w:rPr>
                <w:rFonts w:ascii="Arial" w:cs="Arial" w:eastAsia="Arial" w:hAnsi="Arial"/>
                <w:sz w:val="20"/>
                <w:szCs w:val="20"/>
                <w:color w:val="auto"/>
              </w:rPr>
              <w:t>Warrenton Quarry</w:t>
            </w:r>
          </w:p>
        </w:tc>
        <w:tc>
          <w:tcPr>
            <w:tcW w:w="940" w:type="dxa"/>
            <w:vAlign w:val="bottom"/>
          </w:tcPr>
          <w:p>
            <w:pPr>
              <w:jc w:val="right"/>
              <w:ind w:right="61"/>
              <w:spacing w:after="0"/>
              <w:rPr>
                <w:sz w:val="20"/>
                <w:szCs w:val="20"/>
                <w:color w:val="auto"/>
              </w:rPr>
            </w:pPr>
            <w:r>
              <w:rPr>
                <w:rFonts w:ascii="Arial" w:cs="Arial" w:eastAsia="Arial" w:hAnsi="Arial"/>
                <w:sz w:val="20"/>
                <w:szCs w:val="20"/>
                <w:color w:val="auto"/>
                <w:w w:val="97"/>
              </w:rPr>
              <w:t>0900580</w:t>
            </w:r>
          </w:p>
        </w:tc>
        <w:tc>
          <w:tcPr>
            <w:tcW w:w="5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756"/>
        </w:trPr>
        <w:tc>
          <w:tcPr>
            <w:tcW w:w="21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252"/>
        </w:trPr>
        <w:tc>
          <w:tcPr>
            <w:tcW w:w="2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gridSpan w:val="2"/>
          </w:tcPr>
          <w:p>
            <w:pPr>
              <w:ind w:left="20"/>
              <w:spacing w:after="0"/>
              <w:rPr>
                <w:sz w:val="20"/>
                <w:szCs w:val="20"/>
                <w:color w:val="auto"/>
              </w:rPr>
            </w:pPr>
            <w:r>
              <w:rPr>
                <w:rFonts w:ascii="Arial" w:cs="Arial" w:eastAsia="Arial" w:hAnsi="Arial"/>
                <w:sz w:val="20"/>
                <w:szCs w:val="20"/>
                <w:color w:val="auto"/>
                <w:w w:val="91"/>
              </w:rPr>
              <w:t>Appendix 1</w:t>
            </w:r>
          </w:p>
        </w:tc>
      </w:tr>
      <w:tr>
        <w:trPr>
          <w:trHeight w:val="225"/>
        </w:trPr>
        <w:tc>
          <w:tcPr>
            <w:tcW w:w="2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6"/>
        </w:trPr>
        <w:tc>
          <w:tcPr>
            <w:tcW w:w="214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(45) North Indianapolis</w:t>
            </w:r>
          </w:p>
        </w:tc>
        <w:tc>
          <w:tcPr>
            <w:tcW w:w="9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46"/>
        </w:trPr>
        <w:tc>
          <w:tcPr>
            <w:tcW w:w="2140" w:type="dxa"/>
            <w:vAlign w:val="bottom"/>
            <w:shd w:val="clear" w:color="auto" w:fill="CFF0FC"/>
          </w:tcPr>
          <w:p>
            <w:pPr>
              <w:spacing w:after="0"/>
              <w:rPr>
                <w:sz w:val="20"/>
                <w:szCs w:val="20"/>
                <w:color w:val="auto"/>
              </w:rPr>
            </w:pPr>
            <w:r>
              <w:rPr>
                <w:rFonts w:ascii="Arial" w:cs="Arial" w:eastAsia="Arial" w:hAnsi="Arial"/>
                <w:sz w:val="20"/>
                <w:szCs w:val="20"/>
                <w:color w:val="auto"/>
              </w:rPr>
              <w:t>SURFACE</w:t>
            </w:r>
          </w:p>
        </w:tc>
        <w:tc>
          <w:tcPr>
            <w:tcW w:w="9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95"/>
              </w:rPr>
              <w:t>1200002</w:t>
            </w:r>
          </w:p>
        </w:tc>
        <w:tc>
          <w:tcPr>
            <w:tcW w:w="5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40" w:type="dxa"/>
            <w:vAlign w:val="bottom"/>
          </w:tcPr>
          <w:p>
            <w:pPr>
              <w:spacing w:after="0"/>
              <w:rPr>
                <w:sz w:val="20"/>
                <w:szCs w:val="20"/>
                <w:color w:val="auto"/>
              </w:rPr>
            </w:pPr>
            <w:r>
              <w:rPr>
                <w:rFonts w:ascii="Arial" w:cs="Arial" w:eastAsia="Arial" w:hAnsi="Arial"/>
                <w:sz w:val="20"/>
                <w:szCs w:val="20"/>
                <w:color w:val="auto"/>
              </w:rPr>
              <w:t>Alden Portable Plant #1</w:t>
            </w:r>
          </w:p>
        </w:tc>
        <w:tc>
          <w:tcPr>
            <w:tcW w:w="920" w:type="dxa"/>
            <w:vAlign w:val="bottom"/>
          </w:tcPr>
          <w:p>
            <w:pPr>
              <w:jc w:val="right"/>
              <w:ind w:right="61"/>
              <w:spacing w:after="0"/>
              <w:rPr>
                <w:sz w:val="20"/>
                <w:szCs w:val="20"/>
                <w:color w:val="auto"/>
              </w:rPr>
            </w:pPr>
            <w:r>
              <w:rPr>
                <w:rFonts w:ascii="Arial" w:cs="Arial" w:eastAsia="Arial" w:hAnsi="Arial"/>
                <w:sz w:val="20"/>
                <w:szCs w:val="20"/>
                <w:color w:val="auto"/>
                <w:w w:val="95"/>
              </w:rPr>
              <w:t>1302031</w:t>
            </w:r>
          </w:p>
        </w:tc>
        <w:tc>
          <w:tcPr>
            <w:tcW w:w="5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40" w:type="dxa"/>
            <w:vAlign w:val="bottom"/>
            <w:shd w:val="clear" w:color="auto" w:fill="CFF0FC"/>
          </w:tcPr>
          <w:p>
            <w:pPr>
              <w:spacing w:after="0"/>
              <w:rPr>
                <w:sz w:val="20"/>
                <w:szCs w:val="20"/>
                <w:color w:val="auto"/>
              </w:rPr>
            </w:pPr>
            <w:r>
              <w:rPr>
                <w:rFonts w:ascii="Arial" w:cs="Arial" w:eastAsia="Arial" w:hAnsi="Arial"/>
                <w:sz w:val="20"/>
                <w:szCs w:val="20"/>
                <w:color w:val="auto"/>
              </w:rPr>
              <w:t>Alden Portable Plant #2</w:t>
            </w:r>
          </w:p>
        </w:tc>
        <w:tc>
          <w:tcPr>
            <w:tcW w:w="9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95"/>
              </w:rPr>
              <w:t>1302033</w:t>
            </w:r>
          </w:p>
        </w:tc>
        <w:tc>
          <w:tcPr>
            <w:tcW w:w="5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40" w:type="dxa"/>
            <w:vAlign w:val="bottom"/>
          </w:tcPr>
          <w:p>
            <w:pPr>
              <w:spacing w:after="0"/>
              <w:rPr>
                <w:sz w:val="20"/>
                <w:szCs w:val="20"/>
                <w:color w:val="auto"/>
              </w:rPr>
            </w:pPr>
            <w:r>
              <w:rPr>
                <w:rFonts w:ascii="Arial" w:cs="Arial" w:eastAsia="Arial" w:hAnsi="Arial"/>
                <w:sz w:val="20"/>
                <w:szCs w:val="20"/>
                <w:color w:val="auto"/>
              </w:rPr>
              <w:t>Alden Portable Sand</w:t>
            </w:r>
          </w:p>
        </w:tc>
        <w:tc>
          <w:tcPr>
            <w:tcW w:w="920" w:type="dxa"/>
            <w:vAlign w:val="bottom"/>
          </w:tcPr>
          <w:p>
            <w:pPr>
              <w:jc w:val="right"/>
              <w:ind w:right="61"/>
              <w:spacing w:after="0"/>
              <w:rPr>
                <w:sz w:val="20"/>
                <w:szCs w:val="20"/>
                <w:color w:val="auto"/>
              </w:rPr>
            </w:pPr>
            <w:r>
              <w:rPr>
                <w:rFonts w:ascii="Arial" w:cs="Arial" w:eastAsia="Arial" w:hAnsi="Arial"/>
                <w:sz w:val="20"/>
                <w:szCs w:val="20"/>
                <w:color w:val="auto"/>
                <w:w w:val="95"/>
              </w:rPr>
              <w:t>1302037</w:t>
            </w:r>
          </w:p>
        </w:tc>
        <w:tc>
          <w:tcPr>
            <w:tcW w:w="5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492</w:t>
            </w:r>
          </w:p>
        </w:tc>
        <w:tc>
          <w:tcPr>
            <w:tcW w:w="5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40" w:type="dxa"/>
            <w:vAlign w:val="bottom"/>
            <w:shd w:val="clear" w:color="auto" w:fill="CFF0FC"/>
          </w:tcPr>
          <w:p>
            <w:pPr>
              <w:spacing w:after="0"/>
              <w:rPr>
                <w:sz w:val="20"/>
                <w:szCs w:val="20"/>
                <w:color w:val="auto"/>
              </w:rPr>
            </w:pPr>
            <w:r>
              <w:rPr>
                <w:rFonts w:ascii="Arial" w:cs="Arial" w:eastAsia="Arial" w:hAnsi="Arial"/>
                <w:sz w:val="20"/>
                <w:szCs w:val="20"/>
                <w:color w:val="auto"/>
              </w:rPr>
              <w:t>Alden Quarry</w:t>
            </w:r>
          </w:p>
        </w:tc>
        <w:tc>
          <w:tcPr>
            <w:tcW w:w="9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95"/>
              </w:rPr>
              <w:t>1300228</w:t>
            </w:r>
          </w:p>
        </w:tc>
        <w:tc>
          <w:tcPr>
            <w:tcW w:w="5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123</w:t>
            </w:r>
          </w:p>
        </w:tc>
        <w:tc>
          <w:tcPr>
            <w:tcW w:w="5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40" w:type="dxa"/>
            <w:vAlign w:val="bottom"/>
          </w:tcPr>
          <w:p>
            <w:pPr>
              <w:spacing w:after="0"/>
              <w:rPr>
                <w:sz w:val="20"/>
                <w:szCs w:val="20"/>
                <w:color w:val="auto"/>
              </w:rPr>
            </w:pPr>
            <w:r>
              <w:rPr>
                <w:rFonts w:ascii="Arial" w:cs="Arial" w:eastAsia="Arial" w:hAnsi="Arial"/>
                <w:sz w:val="20"/>
                <w:szCs w:val="20"/>
                <w:color w:val="auto"/>
              </w:rPr>
              <w:t>Alden Shop</w:t>
            </w:r>
          </w:p>
        </w:tc>
        <w:tc>
          <w:tcPr>
            <w:tcW w:w="920" w:type="dxa"/>
            <w:vAlign w:val="bottom"/>
          </w:tcPr>
          <w:p>
            <w:pPr>
              <w:jc w:val="right"/>
              <w:ind w:right="61"/>
              <w:spacing w:after="0"/>
              <w:rPr>
                <w:sz w:val="20"/>
                <w:szCs w:val="20"/>
                <w:color w:val="auto"/>
              </w:rPr>
            </w:pPr>
            <w:r>
              <w:rPr>
                <w:rFonts w:ascii="Arial" w:cs="Arial" w:eastAsia="Arial" w:hAnsi="Arial"/>
                <w:sz w:val="20"/>
                <w:szCs w:val="20"/>
                <w:color w:val="auto"/>
                <w:w w:val="95"/>
              </w:rPr>
              <w:t>1302320</w:t>
            </w:r>
          </w:p>
        </w:tc>
        <w:tc>
          <w:tcPr>
            <w:tcW w:w="5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40" w:type="dxa"/>
            <w:vAlign w:val="bottom"/>
            <w:shd w:val="clear" w:color="auto" w:fill="CFF0FC"/>
          </w:tcPr>
          <w:p>
            <w:pPr>
              <w:spacing w:after="0"/>
              <w:rPr>
                <w:sz w:val="20"/>
                <w:szCs w:val="20"/>
                <w:color w:val="auto"/>
              </w:rPr>
            </w:pPr>
            <w:r>
              <w:rPr>
                <w:rFonts w:ascii="Arial" w:cs="Arial" w:eastAsia="Arial" w:hAnsi="Arial"/>
                <w:sz w:val="20"/>
                <w:szCs w:val="20"/>
                <w:color w:val="auto"/>
              </w:rPr>
              <w:t>Ames Mine</w:t>
            </w:r>
          </w:p>
        </w:tc>
        <w:tc>
          <w:tcPr>
            <w:tcW w:w="9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95"/>
              </w:rPr>
              <w:t>1300014</w:t>
            </w:r>
          </w:p>
        </w:tc>
        <w:tc>
          <w:tcPr>
            <w:tcW w:w="5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40" w:type="dxa"/>
            <w:vAlign w:val="bottom"/>
          </w:tcPr>
          <w:p>
            <w:pPr>
              <w:spacing w:after="0"/>
              <w:rPr>
                <w:sz w:val="20"/>
                <w:szCs w:val="20"/>
                <w:color w:val="auto"/>
              </w:rPr>
            </w:pPr>
            <w:r>
              <w:rPr>
                <w:rFonts w:ascii="Arial" w:cs="Arial" w:eastAsia="Arial" w:hAnsi="Arial"/>
                <w:sz w:val="20"/>
                <w:szCs w:val="20"/>
                <w:color w:val="auto"/>
              </w:rPr>
              <w:t>Apple Grove S G</w:t>
            </w:r>
          </w:p>
        </w:tc>
        <w:tc>
          <w:tcPr>
            <w:tcW w:w="920" w:type="dxa"/>
            <w:vAlign w:val="bottom"/>
          </w:tcPr>
          <w:p>
            <w:pPr>
              <w:jc w:val="right"/>
              <w:ind w:right="61"/>
              <w:spacing w:after="0"/>
              <w:rPr>
                <w:sz w:val="20"/>
                <w:szCs w:val="20"/>
                <w:color w:val="auto"/>
              </w:rPr>
            </w:pPr>
            <w:r>
              <w:rPr>
                <w:rFonts w:ascii="Arial" w:cs="Arial" w:eastAsia="Arial" w:hAnsi="Arial"/>
                <w:sz w:val="20"/>
                <w:szCs w:val="20"/>
                <w:color w:val="auto"/>
                <w:w w:val="95"/>
              </w:rPr>
              <w:t>3301676</w:t>
            </w:r>
          </w:p>
        </w:tc>
        <w:tc>
          <w:tcPr>
            <w:tcW w:w="5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40" w:type="dxa"/>
            <w:vAlign w:val="bottom"/>
            <w:shd w:val="clear" w:color="auto" w:fill="CFF0FC"/>
          </w:tcPr>
          <w:p>
            <w:pPr>
              <w:spacing w:after="0"/>
              <w:rPr>
                <w:sz w:val="20"/>
                <w:szCs w:val="20"/>
                <w:color w:val="auto"/>
              </w:rPr>
            </w:pPr>
            <w:r>
              <w:rPr>
                <w:rFonts w:ascii="Arial" w:cs="Arial" w:eastAsia="Arial" w:hAnsi="Arial"/>
                <w:sz w:val="20"/>
                <w:szCs w:val="20"/>
                <w:color w:val="auto"/>
              </w:rPr>
              <w:t>Belmont Sand</w:t>
            </w:r>
          </w:p>
        </w:tc>
        <w:tc>
          <w:tcPr>
            <w:tcW w:w="9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95"/>
              </w:rPr>
              <w:t>1201911</w:t>
            </w:r>
          </w:p>
        </w:tc>
        <w:tc>
          <w:tcPr>
            <w:tcW w:w="5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26"/>
        </w:trPr>
        <w:tc>
          <w:tcPr>
            <w:tcW w:w="2140" w:type="dxa"/>
            <w:vAlign w:val="bottom"/>
          </w:tcPr>
          <w:p>
            <w:pPr>
              <w:spacing w:after="0" w:line="227" w:lineRule="exact"/>
              <w:rPr>
                <w:sz w:val="20"/>
                <w:szCs w:val="20"/>
                <w:color w:val="auto"/>
              </w:rPr>
            </w:pPr>
            <w:r>
              <w:rPr>
                <w:rFonts w:ascii="Arial" w:cs="Arial" w:eastAsia="Arial" w:hAnsi="Arial"/>
                <w:sz w:val="20"/>
                <w:szCs w:val="20"/>
                <w:color w:val="auto"/>
              </w:rPr>
              <w:t>Bowling Green North</w:t>
            </w:r>
          </w:p>
        </w:tc>
        <w:tc>
          <w:tcPr>
            <w:tcW w:w="9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6"/>
        </w:trPr>
        <w:tc>
          <w:tcPr>
            <w:tcW w:w="2140" w:type="dxa"/>
            <w:vAlign w:val="bottom"/>
          </w:tcPr>
          <w:p>
            <w:pPr>
              <w:spacing w:after="0"/>
              <w:rPr>
                <w:sz w:val="20"/>
                <w:szCs w:val="20"/>
                <w:color w:val="auto"/>
              </w:rPr>
            </w:pPr>
            <w:r>
              <w:rPr>
                <w:rFonts w:ascii="Arial" w:cs="Arial" w:eastAsia="Arial" w:hAnsi="Arial"/>
                <w:sz w:val="20"/>
                <w:szCs w:val="20"/>
                <w:color w:val="auto"/>
              </w:rPr>
              <w:t>Quarry</w:t>
            </w:r>
          </w:p>
        </w:tc>
        <w:tc>
          <w:tcPr>
            <w:tcW w:w="920" w:type="dxa"/>
            <w:vAlign w:val="bottom"/>
          </w:tcPr>
          <w:p>
            <w:pPr>
              <w:jc w:val="right"/>
              <w:ind w:right="61"/>
              <w:spacing w:after="0"/>
              <w:rPr>
                <w:sz w:val="20"/>
                <w:szCs w:val="20"/>
                <w:color w:val="auto"/>
              </w:rPr>
            </w:pPr>
            <w:r>
              <w:rPr>
                <w:rFonts w:ascii="Arial" w:cs="Arial" w:eastAsia="Arial" w:hAnsi="Arial"/>
                <w:sz w:val="20"/>
                <w:szCs w:val="20"/>
                <w:color w:val="auto"/>
                <w:w w:val="95"/>
              </w:rPr>
              <w:t>1500065</w:t>
            </w:r>
          </w:p>
        </w:tc>
        <w:tc>
          <w:tcPr>
            <w:tcW w:w="5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26"/>
        </w:trPr>
        <w:tc>
          <w:tcPr>
            <w:tcW w:w="214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Bowling Green South</w:t>
            </w:r>
          </w:p>
        </w:tc>
        <w:tc>
          <w:tcPr>
            <w:tcW w:w="9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46"/>
        </w:trPr>
        <w:tc>
          <w:tcPr>
            <w:tcW w:w="214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9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95"/>
              </w:rPr>
              <w:t>1500025</w:t>
            </w:r>
          </w:p>
        </w:tc>
        <w:tc>
          <w:tcPr>
            <w:tcW w:w="5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377</w:t>
            </w:r>
          </w:p>
        </w:tc>
        <w:tc>
          <w:tcPr>
            <w:tcW w:w="5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1</w:t>
            </w:r>
          </w:p>
        </w:tc>
        <w:tc>
          <w:tcPr>
            <w:tcW w:w="20" w:type="dxa"/>
            <w:vAlign w:val="bottom"/>
          </w:tcPr>
          <w:p>
            <w:pPr>
              <w:spacing w:after="0"/>
              <w:rPr>
                <w:sz w:val="21"/>
                <w:szCs w:val="21"/>
                <w:color w:val="auto"/>
              </w:rPr>
            </w:pPr>
          </w:p>
        </w:tc>
      </w:tr>
      <w:tr>
        <w:trPr>
          <w:trHeight w:val="243"/>
        </w:trPr>
        <w:tc>
          <w:tcPr>
            <w:tcW w:w="2140" w:type="dxa"/>
            <w:vAlign w:val="bottom"/>
          </w:tcPr>
          <w:p>
            <w:pPr>
              <w:spacing w:after="0"/>
              <w:rPr>
                <w:sz w:val="20"/>
                <w:szCs w:val="20"/>
                <w:color w:val="auto"/>
              </w:rPr>
            </w:pPr>
            <w:r>
              <w:rPr>
                <w:rFonts w:ascii="Arial" w:cs="Arial" w:eastAsia="Arial" w:hAnsi="Arial"/>
                <w:sz w:val="20"/>
                <w:szCs w:val="20"/>
                <w:color w:val="auto"/>
              </w:rPr>
              <w:t>Burning Springs Mine</w:t>
            </w:r>
          </w:p>
        </w:tc>
        <w:tc>
          <w:tcPr>
            <w:tcW w:w="920" w:type="dxa"/>
            <w:vAlign w:val="bottom"/>
          </w:tcPr>
          <w:p>
            <w:pPr>
              <w:jc w:val="right"/>
              <w:ind w:right="61"/>
              <w:spacing w:after="0"/>
              <w:rPr>
                <w:sz w:val="20"/>
                <w:szCs w:val="20"/>
                <w:color w:val="auto"/>
              </w:rPr>
            </w:pPr>
            <w:r>
              <w:rPr>
                <w:rFonts w:ascii="Arial" w:cs="Arial" w:eastAsia="Arial" w:hAnsi="Arial"/>
                <w:sz w:val="20"/>
                <w:szCs w:val="20"/>
                <w:color w:val="auto"/>
                <w:w w:val="95"/>
              </w:rPr>
              <w:t>4608862</w:t>
            </w:r>
          </w:p>
        </w:tc>
        <w:tc>
          <w:tcPr>
            <w:tcW w:w="5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246</w:t>
            </w:r>
          </w:p>
        </w:tc>
        <w:tc>
          <w:tcPr>
            <w:tcW w:w="5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40" w:type="dxa"/>
            <w:vAlign w:val="bottom"/>
            <w:shd w:val="clear" w:color="auto" w:fill="CFF0FC"/>
          </w:tcPr>
          <w:p>
            <w:pPr>
              <w:spacing w:after="0"/>
              <w:rPr>
                <w:sz w:val="20"/>
                <w:szCs w:val="20"/>
                <w:color w:val="auto"/>
              </w:rPr>
            </w:pPr>
            <w:r>
              <w:rPr>
                <w:rFonts w:ascii="Arial" w:cs="Arial" w:eastAsia="Arial" w:hAnsi="Arial"/>
                <w:sz w:val="20"/>
                <w:szCs w:val="20"/>
                <w:color w:val="auto"/>
              </w:rPr>
              <w:t>Carmel Sand</w:t>
            </w:r>
          </w:p>
        </w:tc>
        <w:tc>
          <w:tcPr>
            <w:tcW w:w="9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95"/>
              </w:rPr>
              <w:t>1202124</w:t>
            </w:r>
          </w:p>
        </w:tc>
        <w:tc>
          <w:tcPr>
            <w:tcW w:w="5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40" w:type="dxa"/>
            <w:vAlign w:val="bottom"/>
          </w:tcPr>
          <w:p>
            <w:pPr>
              <w:spacing w:after="0"/>
              <w:rPr>
                <w:sz w:val="20"/>
                <w:szCs w:val="20"/>
                <w:color w:val="auto"/>
              </w:rPr>
            </w:pPr>
            <w:r>
              <w:rPr>
                <w:rFonts w:ascii="Arial" w:cs="Arial" w:eastAsia="Arial" w:hAnsi="Arial"/>
                <w:sz w:val="20"/>
                <w:szCs w:val="20"/>
                <w:color w:val="auto"/>
              </w:rPr>
              <w:t>Cedar Rapids Quarry</w:t>
            </w:r>
          </w:p>
        </w:tc>
        <w:tc>
          <w:tcPr>
            <w:tcW w:w="920" w:type="dxa"/>
            <w:vAlign w:val="bottom"/>
          </w:tcPr>
          <w:p>
            <w:pPr>
              <w:jc w:val="right"/>
              <w:ind w:right="61"/>
              <w:spacing w:after="0"/>
              <w:rPr>
                <w:sz w:val="20"/>
                <w:szCs w:val="20"/>
                <w:color w:val="auto"/>
              </w:rPr>
            </w:pPr>
            <w:r>
              <w:rPr>
                <w:rFonts w:ascii="Arial" w:cs="Arial" w:eastAsia="Arial" w:hAnsi="Arial"/>
                <w:sz w:val="20"/>
                <w:szCs w:val="20"/>
                <w:color w:val="auto"/>
                <w:w w:val="95"/>
              </w:rPr>
              <w:t>1300122</w:t>
            </w:r>
          </w:p>
        </w:tc>
        <w:tc>
          <w:tcPr>
            <w:tcW w:w="5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40" w:type="dxa"/>
            <w:vAlign w:val="bottom"/>
            <w:shd w:val="clear" w:color="auto" w:fill="CFF0FC"/>
          </w:tcPr>
          <w:p>
            <w:pPr>
              <w:spacing w:after="0"/>
              <w:rPr>
                <w:sz w:val="20"/>
                <w:szCs w:val="20"/>
                <w:color w:val="auto"/>
              </w:rPr>
            </w:pPr>
            <w:r>
              <w:rPr>
                <w:rFonts w:ascii="Arial" w:cs="Arial" w:eastAsia="Arial" w:hAnsi="Arial"/>
                <w:sz w:val="20"/>
                <w:szCs w:val="20"/>
                <w:color w:val="auto"/>
                <w:w w:val="89"/>
              </w:rPr>
              <w:t>Cedar Rapids Sand Divest</w:t>
            </w:r>
          </w:p>
        </w:tc>
        <w:tc>
          <w:tcPr>
            <w:tcW w:w="9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95"/>
              </w:rPr>
              <w:t>1300724</w:t>
            </w:r>
          </w:p>
        </w:tc>
        <w:tc>
          <w:tcPr>
            <w:tcW w:w="5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40" w:type="dxa"/>
            <w:vAlign w:val="bottom"/>
          </w:tcPr>
          <w:p>
            <w:pPr>
              <w:spacing w:after="0"/>
              <w:rPr>
                <w:sz w:val="20"/>
                <w:szCs w:val="20"/>
                <w:color w:val="auto"/>
              </w:rPr>
            </w:pPr>
            <w:r>
              <w:rPr>
                <w:rFonts w:ascii="Arial" w:cs="Arial" w:eastAsia="Arial" w:hAnsi="Arial"/>
                <w:sz w:val="20"/>
                <w:szCs w:val="20"/>
                <w:color w:val="auto"/>
              </w:rPr>
              <w:t>Cedarville Quarry</w:t>
            </w:r>
          </w:p>
        </w:tc>
        <w:tc>
          <w:tcPr>
            <w:tcW w:w="920" w:type="dxa"/>
            <w:vAlign w:val="bottom"/>
          </w:tcPr>
          <w:p>
            <w:pPr>
              <w:jc w:val="right"/>
              <w:ind w:right="61"/>
              <w:spacing w:after="0"/>
              <w:rPr>
                <w:sz w:val="20"/>
                <w:szCs w:val="20"/>
                <w:color w:val="auto"/>
              </w:rPr>
            </w:pPr>
            <w:r>
              <w:rPr>
                <w:rFonts w:ascii="Arial" w:cs="Arial" w:eastAsia="Arial" w:hAnsi="Arial"/>
                <w:sz w:val="20"/>
                <w:szCs w:val="20"/>
                <w:color w:val="auto"/>
                <w:w w:val="95"/>
              </w:rPr>
              <w:t>3304072</w:t>
            </w:r>
          </w:p>
        </w:tc>
        <w:tc>
          <w:tcPr>
            <w:tcW w:w="5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40" w:type="dxa"/>
            <w:vAlign w:val="bottom"/>
            <w:shd w:val="clear" w:color="auto" w:fill="CFF0FC"/>
          </w:tcPr>
          <w:p>
            <w:pPr>
              <w:spacing w:after="0"/>
              <w:rPr>
                <w:sz w:val="20"/>
                <w:szCs w:val="20"/>
                <w:color w:val="auto"/>
              </w:rPr>
            </w:pPr>
            <w:r>
              <w:rPr>
                <w:rFonts w:ascii="Arial" w:cs="Arial" w:eastAsia="Arial" w:hAnsi="Arial"/>
                <w:sz w:val="20"/>
                <w:szCs w:val="20"/>
                <w:color w:val="auto"/>
              </w:rPr>
              <w:t>Cloverdale Quarry</w:t>
            </w:r>
          </w:p>
        </w:tc>
        <w:tc>
          <w:tcPr>
            <w:tcW w:w="9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95"/>
              </w:rPr>
              <w:t>1201744</w:t>
            </w:r>
          </w:p>
        </w:tc>
        <w:tc>
          <w:tcPr>
            <w:tcW w:w="5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40" w:type="dxa"/>
            <w:vAlign w:val="bottom"/>
          </w:tcPr>
          <w:p>
            <w:pPr>
              <w:spacing w:after="0"/>
              <w:rPr>
                <w:sz w:val="20"/>
                <w:szCs w:val="20"/>
                <w:color w:val="auto"/>
              </w:rPr>
            </w:pPr>
            <w:r>
              <w:rPr>
                <w:rFonts w:ascii="Arial" w:cs="Arial" w:eastAsia="Arial" w:hAnsi="Arial"/>
                <w:sz w:val="20"/>
                <w:szCs w:val="20"/>
                <w:color w:val="auto"/>
              </w:rPr>
              <w:t>Cumberland Quarry</w:t>
            </w:r>
          </w:p>
        </w:tc>
        <w:tc>
          <w:tcPr>
            <w:tcW w:w="920" w:type="dxa"/>
            <w:vAlign w:val="bottom"/>
          </w:tcPr>
          <w:p>
            <w:pPr>
              <w:jc w:val="right"/>
              <w:ind w:right="61"/>
              <w:spacing w:after="0"/>
              <w:rPr>
                <w:sz w:val="20"/>
                <w:szCs w:val="20"/>
                <w:color w:val="auto"/>
              </w:rPr>
            </w:pPr>
            <w:r>
              <w:rPr>
                <w:rFonts w:ascii="Arial" w:cs="Arial" w:eastAsia="Arial" w:hAnsi="Arial"/>
                <w:sz w:val="20"/>
                <w:szCs w:val="20"/>
                <w:color w:val="auto"/>
                <w:w w:val="95"/>
              </w:rPr>
              <w:t>1500037</w:t>
            </w:r>
          </w:p>
        </w:tc>
        <w:tc>
          <w:tcPr>
            <w:tcW w:w="5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403</w:t>
            </w:r>
          </w:p>
        </w:tc>
        <w:tc>
          <w:tcPr>
            <w:tcW w:w="5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40" w:type="dxa"/>
            <w:vAlign w:val="bottom"/>
            <w:shd w:val="clear" w:color="auto" w:fill="CFF0FC"/>
          </w:tcPr>
          <w:p>
            <w:pPr>
              <w:spacing w:after="0"/>
              <w:rPr>
                <w:sz w:val="20"/>
                <w:szCs w:val="20"/>
                <w:color w:val="auto"/>
              </w:rPr>
            </w:pPr>
            <w:r>
              <w:rPr>
                <w:rFonts w:ascii="Arial" w:cs="Arial" w:eastAsia="Arial" w:hAnsi="Arial"/>
                <w:sz w:val="20"/>
                <w:szCs w:val="20"/>
                <w:color w:val="auto"/>
              </w:rPr>
              <w:t>Des Moines Portable</w:t>
            </w:r>
          </w:p>
        </w:tc>
        <w:tc>
          <w:tcPr>
            <w:tcW w:w="9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95"/>
              </w:rPr>
              <w:t>1300150</w:t>
            </w:r>
          </w:p>
        </w:tc>
        <w:tc>
          <w:tcPr>
            <w:tcW w:w="5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294</w:t>
            </w:r>
          </w:p>
        </w:tc>
        <w:tc>
          <w:tcPr>
            <w:tcW w:w="5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40" w:type="dxa"/>
            <w:vAlign w:val="bottom"/>
          </w:tcPr>
          <w:p>
            <w:pPr>
              <w:spacing w:after="0"/>
              <w:rPr>
                <w:sz w:val="20"/>
                <w:szCs w:val="20"/>
                <w:color w:val="auto"/>
              </w:rPr>
            </w:pPr>
            <w:r>
              <w:rPr>
                <w:rFonts w:ascii="Arial" w:cs="Arial" w:eastAsia="Arial" w:hAnsi="Arial"/>
                <w:sz w:val="20"/>
                <w:szCs w:val="20"/>
                <w:color w:val="auto"/>
                <w:w w:val="99"/>
              </w:rPr>
              <w:t>Des Moines Portable #2</w:t>
            </w:r>
          </w:p>
        </w:tc>
        <w:tc>
          <w:tcPr>
            <w:tcW w:w="920" w:type="dxa"/>
            <w:vAlign w:val="bottom"/>
          </w:tcPr>
          <w:p>
            <w:pPr>
              <w:jc w:val="right"/>
              <w:ind w:right="61"/>
              <w:spacing w:after="0"/>
              <w:rPr>
                <w:sz w:val="20"/>
                <w:szCs w:val="20"/>
                <w:color w:val="auto"/>
              </w:rPr>
            </w:pPr>
            <w:r>
              <w:rPr>
                <w:rFonts w:ascii="Arial" w:cs="Arial" w:eastAsia="Arial" w:hAnsi="Arial"/>
                <w:sz w:val="20"/>
                <w:szCs w:val="20"/>
                <w:color w:val="auto"/>
                <w:w w:val="95"/>
              </w:rPr>
              <w:t>1300932</w:t>
            </w:r>
          </w:p>
        </w:tc>
        <w:tc>
          <w:tcPr>
            <w:tcW w:w="5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40" w:type="dxa"/>
            <w:vAlign w:val="bottom"/>
            <w:shd w:val="clear" w:color="auto" w:fill="CFF0FC"/>
          </w:tcPr>
          <w:p>
            <w:pPr>
              <w:spacing w:after="0"/>
              <w:rPr>
                <w:sz w:val="20"/>
                <w:szCs w:val="20"/>
                <w:color w:val="auto"/>
              </w:rPr>
            </w:pPr>
            <w:r>
              <w:rPr>
                <w:rFonts w:ascii="Arial" w:cs="Arial" w:eastAsia="Arial" w:hAnsi="Arial"/>
                <w:sz w:val="20"/>
                <w:szCs w:val="20"/>
                <w:color w:val="auto"/>
              </w:rPr>
              <w:t>Dubois Quarry</w:t>
            </w:r>
          </w:p>
        </w:tc>
        <w:tc>
          <w:tcPr>
            <w:tcW w:w="9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95"/>
              </w:rPr>
              <w:t>2501046</w:t>
            </w:r>
          </w:p>
        </w:tc>
        <w:tc>
          <w:tcPr>
            <w:tcW w:w="5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246</w:t>
            </w:r>
          </w:p>
        </w:tc>
        <w:tc>
          <w:tcPr>
            <w:tcW w:w="5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40" w:type="dxa"/>
            <w:vAlign w:val="bottom"/>
          </w:tcPr>
          <w:p>
            <w:pPr>
              <w:spacing w:after="0"/>
              <w:rPr>
                <w:sz w:val="20"/>
                <w:szCs w:val="20"/>
                <w:color w:val="auto"/>
              </w:rPr>
            </w:pPr>
            <w:r>
              <w:rPr>
                <w:rFonts w:ascii="Arial" w:cs="Arial" w:eastAsia="Arial" w:hAnsi="Arial"/>
                <w:sz w:val="20"/>
                <w:szCs w:val="20"/>
                <w:color w:val="auto"/>
              </w:rPr>
              <w:t>Durham Mine</w:t>
            </w:r>
          </w:p>
        </w:tc>
        <w:tc>
          <w:tcPr>
            <w:tcW w:w="920" w:type="dxa"/>
            <w:vAlign w:val="bottom"/>
          </w:tcPr>
          <w:p>
            <w:pPr>
              <w:jc w:val="right"/>
              <w:ind w:right="61"/>
              <w:spacing w:after="0"/>
              <w:rPr>
                <w:sz w:val="20"/>
                <w:szCs w:val="20"/>
                <w:color w:val="auto"/>
              </w:rPr>
            </w:pPr>
            <w:r>
              <w:rPr>
                <w:rFonts w:ascii="Arial" w:cs="Arial" w:eastAsia="Arial" w:hAnsi="Arial"/>
                <w:sz w:val="20"/>
                <w:szCs w:val="20"/>
                <w:color w:val="auto"/>
                <w:w w:val="95"/>
              </w:rPr>
              <w:t>1301225</w:t>
            </w:r>
          </w:p>
        </w:tc>
        <w:tc>
          <w:tcPr>
            <w:tcW w:w="540" w:type="dxa"/>
            <w:vAlign w:val="bottom"/>
          </w:tcPr>
          <w:p>
            <w:pPr>
              <w:jc w:val="right"/>
              <w:ind w:right="201"/>
              <w:spacing w:after="0"/>
              <w:rPr>
                <w:sz w:val="20"/>
                <w:szCs w:val="20"/>
                <w:color w:val="auto"/>
              </w:rPr>
            </w:pPr>
            <w:r>
              <w:rPr>
                <w:rFonts w:ascii="Arial" w:cs="Arial" w:eastAsia="Arial" w:hAnsi="Arial"/>
                <w:sz w:val="20"/>
                <w:szCs w:val="20"/>
                <w:color w:val="auto"/>
              </w:rPr>
              <w:t>1</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w w:val="87"/>
              </w:rPr>
              <w:t>1,557</w:t>
            </w:r>
          </w:p>
        </w:tc>
        <w:tc>
          <w:tcPr>
            <w:tcW w:w="5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40" w:type="dxa"/>
            <w:vAlign w:val="bottom"/>
            <w:shd w:val="clear" w:color="auto" w:fill="CFF0FC"/>
          </w:tcPr>
          <w:p>
            <w:pPr>
              <w:spacing w:after="0"/>
              <w:rPr>
                <w:sz w:val="20"/>
                <w:szCs w:val="20"/>
                <w:color w:val="auto"/>
              </w:rPr>
            </w:pPr>
            <w:r>
              <w:rPr>
                <w:rFonts w:ascii="Arial" w:cs="Arial" w:eastAsia="Arial" w:hAnsi="Arial"/>
                <w:sz w:val="20"/>
                <w:szCs w:val="20"/>
                <w:color w:val="auto"/>
              </w:rPr>
              <w:t>E Town Sand Gravel</w:t>
            </w:r>
          </w:p>
        </w:tc>
        <w:tc>
          <w:tcPr>
            <w:tcW w:w="9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95"/>
              </w:rPr>
              <w:t>3304279</w:t>
            </w:r>
          </w:p>
        </w:tc>
        <w:tc>
          <w:tcPr>
            <w:tcW w:w="5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40" w:type="dxa"/>
            <w:vAlign w:val="bottom"/>
          </w:tcPr>
          <w:p>
            <w:pPr>
              <w:spacing w:after="0"/>
              <w:rPr>
                <w:sz w:val="20"/>
                <w:szCs w:val="20"/>
                <w:color w:val="auto"/>
              </w:rPr>
            </w:pPr>
            <w:r>
              <w:rPr>
                <w:rFonts w:ascii="Arial" w:cs="Arial" w:eastAsia="Arial" w:hAnsi="Arial"/>
                <w:sz w:val="20"/>
                <w:szCs w:val="20"/>
                <w:color w:val="auto"/>
              </w:rPr>
              <w:t>Earlham Quarry</w:t>
            </w:r>
          </w:p>
        </w:tc>
        <w:tc>
          <w:tcPr>
            <w:tcW w:w="920" w:type="dxa"/>
            <w:vAlign w:val="bottom"/>
          </w:tcPr>
          <w:p>
            <w:pPr>
              <w:jc w:val="right"/>
              <w:ind w:right="61"/>
              <w:spacing w:after="0"/>
              <w:rPr>
                <w:sz w:val="20"/>
                <w:szCs w:val="20"/>
                <w:color w:val="auto"/>
              </w:rPr>
            </w:pPr>
            <w:r>
              <w:rPr>
                <w:rFonts w:ascii="Arial" w:cs="Arial" w:eastAsia="Arial" w:hAnsi="Arial"/>
                <w:sz w:val="20"/>
                <w:szCs w:val="20"/>
                <w:color w:val="auto"/>
                <w:w w:val="95"/>
              </w:rPr>
              <w:t>1302123</w:t>
            </w:r>
          </w:p>
        </w:tc>
        <w:tc>
          <w:tcPr>
            <w:tcW w:w="5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123</w:t>
            </w:r>
          </w:p>
        </w:tc>
        <w:tc>
          <w:tcPr>
            <w:tcW w:w="5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1</w:t>
            </w:r>
          </w:p>
        </w:tc>
        <w:tc>
          <w:tcPr>
            <w:tcW w:w="20" w:type="dxa"/>
            <w:vAlign w:val="bottom"/>
          </w:tcPr>
          <w:p>
            <w:pPr>
              <w:spacing w:after="0"/>
              <w:rPr>
                <w:sz w:val="21"/>
                <w:szCs w:val="21"/>
                <w:color w:val="auto"/>
              </w:rPr>
            </w:pPr>
          </w:p>
        </w:tc>
      </w:tr>
      <w:tr>
        <w:trPr>
          <w:trHeight w:val="243"/>
        </w:trPr>
        <w:tc>
          <w:tcPr>
            <w:tcW w:w="2140" w:type="dxa"/>
            <w:vAlign w:val="bottom"/>
            <w:shd w:val="clear" w:color="auto" w:fill="CFF0FC"/>
          </w:tcPr>
          <w:p>
            <w:pPr>
              <w:spacing w:after="0"/>
              <w:rPr>
                <w:sz w:val="20"/>
                <w:szCs w:val="20"/>
                <w:color w:val="auto"/>
              </w:rPr>
            </w:pPr>
            <w:r>
              <w:rPr>
                <w:rFonts w:ascii="Arial" w:cs="Arial" w:eastAsia="Arial" w:hAnsi="Arial"/>
                <w:sz w:val="20"/>
                <w:szCs w:val="20"/>
                <w:color w:val="auto"/>
              </w:rPr>
              <w:t>Fairborn Gravel</w:t>
            </w:r>
          </w:p>
        </w:tc>
        <w:tc>
          <w:tcPr>
            <w:tcW w:w="9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95"/>
              </w:rPr>
              <w:t>3301388</w:t>
            </w:r>
          </w:p>
        </w:tc>
        <w:tc>
          <w:tcPr>
            <w:tcW w:w="5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40" w:type="dxa"/>
            <w:vAlign w:val="bottom"/>
          </w:tcPr>
          <w:p>
            <w:pPr>
              <w:spacing w:after="0"/>
              <w:rPr>
                <w:sz w:val="20"/>
                <w:szCs w:val="20"/>
                <w:color w:val="auto"/>
              </w:rPr>
            </w:pPr>
            <w:r>
              <w:rPr>
                <w:rFonts w:ascii="Arial" w:cs="Arial" w:eastAsia="Arial" w:hAnsi="Arial"/>
                <w:sz w:val="20"/>
                <w:szCs w:val="20"/>
                <w:color w:val="auto"/>
              </w:rPr>
              <w:t>Fairfield Quarry</w:t>
            </w:r>
          </w:p>
        </w:tc>
        <w:tc>
          <w:tcPr>
            <w:tcW w:w="920" w:type="dxa"/>
            <w:vAlign w:val="bottom"/>
          </w:tcPr>
          <w:p>
            <w:pPr>
              <w:jc w:val="right"/>
              <w:ind w:right="61"/>
              <w:spacing w:after="0"/>
              <w:rPr>
                <w:sz w:val="20"/>
                <w:szCs w:val="20"/>
                <w:color w:val="auto"/>
              </w:rPr>
            </w:pPr>
            <w:r>
              <w:rPr>
                <w:rFonts w:ascii="Arial" w:cs="Arial" w:eastAsia="Arial" w:hAnsi="Arial"/>
                <w:sz w:val="20"/>
                <w:szCs w:val="20"/>
                <w:color w:val="auto"/>
                <w:w w:val="95"/>
              </w:rPr>
              <w:t>3301396</w:t>
            </w:r>
          </w:p>
        </w:tc>
        <w:tc>
          <w:tcPr>
            <w:tcW w:w="5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40" w:type="dxa"/>
            <w:vAlign w:val="bottom"/>
            <w:shd w:val="clear" w:color="auto" w:fill="CFF0FC"/>
          </w:tcPr>
          <w:p>
            <w:pPr>
              <w:spacing w:after="0"/>
              <w:rPr>
                <w:sz w:val="20"/>
                <w:szCs w:val="20"/>
                <w:color w:val="auto"/>
              </w:rPr>
            </w:pPr>
            <w:r>
              <w:rPr>
                <w:rFonts w:ascii="Arial" w:cs="Arial" w:eastAsia="Arial" w:hAnsi="Arial"/>
                <w:sz w:val="20"/>
                <w:szCs w:val="20"/>
                <w:color w:val="auto"/>
              </w:rPr>
              <w:t>Ferguson Quarry</w:t>
            </w:r>
          </w:p>
        </w:tc>
        <w:tc>
          <w:tcPr>
            <w:tcW w:w="9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95"/>
              </w:rPr>
              <w:t>1300124</w:t>
            </w:r>
          </w:p>
        </w:tc>
        <w:tc>
          <w:tcPr>
            <w:tcW w:w="5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40" w:type="dxa"/>
            <w:vAlign w:val="bottom"/>
          </w:tcPr>
          <w:p>
            <w:pPr>
              <w:spacing w:after="0"/>
              <w:rPr>
                <w:sz w:val="20"/>
                <w:szCs w:val="20"/>
                <w:color w:val="auto"/>
              </w:rPr>
            </w:pPr>
            <w:r>
              <w:rPr>
                <w:rFonts w:ascii="Arial" w:cs="Arial" w:eastAsia="Arial" w:hAnsi="Arial"/>
                <w:sz w:val="20"/>
                <w:szCs w:val="20"/>
                <w:color w:val="auto"/>
              </w:rPr>
              <w:t>Fort Calhoun Quarry</w:t>
            </w:r>
          </w:p>
        </w:tc>
        <w:tc>
          <w:tcPr>
            <w:tcW w:w="920" w:type="dxa"/>
            <w:vAlign w:val="bottom"/>
          </w:tcPr>
          <w:p>
            <w:pPr>
              <w:jc w:val="right"/>
              <w:ind w:right="61"/>
              <w:spacing w:after="0"/>
              <w:rPr>
                <w:sz w:val="20"/>
                <w:szCs w:val="20"/>
                <w:color w:val="auto"/>
              </w:rPr>
            </w:pPr>
            <w:r>
              <w:rPr>
                <w:rFonts w:ascii="Arial" w:cs="Arial" w:eastAsia="Arial" w:hAnsi="Arial"/>
                <w:sz w:val="20"/>
                <w:szCs w:val="20"/>
                <w:color w:val="auto"/>
                <w:w w:val="95"/>
              </w:rPr>
              <w:t>2500006</w:t>
            </w:r>
          </w:p>
        </w:tc>
        <w:tc>
          <w:tcPr>
            <w:tcW w:w="540" w:type="dxa"/>
            <w:vAlign w:val="bottom"/>
          </w:tcPr>
          <w:p>
            <w:pPr>
              <w:jc w:val="right"/>
              <w:ind w:right="201"/>
              <w:spacing w:after="0"/>
              <w:rPr>
                <w:sz w:val="20"/>
                <w:szCs w:val="20"/>
                <w:color w:val="auto"/>
              </w:rPr>
            </w:pPr>
            <w:r>
              <w:rPr>
                <w:rFonts w:ascii="Arial" w:cs="Arial" w:eastAsia="Arial" w:hAnsi="Arial"/>
                <w:sz w:val="20"/>
                <w:szCs w:val="20"/>
                <w:color w:val="auto"/>
              </w:rPr>
              <w:t>1</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w w:val="87"/>
              </w:rPr>
              <w:t>1,185</w:t>
            </w:r>
          </w:p>
        </w:tc>
        <w:tc>
          <w:tcPr>
            <w:tcW w:w="5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1</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1</w:t>
            </w:r>
          </w:p>
        </w:tc>
        <w:tc>
          <w:tcPr>
            <w:tcW w:w="20" w:type="dxa"/>
            <w:vAlign w:val="bottom"/>
          </w:tcPr>
          <w:p>
            <w:pPr>
              <w:spacing w:after="0"/>
              <w:rPr>
                <w:sz w:val="21"/>
                <w:szCs w:val="21"/>
                <w:color w:val="auto"/>
              </w:rPr>
            </w:pPr>
          </w:p>
        </w:tc>
      </w:tr>
      <w:tr>
        <w:trPr>
          <w:trHeight w:val="243"/>
        </w:trPr>
        <w:tc>
          <w:tcPr>
            <w:tcW w:w="2140" w:type="dxa"/>
            <w:vAlign w:val="bottom"/>
            <w:shd w:val="clear" w:color="auto" w:fill="CFF0FC"/>
          </w:tcPr>
          <w:p>
            <w:pPr>
              <w:spacing w:after="0"/>
              <w:rPr>
                <w:sz w:val="20"/>
                <w:szCs w:val="20"/>
                <w:color w:val="auto"/>
              </w:rPr>
            </w:pPr>
            <w:r>
              <w:rPr>
                <w:rFonts w:ascii="Arial" w:cs="Arial" w:eastAsia="Arial" w:hAnsi="Arial"/>
                <w:sz w:val="20"/>
                <w:szCs w:val="20"/>
                <w:color w:val="auto"/>
              </w:rPr>
              <w:t>Fort Dodge Mine</w:t>
            </w:r>
          </w:p>
        </w:tc>
        <w:tc>
          <w:tcPr>
            <w:tcW w:w="9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95"/>
              </w:rPr>
              <w:t>1300032</w:t>
            </w:r>
          </w:p>
        </w:tc>
        <w:tc>
          <w:tcPr>
            <w:tcW w:w="5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246</w:t>
            </w:r>
          </w:p>
        </w:tc>
        <w:tc>
          <w:tcPr>
            <w:tcW w:w="5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40" w:type="dxa"/>
            <w:vAlign w:val="bottom"/>
          </w:tcPr>
          <w:p>
            <w:pPr>
              <w:spacing w:after="0"/>
              <w:rPr>
                <w:sz w:val="20"/>
                <w:szCs w:val="20"/>
                <w:color w:val="auto"/>
              </w:rPr>
            </w:pPr>
            <w:r>
              <w:rPr>
                <w:rFonts w:ascii="Arial" w:cs="Arial" w:eastAsia="Arial" w:hAnsi="Arial"/>
                <w:sz w:val="20"/>
                <w:szCs w:val="20"/>
                <w:color w:val="auto"/>
              </w:rPr>
              <w:t>Franklin Gravel</w:t>
            </w:r>
          </w:p>
        </w:tc>
        <w:tc>
          <w:tcPr>
            <w:tcW w:w="920" w:type="dxa"/>
            <w:vAlign w:val="bottom"/>
          </w:tcPr>
          <w:p>
            <w:pPr>
              <w:jc w:val="right"/>
              <w:ind w:right="61"/>
              <w:spacing w:after="0"/>
              <w:rPr>
                <w:sz w:val="20"/>
                <w:szCs w:val="20"/>
                <w:color w:val="auto"/>
              </w:rPr>
            </w:pPr>
            <w:r>
              <w:rPr>
                <w:rFonts w:ascii="Arial" w:cs="Arial" w:eastAsia="Arial" w:hAnsi="Arial"/>
                <w:sz w:val="20"/>
                <w:szCs w:val="20"/>
                <w:color w:val="auto"/>
                <w:w w:val="95"/>
              </w:rPr>
              <w:t>3302940</w:t>
            </w:r>
          </w:p>
        </w:tc>
        <w:tc>
          <w:tcPr>
            <w:tcW w:w="5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40" w:type="dxa"/>
            <w:vAlign w:val="bottom"/>
            <w:shd w:val="clear" w:color="auto" w:fill="CFF0FC"/>
          </w:tcPr>
          <w:p>
            <w:pPr>
              <w:spacing w:after="0"/>
              <w:rPr>
                <w:sz w:val="20"/>
                <w:szCs w:val="20"/>
                <w:color w:val="auto"/>
              </w:rPr>
            </w:pPr>
            <w:r>
              <w:rPr>
                <w:rFonts w:ascii="Arial" w:cs="Arial" w:eastAsia="Arial" w:hAnsi="Arial"/>
                <w:sz w:val="20"/>
                <w:szCs w:val="20"/>
                <w:color w:val="auto"/>
                <w:w w:val="95"/>
              </w:rPr>
              <w:t>Greenwood Quarry  New</w:t>
            </w:r>
          </w:p>
        </w:tc>
        <w:tc>
          <w:tcPr>
            <w:tcW w:w="9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95"/>
              </w:rPr>
              <w:t>2300141</w:t>
            </w:r>
          </w:p>
        </w:tc>
        <w:tc>
          <w:tcPr>
            <w:tcW w:w="5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3</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448</w:t>
            </w:r>
          </w:p>
        </w:tc>
        <w:tc>
          <w:tcPr>
            <w:tcW w:w="5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40" w:type="dxa"/>
            <w:vAlign w:val="bottom"/>
          </w:tcPr>
          <w:p>
            <w:pPr>
              <w:spacing w:after="0"/>
              <w:rPr>
                <w:sz w:val="20"/>
                <w:szCs w:val="20"/>
                <w:color w:val="auto"/>
              </w:rPr>
            </w:pPr>
            <w:r>
              <w:rPr>
                <w:rFonts w:ascii="Arial" w:cs="Arial" w:eastAsia="Arial" w:hAnsi="Arial"/>
                <w:sz w:val="20"/>
                <w:szCs w:val="20"/>
                <w:color w:val="auto"/>
              </w:rPr>
              <w:t>Harlan Quarry</w:t>
            </w:r>
          </w:p>
        </w:tc>
        <w:tc>
          <w:tcPr>
            <w:tcW w:w="920" w:type="dxa"/>
            <w:vAlign w:val="bottom"/>
          </w:tcPr>
          <w:p>
            <w:pPr>
              <w:jc w:val="right"/>
              <w:ind w:right="61"/>
              <w:spacing w:after="0"/>
              <w:rPr>
                <w:sz w:val="20"/>
                <w:szCs w:val="20"/>
                <w:color w:val="auto"/>
              </w:rPr>
            </w:pPr>
            <w:r>
              <w:rPr>
                <w:rFonts w:ascii="Arial" w:cs="Arial" w:eastAsia="Arial" w:hAnsi="Arial"/>
                <w:sz w:val="20"/>
                <w:szCs w:val="20"/>
                <w:color w:val="auto"/>
                <w:w w:val="95"/>
              </w:rPr>
              <w:t>1500071</w:t>
            </w:r>
          </w:p>
        </w:tc>
        <w:tc>
          <w:tcPr>
            <w:tcW w:w="540" w:type="dxa"/>
            <w:vAlign w:val="bottom"/>
          </w:tcPr>
          <w:p>
            <w:pPr>
              <w:jc w:val="right"/>
              <w:ind w:right="201"/>
              <w:spacing w:after="0"/>
              <w:rPr>
                <w:sz w:val="20"/>
                <w:szCs w:val="20"/>
                <w:color w:val="auto"/>
              </w:rPr>
            </w:pPr>
            <w:r>
              <w:rPr>
                <w:rFonts w:ascii="Arial" w:cs="Arial" w:eastAsia="Arial" w:hAnsi="Arial"/>
                <w:sz w:val="20"/>
                <w:szCs w:val="20"/>
                <w:color w:val="auto"/>
              </w:rPr>
              <w:t>1</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351</w:t>
            </w:r>
          </w:p>
        </w:tc>
        <w:tc>
          <w:tcPr>
            <w:tcW w:w="5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40" w:type="dxa"/>
            <w:vAlign w:val="bottom"/>
            <w:shd w:val="clear" w:color="auto" w:fill="CFF0FC"/>
          </w:tcPr>
          <w:p>
            <w:pPr>
              <w:spacing w:after="0"/>
              <w:rPr>
                <w:sz w:val="20"/>
                <w:szCs w:val="20"/>
                <w:color w:val="auto"/>
              </w:rPr>
            </w:pPr>
            <w:r>
              <w:rPr>
                <w:rFonts w:ascii="Arial" w:cs="Arial" w:eastAsia="Arial" w:hAnsi="Arial"/>
                <w:sz w:val="20"/>
                <w:szCs w:val="20"/>
                <w:color w:val="auto"/>
              </w:rPr>
              <w:t>Hartford Quarry</w:t>
            </w:r>
          </w:p>
        </w:tc>
        <w:tc>
          <w:tcPr>
            <w:tcW w:w="9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95"/>
              </w:rPr>
              <w:t>1500095</w:t>
            </w:r>
          </w:p>
        </w:tc>
        <w:tc>
          <w:tcPr>
            <w:tcW w:w="5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763"/>
        </w:trPr>
        <w:tc>
          <w:tcPr>
            <w:tcW w:w="21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52"/>
        </w:trPr>
        <w:tc>
          <w:tcPr>
            <w:tcW w:w="19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gridSpan w:val="2"/>
          </w:tcPr>
          <w:p>
            <w:pPr>
              <w:ind w:left="20"/>
              <w:spacing w:after="0"/>
              <w:rPr>
                <w:sz w:val="20"/>
                <w:szCs w:val="20"/>
                <w:color w:val="auto"/>
              </w:rPr>
            </w:pPr>
            <w:r>
              <w:rPr>
                <w:rFonts w:ascii="Arial" w:cs="Arial" w:eastAsia="Arial" w:hAnsi="Arial"/>
                <w:sz w:val="20"/>
                <w:szCs w:val="20"/>
                <w:color w:val="auto"/>
                <w:w w:val="91"/>
              </w:rPr>
              <w:t>Appendix 1</w:t>
            </w:r>
          </w:p>
        </w:tc>
      </w:tr>
      <w:tr>
        <w:trPr>
          <w:trHeight w:val="468"/>
        </w:trPr>
        <w:tc>
          <w:tcPr>
            <w:tcW w:w="1980" w:type="dxa"/>
            <w:vAlign w:val="bottom"/>
          </w:tcPr>
          <w:p>
            <w:pPr>
              <w:spacing w:after="0"/>
              <w:rPr>
                <w:sz w:val="20"/>
                <w:szCs w:val="20"/>
                <w:color w:val="auto"/>
              </w:rPr>
            </w:pPr>
            <w:r>
              <w:rPr>
                <w:rFonts w:ascii="Arial" w:cs="Arial" w:eastAsia="Arial" w:hAnsi="Arial"/>
                <w:sz w:val="20"/>
                <w:szCs w:val="20"/>
                <w:color w:val="auto"/>
              </w:rPr>
              <w:t>Indiana Recycling #1</w:t>
            </w:r>
          </w:p>
        </w:tc>
        <w:tc>
          <w:tcPr>
            <w:tcW w:w="1080" w:type="dxa"/>
            <w:vAlign w:val="bottom"/>
          </w:tcPr>
          <w:p>
            <w:pPr>
              <w:jc w:val="right"/>
              <w:ind w:right="61"/>
              <w:spacing w:after="0"/>
              <w:rPr>
                <w:sz w:val="20"/>
                <w:szCs w:val="20"/>
                <w:color w:val="auto"/>
              </w:rPr>
            </w:pPr>
            <w:r>
              <w:rPr>
                <w:rFonts w:ascii="Arial" w:cs="Arial" w:eastAsia="Arial" w:hAnsi="Arial"/>
                <w:sz w:val="20"/>
                <w:szCs w:val="20"/>
                <w:color w:val="auto"/>
              </w:rPr>
              <w:t>1202198</w:t>
            </w:r>
          </w:p>
        </w:tc>
        <w:tc>
          <w:tcPr>
            <w:tcW w:w="5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4"/>
                <w:szCs w:val="24"/>
                <w:color w:val="auto"/>
              </w:rPr>
            </w:pPr>
          </w:p>
        </w:tc>
      </w:tr>
      <w:tr>
        <w:trPr>
          <w:trHeight w:val="243"/>
        </w:trPr>
        <w:tc>
          <w:tcPr>
            <w:tcW w:w="1980" w:type="dxa"/>
            <w:vAlign w:val="bottom"/>
            <w:shd w:val="clear" w:color="auto" w:fill="CFF0FC"/>
          </w:tcPr>
          <w:p>
            <w:pPr>
              <w:spacing w:after="0"/>
              <w:rPr>
                <w:sz w:val="20"/>
                <w:szCs w:val="20"/>
                <w:color w:val="auto"/>
              </w:rPr>
            </w:pPr>
            <w:r>
              <w:rPr>
                <w:rFonts w:ascii="Arial" w:cs="Arial" w:eastAsia="Arial" w:hAnsi="Arial"/>
                <w:sz w:val="20"/>
                <w:szCs w:val="20"/>
                <w:color w:val="auto"/>
              </w:rPr>
              <w:t>Iowa Grading</w:t>
            </w:r>
          </w:p>
        </w:tc>
        <w:tc>
          <w:tcPr>
            <w:tcW w:w="10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1302316</w:t>
            </w:r>
          </w:p>
        </w:tc>
        <w:tc>
          <w:tcPr>
            <w:tcW w:w="5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1980" w:type="dxa"/>
            <w:vAlign w:val="bottom"/>
          </w:tcPr>
          <w:p>
            <w:pPr>
              <w:spacing w:after="0"/>
              <w:rPr>
                <w:sz w:val="20"/>
                <w:szCs w:val="20"/>
                <w:color w:val="auto"/>
              </w:rPr>
            </w:pPr>
            <w:r>
              <w:rPr>
                <w:rFonts w:ascii="Arial" w:cs="Arial" w:eastAsia="Arial" w:hAnsi="Arial"/>
                <w:sz w:val="20"/>
                <w:szCs w:val="20"/>
                <w:color w:val="auto"/>
              </w:rPr>
              <w:t>Kentucky Ave Mine</w:t>
            </w:r>
          </w:p>
        </w:tc>
        <w:tc>
          <w:tcPr>
            <w:tcW w:w="1080" w:type="dxa"/>
            <w:vAlign w:val="bottom"/>
          </w:tcPr>
          <w:p>
            <w:pPr>
              <w:jc w:val="right"/>
              <w:ind w:right="61"/>
              <w:spacing w:after="0"/>
              <w:rPr>
                <w:sz w:val="20"/>
                <w:szCs w:val="20"/>
                <w:color w:val="auto"/>
              </w:rPr>
            </w:pPr>
            <w:r>
              <w:rPr>
                <w:rFonts w:ascii="Arial" w:cs="Arial" w:eastAsia="Arial" w:hAnsi="Arial"/>
                <w:sz w:val="20"/>
                <w:szCs w:val="20"/>
                <w:color w:val="auto"/>
              </w:rPr>
              <w:t>1201762</w:t>
            </w:r>
          </w:p>
        </w:tc>
        <w:tc>
          <w:tcPr>
            <w:tcW w:w="540" w:type="dxa"/>
            <w:vAlign w:val="bottom"/>
          </w:tcPr>
          <w:p>
            <w:pPr>
              <w:jc w:val="right"/>
              <w:ind w:right="201"/>
              <w:spacing w:after="0"/>
              <w:rPr>
                <w:sz w:val="20"/>
                <w:szCs w:val="20"/>
                <w:color w:val="auto"/>
              </w:rPr>
            </w:pPr>
            <w:r>
              <w:rPr>
                <w:rFonts w:ascii="Arial" w:cs="Arial" w:eastAsia="Arial" w:hAnsi="Arial"/>
                <w:sz w:val="20"/>
                <w:szCs w:val="20"/>
                <w:color w:val="auto"/>
              </w:rPr>
              <w:t>1</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w w:val="87"/>
              </w:rPr>
              <w:t>3,187</w:t>
            </w:r>
          </w:p>
        </w:tc>
        <w:tc>
          <w:tcPr>
            <w:tcW w:w="5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1980" w:type="dxa"/>
            <w:vAlign w:val="bottom"/>
            <w:shd w:val="clear" w:color="auto" w:fill="CFF0FC"/>
          </w:tcPr>
          <w:p>
            <w:pPr>
              <w:spacing w:after="0"/>
              <w:rPr>
                <w:sz w:val="20"/>
                <w:szCs w:val="20"/>
                <w:color w:val="auto"/>
              </w:rPr>
            </w:pPr>
            <w:r>
              <w:rPr>
                <w:rFonts w:ascii="Arial" w:cs="Arial" w:eastAsia="Arial" w:hAnsi="Arial"/>
                <w:sz w:val="20"/>
                <w:szCs w:val="20"/>
                <w:color w:val="auto"/>
              </w:rPr>
              <w:t>Kokomo Mine</w:t>
            </w:r>
          </w:p>
        </w:tc>
        <w:tc>
          <w:tcPr>
            <w:tcW w:w="10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1202105</w:t>
            </w:r>
          </w:p>
        </w:tc>
        <w:tc>
          <w:tcPr>
            <w:tcW w:w="5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246</w:t>
            </w:r>
          </w:p>
        </w:tc>
        <w:tc>
          <w:tcPr>
            <w:tcW w:w="5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1980" w:type="dxa"/>
            <w:vAlign w:val="bottom"/>
          </w:tcPr>
          <w:p>
            <w:pPr>
              <w:spacing w:after="0"/>
              <w:rPr>
                <w:sz w:val="20"/>
                <w:szCs w:val="20"/>
                <w:color w:val="auto"/>
              </w:rPr>
            </w:pPr>
            <w:r>
              <w:rPr>
                <w:rFonts w:ascii="Arial" w:cs="Arial" w:eastAsia="Arial" w:hAnsi="Arial"/>
                <w:sz w:val="20"/>
                <w:szCs w:val="20"/>
                <w:color w:val="auto"/>
              </w:rPr>
              <w:t>Kokomo Sand</w:t>
            </w:r>
          </w:p>
        </w:tc>
        <w:tc>
          <w:tcPr>
            <w:tcW w:w="1080" w:type="dxa"/>
            <w:vAlign w:val="bottom"/>
          </w:tcPr>
          <w:p>
            <w:pPr>
              <w:jc w:val="right"/>
              <w:ind w:right="61"/>
              <w:spacing w:after="0"/>
              <w:rPr>
                <w:sz w:val="20"/>
                <w:szCs w:val="20"/>
                <w:color w:val="auto"/>
              </w:rPr>
            </w:pPr>
            <w:r>
              <w:rPr>
                <w:rFonts w:ascii="Arial" w:cs="Arial" w:eastAsia="Arial" w:hAnsi="Arial"/>
                <w:sz w:val="20"/>
                <w:szCs w:val="20"/>
                <w:color w:val="auto"/>
              </w:rPr>
              <w:t>1202203</w:t>
            </w:r>
          </w:p>
        </w:tc>
        <w:tc>
          <w:tcPr>
            <w:tcW w:w="5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1980" w:type="dxa"/>
            <w:vAlign w:val="bottom"/>
            <w:shd w:val="clear" w:color="auto" w:fill="CFF0FC"/>
          </w:tcPr>
          <w:p>
            <w:pPr>
              <w:spacing w:after="0"/>
              <w:rPr>
                <w:sz w:val="20"/>
                <w:szCs w:val="20"/>
                <w:color w:val="auto"/>
              </w:rPr>
            </w:pPr>
            <w:r>
              <w:rPr>
                <w:rFonts w:ascii="Arial" w:cs="Arial" w:eastAsia="Arial" w:hAnsi="Arial"/>
                <w:sz w:val="20"/>
                <w:szCs w:val="20"/>
                <w:color w:val="auto"/>
              </w:rPr>
              <w:t>Kokomo Stone</w:t>
            </w:r>
          </w:p>
        </w:tc>
        <w:tc>
          <w:tcPr>
            <w:tcW w:w="10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1200142</w:t>
            </w:r>
          </w:p>
        </w:tc>
        <w:tc>
          <w:tcPr>
            <w:tcW w:w="5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1980" w:type="dxa"/>
            <w:vAlign w:val="bottom"/>
          </w:tcPr>
          <w:p>
            <w:pPr>
              <w:spacing w:after="0"/>
              <w:rPr>
                <w:sz w:val="20"/>
                <w:szCs w:val="20"/>
                <w:color w:val="auto"/>
              </w:rPr>
            </w:pPr>
            <w:r>
              <w:rPr>
                <w:rFonts w:ascii="Arial" w:cs="Arial" w:eastAsia="Arial" w:hAnsi="Arial"/>
                <w:sz w:val="20"/>
                <w:szCs w:val="20"/>
                <w:color w:val="auto"/>
              </w:rPr>
              <w:t>Linn County Sand</w:t>
            </w:r>
          </w:p>
        </w:tc>
        <w:tc>
          <w:tcPr>
            <w:tcW w:w="1080" w:type="dxa"/>
            <w:vAlign w:val="bottom"/>
          </w:tcPr>
          <w:p>
            <w:pPr>
              <w:jc w:val="right"/>
              <w:ind w:right="61"/>
              <w:spacing w:after="0"/>
              <w:rPr>
                <w:sz w:val="20"/>
                <w:szCs w:val="20"/>
                <w:color w:val="auto"/>
              </w:rPr>
            </w:pPr>
            <w:r>
              <w:rPr>
                <w:rFonts w:ascii="Arial" w:cs="Arial" w:eastAsia="Arial" w:hAnsi="Arial"/>
                <w:sz w:val="20"/>
                <w:szCs w:val="20"/>
                <w:color w:val="auto"/>
              </w:rPr>
              <w:t>1302208</w:t>
            </w:r>
          </w:p>
        </w:tc>
        <w:tc>
          <w:tcPr>
            <w:tcW w:w="5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1980" w:type="dxa"/>
            <w:vAlign w:val="bottom"/>
            <w:shd w:val="clear" w:color="auto" w:fill="CFF0FC"/>
          </w:tcPr>
          <w:p>
            <w:pPr>
              <w:spacing w:after="0"/>
              <w:rPr>
                <w:sz w:val="20"/>
                <w:szCs w:val="20"/>
                <w:color w:val="auto"/>
              </w:rPr>
            </w:pPr>
            <w:r>
              <w:rPr>
                <w:rFonts w:ascii="Arial" w:cs="Arial" w:eastAsia="Arial" w:hAnsi="Arial"/>
                <w:sz w:val="20"/>
                <w:szCs w:val="20"/>
                <w:color w:val="auto"/>
              </w:rPr>
              <w:t>Malcom Mine</w:t>
            </w:r>
          </w:p>
        </w:tc>
        <w:tc>
          <w:tcPr>
            <w:tcW w:w="10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1300112</w:t>
            </w:r>
          </w:p>
        </w:tc>
        <w:tc>
          <w:tcPr>
            <w:tcW w:w="5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246</w:t>
            </w:r>
          </w:p>
        </w:tc>
        <w:tc>
          <w:tcPr>
            <w:tcW w:w="5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1980" w:type="dxa"/>
            <w:vAlign w:val="bottom"/>
          </w:tcPr>
          <w:p>
            <w:pPr>
              <w:spacing w:after="0"/>
              <w:rPr>
                <w:sz w:val="20"/>
                <w:szCs w:val="20"/>
                <w:color w:val="auto"/>
              </w:rPr>
            </w:pPr>
            <w:r>
              <w:rPr>
                <w:rFonts w:ascii="Arial" w:cs="Arial" w:eastAsia="Arial" w:hAnsi="Arial"/>
                <w:sz w:val="20"/>
                <w:szCs w:val="20"/>
                <w:color w:val="auto"/>
              </w:rPr>
              <w:t>Marshalltown Sand</w:t>
            </w:r>
          </w:p>
        </w:tc>
        <w:tc>
          <w:tcPr>
            <w:tcW w:w="1080" w:type="dxa"/>
            <w:vAlign w:val="bottom"/>
          </w:tcPr>
          <w:p>
            <w:pPr>
              <w:jc w:val="right"/>
              <w:ind w:right="61"/>
              <w:spacing w:after="0"/>
              <w:rPr>
                <w:sz w:val="20"/>
                <w:szCs w:val="20"/>
                <w:color w:val="auto"/>
              </w:rPr>
            </w:pPr>
            <w:r>
              <w:rPr>
                <w:rFonts w:ascii="Arial" w:cs="Arial" w:eastAsia="Arial" w:hAnsi="Arial"/>
                <w:sz w:val="20"/>
                <w:szCs w:val="20"/>
                <w:color w:val="auto"/>
              </w:rPr>
              <w:t>1300718</w:t>
            </w:r>
          </w:p>
        </w:tc>
        <w:tc>
          <w:tcPr>
            <w:tcW w:w="5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1980" w:type="dxa"/>
            <w:vAlign w:val="bottom"/>
            <w:shd w:val="clear" w:color="auto" w:fill="CFF0FC"/>
          </w:tcPr>
          <w:p>
            <w:pPr>
              <w:spacing w:after="0"/>
              <w:rPr>
                <w:sz w:val="20"/>
                <w:szCs w:val="20"/>
                <w:color w:val="auto"/>
              </w:rPr>
            </w:pPr>
            <w:r>
              <w:rPr>
                <w:rFonts w:ascii="Arial" w:cs="Arial" w:eastAsia="Arial" w:hAnsi="Arial"/>
                <w:sz w:val="20"/>
                <w:szCs w:val="20"/>
                <w:color w:val="auto"/>
              </w:rPr>
              <w:t>Midwest Division OH</w:t>
            </w:r>
          </w:p>
        </w:tc>
        <w:tc>
          <w:tcPr>
            <w:tcW w:w="10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A2354</w:t>
            </w:r>
          </w:p>
        </w:tc>
        <w:tc>
          <w:tcPr>
            <w:tcW w:w="5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1980" w:type="dxa"/>
            <w:vAlign w:val="bottom"/>
          </w:tcPr>
          <w:p>
            <w:pPr>
              <w:spacing w:after="0"/>
              <w:rPr>
                <w:sz w:val="20"/>
                <w:szCs w:val="20"/>
                <w:color w:val="auto"/>
              </w:rPr>
            </w:pPr>
            <w:r>
              <w:rPr>
                <w:rFonts w:ascii="Arial" w:cs="Arial" w:eastAsia="Arial" w:hAnsi="Arial"/>
                <w:sz w:val="20"/>
                <w:szCs w:val="20"/>
                <w:color w:val="auto"/>
              </w:rPr>
              <w:t>Moore Quarry</w:t>
            </w:r>
          </w:p>
        </w:tc>
        <w:tc>
          <w:tcPr>
            <w:tcW w:w="1080" w:type="dxa"/>
            <w:vAlign w:val="bottom"/>
          </w:tcPr>
          <w:p>
            <w:pPr>
              <w:jc w:val="right"/>
              <w:ind w:right="61"/>
              <w:spacing w:after="0"/>
              <w:rPr>
                <w:sz w:val="20"/>
                <w:szCs w:val="20"/>
                <w:color w:val="auto"/>
              </w:rPr>
            </w:pPr>
            <w:r>
              <w:rPr>
                <w:rFonts w:ascii="Arial" w:cs="Arial" w:eastAsia="Arial" w:hAnsi="Arial"/>
                <w:sz w:val="20"/>
                <w:szCs w:val="20"/>
                <w:color w:val="auto"/>
              </w:rPr>
              <w:t>1302188</w:t>
            </w:r>
          </w:p>
        </w:tc>
        <w:tc>
          <w:tcPr>
            <w:tcW w:w="5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1980" w:type="dxa"/>
            <w:vAlign w:val="bottom"/>
            <w:shd w:val="clear" w:color="auto" w:fill="CFF0FC"/>
          </w:tcPr>
          <w:p>
            <w:pPr>
              <w:spacing w:after="0"/>
              <w:rPr>
                <w:sz w:val="20"/>
                <w:szCs w:val="20"/>
                <w:color w:val="auto"/>
              </w:rPr>
            </w:pPr>
            <w:r>
              <w:rPr>
                <w:rFonts w:ascii="Arial" w:cs="Arial" w:eastAsia="Arial" w:hAnsi="Arial"/>
                <w:sz w:val="20"/>
                <w:szCs w:val="20"/>
                <w:color w:val="auto"/>
              </w:rPr>
              <w:t>New Harvey Sand</w:t>
            </w:r>
          </w:p>
        </w:tc>
        <w:tc>
          <w:tcPr>
            <w:tcW w:w="10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1301778</w:t>
            </w:r>
          </w:p>
        </w:tc>
        <w:tc>
          <w:tcPr>
            <w:tcW w:w="5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1980" w:type="dxa"/>
            <w:vAlign w:val="bottom"/>
          </w:tcPr>
          <w:p>
            <w:pPr>
              <w:spacing w:after="0"/>
              <w:rPr>
                <w:sz w:val="20"/>
                <w:szCs w:val="20"/>
                <w:color w:val="auto"/>
              </w:rPr>
            </w:pPr>
            <w:r>
              <w:rPr>
                <w:rFonts w:ascii="Arial" w:cs="Arial" w:eastAsia="Arial" w:hAnsi="Arial"/>
                <w:sz w:val="20"/>
                <w:szCs w:val="20"/>
                <w:color w:val="auto"/>
              </w:rPr>
              <w:t>Noblesville Sand</w:t>
            </w:r>
          </w:p>
        </w:tc>
        <w:tc>
          <w:tcPr>
            <w:tcW w:w="1080" w:type="dxa"/>
            <w:vAlign w:val="bottom"/>
          </w:tcPr>
          <w:p>
            <w:pPr>
              <w:jc w:val="right"/>
              <w:ind w:right="61"/>
              <w:spacing w:after="0"/>
              <w:rPr>
                <w:sz w:val="20"/>
                <w:szCs w:val="20"/>
                <w:color w:val="auto"/>
              </w:rPr>
            </w:pPr>
            <w:r>
              <w:rPr>
                <w:rFonts w:ascii="Arial" w:cs="Arial" w:eastAsia="Arial" w:hAnsi="Arial"/>
                <w:sz w:val="20"/>
                <w:szCs w:val="20"/>
                <w:color w:val="auto"/>
              </w:rPr>
              <w:t>1201994</w:t>
            </w:r>
          </w:p>
        </w:tc>
        <w:tc>
          <w:tcPr>
            <w:tcW w:w="540" w:type="dxa"/>
            <w:vAlign w:val="bottom"/>
          </w:tcPr>
          <w:p>
            <w:pPr>
              <w:jc w:val="right"/>
              <w:ind w:right="201"/>
              <w:spacing w:after="0"/>
              <w:rPr>
                <w:sz w:val="20"/>
                <w:szCs w:val="20"/>
                <w:color w:val="auto"/>
              </w:rPr>
            </w:pPr>
            <w:r>
              <w:rPr>
                <w:rFonts w:ascii="Arial" w:cs="Arial" w:eastAsia="Arial" w:hAnsi="Arial"/>
                <w:sz w:val="20"/>
                <w:szCs w:val="20"/>
                <w:color w:val="auto"/>
              </w:rPr>
              <w:t>1</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1980" w:type="dxa"/>
            <w:vAlign w:val="bottom"/>
            <w:shd w:val="clear" w:color="auto" w:fill="CFF0FC"/>
          </w:tcPr>
          <w:p>
            <w:pPr>
              <w:spacing w:after="0"/>
              <w:rPr>
                <w:sz w:val="20"/>
                <w:szCs w:val="20"/>
                <w:color w:val="auto"/>
              </w:rPr>
            </w:pPr>
            <w:r>
              <w:rPr>
                <w:rFonts w:ascii="Arial" w:cs="Arial" w:eastAsia="Arial" w:hAnsi="Arial"/>
                <w:sz w:val="20"/>
                <w:szCs w:val="20"/>
                <w:color w:val="auto"/>
              </w:rPr>
              <w:t>Noblesville Stone</w:t>
            </w:r>
          </w:p>
        </w:tc>
        <w:tc>
          <w:tcPr>
            <w:tcW w:w="10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1202176</w:t>
            </w:r>
          </w:p>
        </w:tc>
        <w:tc>
          <w:tcPr>
            <w:tcW w:w="5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2</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123</w:t>
            </w:r>
          </w:p>
        </w:tc>
        <w:tc>
          <w:tcPr>
            <w:tcW w:w="5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1</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1</w:t>
            </w:r>
          </w:p>
        </w:tc>
        <w:tc>
          <w:tcPr>
            <w:tcW w:w="20" w:type="dxa"/>
            <w:vAlign w:val="bottom"/>
          </w:tcPr>
          <w:p>
            <w:pPr>
              <w:spacing w:after="0"/>
              <w:rPr>
                <w:sz w:val="21"/>
                <w:szCs w:val="21"/>
                <w:color w:val="auto"/>
              </w:rPr>
            </w:pPr>
          </w:p>
        </w:tc>
      </w:tr>
      <w:tr>
        <w:trPr>
          <w:trHeight w:val="243"/>
        </w:trPr>
        <w:tc>
          <w:tcPr>
            <w:tcW w:w="3060" w:type="dxa"/>
            <w:vAlign w:val="bottom"/>
            <w:gridSpan w:val="2"/>
          </w:tcPr>
          <w:p>
            <w:pPr>
              <w:spacing w:after="0"/>
              <w:rPr>
                <w:sz w:val="20"/>
                <w:szCs w:val="20"/>
                <w:color w:val="auto"/>
              </w:rPr>
            </w:pPr>
            <w:r>
              <w:rPr>
                <w:rFonts w:ascii="Arial" w:cs="Arial" w:eastAsia="Arial" w:hAnsi="Arial"/>
                <w:sz w:val="20"/>
                <w:szCs w:val="20"/>
                <w:color w:val="auto"/>
                <w:w w:val="97"/>
              </w:rPr>
              <w:t>North Indianapolis Quarry 1201993</w:t>
            </w:r>
          </w:p>
        </w:tc>
        <w:tc>
          <w:tcPr>
            <w:tcW w:w="540" w:type="dxa"/>
            <w:vAlign w:val="bottom"/>
          </w:tcPr>
          <w:p>
            <w:pPr>
              <w:jc w:val="right"/>
              <w:ind w:right="201"/>
              <w:spacing w:after="0"/>
              <w:rPr>
                <w:sz w:val="20"/>
                <w:szCs w:val="20"/>
                <w:color w:val="auto"/>
              </w:rPr>
            </w:pPr>
            <w:r>
              <w:rPr>
                <w:rFonts w:ascii="Arial" w:cs="Arial" w:eastAsia="Arial" w:hAnsi="Arial"/>
                <w:sz w:val="20"/>
                <w:szCs w:val="20"/>
                <w:color w:val="auto"/>
              </w:rPr>
              <w:t>3</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w w:val="87"/>
              </w:rPr>
              <w:t>2,149</w:t>
            </w:r>
          </w:p>
        </w:tc>
        <w:tc>
          <w:tcPr>
            <w:tcW w:w="5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1980" w:type="dxa"/>
            <w:vAlign w:val="bottom"/>
            <w:shd w:val="clear" w:color="auto" w:fill="CFF0FC"/>
          </w:tcPr>
          <w:p>
            <w:pPr>
              <w:spacing w:after="0"/>
              <w:rPr>
                <w:sz w:val="20"/>
                <w:szCs w:val="20"/>
                <w:color w:val="auto"/>
              </w:rPr>
            </w:pPr>
            <w:r>
              <w:rPr>
                <w:rFonts w:ascii="Arial" w:cs="Arial" w:eastAsia="Arial" w:hAnsi="Arial"/>
                <w:sz w:val="20"/>
                <w:szCs w:val="20"/>
                <w:color w:val="auto"/>
              </w:rPr>
              <w:t>North Valley Sand</w:t>
            </w:r>
          </w:p>
        </w:tc>
        <w:tc>
          <w:tcPr>
            <w:tcW w:w="10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2501271</w:t>
            </w:r>
          </w:p>
        </w:tc>
        <w:tc>
          <w:tcPr>
            <w:tcW w:w="5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1980" w:type="dxa"/>
            <w:vAlign w:val="bottom"/>
          </w:tcPr>
          <w:p>
            <w:pPr>
              <w:spacing w:after="0"/>
              <w:rPr>
                <w:sz w:val="20"/>
                <w:szCs w:val="20"/>
                <w:color w:val="auto"/>
              </w:rPr>
            </w:pPr>
            <w:r>
              <w:rPr>
                <w:rFonts w:ascii="Arial" w:cs="Arial" w:eastAsia="Arial" w:hAnsi="Arial"/>
                <w:sz w:val="20"/>
                <w:szCs w:val="20"/>
                <w:color w:val="auto"/>
              </w:rPr>
              <w:t>Ottawa Quarry  New</w:t>
            </w:r>
          </w:p>
        </w:tc>
        <w:tc>
          <w:tcPr>
            <w:tcW w:w="1080" w:type="dxa"/>
            <w:vAlign w:val="bottom"/>
          </w:tcPr>
          <w:p>
            <w:pPr>
              <w:jc w:val="right"/>
              <w:ind w:right="61"/>
              <w:spacing w:after="0"/>
              <w:rPr>
                <w:sz w:val="20"/>
                <w:szCs w:val="20"/>
                <w:color w:val="auto"/>
              </w:rPr>
            </w:pPr>
            <w:r>
              <w:rPr>
                <w:rFonts w:ascii="Arial" w:cs="Arial" w:eastAsia="Arial" w:hAnsi="Arial"/>
                <w:sz w:val="20"/>
                <w:szCs w:val="20"/>
                <w:color w:val="auto"/>
              </w:rPr>
              <w:t>1401590</w:t>
            </w:r>
          </w:p>
        </w:tc>
        <w:tc>
          <w:tcPr>
            <w:tcW w:w="5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1980" w:type="dxa"/>
            <w:vAlign w:val="bottom"/>
            <w:shd w:val="clear" w:color="auto" w:fill="CFF0FC"/>
          </w:tcPr>
          <w:p>
            <w:pPr>
              <w:spacing w:after="0"/>
              <w:rPr>
                <w:sz w:val="20"/>
                <w:szCs w:val="20"/>
                <w:color w:val="auto"/>
              </w:rPr>
            </w:pPr>
            <w:r>
              <w:rPr>
                <w:rFonts w:ascii="Arial" w:cs="Arial" w:eastAsia="Arial" w:hAnsi="Arial"/>
                <w:sz w:val="20"/>
                <w:szCs w:val="20"/>
                <w:color w:val="auto"/>
              </w:rPr>
              <w:t>Pana Quarry Divest</w:t>
            </w:r>
          </w:p>
        </w:tc>
        <w:tc>
          <w:tcPr>
            <w:tcW w:w="10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1100549</w:t>
            </w:r>
          </w:p>
        </w:tc>
        <w:tc>
          <w:tcPr>
            <w:tcW w:w="5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1980" w:type="dxa"/>
            <w:vAlign w:val="bottom"/>
          </w:tcPr>
          <w:p>
            <w:pPr>
              <w:spacing w:after="0"/>
              <w:rPr>
                <w:sz w:val="20"/>
                <w:szCs w:val="20"/>
                <w:color w:val="auto"/>
              </w:rPr>
            </w:pPr>
            <w:r>
              <w:rPr>
                <w:rFonts w:ascii="Arial" w:cs="Arial" w:eastAsia="Arial" w:hAnsi="Arial"/>
                <w:sz w:val="20"/>
                <w:szCs w:val="20"/>
                <w:color w:val="auto"/>
              </w:rPr>
              <w:t>Parkville Mine  New</w:t>
            </w:r>
          </w:p>
        </w:tc>
        <w:tc>
          <w:tcPr>
            <w:tcW w:w="1080" w:type="dxa"/>
            <w:vAlign w:val="bottom"/>
          </w:tcPr>
          <w:p>
            <w:pPr>
              <w:jc w:val="right"/>
              <w:ind w:right="61"/>
              <w:spacing w:after="0"/>
              <w:rPr>
                <w:sz w:val="20"/>
                <w:szCs w:val="20"/>
                <w:color w:val="auto"/>
              </w:rPr>
            </w:pPr>
            <w:r>
              <w:rPr>
                <w:rFonts w:ascii="Arial" w:cs="Arial" w:eastAsia="Arial" w:hAnsi="Arial"/>
                <w:sz w:val="20"/>
                <w:szCs w:val="20"/>
                <w:color w:val="auto"/>
              </w:rPr>
              <w:t>2301883</w:t>
            </w:r>
          </w:p>
        </w:tc>
        <w:tc>
          <w:tcPr>
            <w:tcW w:w="5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1980" w:type="dxa"/>
            <w:vAlign w:val="bottom"/>
            <w:shd w:val="clear" w:color="auto" w:fill="CFF0FC"/>
          </w:tcPr>
          <w:p>
            <w:pPr>
              <w:spacing w:after="0"/>
              <w:rPr>
                <w:sz w:val="20"/>
                <w:szCs w:val="20"/>
                <w:color w:val="auto"/>
              </w:rPr>
            </w:pPr>
            <w:r>
              <w:rPr>
                <w:rFonts w:ascii="Arial" w:cs="Arial" w:eastAsia="Arial" w:hAnsi="Arial"/>
                <w:sz w:val="20"/>
                <w:szCs w:val="20"/>
                <w:color w:val="auto"/>
              </w:rPr>
              <w:t>Pedersen Quarry</w:t>
            </w:r>
          </w:p>
        </w:tc>
        <w:tc>
          <w:tcPr>
            <w:tcW w:w="10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1302192</w:t>
            </w:r>
          </w:p>
        </w:tc>
        <w:tc>
          <w:tcPr>
            <w:tcW w:w="5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1980" w:type="dxa"/>
            <w:vAlign w:val="bottom"/>
          </w:tcPr>
          <w:p>
            <w:pPr>
              <w:spacing w:after="0"/>
              <w:rPr>
                <w:sz w:val="20"/>
                <w:szCs w:val="20"/>
                <w:color w:val="auto"/>
              </w:rPr>
            </w:pPr>
            <w:r>
              <w:rPr>
                <w:rFonts w:ascii="Arial" w:cs="Arial" w:eastAsia="Arial" w:hAnsi="Arial"/>
                <w:sz w:val="20"/>
                <w:szCs w:val="20"/>
                <w:color w:val="auto"/>
              </w:rPr>
              <w:t>Petersburg Ky Gravel</w:t>
            </w:r>
          </w:p>
        </w:tc>
        <w:tc>
          <w:tcPr>
            <w:tcW w:w="1080" w:type="dxa"/>
            <w:vAlign w:val="bottom"/>
          </w:tcPr>
          <w:p>
            <w:pPr>
              <w:jc w:val="right"/>
              <w:ind w:right="61"/>
              <w:spacing w:after="0"/>
              <w:rPr>
                <w:sz w:val="20"/>
                <w:szCs w:val="20"/>
                <w:color w:val="auto"/>
              </w:rPr>
            </w:pPr>
            <w:r>
              <w:rPr>
                <w:rFonts w:ascii="Arial" w:cs="Arial" w:eastAsia="Arial" w:hAnsi="Arial"/>
                <w:sz w:val="20"/>
                <w:szCs w:val="20"/>
                <w:color w:val="auto"/>
              </w:rPr>
              <w:t>1516895</w:t>
            </w:r>
          </w:p>
        </w:tc>
        <w:tc>
          <w:tcPr>
            <w:tcW w:w="5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1980" w:type="dxa"/>
            <w:vAlign w:val="bottom"/>
            <w:shd w:val="clear" w:color="auto" w:fill="CFF0FC"/>
          </w:tcPr>
          <w:p>
            <w:pPr>
              <w:spacing w:after="0"/>
              <w:rPr>
                <w:sz w:val="20"/>
                <w:szCs w:val="20"/>
                <w:color w:val="auto"/>
              </w:rPr>
            </w:pPr>
            <w:r>
              <w:rPr>
                <w:rFonts w:ascii="Arial" w:cs="Arial" w:eastAsia="Arial" w:hAnsi="Arial"/>
                <w:sz w:val="20"/>
                <w:szCs w:val="20"/>
                <w:color w:val="auto"/>
              </w:rPr>
              <w:t>Phillipsburg Quarry</w:t>
            </w:r>
          </w:p>
        </w:tc>
        <w:tc>
          <w:tcPr>
            <w:tcW w:w="10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3300006</w:t>
            </w:r>
          </w:p>
        </w:tc>
        <w:tc>
          <w:tcPr>
            <w:tcW w:w="5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1980" w:type="dxa"/>
            <w:vAlign w:val="bottom"/>
          </w:tcPr>
          <w:p>
            <w:pPr>
              <w:spacing w:after="0"/>
              <w:rPr>
                <w:sz w:val="20"/>
                <w:szCs w:val="20"/>
                <w:color w:val="auto"/>
              </w:rPr>
            </w:pPr>
            <w:r>
              <w:rPr>
                <w:rFonts w:ascii="Arial" w:cs="Arial" w:eastAsia="Arial" w:hAnsi="Arial"/>
                <w:sz w:val="20"/>
                <w:szCs w:val="20"/>
                <w:color w:val="auto"/>
              </w:rPr>
              <w:t>Portland Quarry</w:t>
            </w:r>
          </w:p>
        </w:tc>
        <w:tc>
          <w:tcPr>
            <w:tcW w:w="1080" w:type="dxa"/>
            <w:vAlign w:val="bottom"/>
          </w:tcPr>
          <w:p>
            <w:pPr>
              <w:jc w:val="right"/>
              <w:ind w:right="61"/>
              <w:spacing w:after="0"/>
              <w:rPr>
                <w:sz w:val="20"/>
                <w:szCs w:val="20"/>
                <w:color w:val="auto"/>
              </w:rPr>
            </w:pPr>
            <w:r>
              <w:rPr>
                <w:rFonts w:ascii="Arial" w:cs="Arial" w:eastAsia="Arial" w:hAnsi="Arial"/>
                <w:sz w:val="20"/>
                <w:szCs w:val="20"/>
                <w:color w:val="auto"/>
              </w:rPr>
              <w:t>1302122</w:t>
            </w:r>
          </w:p>
        </w:tc>
        <w:tc>
          <w:tcPr>
            <w:tcW w:w="5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1980" w:type="dxa"/>
            <w:vAlign w:val="bottom"/>
            <w:shd w:val="clear" w:color="auto" w:fill="CFF0FC"/>
          </w:tcPr>
          <w:p>
            <w:pPr>
              <w:spacing w:after="0"/>
              <w:rPr>
                <w:sz w:val="20"/>
                <w:szCs w:val="20"/>
                <w:color w:val="auto"/>
              </w:rPr>
            </w:pPr>
            <w:r>
              <w:rPr>
                <w:rFonts w:ascii="Arial" w:cs="Arial" w:eastAsia="Arial" w:hAnsi="Arial"/>
                <w:sz w:val="20"/>
                <w:szCs w:val="20"/>
                <w:color w:val="auto"/>
              </w:rPr>
              <w:t>Raccoon River Sand</w:t>
            </w:r>
          </w:p>
        </w:tc>
        <w:tc>
          <w:tcPr>
            <w:tcW w:w="10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1302315</w:t>
            </w:r>
          </w:p>
        </w:tc>
        <w:tc>
          <w:tcPr>
            <w:tcW w:w="5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1980" w:type="dxa"/>
            <w:vAlign w:val="bottom"/>
          </w:tcPr>
          <w:p>
            <w:pPr>
              <w:spacing w:after="0"/>
              <w:rPr>
                <w:sz w:val="20"/>
                <w:szCs w:val="20"/>
                <w:color w:val="auto"/>
              </w:rPr>
            </w:pPr>
            <w:r>
              <w:rPr>
                <w:rFonts w:ascii="Arial" w:cs="Arial" w:eastAsia="Arial" w:hAnsi="Arial"/>
                <w:sz w:val="20"/>
                <w:szCs w:val="20"/>
                <w:color w:val="auto"/>
              </w:rPr>
              <w:t>Randolph Mine</w:t>
            </w:r>
          </w:p>
        </w:tc>
        <w:tc>
          <w:tcPr>
            <w:tcW w:w="1080" w:type="dxa"/>
            <w:vAlign w:val="bottom"/>
          </w:tcPr>
          <w:p>
            <w:pPr>
              <w:jc w:val="right"/>
              <w:ind w:right="61"/>
              <w:spacing w:after="0"/>
              <w:rPr>
                <w:sz w:val="20"/>
                <w:szCs w:val="20"/>
                <w:color w:val="auto"/>
              </w:rPr>
            </w:pPr>
            <w:r>
              <w:rPr>
                <w:rFonts w:ascii="Arial" w:cs="Arial" w:eastAsia="Arial" w:hAnsi="Arial"/>
                <w:sz w:val="20"/>
                <w:szCs w:val="20"/>
                <w:color w:val="auto"/>
              </w:rPr>
              <w:t>2302308</w:t>
            </w:r>
          </w:p>
        </w:tc>
        <w:tc>
          <w:tcPr>
            <w:tcW w:w="540" w:type="dxa"/>
            <w:vAlign w:val="bottom"/>
          </w:tcPr>
          <w:p>
            <w:pPr>
              <w:jc w:val="right"/>
              <w:ind w:right="201"/>
              <w:spacing w:after="0"/>
              <w:rPr>
                <w:sz w:val="20"/>
                <w:szCs w:val="20"/>
                <w:color w:val="auto"/>
              </w:rPr>
            </w:pPr>
            <w:r>
              <w:rPr>
                <w:rFonts w:ascii="Arial" w:cs="Arial" w:eastAsia="Arial" w:hAnsi="Arial"/>
                <w:sz w:val="20"/>
                <w:szCs w:val="20"/>
                <w:color w:val="auto"/>
              </w:rPr>
              <w:t>1</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217</w:t>
            </w:r>
          </w:p>
        </w:tc>
        <w:tc>
          <w:tcPr>
            <w:tcW w:w="5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1</w:t>
            </w:r>
          </w:p>
        </w:tc>
        <w:tc>
          <w:tcPr>
            <w:tcW w:w="20" w:type="dxa"/>
            <w:vAlign w:val="bottom"/>
          </w:tcPr>
          <w:p>
            <w:pPr>
              <w:spacing w:after="0"/>
              <w:rPr>
                <w:sz w:val="21"/>
                <w:szCs w:val="21"/>
                <w:color w:val="auto"/>
              </w:rPr>
            </w:pPr>
          </w:p>
        </w:tc>
      </w:tr>
      <w:tr>
        <w:trPr>
          <w:trHeight w:val="243"/>
        </w:trPr>
        <w:tc>
          <w:tcPr>
            <w:tcW w:w="1980" w:type="dxa"/>
            <w:vAlign w:val="bottom"/>
            <w:shd w:val="clear" w:color="auto" w:fill="CFF0FC"/>
          </w:tcPr>
          <w:p>
            <w:pPr>
              <w:spacing w:after="0"/>
              <w:rPr>
                <w:sz w:val="20"/>
                <w:szCs w:val="20"/>
                <w:color w:val="auto"/>
              </w:rPr>
            </w:pPr>
            <w:r>
              <w:rPr>
                <w:rFonts w:ascii="Arial" w:cs="Arial" w:eastAsia="Arial" w:hAnsi="Arial"/>
                <w:sz w:val="20"/>
                <w:szCs w:val="20"/>
                <w:color w:val="auto"/>
              </w:rPr>
              <w:t>Reasnor Sand</w:t>
            </w:r>
          </w:p>
        </w:tc>
        <w:tc>
          <w:tcPr>
            <w:tcW w:w="10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1300814</w:t>
            </w:r>
          </w:p>
        </w:tc>
        <w:tc>
          <w:tcPr>
            <w:tcW w:w="5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1980" w:type="dxa"/>
            <w:vAlign w:val="bottom"/>
          </w:tcPr>
          <w:p>
            <w:pPr>
              <w:spacing w:after="0"/>
              <w:rPr>
                <w:sz w:val="20"/>
                <w:szCs w:val="20"/>
                <w:color w:val="auto"/>
              </w:rPr>
            </w:pPr>
            <w:r>
              <w:rPr>
                <w:rFonts w:ascii="Arial" w:cs="Arial" w:eastAsia="Arial" w:hAnsi="Arial"/>
                <w:sz w:val="20"/>
                <w:szCs w:val="20"/>
                <w:color w:val="auto"/>
              </w:rPr>
              <w:t>Ross Gravel</w:t>
            </w:r>
          </w:p>
        </w:tc>
        <w:tc>
          <w:tcPr>
            <w:tcW w:w="1080" w:type="dxa"/>
            <w:vAlign w:val="bottom"/>
          </w:tcPr>
          <w:p>
            <w:pPr>
              <w:jc w:val="right"/>
              <w:ind w:right="61"/>
              <w:spacing w:after="0"/>
              <w:rPr>
                <w:sz w:val="20"/>
                <w:szCs w:val="20"/>
                <w:color w:val="auto"/>
              </w:rPr>
            </w:pPr>
            <w:r>
              <w:rPr>
                <w:rFonts w:ascii="Arial" w:cs="Arial" w:eastAsia="Arial" w:hAnsi="Arial"/>
                <w:sz w:val="20"/>
                <w:szCs w:val="20"/>
                <w:color w:val="auto"/>
              </w:rPr>
              <w:t>3301587</w:t>
            </w:r>
          </w:p>
        </w:tc>
        <w:tc>
          <w:tcPr>
            <w:tcW w:w="5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1980" w:type="dxa"/>
            <w:vAlign w:val="bottom"/>
            <w:shd w:val="clear" w:color="auto" w:fill="CFF0FC"/>
          </w:tcPr>
          <w:p>
            <w:pPr>
              <w:spacing w:after="0"/>
              <w:rPr>
                <w:sz w:val="20"/>
                <w:szCs w:val="20"/>
                <w:color w:val="auto"/>
              </w:rPr>
            </w:pPr>
            <w:r>
              <w:rPr>
                <w:rFonts w:ascii="Arial" w:cs="Arial" w:eastAsia="Arial" w:hAnsi="Arial"/>
                <w:sz w:val="20"/>
                <w:szCs w:val="20"/>
                <w:color w:val="auto"/>
              </w:rPr>
              <w:t>Saylorville Sand</w:t>
            </w:r>
          </w:p>
        </w:tc>
        <w:tc>
          <w:tcPr>
            <w:tcW w:w="10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1302290</w:t>
            </w:r>
          </w:p>
        </w:tc>
        <w:tc>
          <w:tcPr>
            <w:tcW w:w="5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1980" w:type="dxa"/>
            <w:vAlign w:val="bottom"/>
          </w:tcPr>
          <w:p>
            <w:pPr>
              <w:spacing w:after="0"/>
              <w:rPr>
                <w:sz w:val="20"/>
                <w:szCs w:val="20"/>
                <w:color w:val="auto"/>
              </w:rPr>
            </w:pPr>
            <w:r>
              <w:rPr>
                <w:rFonts w:ascii="Arial" w:cs="Arial" w:eastAsia="Arial" w:hAnsi="Arial"/>
                <w:sz w:val="20"/>
                <w:szCs w:val="20"/>
                <w:color w:val="auto"/>
              </w:rPr>
              <w:t>Shamrock SG</w:t>
            </w:r>
          </w:p>
        </w:tc>
        <w:tc>
          <w:tcPr>
            <w:tcW w:w="1080" w:type="dxa"/>
            <w:vAlign w:val="bottom"/>
          </w:tcPr>
          <w:p>
            <w:pPr>
              <w:jc w:val="right"/>
              <w:ind w:right="61"/>
              <w:spacing w:after="0"/>
              <w:rPr>
                <w:sz w:val="20"/>
                <w:szCs w:val="20"/>
                <w:color w:val="auto"/>
              </w:rPr>
            </w:pPr>
            <w:r>
              <w:rPr>
                <w:rFonts w:ascii="Arial" w:cs="Arial" w:eastAsia="Arial" w:hAnsi="Arial"/>
                <w:sz w:val="20"/>
                <w:szCs w:val="20"/>
                <w:color w:val="auto"/>
              </w:rPr>
              <w:t>3304011</w:t>
            </w:r>
          </w:p>
        </w:tc>
        <w:tc>
          <w:tcPr>
            <w:tcW w:w="5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3060" w:type="dxa"/>
            <w:vAlign w:val="bottom"/>
            <w:gridSpan w:val="2"/>
            <w:shd w:val="clear" w:color="auto" w:fill="CFF0FC"/>
          </w:tcPr>
          <w:p>
            <w:pPr>
              <w:spacing w:after="0"/>
              <w:rPr>
                <w:sz w:val="20"/>
                <w:szCs w:val="20"/>
                <w:color w:val="auto"/>
              </w:rPr>
            </w:pPr>
            <w:r>
              <w:rPr>
                <w:rFonts w:ascii="Arial" w:cs="Arial" w:eastAsia="Arial" w:hAnsi="Arial"/>
                <w:sz w:val="20"/>
                <w:szCs w:val="20"/>
                <w:color w:val="auto"/>
                <w:w w:val="95"/>
              </w:rPr>
              <w:t>Spring Valley Cook Rd SG 3304534</w:t>
            </w:r>
          </w:p>
        </w:tc>
        <w:tc>
          <w:tcPr>
            <w:tcW w:w="5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1980" w:type="dxa"/>
            <w:vAlign w:val="bottom"/>
          </w:tcPr>
          <w:p>
            <w:pPr>
              <w:spacing w:after="0"/>
              <w:rPr>
                <w:sz w:val="20"/>
                <w:szCs w:val="20"/>
                <w:color w:val="auto"/>
              </w:rPr>
            </w:pPr>
            <w:r>
              <w:rPr>
                <w:rFonts w:ascii="Arial" w:cs="Arial" w:eastAsia="Arial" w:hAnsi="Arial"/>
                <w:sz w:val="20"/>
                <w:szCs w:val="20"/>
                <w:color w:val="auto"/>
              </w:rPr>
              <w:t>St Cloud Quarry</w:t>
            </w:r>
          </w:p>
        </w:tc>
        <w:tc>
          <w:tcPr>
            <w:tcW w:w="1080" w:type="dxa"/>
            <w:vAlign w:val="bottom"/>
          </w:tcPr>
          <w:p>
            <w:pPr>
              <w:jc w:val="right"/>
              <w:ind w:right="61"/>
              <w:spacing w:after="0"/>
              <w:rPr>
                <w:sz w:val="20"/>
                <w:szCs w:val="20"/>
                <w:color w:val="auto"/>
              </w:rPr>
            </w:pPr>
            <w:r>
              <w:rPr>
                <w:rFonts w:ascii="Arial" w:cs="Arial" w:eastAsia="Arial" w:hAnsi="Arial"/>
                <w:sz w:val="20"/>
                <w:szCs w:val="20"/>
                <w:color w:val="auto"/>
              </w:rPr>
              <w:t>2100081</w:t>
            </w:r>
          </w:p>
        </w:tc>
        <w:tc>
          <w:tcPr>
            <w:tcW w:w="5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1980" w:type="dxa"/>
            <w:vAlign w:val="bottom"/>
            <w:shd w:val="clear" w:color="auto" w:fill="CFF0FC"/>
          </w:tcPr>
          <w:p>
            <w:pPr>
              <w:spacing w:after="0"/>
              <w:rPr>
                <w:sz w:val="20"/>
                <w:szCs w:val="20"/>
                <w:color w:val="auto"/>
              </w:rPr>
            </w:pPr>
            <w:r>
              <w:rPr>
                <w:rFonts w:ascii="Arial" w:cs="Arial" w:eastAsia="Arial" w:hAnsi="Arial"/>
                <w:sz w:val="20"/>
                <w:szCs w:val="20"/>
                <w:color w:val="auto"/>
              </w:rPr>
              <w:t>Stamper Mine</w:t>
            </w:r>
          </w:p>
        </w:tc>
        <w:tc>
          <w:tcPr>
            <w:tcW w:w="10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2302232</w:t>
            </w:r>
          </w:p>
        </w:tc>
        <w:tc>
          <w:tcPr>
            <w:tcW w:w="5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2</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87"/>
              </w:rPr>
              <w:t>3,581</w:t>
            </w:r>
          </w:p>
        </w:tc>
        <w:tc>
          <w:tcPr>
            <w:tcW w:w="5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1980" w:type="dxa"/>
            <w:vAlign w:val="bottom"/>
          </w:tcPr>
          <w:p>
            <w:pPr>
              <w:spacing w:after="0"/>
              <w:rPr>
                <w:sz w:val="20"/>
                <w:szCs w:val="20"/>
                <w:color w:val="auto"/>
              </w:rPr>
            </w:pPr>
            <w:r>
              <w:rPr>
                <w:rFonts w:ascii="Arial" w:cs="Arial" w:eastAsia="Arial" w:hAnsi="Arial"/>
                <w:sz w:val="20"/>
                <w:szCs w:val="20"/>
                <w:color w:val="auto"/>
              </w:rPr>
              <w:t>Sully Mine</w:t>
            </w:r>
          </w:p>
        </w:tc>
        <w:tc>
          <w:tcPr>
            <w:tcW w:w="1080" w:type="dxa"/>
            <w:vAlign w:val="bottom"/>
          </w:tcPr>
          <w:p>
            <w:pPr>
              <w:jc w:val="right"/>
              <w:ind w:right="61"/>
              <w:spacing w:after="0"/>
              <w:rPr>
                <w:sz w:val="20"/>
                <w:szCs w:val="20"/>
                <w:color w:val="auto"/>
              </w:rPr>
            </w:pPr>
            <w:r>
              <w:rPr>
                <w:rFonts w:ascii="Arial" w:cs="Arial" w:eastAsia="Arial" w:hAnsi="Arial"/>
                <w:sz w:val="20"/>
                <w:szCs w:val="20"/>
                <w:color w:val="auto"/>
              </w:rPr>
              <w:t>1300063</w:t>
            </w:r>
          </w:p>
        </w:tc>
        <w:tc>
          <w:tcPr>
            <w:tcW w:w="5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369</w:t>
            </w:r>
          </w:p>
        </w:tc>
        <w:tc>
          <w:tcPr>
            <w:tcW w:w="5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1980" w:type="dxa"/>
            <w:vAlign w:val="bottom"/>
            <w:shd w:val="clear" w:color="auto" w:fill="CFF0FC"/>
          </w:tcPr>
          <w:p>
            <w:pPr>
              <w:spacing w:after="0"/>
              <w:rPr>
                <w:sz w:val="20"/>
                <w:szCs w:val="20"/>
                <w:color w:val="auto"/>
              </w:rPr>
            </w:pPr>
            <w:r>
              <w:rPr>
                <w:rFonts w:ascii="Arial" w:cs="Arial" w:eastAsia="Arial" w:hAnsi="Arial"/>
                <w:sz w:val="20"/>
                <w:szCs w:val="20"/>
                <w:color w:val="auto"/>
              </w:rPr>
              <w:t>Sunflower Qy  Co 61</w:t>
            </w:r>
          </w:p>
        </w:tc>
        <w:tc>
          <w:tcPr>
            <w:tcW w:w="10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1401556</w:t>
            </w:r>
          </w:p>
        </w:tc>
        <w:tc>
          <w:tcPr>
            <w:tcW w:w="5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763"/>
        </w:trPr>
        <w:tc>
          <w:tcPr>
            <w:tcW w:w="19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52"/>
        </w:trPr>
        <w:tc>
          <w:tcPr>
            <w:tcW w:w="20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gridSpan w:val="2"/>
          </w:tcPr>
          <w:p>
            <w:pPr>
              <w:ind w:left="20"/>
              <w:spacing w:after="0"/>
              <w:rPr>
                <w:sz w:val="20"/>
                <w:szCs w:val="20"/>
                <w:color w:val="auto"/>
              </w:rPr>
            </w:pPr>
            <w:r>
              <w:rPr>
                <w:rFonts w:ascii="Arial" w:cs="Arial" w:eastAsia="Arial" w:hAnsi="Arial"/>
                <w:sz w:val="20"/>
                <w:szCs w:val="20"/>
                <w:color w:val="auto"/>
                <w:w w:val="91"/>
              </w:rPr>
              <w:t>Appendix 1</w:t>
            </w:r>
          </w:p>
        </w:tc>
      </w:tr>
      <w:tr>
        <w:trPr>
          <w:trHeight w:val="468"/>
        </w:trPr>
        <w:tc>
          <w:tcPr>
            <w:tcW w:w="2080" w:type="dxa"/>
            <w:vAlign w:val="bottom"/>
          </w:tcPr>
          <w:p>
            <w:pPr>
              <w:spacing w:after="0"/>
              <w:rPr>
                <w:sz w:val="20"/>
                <w:szCs w:val="20"/>
                <w:color w:val="auto"/>
              </w:rPr>
            </w:pPr>
            <w:r>
              <w:rPr>
                <w:rFonts w:ascii="Arial" w:cs="Arial" w:eastAsia="Arial" w:hAnsi="Arial"/>
                <w:sz w:val="20"/>
                <w:szCs w:val="20"/>
                <w:color w:val="auto"/>
              </w:rPr>
              <w:t>Troy Gravel</w:t>
            </w:r>
          </w:p>
        </w:tc>
        <w:tc>
          <w:tcPr>
            <w:tcW w:w="920" w:type="dxa"/>
            <w:vAlign w:val="bottom"/>
          </w:tcPr>
          <w:p>
            <w:pPr>
              <w:jc w:val="right"/>
              <w:ind w:right="41"/>
              <w:spacing w:after="0"/>
              <w:rPr>
                <w:sz w:val="20"/>
                <w:szCs w:val="20"/>
                <w:color w:val="auto"/>
              </w:rPr>
            </w:pPr>
            <w:r>
              <w:rPr>
                <w:rFonts w:ascii="Arial" w:cs="Arial" w:eastAsia="Arial" w:hAnsi="Arial"/>
                <w:sz w:val="20"/>
                <w:szCs w:val="20"/>
                <w:color w:val="auto"/>
                <w:w w:val="97"/>
              </w:rPr>
              <w:t>3301678</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72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4"/>
                <w:szCs w:val="24"/>
                <w:color w:val="auto"/>
              </w:rPr>
            </w:pPr>
          </w:p>
        </w:tc>
      </w:tr>
      <w:tr>
        <w:trPr>
          <w:trHeight w:val="243"/>
        </w:trPr>
        <w:tc>
          <w:tcPr>
            <w:tcW w:w="2080" w:type="dxa"/>
            <w:vAlign w:val="bottom"/>
            <w:shd w:val="clear" w:color="auto" w:fill="CFF0FC"/>
          </w:tcPr>
          <w:p>
            <w:pPr>
              <w:spacing w:after="0"/>
              <w:rPr>
                <w:sz w:val="20"/>
                <w:szCs w:val="20"/>
                <w:color w:val="auto"/>
              </w:rPr>
            </w:pPr>
            <w:r>
              <w:rPr>
                <w:rFonts w:ascii="Arial" w:cs="Arial" w:eastAsia="Arial" w:hAnsi="Arial"/>
                <w:sz w:val="20"/>
                <w:szCs w:val="20"/>
                <w:color w:val="auto"/>
              </w:rPr>
              <w:t>Waverly Sand</w:t>
            </w:r>
          </w:p>
        </w:tc>
        <w:tc>
          <w:tcPr>
            <w:tcW w:w="92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7"/>
              </w:rPr>
              <w:t>1202038</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72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80" w:type="dxa"/>
            <w:vAlign w:val="bottom"/>
          </w:tcPr>
          <w:p>
            <w:pPr>
              <w:spacing w:after="0"/>
              <w:rPr>
                <w:sz w:val="20"/>
                <w:szCs w:val="20"/>
                <w:color w:val="auto"/>
              </w:rPr>
            </w:pPr>
            <w:r>
              <w:rPr>
                <w:rFonts w:ascii="Arial" w:cs="Arial" w:eastAsia="Arial" w:hAnsi="Arial"/>
                <w:sz w:val="20"/>
                <w:szCs w:val="20"/>
                <w:color w:val="auto"/>
              </w:rPr>
              <w:t>Weeping Water Mine</w:t>
            </w:r>
          </w:p>
        </w:tc>
        <w:tc>
          <w:tcPr>
            <w:tcW w:w="920" w:type="dxa"/>
            <w:vAlign w:val="bottom"/>
          </w:tcPr>
          <w:p>
            <w:pPr>
              <w:jc w:val="right"/>
              <w:ind w:right="41"/>
              <w:spacing w:after="0"/>
              <w:rPr>
                <w:sz w:val="20"/>
                <w:szCs w:val="20"/>
                <w:color w:val="auto"/>
              </w:rPr>
            </w:pPr>
            <w:r>
              <w:rPr>
                <w:rFonts w:ascii="Arial" w:cs="Arial" w:eastAsia="Arial" w:hAnsi="Arial"/>
                <w:sz w:val="20"/>
                <w:szCs w:val="20"/>
                <w:color w:val="auto"/>
                <w:w w:val="97"/>
              </w:rPr>
              <w:t>2500998</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7</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720" w:type="dxa"/>
            <w:vAlign w:val="bottom"/>
          </w:tcPr>
          <w:p>
            <w:pPr>
              <w:jc w:val="right"/>
              <w:ind w:right="81"/>
              <w:spacing w:after="0"/>
              <w:rPr>
                <w:sz w:val="20"/>
                <w:szCs w:val="20"/>
                <w:color w:val="auto"/>
              </w:rPr>
            </w:pPr>
            <w:r>
              <w:rPr>
                <w:rFonts w:ascii="Arial" w:cs="Arial" w:eastAsia="Arial" w:hAnsi="Arial"/>
                <w:sz w:val="20"/>
                <w:szCs w:val="20"/>
                <w:color w:val="auto"/>
                <w:w w:val="84"/>
              </w:rPr>
              <w:t>11,922</w:t>
            </w:r>
          </w:p>
        </w:tc>
        <w:tc>
          <w:tcPr>
            <w:tcW w:w="5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1</w:t>
            </w:r>
          </w:p>
        </w:tc>
        <w:tc>
          <w:tcPr>
            <w:tcW w:w="400" w:type="dxa"/>
            <w:vAlign w:val="bottom"/>
          </w:tcPr>
          <w:p>
            <w:pPr>
              <w:jc w:val="right"/>
              <w:spacing w:after="0"/>
              <w:rPr>
                <w:sz w:val="20"/>
                <w:szCs w:val="20"/>
                <w:color w:val="auto"/>
              </w:rPr>
            </w:pPr>
            <w:r>
              <w:rPr>
                <w:rFonts w:ascii="Arial" w:cs="Arial" w:eastAsia="Arial" w:hAnsi="Arial"/>
                <w:sz w:val="20"/>
                <w:szCs w:val="20"/>
                <w:color w:val="auto"/>
              </w:rPr>
              <w:t>1</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80" w:type="dxa"/>
            <w:vAlign w:val="bottom"/>
            <w:shd w:val="clear" w:color="auto" w:fill="CFF0FC"/>
          </w:tcPr>
          <w:p>
            <w:pPr>
              <w:spacing w:after="0"/>
              <w:rPr>
                <w:sz w:val="20"/>
                <w:szCs w:val="20"/>
                <w:color w:val="auto"/>
              </w:rPr>
            </w:pPr>
            <w:r>
              <w:rPr>
                <w:rFonts w:ascii="Arial" w:cs="Arial" w:eastAsia="Arial" w:hAnsi="Arial"/>
                <w:sz w:val="20"/>
                <w:szCs w:val="20"/>
                <w:color w:val="auto"/>
              </w:rPr>
              <w:t>West Center Sand</w:t>
            </w:r>
          </w:p>
        </w:tc>
        <w:tc>
          <w:tcPr>
            <w:tcW w:w="92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7"/>
              </w:rPr>
              <w:t>2501231</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2</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72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1,844</w:t>
            </w:r>
          </w:p>
        </w:tc>
        <w:tc>
          <w:tcPr>
            <w:tcW w:w="5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80" w:type="dxa"/>
            <w:vAlign w:val="bottom"/>
          </w:tcPr>
          <w:p>
            <w:pPr>
              <w:spacing w:after="0"/>
              <w:rPr>
                <w:sz w:val="20"/>
                <w:szCs w:val="20"/>
                <w:color w:val="auto"/>
              </w:rPr>
            </w:pPr>
            <w:r>
              <w:rPr>
                <w:rFonts w:ascii="Arial" w:cs="Arial" w:eastAsia="Arial" w:hAnsi="Arial"/>
                <w:sz w:val="20"/>
                <w:szCs w:val="20"/>
                <w:color w:val="auto"/>
              </w:rPr>
              <w:t>Xenia Gravel</w:t>
            </w:r>
          </w:p>
        </w:tc>
        <w:tc>
          <w:tcPr>
            <w:tcW w:w="920" w:type="dxa"/>
            <w:vAlign w:val="bottom"/>
          </w:tcPr>
          <w:p>
            <w:pPr>
              <w:jc w:val="right"/>
              <w:ind w:right="41"/>
              <w:spacing w:after="0"/>
              <w:rPr>
                <w:sz w:val="20"/>
                <w:szCs w:val="20"/>
                <w:color w:val="auto"/>
              </w:rPr>
            </w:pPr>
            <w:r>
              <w:rPr>
                <w:rFonts w:ascii="Arial" w:cs="Arial" w:eastAsia="Arial" w:hAnsi="Arial"/>
                <w:sz w:val="20"/>
                <w:szCs w:val="20"/>
                <w:color w:val="auto"/>
                <w:w w:val="97"/>
              </w:rPr>
              <w:t>3301393</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72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80" w:type="dxa"/>
            <w:vAlign w:val="bottom"/>
            <w:shd w:val="clear" w:color="auto" w:fill="CFF0FC"/>
          </w:tcPr>
          <w:p>
            <w:pPr>
              <w:spacing w:after="0"/>
              <w:rPr>
                <w:sz w:val="20"/>
                <w:szCs w:val="20"/>
                <w:color w:val="auto"/>
              </w:rPr>
            </w:pPr>
            <w:r>
              <w:rPr>
                <w:rFonts w:ascii="Arial" w:cs="Arial" w:eastAsia="Arial" w:hAnsi="Arial"/>
                <w:sz w:val="20"/>
                <w:szCs w:val="20"/>
                <w:color w:val="auto"/>
                <w:w w:val="97"/>
              </w:rPr>
              <w:t>Yellow Medicine Quarry</w:t>
            </w:r>
          </w:p>
        </w:tc>
        <w:tc>
          <w:tcPr>
            <w:tcW w:w="92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7"/>
              </w:rPr>
              <w:t>2100033</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72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80" w:type="dxa"/>
            <w:vAlign w:val="bottom"/>
          </w:tcPr>
          <w:p>
            <w:pPr>
              <w:spacing w:after="0"/>
              <w:rPr>
                <w:sz w:val="20"/>
                <w:szCs w:val="20"/>
                <w:color w:val="auto"/>
              </w:rPr>
            </w:pPr>
            <w:r>
              <w:rPr>
                <w:rFonts w:ascii="Arial" w:cs="Arial" w:eastAsia="Arial" w:hAnsi="Arial"/>
                <w:sz w:val="20"/>
                <w:szCs w:val="20"/>
                <w:color w:val="auto"/>
              </w:rPr>
              <w:t>Beckmann Quarry</w:t>
            </w:r>
          </w:p>
        </w:tc>
        <w:tc>
          <w:tcPr>
            <w:tcW w:w="920" w:type="dxa"/>
            <w:vAlign w:val="bottom"/>
          </w:tcPr>
          <w:p>
            <w:pPr>
              <w:jc w:val="right"/>
              <w:ind w:right="41"/>
              <w:spacing w:after="0"/>
              <w:rPr>
                <w:sz w:val="20"/>
                <w:szCs w:val="20"/>
                <w:color w:val="auto"/>
              </w:rPr>
            </w:pPr>
            <w:r>
              <w:rPr>
                <w:rFonts w:ascii="Arial" w:cs="Arial" w:eastAsia="Arial" w:hAnsi="Arial"/>
                <w:sz w:val="20"/>
                <w:szCs w:val="20"/>
                <w:color w:val="auto"/>
                <w:w w:val="97"/>
              </w:rPr>
              <w:t>4101335</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720" w:type="dxa"/>
            <w:vAlign w:val="bottom"/>
          </w:tcPr>
          <w:p>
            <w:pPr>
              <w:jc w:val="right"/>
              <w:ind w:right="81"/>
              <w:spacing w:after="0"/>
              <w:rPr>
                <w:sz w:val="20"/>
                <w:szCs w:val="20"/>
                <w:color w:val="auto"/>
              </w:rPr>
            </w:pPr>
            <w:r>
              <w:rPr>
                <w:rFonts w:ascii="Arial" w:cs="Arial" w:eastAsia="Arial" w:hAnsi="Arial"/>
                <w:sz w:val="20"/>
                <w:szCs w:val="20"/>
                <w:color w:val="auto"/>
              </w:rPr>
              <w:t>615</w:t>
            </w:r>
          </w:p>
        </w:tc>
        <w:tc>
          <w:tcPr>
            <w:tcW w:w="5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80" w:type="dxa"/>
            <w:vAlign w:val="bottom"/>
            <w:shd w:val="clear" w:color="auto" w:fill="CFF0FC"/>
          </w:tcPr>
          <w:p>
            <w:pPr>
              <w:spacing w:after="0"/>
              <w:rPr>
                <w:sz w:val="20"/>
                <w:szCs w:val="20"/>
                <w:color w:val="auto"/>
              </w:rPr>
            </w:pPr>
            <w:r>
              <w:rPr>
                <w:rFonts w:ascii="Arial" w:cs="Arial" w:eastAsia="Arial" w:hAnsi="Arial"/>
                <w:sz w:val="20"/>
                <w:szCs w:val="20"/>
                <w:color w:val="auto"/>
              </w:rPr>
              <w:t>Bedrock Sand Gravel</w:t>
            </w:r>
          </w:p>
        </w:tc>
        <w:tc>
          <w:tcPr>
            <w:tcW w:w="92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7"/>
              </w:rPr>
              <w:t>4103283</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72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246</w:t>
            </w:r>
          </w:p>
        </w:tc>
        <w:tc>
          <w:tcPr>
            <w:tcW w:w="5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80" w:type="dxa"/>
            <w:vAlign w:val="bottom"/>
          </w:tcPr>
          <w:p>
            <w:pPr>
              <w:spacing w:after="0"/>
              <w:rPr>
                <w:sz w:val="20"/>
                <w:szCs w:val="20"/>
                <w:color w:val="auto"/>
              </w:rPr>
            </w:pPr>
            <w:r>
              <w:rPr>
                <w:rFonts w:ascii="Arial" w:cs="Arial" w:eastAsia="Arial" w:hAnsi="Arial"/>
                <w:sz w:val="20"/>
                <w:szCs w:val="20"/>
                <w:color w:val="auto"/>
              </w:rPr>
              <w:t>Bells Savoy SG</w:t>
            </w:r>
          </w:p>
        </w:tc>
        <w:tc>
          <w:tcPr>
            <w:tcW w:w="920" w:type="dxa"/>
            <w:vAlign w:val="bottom"/>
          </w:tcPr>
          <w:p>
            <w:pPr>
              <w:jc w:val="right"/>
              <w:ind w:right="41"/>
              <w:spacing w:after="0"/>
              <w:rPr>
                <w:sz w:val="20"/>
                <w:szCs w:val="20"/>
                <w:color w:val="auto"/>
              </w:rPr>
            </w:pPr>
            <w:r>
              <w:rPr>
                <w:rFonts w:ascii="Arial" w:cs="Arial" w:eastAsia="Arial" w:hAnsi="Arial"/>
                <w:sz w:val="20"/>
                <w:szCs w:val="20"/>
                <w:color w:val="auto"/>
                <w:w w:val="97"/>
              </w:rPr>
              <w:t>4104019</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720" w:type="dxa"/>
            <w:vAlign w:val="bottom"/>
          </w:tcPr>
          <w:p>
            <w:pPr>
              <w:jc w:val="right"/>
              <w:ind w:right="81"/>
              <w:spacing w:after="0"/>
              <w:rPr>
                <w:sz w:val="20"/>
                <w:szCs w:val="20"/>
                <w:color w:val="auto"/>
              </w:rPr>
            </w:pPr>
            <w:r>
              <w:rPr>
                <w:rFonts w:ascii="Arial" w:cs="Arial" w:eastAsia="Arial" w:hAnsi="Arial"/>
                <w:sz w:val="20"/>
                <w:szCs w:val="20"/>
                <w:color w:val="auto"/>
              </w:rPr>
              <w:t>123</w:t>
            </w:r>
          </w:p>
        </w:tc>
        <w:tc>
          <w:tcPr>
            <w:tcW w:w="5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80" w:type="dxa"/>
            <w:vAlign w:val="bottom"/>
            <w:shd w:val="clear" w:color="auto" w:fill="CFF0FC"/>
          </w:tcPr>
          <w:p>
            <w:pPr>
              <w:spacing w:after="0"/>
              <w:rPr>
                <w:sz w:val="20"/>
                <w:szCs w:val="20"/>
                <w:color w:val="auto"/>
              </w:rPr>
            </w:pPr>
            <w:r>
              <w:rPr>
                <w:rFonts w:ascii="Arial" w:cs="Arial" w:eastAsia="Arial" w:hAnsi="Arial"/>
                <w:sz w:val="20"/>
                <w:szCs w:val="20"/>
                <w:color w:val="auto"/>
              </w:rPr>
              <w:t>Black Rock Quarry</w:t>
            </w:r>
          </w:p>
        </w:tc>
        <w:tc>
          <w:tcPr>
            <w:tcW w:w="92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7"/>
              </w:rPr>
              <w:t>0300011</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72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80" w:type="dxa"/>
            <w:vAlign w:val="bottom"/>
          </w:tcPr>
          <w:p>
            <w:pPr>
              <w:spacing w:after="0"/>
              <w:rPr>
                <w:sz w:val="20"/>
                <w:szCs w:val="20"/>
                <w:color w:val="auto"/>
              </w:rPr>
            </w:pPr>
            <w:r>
              <w:rPr>
                <w:rFonts w:ascii="Arial" w:cs="Arial" w:eastAsia="Arial" w:hAnsi="Arial"/>
                <w:sz w:val="20"/>
                <w:szCs w:val="20"/>
                <w:color w:val="auto"/>
              </w:rPr>
              <w:t>Black Spur Quarry</w:t>
            </w:r>
          </w:p>
        </w:tc>
        <w:tc>
          <w:tcPr>
            <w:tcW w:w="920" w:type="dxa"/>
            <w:vAlign w:val="bottom"/>
          </w:tcPr>
          <w:p>
            <w:pPr>
              <w:jc w:val="right"/>
              <w:ind w:right="41"/>
              <w:spacing w:after="0"/>
              <w:rPr>
                <w:sz w:val="20"/>
                <w:szCs w:val="20"/>
                <w:color w:val="auto"/>
              </w:rPr>
            </w:pPr>
            <w:r>
              <w:rPr>
                <w:rFonts w:ascii="Arial" w:cs="Arial" w:eastAsia="Arial" w:hAnsi="Arial"/>
                <w:sz w:val="20"/>
                <w:szCs w:val="20"/>
                <w:color w:val="auto"/>
                <w:w w:val="97"/>
              </w:rPr>
              <w:t>4104159</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720" w:type="dxa"/>
            <w:vAlign w:val="bottom"/>
          </w:tcPr>
          <w:p>
            <w:pPr>
              <w:jc w:val="right"/>
              <w:ind w:right="81"/>
              <w:spacing w:after="0"/>
              <w:rPr>
                <w:sz w:val="20"/>
                <w:szCs w:val="20"/>
                <w:color w:val="auto"/>
              </w:rPr>
            </w:pPr>
            <w:r>
              <w:rPr>
                <w:rFonts w:ascii="Arial" w:cs="Arial" w:eastAsia="Arial" w:hAnsi="Arial"/>
                <w:sz w:val="20"/>
                <w:szCs w:val="20"/>
                <w:color w:val="auto"/>
              </w:rPr>
              <w:t>1,095</w:t>
            </w:r>
          </w:p>
        </w:tc>
        <w:tc>
          <w:tcPr>
            <w:tcW w:w="5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80" w:type="dxa"/>
            <w:vAlign w:val="bottom"/>
            <w:shd w:val="clear" w:color="auto" w:fill="CFF0FC"/>
          </w:tcPr>
          <w:p>
            <w:pPr>
              <w:spacing w:after="0"/>
              <w:rPr>
                <w:sz w:val="20"/>
                <w:szCs w:val="20"/>
                <w:color w:val="auto"/>
              </w:rPr>
            </w:pPr>
            <w:r>
              <w:rPr>
                <w:rFonts w:ascii="Arial" w:cs="Arial" w:eastAsia="Arial" w:hAnsi="Arial"/>
                <w:sz w:val="20"/>
                <w:szCs w:val="20"/>
                <w:color w:val="auto"/>
              </w:rPr>
              <w:t>Blake Quarry</w:t>
            </w:r>
          </w:p>
        </w:tc>
        <w:tc>
          <w:tcPr>
            <w:tcW w:w="92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7"/>
              </w:rPr>
              <w:t>1401584</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1</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72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1,140</w:t>
            </w:r>
          </w:p>
        </w:tc>
        <w:tc>
          <w:tcPr>
            <w:tcW w:w="5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1</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1</w:t>
            </w:r>
          </w:p>
        </w:tc>
        <w:tc>
          <w:tcPr>
            <w:tcW w:w="20" w:type="dxa"/>
            <w:vAlign w:val="bottom"/>
          </w:tcPr>
          <w:p>
            <w:pPr>
              <w:spacing w:after="0"/>
              <w:rPr>
                <w:sz w:val="21"/>
                <w:szCs w:val="21"/>
                <w:color w:val="auto"/>
              </w:rPr>
            </w:pPr>
          </w:p>
        </w:tc>
      </w:tr>
      <w:tr>
        <w:trPr>
          <w:trHeight w:val="243"/>
        </w:trPr>
        <w:tc>
          <w:tcPr>
            <w:tcW w:w="2080" w:type="dxa"/>
            <w:vAlign w:val="bottom"/>
          </w:tcPr>
          <w:p>
            <w:pPr>
              <w:spacing w:after="0"/>
              <w:rPr>
                <w:sz w:val="20"/>
                <w:szCs w:val="20"/>
                <w:color w:val="auto"/>
              </w:rPr>
            </w:pPr>
            <w:r>
              <w:rPr>
                <w:rFonts w:ascii="Arial" w:cs="Arial" w:eastAsia="Arial" w:hAnsi="Arial"/>
                <w:sz w:val="20"/>
                <w:szCs w:val="20"/>
                <w:color w:val="auto"/>
              </w:rPr>
              <w:t>Bridgeport Stone</w:t>
            </w:r>
          </w:p>
        </w:tc>
        <w:tc>
          <w:tcPr>
            <w:tcW w:w="920" w:type="dxa"/>
            <w:vAlign w:val="bottom"/>
          </w:tcPr>
          <w:p>
            <w:pPr>
              <w:jc w:val="right"/>
              <w:ind w:right="41"/>
              <w:spacing w:after="0"/>
              <w:rPr>
                <w:sz w:val="20"/>
                <w:szCs w:val="20"/>
                <w:color w:val="auto"/>
              </w:rPr>
            </w:pPr>
            <w:r>
              <w:rPr>
                <w:rFonts w:ascii="Arial" w:cs="Arial" w:eastAsia="Arial" w:hAnsi="Arial"/>
                <w:sz w:val="20"/>
                <w:szCs w:val="20"/>
                <w:color w:val="auto"/>
                <w:w w:val="97"/>
              </w:rPr>
              <w:t>4100007</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1</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720" w:type="dxa"/>
            <w:vAlign w:val="bottom"/>
          </w:tcPr>
          <w:p>
            <w:pPr>
              <w:jc w:val="right"/>
              <w:ind w:right="81"/>
              <w:spacing w:after="0"/>
              <w:rPr>
                <w:sz w:val="20"/>
                <w:szCs w:val="20"/>
                <w:color w:val="auto"/>
              </w:rPr>
            </w:pPr>
            <w:r>
              <w:rPr>
                <w:rFonts w:ascii="Arial" w:cs="Arial" w:eastAsia="Arial" w:hAnsi="Arial"/>
                <w:sz w:val="20"/>
                <w:szCs w:val="20"/>
                <w:color w:val="auto"/>
              </w:rPr>
              <w:t>1,166</w:t>
            </w:r>
          </w:p>
        </w:tc>
        <w:tc>
          <w:tcPr>
            <w:tcW w:w="5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80" w:type="dxa"/>
            <w:vAlign w:val="bottom"/>
            <w:shd w:val="clear" w:color="auto" w:fill="CFF0FC"/>
          </w:tcPr>
          <w:p>
            <w:pPr>
              <w:spacing w:after="0"/>
              <w:rPr>
                <w:sz w:val="20"/>
                <w:szCs w:val="20"/>
                <w:color w:val="auto"/>
              </w:rPr>
            </w:pPr>
            <w:r>
              <w:rPr>
                <w:rFonts w:ascii="Arial" w:cs="Arial" w:eastAsia="Arial" w:hAnsi="Arial"/>
                <w:sz w:val="20"/>
                <w:szCs w:val="20"/>
                <w:color w:val="auto"/>
              </w:rPr>
              <w:t>Broken Bow SG</w:t>
            </w:r>
          </w:p>
        </w:tc>
        <w:tc>
          <w:tcPr>
            <w:tcW w:w="92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7"/>
              </w:rPr>
              <w:t>3400460</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72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80" w:type="dxa"/>
            <w:vAlign w:val="bottom"/>
          </w:tcPr>
          <w:p>
            <w:pPr>
              <w:spacing w:after="0"/>
              <w:rPr>
                <w:sz w:val="20"/>
                <w:szCs w:val="20"/>
                <w:color w:val="auto"/>
              </w:rPr>
            </w:pPr>
            <w:r>
              <w:rPr>
                <w:rFonts w:ascii="Arial" w:cs="Arial" w:eastAsia="Arial" w:hAnsi="Arial"/>
                <w:sz w:val="20"/>
                <w:szCs w:val="20"/>
                <w:color w:val="auto"/>
              </w:rPr>
              <w:t>Chico Quarry</w:t>
            </w:r>
          </w:p>
        </w:tc>
        <w:tc>
          <w:tcPr>
            <w:tcW w:w="920" w:type="dxa"/>
            <w:vAlign w:val="bottom"/>
          </w:tcPr>
          <w:p>
            <w:pPr>
              <w:jc w:val="right"/>
              <w:ind w:right="41"/>
              <w:spacing w:after="0"/>
              <w:rPr>
                <w:sz w:val="20"/>
                <w:szCs w:val="20"/>
                <w:color w:val="auto"/>
              </w:rPr>
            </w:pPr>
            <w:r>
              <w:rPr>
                <w:rFonts w:ascii="Arial" w:cs="Arial" w:eastAsia="Arial" w:hAnsi="Arial"/>
                <w:sz w:val="20"/>
                <w:szCs w:val="20"/>
                <w:color w:val="auto"/>
                <w:w w:val="97"/>
              </w:rPr>
              <w:t>4103360</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720" w:type="dxa"/>
            <w:vAlign w:val="bottom"/>
          </w:tcPr>
          <w:p>
            <w:pPr>
              <w:jc w:val="right"/>
              <w:ind w:right="81"/>
              <w:spacing w:after="0"/>
              <w:rPr>
                <w:sz w:val="20"/>
                <w:szCs w:val="20"/>
                <w:color w:val="auto"/>
              </w:rPr>
            </w:pPr>
            <w:r>
              <w:rPr>
                <w:rFonts w:ascii="Arial" w:cs="Arial" w:eastAsia="Arial" w:hAnsi="Arial"/>
                <w:sz w:val="20"/>
                <w:szCs w:val="20"/>
                <w:color w:val="auto"/>
              </w:rPr>
              <w:t>123</w:t>
            </w:r>
          </w:p>
        </w:tc>
        <w:tc>
          <w:tcPr>
            <w:tcW w:w="5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80" w:type="dxa"/>
            <w:vAlign w:val="bottom"/>
            <w:shd w:val="clear" w:color="auto" w:fill="CFF0FC"/>
          </w:tcPr>
          <w:p>
            <w:pPr>
              <w:spacing w:after="0"/>
              <w:rPr>
                <w:sz w:val="20"/>
                <w:szCs w:val="20"/>
                <w:color w:val="auto"/>
              </w:rPr>
            </w:pPr>
            <w:r>
              <w:rPr>
                <w:rFonts w:ascii="Arial" w:cs="Arial" w:eastAsia="Arial" w:hAnsi="Arial"/>
                <w:sz w:val="20"/>
                <w:szCs w:val="20"/>
                <w:color w:val="auto"/>
              </w:rPr>
              <w:t>Davis Quarry</w:t>
            </w:r>
          </w:p>
        </w:tc>
        <w:tc>
          <w:tcPr>
            <w:tcW w:w="92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7"/>
              </w:rPr>
              <w:t>3401299</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1</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72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644</w:t>
            </w:r>
          </w:p>
        </w:tc>
        <w:tc>
          <w:tcPr>
            <w:tcW w:w="5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80" w:type="dxa"/>
            <w:vAlign w:val="bottom"/>
          </w:tcPr>
          <w:p>
            <w:pPr>
              <w:spacing w:after="0"/>
              <w:rPr>
                <w:sz w:val="20"/>
                <w:szCs w:val="20"/>
                <w:color w:val="auto"/>
              </w:rPr>
            </w:pPr>
            <w:r>
              <w:rPr>
                <w:rFonts w:ascii="Arial" w:cs="Arial" w:eastAsia="Arial" w:hAnsi="Arial"/>
                <w:sz w:val="20"/>
                <w:szCs w:val="20"/>
                <w:color w:val="auto"/>
              </w:rPr>
              <w:t>Garfield SG</w:t>
            </w:r>
          </w:p>
        </w:tc>
        <w:tc>
          <w:tcPr>
            <w:tcW w:w="920" w:type="dxa"/>
            <w:vAlign w:val="bottom"/>
          </w:tcPr>
          <w:p>
            <w:pPr>
              <w:jc w:val="right"/>
              <w:ind w:right="41"/>
              <w:spacing w:after="0"/>
              <w:rPr>
                <w:sz w:val="20"/>
                <w:szCs w:val="20"/>
                <w:color w:val="auto"/>
              </w:rPr>
            </w:pPr>
            <w:r>
              <w:rPr>
                <w:rFonts w:ascii="Arial" w:cs="Arial" w:eastAsia="Arial" w:hAnsi="Arial"/>
                <w:sz w:val="20"/>
                <w:szCs w:val="20"/>
                <w:color w:val="auto"/>
                <w:w w:val="97"/>
              </w:rPr>
              <w:t>4103909</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72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80" w:type="dxa"/>
            <w:vAlign w:val="bottom"/>
            <w:shd w:val="clear" w:color="auto" w:fill="CFF0FC"/>
          </w:tcPr>
          <w:p>
            <w:pPr>
              <w:spacing w:after="0"/>
              <w:rPr>
                <w:sz w:val="20"/>
                <w:szCs w:val="20"/>
                <w:color w:val="auto"/>
              </w:rPr>
            </w:pPr>
            <w:r>
              <w:rPr>
                <w:rFonts w:ascii="Arial" w:cs="Arial" w:eastAsia="Arial" w:hAnsi="Arial"/>
                <w:sz w:val="20"/>
                <w:szCs w:val="20"/>
                <w:color w:val="auto"/>
              </w:rPr>
              <w:t>Garwood Gravel</w:t>
            </w:r>
          </w:p>
        </w:tc>
        <w:tc>
          <w:tcPr>
            <w:tcW w:w="92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7"/>
              </w:rPr>
              <w:t>4102886</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1</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72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1,486</w:t>
            </w:r>
          </w:p>
        </w:tc>
        <w:tc>
          <w:tcPr>
            <w:tcW w:w="5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80" w:type="dxa"/>
            <w:vAlign w:val="bottom"/>
          </w:tcPr>
          <w:p>
            <w:pPr>
              <w:spacing w:after="0"/>
              <w:rPr>
                <w:sz w:val="20"/>
                <w:szCs w:val="20"/>
                <w:color w:val="auto"/>
              </w:rPr>
            </w:pPr>
            <w:r>
              <w:rPr>
                <w:rFonts w:ascii="Arial" w:cs="Arial" w:eastAsia="Arial" w:hAnsi="Arial"/>
                <w:sz w:val="20"/>
                <w:szCs w:val="20"/>
                <w:color w:val="auto"/>
              </w:rPr>
              <w:t>GMS</w:t>
            </w:r>
          </w:p>
        </w:tc>
        <w:tc>
          <w:tcPr>
            <w:tcW w:w="920" w:type="dxa"/>
            <w:vAlign w:val="bottom"/>
          </w:tcPr>
          <w:p>
            <w:pPr>
              <w:jc w:val="right"/>
              <w:ind w:right="41"/>
              <w:spacing w:after="0"/>
              <w:rPr>
                <w:sz w:val="20"/>
                <w:szCs w:val="20"/>
                <w:color w:val="auto"/>
              </w:rPr>
            </w:pPr>
            <w:r>
              <w:rPr>
                <w:rFonts w:ascii="Arial" w:cs="Arial" w:eastAsia="Arial" w:hAnsi="Arial"/>
                <w:sz w:val="20"/>
                <w:szCs w:val="20"/>
                <w:color w:val="auto"/>
              </w:rPr>
              <w:t>C335</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72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80" w:type="dxa"/>
            <w:vAlign w:val="bottom"/>
            <w:shd w:val="clear" w:color="auto" w:fill="CFF0FC"/>
          </w:tcPr>
          <w:p>
            <w:pPr>
              <w:spacing w:after="0"/>
              <w:rPr>
                <w:sz w:val="20"/>
                <w:szCs w:val="20"/>
                <w:color w:val="auto"/>
              </w:rPr>
            </w:pPr>
            <w:r>
              <w:rPr>
                <w:rFonts w:ascii="Arial" w:cs="Arial" w:eastAsia="Arial" w:hAnsi="Arial"/>
                <w:sz w:val="20"/>
                <w:szCs w:val="20"/>
                <w:color w:val="auto"/>
              </w:rPr>
              <w:t>South Texas Port #2</w:t>
            </w:r>
          </w:p>
        </w:tc>
        <w:tc>
          <w:tcPr>
            <w:tcW w:w="92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7"/>
              </w:rPr>
              <w:t>4104204</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72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80" w:type="dxa"/>
            <w:vAlign w:val="bottom"/>
          </w:tcPr>
          <w:p>
            <w:pPr>
              <w:spacing w:after="0"/>
              <w:rPr>
                <w:sz w:val="20"/>
                <w:szCs w:val="20"/>
                <w:color w:val="auto"/>
              </w:rPr>
            </w:pPr>
            <w:r>
              <w:rPr>
                <w:rFonts w:ascii="Arial" w:cs="Arial" w:eastAsia="Arial" w:hAnsi="Arial"/>
                <w:sz w:val="20"/>
                <w:szCs w:val="20"/>
                <w:color w:val="auto"/>
              </w:rPr>
              <w:t>Hatton Quarry</w:t>
            </w:r>
          </w:p>
        </w:tc>
        <w:tc>
          <w:tcPr>
            <w:tcW w:w="920" w:type="dxa"/>
            <w:vAlign w:val="bottom"/>
          </w:tcPr>
          <w:p>
            <w:pPr>
              <w:jc w:val="right"/>
              <w:ind w:right="41"/>
              <w:spacing w:after="0"/>
              <w:rPr>
                <w:sz w:val="20"/>
                <w:szCs w:val="20"/>
                <w:color w:val="auto"/>
              </w:rPr>
            </w:pPr>
            <w:r>
              <w:rPr>
                <w:rFonts w:ascii="Arial" w:cs="Arial" w:eastAsia="Arial" w:hAnsi="Arial"/>
                <w:sz w:val="20"/>
                <w:szCs w:val="20"/>
                <w:color w:val="auto"/>
                <w:w w:val="97"/>
              </w:rPr>
              <w:t>0301614</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72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80" w:type="dxa"/>
            <w:vAlign w:val="bottom"/>
            <w:shd w:val="clear" w:color="auto" w:fill="CFF0FC"/>
          </w:tcPr>
          <w:p>
            <w:pPr>
              <w:spacing w:after="0"/>
              <w:rPr>
                <w:sz w:val="20"/>
                <w:szCs w:val="20"/>
                <w:color w:val="auto"/>
              </w:rPr>
            </w:pPr>
            <w:r>
              <w:rPr>
                <w:rFonts w:ascii="Arial" w:cs="Arial" w:eastAsia="Arial" w:hAnsi="Arial"/>
                <w:sz w:val="20"/>
                <w:szCs w:val="20"/>
                <w:color w:val="auto"/>
              </w:rPr>
              <w:t>Helotes</w:t>
            </w:r>
          </w:p>
        </w:tc>
        <w:tc>
          <w:tcPr>
            <w:tcW w:w="92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7"/>
              </w:rPr>
              <w:t>4103137</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72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123</w:t>
            </w:r>
          </w:p>
        </w:tc>
        <w:tc>
          <w:tcPr>
            <w:tcW w:w="5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80" w:type="dxa"/>
            <w:vAlign w:val="bottom"/>
          </w:tcPr>
          <w:p>
            <w:pPr>
              <w:spacing w:after="0"/>
              <w:rPr>
                <w:sz w:val="20"/>
                <w:szCs w:val="20"/>
                <w:color w:val="auto"/>
              </w:rPr>
            </w:pPr>
            <w:r>
              <w:rPr>
                <w:rFonts w:ascii="Arial" w:cs="Arial" w:eastAsia="Arial" w:hAnsi="Arial"/>
                <w:sz w:val="20"/>
                <w:szCs w:val="20"/>
                <w:color w:val="auto"/>
              </w:rPr>
              <w:t>Highway 211 Quarry</w:t>
            </w:r>
          </w:p>
        </w:tc>
        <w:tc>
          <w:tcPr>
            <w:tcW w:w="920" w:type="dxa"/>
            <w:vAlign w:val="bottom"/>
          </w:tcPr>
          <w:p>
            <w:pPr>
              <w:jc w:val="right"/>
              <w:ind w:right="41"/>
              <w:spacing w:after="0"/>
              <w:rPr>
                <w:sz w:val="20"/>
                <w:szCs w:val="20"/>
                <w:color w:val="auto"/>
              </w:rPr>
            </w:pPr>
            <w:r>
              <w:rPr>
                <w:rFonts w:ascii="Arial" w:cs="Arial" w:eastAsia="Arial" w:hAnsi="Arial"/>
                <w:sz w:val="20"/>
                <w:szCs w:val="20"/>
                <w:color w:val="auto"/>
                <w:w w:val="97"/>
              </w:rPr>
              <w:t>4103829</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720" w:type="dxa"/>
            <w:vAlign w:val="bottom"/>
          </w:tcPr>
          <w:p>
            <w:pPr>
              <w:jc w:val="right"/>
              <w:ind w:right="81"/>
              <w:spacing w:after="0"/>
              <w:rPr>
                <w:sz w:val="20"/>
                <w:szCs w:val="20"/>
                <w:color w:val="auto"/>
              </w:rPr>
            </w:pPr>
            <w:r>
              <w:rPr>
                <w:rFonts w:ascii="Arial" w:cs="Arial" w:eastAsia="Arial" w:hAnsi="Arial"/>
                <w:sz w:val="20"/>
                <w:szCs w:val="20"/>
                <w:color w:val="auto"/>
              </w:rPr>
              <w:t>403</w:t>
            </w:r>
          </w:p>
        </w:tc>
        <w:tc>
          <w:tcPr>
            <w:tcW w:w="5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80" w:type="dxa"/>
            <w:vAlign w:val="bottom"/>
            <w:shd w:val="clear" w:color="auto" w:fill="CFF0FC"/>
          </w:tcPr>
          <w:p>
            <w:pPr>
              <w:spacing w:after="0"/>
              <w:rPr>
                <w:sz w:val="20"/>
                <w:szCs w:val="20"/>
                <w:color w:val="auto"/>
              </w:rPr>
            </w:pPr>
            <w:r>
              <w:rPr>
                <w:rFonts w:ascii="Arial" w:cs="Arial" w:eastAsia="Arial" w:hAnsi="Arial"/>
                <w:sz w:val="20"/>
                <w:szCs w:val="20"/>
                <w:color w:val="auto"/>
              </w:rPr>
              <w:t>Hondo</w:t>
            </w:r>
          </w:p>
        </w:tc>
        <w:tc>
          <w:tcPr>
            <w:tcW w:w="92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7"/>
              </w:rPr>
              <w:t>4104708</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72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80" w:type="dxa"/>
            <w:vAlign w:val="bottom"/>
          </w:tcPr>
          <w:p>
            <w:pPr>
              <w:spacing w:after="0"/>
              <w:rPr>
                <w:sz w:val="20"/>
                <w:szCs w:val="20"/>
                <w:color w:val="auto"/>
              </w:rPr>
            </w:pPr>
            <w:r>
              <w:rPr>
                <w:rFonts w:ascii="Arial" w:cs="Arial" w:eastAsia="Arial" w:hAnsi="Arial"/>
                <w:sz w:val="20"/>
                <w:szCs w:val="20"/>
                <w:color w:val="auto"/>
              </w:rPr>
              <w:t>Hondo West</w:t>
            </w:r>
          </w:p>
        </w:tc>
        <w:tc>
          <w:tcPr>
            <w:tcW w:w="920" w:type="dxa"/>
            <w:vAlign w:val="bottom"/>
          </w:tcPr>
          <w:p>
            <w:pPr>
              <w:jc w:val="right"/>
              <w:ind w:right="41"/>
              <w:spacing w:after="0"/>
              <w:rPr>
                <w:sz w:val="20"/>
                <w:szCs w:val="20"/>
                <w:color w:val="auto"/>
              </w:rPr>
            </w:pPr>
            <w:r>
              <w:rPr>
                <w:rFonts w:ascii="Arial" w:cs="Arial" w:eastAsia="Arial" w:hAnsi="Arial"/>
                <w:sz w:val="20"/>
                <w:szCs w:val="20"/>
                <w:color w:val="auto"/>
                <w:w w:val="97"/>
              </w:rPr>
              <w:t>4104090</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72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80" w:type="dxa"/>
            <w:vAlign w:val="bottom"/>
            <w:shd w:val="clear" w:color="auto" w:fill="CFF0FC"/>
          </w:tcPr>
          <w:p>
            <w:pPr>
              <w:spacing w:after="0"/>
              <w:rPr>
                <w:sz w:val="20"/>
                <w:szCs w:val="20"/>
                <w:color w:val="auto"/>
              </w:rPr>
            </w:pPr>
            <w:r>
              <w:rPr>
                <w:rFonts w:ascii="Arial" w:cs="Arial" w:eastAsia="Arial" w:hAnsi="Arial"/>
                <w:sz w:val="20"/>
                <w:szCs w:val="20"/>
                <w:color w:val="auto"/>
              </w:rPr>
              <w:t>Hugo Quarry</w:t>
            </w:r>
          </w:p>
        </w:tc>
        <w:tc>
          <w:tcPr>
            <w:tcW w:w="92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7"/>
              </w:rPr>
              <w:t>3400061</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72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80" w:type="dxa"/>
            <w:vAlign w:val="bottom"/>
          </w:tcPr>
          <w:p>
            <w:pPr>
              <w:spacing w:after="0"/>
              <w:rPr>
                <w:sz w:val="20"/>
                <w:szCs w:val="20"/>
                <w:color w:val="auto"/>
              </w:rPr>
            </w:pPr>
            <w:r>
              <w:rPr>
                <w:rFonts w:ascii="Arial" w:cs="Arial" w:eastAsia="Arial" w:hAnsi="Arial"/>
                <w:sz w:val="20"/>
                <w:szCs w:val="20"/>
                <w:color w:val="auto"/>
              </w:rPr>
              <w:t>Hunter Stone</w:t>
            </w:r>
          </w:p>
        </w:tc>
        <w:tc>
          <w:tcPr>
            <w:tcW w:w="920" w:type="dxa"/>
            <w:vAlign w:val="bottom"/>
          </w:tcPr>
          <w:p>
            <w:pPr>
              <w:jc w:val="right"/>
              <w:ind w:right="41"/>
              <w:spacing w:after="0"/>
              <w:rPr>
                <w:sz w:val="20"/>
                <w:szCs w:val="20"/>
                <w:color w:val="auto"/>
              </w:rPr>
            </w:pPr>
            <w:r>
              <w:rPr>
                <w:rFonts w:ascii="Arial" w:cs="Arial" w:eastAsia="Arial" w:hAnsi="Arial"/>
                <w:sz w:val="20"/>
                <w:szCs w:val="20"/>
                <w:color w:val="auto"/>
                <w:w w:val="97"/>
              </w:rPr>
              <w:t>4105230</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72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80" w:type="dxa"/>
            <w:vAlign w:val="bottom"/>
            <w:shd w:val="clear" w:color="auto" w:fill="CFF0FC"/>
          </w:tcPr>
          <w:p>
            <w:pPr>
              <w:spacing w:after="0"/>
              <w:rPr>
                <w:sz w:val="20"/>
                <w:szCs w:val="20"/>
                <w:color w:val="auto"/>
              </w:rPr>
            </w:pPr>
            <w:r>
              <w:rPr>
                <w:rFonts w:ascii="Arial" w:cs="Arial" w:eastAsia="Arial" w:hAnsi="Arial"/>
                <w:sz w:val="20"/>
                <w:szCs w:val="20"/>
                <w:color w:val="auto"/>
              </w:rPr>
              <w:t>Idabel Quarry</w:t>
            </w:r>
          </w:p>
        </w:tc>
        <w:tc>
          <w:tcPr>
            <w:tcW w:w="92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7"/>
              </w:rPr>
              <w:t>3400507</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72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80" w:type="dxa"/>
            <w:vAlign w:val="bottom"/>
          </w:tcPr>
          <w:p>
            <w:pPr>
              <w:spacing w:after="0"/>
              <w:rPr>
                <w:sz w:val="20"/>
                <w:szCs w:val="20"/>
                <w:color w:val="auto"/>
              </w:rPr>
            </w:pPr>
            <w:r>
              <w:rPr>
                <w:rFonts w:ascii="Arial" w:cs="Arial" w:eastAsia="Arial" w:hAnsi="Arial"/>
                <w:sz w:val="20"/>
                <w:szCs w:val="20"/>
                <w:color w:val="auto"/>
              </w:rPr>
              <w:t>Jones Mill Quarry</w:t>
            </w:r>
          </w:p>
        </w:tc>
        <w:tc>
          <w:tcPr>
            <w:tcW w:w="920" w:type="dxa"/>
            <w:vAlign w:val="bottom"/>
          </w:tcPr>
          <w:p>
            <w:pPr>
              <w:jc w:val="right"/>
              <w:ind w:right="41"/>
              <w:spacing w:after="0"/>
              <w:rPr>
                <w:sz w:val="20"/>
                <w:szCs w:val="20"/>
                <w:color w:val="auto"/>
              </w:rPr>
            </w:pPr>
            <w:r>
              <w:rPr>
                <w:rFonts w:ascii="Arial" w:cs="Arial" w:eastAsia="Arial" w:hAnsi="Arial"/>
                <w:sz w:val="20"/>
                <w:szCs w:val="20"/>
                <w:color w:val="auto"/>
                <w:w w:val="97"/>
              </w:rPr>
              <w:t>0301586</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720" w:type="dxa"/>
            <w:vAlign w:val="bottom"/>
          </w:tcPr>
          <w:p>
            <w:pPr>
              <w:jc w:val="right"/>
              <w:ind w:right="81"/>
              <w:spacing w:after="0"/>
              <w:rPr>
                <w:sz w:val="20"/>
                <w:szCs w:val="20"/>
                <w:color w:val="auto"/>
              </w:rPr>
            </w:pPr>
            <w:r>
              <w:rPr>
                <w:rFonts w:ascii="Arial" w:cs="Arial" w:eastAsia="Arial" w:hAnsi="Arial"/>
                <w:sz w:val="20"/>
                <w:szCs w:val="20"/>
                <w:color w:val="auto"/>
              </w:rPr>
              <w:t>123</w:t>
            </w:r>
          </w:p>
        </w:tc>
        <w:tc>
          <w:tcPr>
            <w:tcW w:w="5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80" w:type="dxa"/>
            <w:vAlign w:val="bottom"/>
            <w:shd w:val="clear" w:color="auto" w:fill="CFF0FC"/>
          </w:tcPr>
          <w:p>
            <w:pPr>
              <w:spacing w:after="0"/>
              <w:rPr>
                <w:sz w:val="20"/>
                <w:szCs w:val="20"/>
                <w:color w:val="auto"/>
              </w:rPr>
            </w:pPr>
            <w:r>
              <w:rPr>
                <w:rFonts w:ascii="Arial" w:cs="Arial" w:eastAsia="Arial" w:hAnsi="Arial"/>
                <w:sz w:val="20"/>
                <w:szCs w:val="20"/>
                <w:color w:val="auto"/>
              </w:rPr>
              <w:t>Koontz McCombs Pit</w:t>
            </w:r>
          </w:p>
        </w:tc>
        <w:tc>
          <w:tcPr>
            <w:tcW w:w="92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7"/>
              </w:rPr>
              <w:t>4105048</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72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80" w:type="dxa"/>
            <w:vAlign w:val="bottom"/>
          </w:tcPr>
          <w:p>
            <w:pPr>
              <w:spacing w:after="0"/>
              <w:rPr>
                <w:sz w:val="20"/>
                <w:szCs w:val="20"/>
                <w:color w:val="auto"/>
              </w:rPr>
            </w:pPr>
            <w:r>
              <w:rPr>
                <w:rFonts w:ascii="Arial" w:cs="Arial" w:eastAsia="Arial" w:hAnsi="Arial"/>
                <w:sz w:val="20"/>
                <w:szCs w:val="20"/>
                <w:color w:val="auto"/>
              </w:rPr>
              <w:t>Medina Rock Rail</w:t>
            </w:r>
          </w:p>
        </w:tc>
        <w:tc>
          <w:tcPr>
            <w:tcW w:w="920" w:type="dxa"/>
            <w:vAlign w:val="bottom"/>
          </w:tcPr>
          <w:p>
            <w:pPr>
              <w:jc w:val="right"/>
              <w:ind w:right="41"/>
              <w:spacing w:after="0"/>
              <w:rPr>
                <w:sz w:val="20"/>
                <w:szCs w:val="20"/>
                <w:color w:val="auto"/>
              </w:rPr>
            </w:pPr>
            <w:r>
              <w:rPr>
                <w:rFonts w:ascii="Arial" w:cs="Arial" w:eastAsia="Arial" w:hAnsi="Arial"/>
                <w:sz w:val="20"/>
                <w:szCs w:val="20"/>
                <w:color w:val="auto"/>
                <w:w w:val="97"/>
              </w:rPr>
              <w:t>4105170</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720" w:type="dxa"/>
            <w:vAlign w:val="bottom"/>
          </w:tcPr>
          <w:p>
            <w:pPr>
              <w:jc w:val="right"/>
              <w:ind w:right="81"/>
              <w:spacing w:after="0"/>
              <w:rPr>
                <w:sz w:val="20"/>
                <w:szCs w:val="20"/>
                <w:color w:val="auto"/>
              </w:rPr>
            </w:pPr>
            <w:r>
              <w:rPr>
                <w:rFonts w:ascii="Arial" w:cs="Arial" w:eastAsia="Arial" w:hAnsi="Arial"/>
                <w:sz w:val="20"/>
                <w:szCs w:val="20"/>
                <w:color w:val="auto"/>
              </w:rPr>
              <w:t>171</w:t>
            </w:r>
          </w:p>
        </w:tc>
        <w:tc>
          <w:tcPr>
            <w:tcW w:w="5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80" w:type="dxa"/>
            <w:vAlign w:val="bottom"/>
            <w:shd w:val="clear" w:color="auto" w:fill="CFF0FC"/>
          </w:tcPr>
          <w:p>
            <w:pPr>
              <w:spacing w:after="0"/>
              <w:rPr>
                <w:sz w:val="20"/>
                <w:szCs w:val="20"/>
                <w:color w:val="auto"/>
              </w:rPr>
            </w:pPr>
            <w:r>
              <w:rPr>
                <w:rFonts w:ascii="Arial" w:cs="Arial" w:eastAsia="Arial" w:hAnsi="Arial"/>
                <w:sz w:val="20"/>
                <w:szCs w:val="20"/>
                <w:color w:val="auto"/>
              </w:rPr>
              <w:t>Mill Creek Limestone</w:t>
            </w:r>
          </w:p>
        </w:tc>
        <w:tc>
          <w:tcPr>
            <w:tcW w:w="92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7"/>
              </w:rPr>
              <w:t>3401859</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72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246</w:t>
            </w:r>
          </w:p>
        </w:tc>
        <w:tc>
          <w:tcPr>
            <w:tcW w:w="5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80" w:type="dxa"/>
            <w:vAlign w:val="bottom"/>
          </w:tcPr>
          <w:p>
            <w:pPr>
              <w:spacing w:after="0"/>
              <w:rPr>
                <w:sz w:val="20"/>
                <w:szCs w:val="20"/>
                <w:color w:val="auto"/>
              </w:rPr>
            </w:pPr>
            <w:r>
              <w:rPr>
                <w:rFonts w:ascii="Arial" w:cs="Arial" w:eastAsia="Arial" w:hAnsi="Arial"/>
                <w:sz w:val="20"/>
                <w:szCs w:val="20"/>
                <w:color w:val="auto"/>
              </w:rPr>
              <w:t>Mill Creek Quarry</w:t>
            </w:r>
          </w:p>
        </w:tc>
        <w:tc>
          <w:tcPr>
            <w:tcW w:w="920" w:type="dxa"/>
            <w:vAlign w:val="bottom"/>
          </w:tcPr>
          <w:p>
            <w:pPr>
              <w:jc w:val="right"/>
              <w:ind w:right="41"/>
              <w:spacing w:after="0"/>
              <w:rPr>
                <w:sz w:val="20"/>
                <w:szCs w:val="20"/>
                <w:color w:val="auto"/>
              </w:rPr>
            </w:pPr>
            <w:r>
              <w:rPr>
                <w:rFonts w:ascii="Arial" w:cs="Arial" w:eastAsia="Arial" w:hAnsi="Arial"/>
                <w:sz w:val="20"/>
                <w:szCs w:val="20"/>
                <w:color w:val="auto"/>
                <w:w w:val="97"/>
              </w:rPr>
              <w:t>3401285</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1</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720" w:type="dxa"/>
            <w:vAlign w:val="bottom"/>
          </w:tcPr>
          <w:p>
            <w:pPr>
              <w:jc w:val="right"/>
              <w:ind w:right="81"/>
              <w:spacing w:after="0"/>
              <w:rPr>
                <w:sz w:val="20"/>
                <w:szCs w:val="20"/>
                <w:color w:val="auto"/>
              </w:rPr>
            </w:pPr>
            <w:r>
              <w:rPr>
                <w:rFonts w:ascii="Arial" w:cs="Arial" w:eastAsia="Arial" w:hAnsi="Arial"/>
                <w:sz w:val="20"/>
                <w:szCs w:val="20"/>
                <w:color w:val="auto"/>
              </w:rPr>
              <w:t>605</w:t>
            </w:r>
          </w:p>
        </w:tc>
        <w:tc>
          <w:tcPr>
            <w:tcW w:w="5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80" w:type="dxa"/>
            <w:vAlign w:val="bottom"/>
            <w:shd w:val="clear" w:color="auto" w:fill="CFF0FC"/>
          </w:tcPr>
          <w:p>
            <w:pPr>
              <w:spacing w:after="0"/>
              <w:rPr>
                <w:sz w:val="20"/>
                <w:szCs w:val="20"/>
                <w:color w:val="auto"/>
              </w:rPr>
            </w:pPr>
            <w:r>
              <w:rPr>
                <w:rFonts w:ascii="Arial" w:cs="Arial" w:eastAsia="Arial" w:hAnsi="Arial"/>
                <w:sz w:val="20"/>
                <w:szCs w:val="20"/>
                <w:color w:val="auto"/>
              </w:rPr>
              <w:t>Perryville Aggregates</w:t>
            </w:r>
          </w:p>
        </w:tc>
        <w:tc>
          <w:tcPr>
            <w:tcW w:w="92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7"/>
              </w:rPr>
              <w:t>1601417</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72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763"/>
        </w:trPr>
        <w:tc>
          <w:tcPr>
            <w:tcW w:w="20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52"/>
        </w:trPr>
        <w:tc>
          <w:tcPr>
            <w:tcW w:w="2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gridSpan w:val="2"/>
          </w:tcPr>
          <w:p>
            <w:pPr>
              <w:ind w:left="20"/>
              <w:spacing w:after="0"/>
              <w:rPr>
                <w:sz w:val="20"/>
                <w:szCs w:val="20"/>
                <w:color w:val="auto"/>
              </w:rPr>
            </w:pPr>
            <w:r>
              <w:rPr>
                <w:rFonts w:ascii="Arial" w:cs="Arial" w:eastAsia="Arial" w:hAnsi="Arial"/>
                <w:sz w:val="20"/>
                <w:szCs w:val="20"/>
                <w:color w:val="auto"/>
                <w:w w:val="91"/>
              </w:rPr>
              <w:t>Appendix 1</w:t>
            </w:r>
          </w:p>
        </w:tc>
      </w:tr>
      <w:tr>
        <w:trPr>
          <w:trHeight w:val="468"/>
        </w:trPr>
        <w:tc>
          <w:tcPr>
            <w:tcW w:w="2200" w:type="dxa"/>
            <w:vAlign w:val="bottom"/>
          </w:tcPr>
          <w:p>
            <w:pPr>
              <w:spacing w:after="0"/>
              <w:rPr>
                <w:sz w:val="20"/>
                <w:szCs w:val="20"/>
                <w:color w:val="auto"/>
              </w:rPr>
            </w:pPr>
            <w:r>
              <w:rPr>
                <w:rFonts w:ascii="Arial" w:cs="Arial" w:eastAsia="Arial" w:hAnsi="Arial"/>
                <w:sz w:val="20"/>
                <w:szCs w:val="20"/>
                <w:color w:val="auto"/>
              </w:rPr>
              <w:t>Rio Medina</w:t>
            </w:r>
          </w:p>
        </w:tc>
        <w:tc>
          <w:tcPr>
            <w:tcW w:w="860" w:type="dxa"/>
            <w:vAlign w:val="bottom"/>
          </w:tcPr>
          <w:p>
            <w:pPr>
              <w:jc w:val="right"/>
              <w:ind w:right="61"/>
              <w:spacing w:after="0"/>
              <w:rPr>
                <w:sz w:val="20"/>
                <w:szCs w:val="20"/>
                <w:color w:val="auto"/>
              </w:rPr>
            </w:pPr>
            <w:r>
              <w:rPr>
                <w:rFonts w:ascii="Arial" w:cs="Arial" w:eastAsia="Arial" w:hAnsi="Arial"/>
                <w:sz w:val="20"/>
                <w:szCs w:val="20"/>
                <w:color w:val="auto"/>
                <w:w w:val="87"/>
              </w:rPr>
              <w:t>4103594</w:t>
            </w:r>
          </w:p>
        </w:tc>
        <w:tc>
          <w:tcPr>
            <w:tcW w:w="5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01"/>
              <w:spacing w:after="0"/>
              <w:rPr>
                <w:sz w:val="20"/>
                <w:szCs w:val="20"/>
                <w:color w:val="auto"/>
              </w:rPr>
            </w:pPr>
            <w:r>
              <w:rPr>
                <w:rFonts w:ascii="Arial" w:cs="Arial" w:eastAsia="Arial" w:hAnsi="Arial"/>
                <w:sz w:val="20"/>
                <w:szCs w:val="20"/>
                <w:color w:val="auto"/>
              </w:rPr>
              <w:t>0</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4"/>
                <w:szCs w:val="24"/>
                <w:color w:val="auto"/>
              </w:rPr>
            </w:pPr>
          </w:p>
        </w:tc>
      </w:tr>
      <w:tr>
        <w:trPr>
          <w:trHeight w:val="243"/>
        </w:trPr>
        <w:tc>
          <w:tcPr>
            <w:tcW w:w="2200" w:type="dxa"/>
            <w:vAlign w:val="bottom"/>
            <w:shd w:val="clear" w:color="auto" w:fill="CFF0FC"/>
          </w:tcPr>
          <w:p>
            <w:pPr>
              <w:spacing w:after="0"/>
              <w:rPr>
                <w:sz w:val="20"/>
                <w:szCs w:val="20"/>
                <w:color w:val="auto"/>
              </w:rPr>
            </w:pPr>
            <w:r>
              <w:rPr>
                <w:rFonts w:ascii="Arial" w:cs="Arial" w:eastAsia="Arial" w:hAnsi="Arial"/>
                <w:sz w:val="20"/>
                <w:szCs w:val="20"/>
                <w:color w:val="auto"/>
              </w:rPr>
              <w:t>San Pedro Quarry</w:t>
            </w:r>
          </w:p>
        </w:tc>
        <w:tc>
          <w:tcPr>
            <w:tcW w:w="8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87"/>
              </w:rPr>
              <w:t>4101337</w:t>
            </w:r>
          </w:p>
        </w:tc>
        <w:tc>
          <w:tcPr>
            <w:tcW w:w="5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rPr>
              <w:t>0</w:t>
            </w:r>
          </w:p>
        </w:tc>
        <w:tc>
          <w:tcPr>
            <w:tcW w:w="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200" w:type="dxa"/>
            <w:vAlign w:val="bottom"/>
          </w:tcPr>
          <w:p>
            <w:pPr>
              <w:spacing w:after="0"/>
              <w:rPr>
                <w:sz w:val="20"/>
                <w:szCs w:val="20"/>
                <w:color w:val="auto"/>
              </w:rPr>
            </w:pPr>
            <w:r>
              <w:rPr>
                <w:rFonts w:ascii="Arial" w:cs="Arial" w:eastAsia="Arial" w:hAnsi="Arial"/>
                <w:sz w:val="20"/>
                <w:szCs w:val="20"/>
                <w:color w:val="auto"/>
              </w:rPr>
              <w:t>Sawyer Quarry</w:t>
            </w:r>
          </w:p>
        </w:tc>
        <w:tc>
          <w:tcPr>
            <w:tcW w:w="860" w:type="dxa"/>
            <w:vAlign w:val="bottom"/>
          </w:tcPr>
          <w:p>
            <w:pPr>
              <w:jc w:val="right"/>
              <w:ind w:right="61"/>
              <w:spacing w:after="0"/>
              <w:rPr>
                <w:sz w:val="20"/>
                <w:szCs w:val="20"/>
                <w:color w:val="auto"/>
              </w:rPr>
            </w:pPr>
            <w:r>
              <w:rPr>
                <w:rFonts w:ascii="Arial" w:cs="Arial" w:eastAsia="Arial" w:hAnsi="Arial"/>
                <w:sz w:val="20"/>
                <w:szCs w:val="20"/>
                <w:color w:val="auto"/>
                <w:w w:val="87"/>
              </w:rPr>
              <w:t>3401634</w:t>
            </w:r>
          </w:p>
        </w:tc>
        <w:tc>
          <w:tcPr>
            <w:tcW w:w="5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01"/>
              <w:spacing w:after="0"/>
              <w:rPr>
                <w:sz w:val="20"/>
                <w:szCs w:val="20"/>
                <w:color w:val="auto"/>
              </w:rPr>
            </w:pPr>
            <w:r>
              <w:rPr>
                <w:rFonts w:ascii="Arial" w:cs="Arial" w:eastAsia="Arial" w:hAnsi="Arial"/>
                <w:sz w:val="20"/>
                <w:szCs w:val="20"/>
                <w:color w:val="auto"/>
              </w:rPr>
              <w:t>0</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200" w:type="dxa"/>
            <w:vAlign w:val="bottom"/>
            <w:shd w:val="clear" w:color="auto" w:fill="CFF0FC"/>
          </w:tcPr>
          <w:p>
            <w:pPr>
              <w:spacing w:after="0"/>
              <w:rPr>
                <w:sz w:val="20"/>
                <w:szCs w:val="20"/>
                <w:color w:val="auto"/>
              </w:rPr>
            </w:pPr>
            <w:r>
              <w:rPr>
                <w:rFonts w:ascii="Arial" w:cs="Arial" w:eastAsia="Arial" w:hAnsi="Arial"/>
                <w:sz w:val="20"/>
                <w:szCs w:val="20"/>
                <w:color w:val="auto"/>
              </w:rPr>
              <w:t>Smithson Valley Quarry</w:t>
            </w:r>
          </w:p>
        </w:tc>
        <w:tc>
          <w:tcPr>
            <w:tcW w:w="8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87"/>
              </w:rPr>
              <w:t>4104108</w:t>
            </w:r>
          </w:p>
        </w:tc>
        <w:tc>
          <w:tcPr>
            <w:tcW w:w="5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rPr>
              <w:t>0</w:t>
            </w:r>
          </w:p>
        </w:tc>
        <w:tc>
          <w:tcPr>
            <w:tcW w:w="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200" w:type="dxa"/>
            <w:vAlign w:val="bottom"/>
          </w:tcPr>
          <w:p>
            <w:pPr>
              <w:spacing w:after="0"/>
              <w:rPr>
                <w:sz w:val="20"/>
                <w:szCs w:val="20"/>
                <w:color w:val="auto"/>
              </w:rPr>
            </w:pPr>
            <w:r>
              <w:rPr>
                <w:rFonts w:ascii="Arial" w:cs="Arial" w:eastAsia="Arial" w:hAnsi="Arial"/>
                <w:sz w:val="20"/>
                <w:szCs w:val="20"/>
                <w:color w:val="auto"/>
              </w:rPr>
              <w:t>Snyder Quarry</w:t>
            </w:r>
          </w:p>
        </w:tc>
        <w:tc>
          <w:tcPr>
            <w:tcW w:w="860" w:type="dxa"/>
            <w:vAlign w:val="bottom"/>
          </w:tcPr>
          <w:p>
            <w:pPr>
              <w:jc w:val="right"/>
              <w:ind w:right="61"/>
              <w:spacing w:after="0"/>
              <w:rPr>
                <w:sz w:val="20"/>
                <w:szCs w:val="20"/>
                <w:color w:val="auto"/>
              </w:rPr>
            </w:pPr>
            <w:r>
              <w:rPr>
                <w:rFonts w:ascii="Arial" w:cs="Arial" w:eastAsia="Arial" w:hAnsi="Arial"/>
                <w:sz w:val="20"/>
                <w:szCs w:val="20"/>
                <w:color w:val="auto"/>
                <w:w w:val="87"/>
              </w:rPr>
              <w:t>3401651</w:t>
            </w:r>
          </w:p>
        </w:tc>
        <w:tc>
          <w:tcPr>
            <w:tcW w:w="5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01"/>
              <w:spacing w:after="0"/>
              <w:rPr>
                <w:sz w:val="20"/>
                <w:szCs w:val="20"/>
                <w:color w:val="auto"/>
              </w:rPr>
            </w:pPr>
            <w:r>
              <w:rPr>
                <w:rFonts w:ascii="Arial" w:cs="Arial" w:eastAsia="Arial" w:hAnsi="Arial"/>
                <w:sz w:val="20"/>
                <w:szCs w:val="20"/>
                <w:color w:val="auto"/>
              </w:rPr>
              <w:t>0</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200" w:type="dxa"/>
            <w:vAlign w:val="bottom"/>
            <w:shd w:val="clear" w:color="auto" w:fill="CFF0FC"/>
          </w:tcPr>
          <w:p>
            <w:pPr>
              <w:spacing w:after="0"/>
              <w:rPr>
                <w:sz w:val="20"/>
                <w:szCs w:val="20"/>
                <w:color w:val="auto"/>
              </w:rPr>
            </w:pPr>
            <w:r>
              <w:rPr>
                <w:rFonts w:ascii="Arial" w:cs="Arial" w:eastAsia="Arial" w:hAnsi="Arial"/>
                <w:sz w:val="20"/>
                <w:szCs w:val="20"/>
                <w:color w:val="auto"/>
              </w:rPr>
              <w:t>Tin Top SG</w:t>
            </w:r>
          </w:p>
        </w:tc>
        <w:tc>
          <w:tcPr>
            <w:tcW w:w="8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87"/>
              </w:rPr>
              <w:t>4102852</w:t>
            </w:r>
          </w:p>
        </w:tc>
        <w:tc>
          <w:tcPr>
            <w:tcW w:w="5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rPr>
              <w:t>0</w:t>
            </w:r>
          </w:p>
        </w:tc>
        <w:tc>
          <w:tcPr>
            <w:tcW w:w="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200" w:type="dxa"/>
            <w:vAlign w:val="bottom"/>
          </w:tcPr>
          <w:p>
            <w:pPr>
              <w:spacing w:after="0"/>
              <w:rPr>
                <w:sz w:val="20"/>
                <w:szCs w:val="20"/>
                <w:color w:val="auto"/>
              </w:rPr>
            </w:pPr>
            <w:r>
              <w:rPr>
                <w:rFonts w:ascii="Arial" w:cs="Arial" w:eastAsia="Arial" w:hAnsi="Arial"/>
                <w:sz w:val="20"/>
                <w:szCs w:val="20"/>
                <w:color w:val="auto"/>
              </w:rPr>
              <w:t>Troy Quarry</w:t>
            </w:r>
          </w:p>
        </w:tc>
        <w:tc>
          <w:tcPr>
            <w:tcW w:w="860" w:type="dxa"/>
            <w:vAlign w:val="bottom"/>
          </w:tcPr>
          <w:p>
            <w:pPr>
              <w:jc w:val="right"/>
              <w:ind w:right="61"/>
              <w:spacing w:after="0"/>
              <w:rPr>
                <w:sz w:val="20"/>
                <w:szCs w:val="20"/>
                <w:color w:val="auto"/>
              </w:rPr>
            </w:pPr>
            <w:r>
              <w:rPr>
                <w:rFonts w:ascii="Arial" w:cs="Arial" w:eastAsia="Arial" w:hAnsi="Arial"/>
                <w:sz w:val="20"/>
                <w:szCs w:val="20"/>
                <w:color w:val="auto"/>
                <w:w w:val="87"/>
              </w:rPr>
              <w:t>3401581</w:t>
            </w:r>
          </w:p>
        </w:tc>
        <w:tc>
          <w:tcPr>
            <w:tcW w:w="5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01"/>
              <w:spacing w:after="0"/>
              <w:rPr>
                <w:sz w:val="20"/>
                <w:szCs w:val="20"/>
                <w:color w:val="auto"/>
              </w:rPr>
            </w:pPr>
            <w:r>
              <w:rPr>
                <w:rFonts w:ascii="Arial" w:cs="Arial" w:eastAsia="Arial" w:hAnsi="Arial"/>
                <w:sz w:val="20"/>
                <w:szCs w:val="20"/>
                <w:color w:val="auto"/>
              </w:rPr>
              <w:t>0</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200" w:type="dxa"/>
            <w:vAlign w:val="bottom"/>
            <w:shd w:val="clear" w:color="auto" w:fill="CFF0FC"/>
          </w:tcPr>
          <w:p>
            <w:pPr>
              <w:spacing w:after="0"/>
              <w:rPr>
                <w:sz w:val="20"/>
                <w:szCs w:val="20"/>
                <w:color w:val="auto"/>
              </w:rPr>
            </w:pPr>
            <w:r>
              <w:rPr>
                <w:rFonts w:ascii="Arial" w:cs="Arial" w:eastAsia="Arial" w:hAnsi="Arial"/>
                <w:sz w:val="20"/>
                <w:szCs w:val="20"/>
                <w:color w:val="auto"/>
              </w:rPr>
              <w:t>Washita Quarry</w:t>
            </w:r>
          </w:p>
        </w:tc>
        <w:tc>
          <w:tcPr>
            <w:tcW w:w="8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87"/>
              </w:rPr>
              <w:t>3402049</w:t>
            </w:r>
          </w:p>
        </w:tc>
        <w:tc>
          <w:tcPr>
            <w:tcW w:w="5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rPr>
              <w:t>0</w:t>
            </w:r>
          </w:p>
        </w:tc>
        <w:tc>
          <w:tcPr>
            <w:tcW w:w="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171</w:t>
            </w:r>
          </w:p>
        </w:tc>
        <w:tc>
          <w:tcPr>
            <w:tcW w:w="5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200" w:type="dxa"/>
            <w:vAlign w:val="bottom"/>
          </w:tcPr>
          <w:p>
            <w:pPr>
              <w:spacing w:after="0"/>
              <w:rPr>
                <w:sz w:val="20"/>
                <w:szCs w:val="20"/>
                <w:color w:val="auto"/>
              </w:rPr>
            </w:pPr>
            <w:r>
              <w:rPr>
                <w:rFonts w:ascii="Arial" w:cs="Arial" w:eastAsia="Arial" w:hAnsi="Arial"/>
                <w:sz w:val="20"/>
                <w:szCs w:val="20"/>
                <w:color w:val="auto"/>
              </w:rPr>
              <w:t>Webberville</w:t>
            </w:r>
          </w:p>
        </w:tc>
        <w:tc>
          <w:tcPr>
            <w:tcW w:w="860" w:type="dxa"/>
            <w:vAlign w:val="bottom"/>
          </w:tcPr>
          <w:p>
            <w:pPr>
              <w:jc w:val="right"/>
              <w:ind w:right="61"/>
              <w:spacing w:after="0"/>
              <w:rPr>
                <w:sz w:val="20"/>
                <w:szCs w:val="20"/>
                <w:color w:val="auto"/>
              </w:rPr>
            </w:pPr>
            <w:r>
              <w:rPr>
                <w:rFonts w:ascii="Arial" w:cs="Arial" w:eastAsia="Arial" w:hAnsi="Arial"/>
                <w:sz w:val="20"/>
                <w:szCs w:val="20"/>
                <w:color w:val="auto"/>
                <w:w w:val="87"/>
              </w:rPr>
              <w:t>4104363</w:t>
            </w:r>
          </w:p>
        </w:tc>
        <w:tc>
          <w:tcPr>
            <w:tcW w:w="5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200" w:type="dxa"/>
            <w:vAlign w:val="bottom"/>
            <w:shd w:val="clear" w:color="auto" w:fill="CFF0FC"/>
          </w:tcPr>
          <w:p>
            <w:pPr>
              <w:spacing w:after="0"/>
              <w:rPr>
                <w:sz w:val="20"/>
                <w:szCs w:val="20"/>
                <w:color w:val="auto"/>
              </w:rPr>
            </w:pPr>
            <w:r>
              <w:rPr>
                <w:rFonts w:ascii="Arial" w:cs="Arial" w:eastAsia="Arial" w:hAnsi="Arial"/>
                <w:sz w:val="20"/>
                <w:szCs w:val="20"/>
                <w:color w:val="auto"/>
              </w:rPr>
              <w:t>Woodworth Aggregates</w:t>
            </w:r>
          </w:p>
        </w:tc>
        <w:tc>
          <w:tcPr>
            <w:tcW w:w="8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87"/>
              </w:rPr>
              <w:t>1601070</w:t>
            </w:r>
          </w:p>
        </w:tc>
        <w:tc>
          <w:tcPr>
            <w:tcW w:w="5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123</w:t>
            </w:r>
          </w:p>
        </w:tc>
        <w:tc>
          <w:tcPr>
            <w:tcW w:w="5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200" w:type="dxa"/>
            <w:vAlign w:val="bottom"/>
          </w:tcPr>
          <w:p>
            <w:pPr>
              <w:spacing w:after="0"/>
              <w:rPr>
                <w:sz w:val="20"/>
                <w:szCs w:val="20"/>
                <w:color w:val="auto"/>
              </w:rPr>
            </w:pPr>
            <w:r>
              <w:rPr>
                <w:rFonts w:ascii="Arial" w:cs="Arial" w:eastAsia="Arial" w:hAnsi="Arial"/>
                <w:sz w:val="20"/>
                <w:szCs w:val="20"/>
                <w:color w:val="auto"/>
              </w:rPr>
              <w:t>Granite Canyon Quarry</w:t>
            </w:r>
          </w:p>
        </w:tc>
        <w:tc>
          <w:tcPr>
            <w:tcW w:w="860" w:type="dxa"/>
            <w:vAlign w:val="bottom"/>
          </w:tcPr>
          <w:p>
            <w:pPr>
              <w:jc w:val="right"/>
              <w:ind w:right="61"/>
              <w:spacing w:after="0"/>
              <w:rPr>
                <w:sz w:val="20"/>
                <w:szCs w:val="20"/>
                <w:color w:val="auto"/>
              </w:rPr>
            </w:pPr>
            <w:r>
              <w:rPr>
                <w:rFonts w:ascii="Arial" w:cs="Arial" w:eastAsia="Arial" w:hAnsi="Arial"/>
                <w:sz w:val="20"/>
                <w:szCs w:val="20"/>
                <w:color w:val="auto"/>
                <w:w w:val="87"/>
              </w:rPr>
              <w:t>4800018</w:t>
            </w:r>
          </w:p>
        </w:tc>
        <w:tc>
          <w:tcPr>
            <w:tcW w:w="540" w:type="dxa"/>
            <w:vAlign w:val="bottom"/>
          </w:tcPr>
          <w:p>
            <w:pPr>
              <w:jc w:val="right"/>
              <w:ind w:right="201"/>
              <w:spacing w:after="0"/>
              <w:rPr>
                <w:sz w:val="20"/>
                <w:szCs w:val="20"/>
                <w:color w:val="auto"/>
              </w:rPr>
            </w:pPr>
            <w:r>
              <w:rPr>
                <w:rFonts w:ascii="Arial" w:cs="Arial" w:eastAsia="Arial" w:hAnsi="Arial"/>
                <w:sz w:val="20"/>
                <w:szCs w:val="20"/>
                <w:color w:val="auto"/>
              </w:rPr>
              <w:t>4</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w w:val="87"/>
              </w:rPr>
              <w:t>3,917</w:t>
            </w:r>
          </w:p>
        </w:tc>
        <w:tc>
          <w:tcPr>
            <w:tcW w:w="5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200" w:type="dxa"/>
            <w:vAlign w:val="bottom"/>
            <w:shd w:val="clear" w:color="auto" w:fill="CFF0FC"/>
          </w:tcPr>
          <w:p>
            <w:pPr>
              <w:spacing w:after="0"/>
              <w:rPr>
                <w:sz w:val="20"/>
                <w:szCs w:val="20"/>
                <w:color w:val="auto"/>
              </w:rPr>
            </w:pPr>
            <w:r>
              <w:rPr>
                <w:rFonts w:ascii="Arial" w:cs="Arial" w:eastAsia="Arial" w:hAnsi="Arial"/>
                <w:sz w:val="20"/>
                <w:szCs w:val="20"/>
                <w:color w:val="auto"/>
              </w:rPr>
              <w:t>Greeley 35th Ready Mix</w:t>
            </w:r>
          </w:p>
        </w:tc>
        <w:tc>
          <w:tcPr>
            <w:tcW w:w="8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87"/>
              </w:rPr>
              <w:t>0503215</w:t>
            </w:r>
          </w:p>
        </w:tc>
        <w:tc>
          <w:tcPr>
            <w:tcW w:w="5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3060" w:type="dxa"/>
            <w:vAlign w:val="bottom"/>
            <w:gridSpan w:val="2"/>
          </w:tcPr>
          <w:p>
            <w:pPr>
              <w:spacing w:after="0"/>
              <w:rPr>
                <w:sz w:val="20"/>
                <w:szCs w:val="20"/>
                <w:color w:val="auto"/>
              </w:rPr>
            </w:pPr>
            <w:r>
              <w:rPr>
                <w:rFonts w:ascii="Arial" w:cs="Arial" w:eastAsia="Arial" w:hAnsi="Arial"/>
                <w:sz w:val="20"/>
                <w:szCs w:val="20"/>
                <w:color w:val="auto"/>
                <w:w w:val="96"/>
              </w:rPr>
              <w:t>Greeley 35th Sand Gravel 0504613</w:t>
            </w:r>
          </w:p>
        </w:tc>
        <w:tc>
          <w:tcPr>
            <w:tcW w:w="5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288</w:t>
            </w:r>
          </w:p>
        </w:tc>
        <w:tc>
          <w:tcPr>
            <w:tcW w:w="5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200" w:type="dxa"/>
            <w:vAlign w:val="bottom"/>
            <w:shd w:val="clear" w:color="auto" w:fill="CFF0FC"/>
          </w:tcPr>
          <w:p>
            <w:pPr>
              <w:spacing w:after="0"/>
              <w:rPr>
                <w:sz w:val="20"/>
                <w:szCs w:val="20"/>
                <w:color w:val="auto"/>
              </w:rPr>
            </w:pPr>
            <w:r>
              <w:rPr>
                <w:rFonts w:ascii="Arial" w:cs="Arial" w:eastAsia="Arial" w:hAnsi="Arial"/>
                <w:sz w:val="20"/>
                <w:szCs w:val="20"/>
                <w:color w:val="auto"/>
              </w:rPr>
              <w:t>Guernsey Quarry</w:t>
            </w:r>
          </w:p>
        </w:tc>
        <w:tc>
          <w:tcPr>
            <w:tcW w:w="8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87"/>
              </w:rPr>
              <w:t>4800004</w:t>
            </w:r>
          </w:p>
        </w:tc>
        <w:tc>
          <w:tcPr>
            <w:tcW w:w="5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1</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87"/>
              </w:rPr>
              <w:t>2,595</w:t>
            </w:r>
          </w:p>
        </w:tc>
        <w:tc>
          <w:tcPr>
            <w:tcW w:w="5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200" w:type="dxa"/>
            <w:vAlign w:val="bottom"/>
          </w:tcPr>
          <w:p>
            <w:pPr>
              <w:spacing w:after="0"/>
              <w:rPr>
                <w:sz w:val="20"/>
                <w:szCs w:val="20"/>
                <w:color w:val="auto"/>
              </w:rPr>
            </w:pPr>
            <w:r>
              <w:rPr>
                <w:rFonts w:ascii="Arial" w:cs="Arial" w:eastAsia="Arial" w:hAnsi="Arial"/>
                <w:sz w:val="20"/>
                <w:szCs w:val="20"/>
                <w:color w:val="auto"/>
              </w:rPr>
              <w:t>Milford Quarry  Utah</w:t>
            </w:r>
          </w:p>
        </w:tc>
        <w:tc>
          <w:tcPr>
            <w:tcW w:w="860" w:type="dxa"/>
            <w:vAlign w:val="bottom"/>
          </w:tcPr>
          <w:p>
            <w:pPr>
              <w:jc w:val="right"/>
              <w:ind w:right="61"/>
              <w:spacing w:after="0"/>
              <w:rPr>
                <w:sz w:val="20"/>
                <w:szCs w:val="20"/>
                <w:color w:val="auto"/>
              </w:rPr>
            </w:pPr>
            <w:r>
              <w:rPr>
                <w:rFonts w:ascii="Arial" w:cs="Arial" w:eastAsia="Arial" w:hAnsi="Arial"/>
                <w:sz w:val="20"/>
                <w:szCs w:val="20"/>
                <w:color w:val="auto"/>
                <w:w w:val="87"/>
              </w:rPr>
              <w:t>4202177</w:t>
            </w:r>
          </w:p>
        </w:tc>
        <w:tc>
          <w:tcPr>
            <w:tcW w:w="540" w:type="dxa"/>
            <w:vAlign w:val="bottom"/>
          </w:tcPr>
          <w:p>
            <w:pPr>
              <w:jc w:val="right"/>
              <w:ind w:right="201"/>
              <w:spacing w:after="0"/>
              <w:rPr>
                <w:sz w:val="20"/>
                <w:szCs w:val="20"/>
                <w:color w:val="auto"/>
              </w:rPr>
            </w:pPr>
            <w:r>
              <w:rPr>
                <w:rFonts w:ascii="Arial" w:cs="Arial" w:eastAsia="Arial" w:hAnsi="Arial"/>
                <w:sz w:val="20"/>
                <w:szCs w:val="20"/>
                <w:color w:val="auto"/>
              </w:rPr>
              <w:t>1</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535</w:t>
            </w:r>
          </w:p>
        </w:tc>
        <w:tc>
          <w:tcPr>
            <w:tcW w:w="5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200" w:type="dxa"/>
            <w:vAlign w:val="bottom"/>
            <w:shd w:val="clear" w:color="auto" w:fill="CFF0FC"/>
          </w:tcPr>
          <w:p>
            <w:pPr>
              <w:spacing w:after="0"/>
              <w:rPr>
                <w:sz w:val="20"/>
                <w:szCs w:val="20"/>
                <w:color w:val="auto"/>
              </w:rPr>
            </w:pPr>
            <w:r>
              <w:rPr>
                <w:rFonts w:ascii="Arial" w:cs="Arial" w:eastAsia="Arial" w:hAnsi="Arial"/>
                <w:sz w:val="20"/>
                <w:szCs w:val="20"/>
                <w:color w:val="auto"/>
              </w:rPr>
              <w:t>Pacific Quarry</w:t>
            </w:r>
          </w:p>
        </w:tc>
        <w:tc>
          <w:tcPr>
            <w:tcW w:w="8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87"/>
              </w:rPr>
              <w:t>4500844</w:t>
            </w:r>
          </w:p>
        </w:tc>
        <w:tc>
          <w:tcPr>
            <w:tcW w:w="5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1</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87"/>
              </w:rPr>
              <w:t>4,635</w:t>
            </w:r>
          </w:p>
        </w:tc>
        <w:tc>
          <w:tcPr>
            <w:tcW w:w="5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200" w:type="dxa"/>
            <w:vAlign w:val="bottom"/>
          </w:tcPr>
          <w:p>
            <w:pPr>
              <w:spacing w:after="0"/>
              <w:rPr>
                <w:sz w:val="20"/>
                <w:szCs w:val="20"/>
                <w:color w:val="auto"/>
              </w:rPr>
            </w:pPr>
            <w:r>
              <w:rPr>
                <w:rFonts w:ascii="Arial" w:cs="Arial" w:eastAsia="Arial" w:hAnsi="Arial"/>
                <w:sz w:val="20"/>
                <w:szCs w:val="20"/>
                <w:color w:val="auto"/>
              </w:rPr>
              <w:t>Parkdale Quarry</w:t>
            </w:r>
          </w:p>
        </w:tc>
        <w:tc>
          <w:tcPr>
            <w:tcW w:w="860" w:type="dxa"/>
            <w:vAlign w:val="bottom"/>
          </w:tcPr>
          <w:p>
            <w:pPr>
              <w:jc w:val="right"/>
              <w:ind w:right="61"/>
              <w:spacing w:after="0"/>
              <w:rPr>
                <w:sz w:val="20"/>
                <w:szCs w:val="20"/>
                <w:color w:val="auto"/>
              </w:rPr>
            </w:pPr>
            <w:r>
              <w:rPr>
                <w:rFonts w:ascii="Arial" w:cs="Arial" w:eastAsia="Arial" w:hAnsi="Arial"/>
                <w:sz w:val="20"/>
                <w:szCs w:val="20"/>
                <w:color w:val="auto"/>
                <w:w w:val="87"/>
              </w:rPr>
              <w:t>0504635</w:t>
            </w:r>
          </w:p>
        </w:tc>
        <w:tc>
          <w:tcPr>
            <w:tcW w:w="5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200" w:type="dxa"/>
            <w:vAlign w:val="bottom"/>
            <w:shd w:val="clear" w:color="auto" w:fill="CFF0FC"/>
          </w:tcPr>
          <w:p>
            <w:pPr>
              <w:spacing w:after="0"/>
              <w:rPr>
                <w:sz w:val="20"/>
                <w:szCs w:val="20"/>
                <w:color w:val="auto"/>
              </w:rPr>
            </w:pPr>
            <w:r>
              <w:rPr>
                <w:rFonts w:ascii="Arial" w:cs="Arial" w:eastAsia="Arial" w:hAnsi="Arial"/>
                <w:sz w:val="20"/>
                <w:szCs w:val="20"/>
                <w:color w:val="auto"/>
              </w:rPr>
              <w:t>Parsons Sand Gravel</w:t>
            </w:r>
          </w:p>
        </w:tc>
        <w:tc>
          <w:tcPr>
            <w:tcW w:w="8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87"/>
              </w:rPr>
              <w:t>0504382</w:t>
            </w:r>
          </w:p>
        </w:tc>
        <w:tc>
          <w:tcPr>
            <w:tcW w:w="5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200" w:type="dxa"/>
            <w:vAlign w:val="bottom"/>
          </w:tcPr>
          <w:p>
            <w:pPr>
              <w:spacing w:after="0"/>
              <w:rPr>
                <w:sz w:val="20"/>
                <w:szCs w:val="20"/>
                <w:color w:val="auto"/>
              </w:rPr>
            </w:pPr>
            <w:r>
              <w:rPr>
                <w:rFonts w:ascii="Arial" w:cs="Arial" w:eastAsia="Arial" w:hAnsi="Arial"/>
                <w:sz w:val="20"/>
                <w:szCs w:val="20"/>
                <w:color w:val="auto"/>
              </w:rPr>
              <w:t>PC Portable Plant 4</w:t>
            </w:r>
          </w:p>
        </w:tc>
        <w:tc>
          <w:tcPr>
            <w:tcW w:w="860" w:type="dxa"/>
            <w:vAlign w:val="bottom"/>
          </w:tcPr>
          <w:p>
            <w:pPr>
              <w:jc w:val="right"/>
              <w:ind w:right="61"/>
              <w:spacing w:after="0"/>
              <w:rPr>
                <w:sz w:val="20"/>
                <w:szCs w:val="20"/>
                <w:color w:val="auto"/>
              </w:rPr>
            </w:pPr>
            <w:r>
              <w:rPr>
                <w:rFonts w:ascii="Arial" w:cs="Arial" w:eastAsia="Arial" w:hAnsi="Arial"/>
                <w:sz w:val="20"/>
                <w:szCs w:val="20"/>
                <w:color w:val="auto"/>
                <w:w w:val="87"/>
              </w:rPr>
              <w:t>4801565</w:t>
            </w:r>
          </w:p>
        </w:tc>
        <w:tc>
          <w:tcPr>
            <w:tcW w:w="5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200" w:type="dxa"/>
            <w:vAlign w:val="bottom"/>
            <w:shd w:val="clear" w:color="auto" w:fill="CFF0FC"/>
          </w:tcPr>
          <w:p>
            <w:pPr>
              <w:spacing w:after="0"/>
              <w:rPr>
                <w:sz w:val="20"/>
                <w:szCs w:val="20"/>
                <w:color w:val="auto"/>
              </w:rPr>
            </w:pPr>
            <w:r>
              <w:rPr>
                <w:rFonts w:ascii="Arial" w:cs="Arial" w:eastAsia="Arial" w:hAnsi="Arial"/>
                <w:sz w:val="20"/>
                <w:szCs w:val="20"/>
                <w:color w:val="auto"/>
                <w:w w:val="94"/>
              </w:rPr>
              <w:t>Penrose Sand and Gravel</w:t>
            </w:r>
          </w:p>
        </w:tc>
        <w:tc>
          <w:tcPr>
            <w:tcW w:w="8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87"/>
              </w:rPr>
              <w:t>0504509</w:t>
            </w:r>
          </w:p>
        </w:tc>
        <w:tc>
          <w:tcPr>
            <w:tcW w:w="5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123</w:t>
            </w:r>
          </w:p>
        </w:tc>
        <w:tc>
          <w:tcPr>
            <w:tcW w:w="5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200" w:type="dxa"/>
            <w:vAlign w:val="bottom"/>
          </w:tcPr>
          <w:p>
            <w:pPr>
              <w:spacing w:after="0"/>
              <w:rPr>
                <w:sz w:val="20"/>
                <w:szCs w:val="20"/>
                <w:color w:val="auto"/>
              </w:rPr>
            </w:pPr>
            <w:r>
              <w:rPr>
                <w:rFonts w:ascii="Arial" w:cs="Arial" w:eastAsia="Arial" w:hAnsi="Arial"/>
                <w:sz w:val="20"/>
                <w:szCs w:val="20"/>
                <w:color w:val="auto"/>
              </w:rPr>
              <w:t>Platte Sand &amp; Gravel</w:t>
            </w:r>
          </w:p>
        </w:tc>
        <w:tc>
          <w:tcPr>
            <w:tcW w:w="860" w:type="dxa"/>
            <w:vAlign w:val="bottom"/>
          </w:tcPr>
          <w:p>
            <w:pPr>
              <w:jc w:val="right"/>
              <w:ind w:right="61"/>
              <w:spacing w:after="0"/>
              <w:rPr>
                <w:sz w:val="20"/>
                <w:szCs w:val="20"/>
                <w:color w:val="auto"/>
              </w:rPr>
            </w:pPr>
            <w:r>
              <w:rPr>
                <w:rFonts w:ascii="Arial" w:cs="Arial" w:eastAsia="Arial" w:hAnsi="Arial"/>
                <w:sz w:val="20"/>
                <w:szCs w:val="20"/>
                <w:color w:val="auto"/>
                <w:w w:val="87"/>
              </w:rPr>
              <w:t>0504418</w:t>
            </w:r>
          </w:p>
        </w:tc>
        <w:tc>
          <w:tcPr>
            <w:tcW w:w="5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135</w:t>
            </w:r>
          </w:p>
        </w:tc>
        <w:tc>
          <w:tcPr>
            <w:tcW w:w="5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200" w:type="dxa"/>
            <w:vAlign w:val="bottom"/>
            <w:shd w:val="clear" w:color="auto" w:fill="CFF0FC"/>
          </w:tcPr>
          <w:p>
            <w:pPr>
              <w:spacing w:after="0"/>
              <w:rPr>
                <w:sz w:val="20"/>
                <w:szCs w:val="20"/>
                <w:color w:val="auto"/>
              </w:rPr>
            </w:pPr>
            <w:r>
              <w:rPr>
                <w:rFonts w:ascii="Arial" w:cs="Arial" w:eastAsia="Arial" w:hAnsi="Arial"/>
                <w:sz w:val="20"/>
                <w:szCs w:val="20"/>
                <w:color w:val="auto"/>
              </w:rPr>
              <w:t>Portable Crushing</w:t>
            </w:r>
          </w:p>
        </w:tc>
        <w:tc>
          <w:tcPr>
            <w:tcW w:w="8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87"/>
              </w:rPr>
              <w:t>0503984</w:t>
            </w:r>
          </w:p>
        </w:tc>
        <w:tc>
          <w:tcPr>
            <w:tcW w:w="5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246</w:t>
            </w:r>
          </w:p>
        </w:tc>
        <w:tc>
          <w:tcPr>
            <w:tcW w:w="5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200" w:type="dxa"/>
            <w:vAlign w:val="bottom"/>
          </w:tcPr>
          <w:p>
            <w:pPr>
              <w:spacing w:after="0"/>
              <w:rPr>
                <w:sz w:val="20"/>
                <w:szCs w:val="20"/>
                <w:color w:val="auto"/>
              </w:rPr>
            </w:pPr>
            <w:r>
              <w:rPr>
                <w:rFonts w:ascii="Arial" w:cs="Arial" w:eastAsia="Arial" w:hAnsi="Arial"/>
                <w:sz w:val="20"/>
                <w:szCs w:val="20"/>
                <w:color w:val="auto"/>
              </w:rPr>
              <w:t>Portable Plant 1</w:t>
            </w:r>
          </w:p>
        </w:tc>
        <w:tc>
          <w:tcPr>
            <w:tcW w:w="860" w:type="dxa"/>
            <w:vAlign w:val="bottom"/>
          </w:tcPr>
          <w:p>
            <w:pPr>
              <w:jc w:val="right"/>
              <w:ind w:right="61"/>
              <w:spacing w:after="0"/>
              <w:rPr>
                <w:sz w:val="20"/>
                <w:szCs w:val="20"/>
                <w:color w:val="auto"/>
              </w:rPr>
            </w:pPr>
            <w:r>
              <w:rPr>
                <w:rFonts w:ascii="Arial" w:cs="Arial" w:eastAsia="Arial" w:hAnsi="Arial"/>
                <w:sz w:val="20"/>
                <w:szCs w:val="20"/>
                <w:color w:val="auto"/>
                <w:w w:val="87"/>
              </w:rPr>
              <w:t>0504359</w:t>
            </w:r>
          </w:p>
        </w:tc>
        <w:tc>
          <w:tcPr>
            <w:tcW w:w="5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200" w:type="dxa"/>
            <w:vAlign w:val="bottom"/>
            <w:shd w:val="clear" w:color="auto" w:fill="CFF0FC"/>
          </w:tcPr>
          <w:p>
            <w:pPr>
              <w:spacing w:after="0"/>
              <w:rPr>
                <w:sz w:val="20"/>
                <w:szCs w:val="20"/>
                <w:color w:val="auto"/>
              </w:rPr>
            </w:pPr>
            <w:r>
              <w:rPr>
                <w:rFonts w:ascii="Arial" w:cs="Arial" w:eastAsia="Arial" w:hAnsi="Arial"/>
                <w:sz w:val="20"/>
                <w:szCs w:val="20"/>
                <w:color w:val="auto"/>
              </w:rPr>
              <w:t>Portable Plant 21</w:t>
            </w:r>
          </w:p>
        </w:tc>
        <w:tc>
          <w:tcPr>
            <w:tcW w:w="8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87"/>
              </w:rPr>
              <w:t>0504520</w:t>
            </w:r>
          </w:p>
        </w:tc>
        <w:tc>
          <w:tcPr>
            <w:tcW w:w="5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200" w:type="dxa"/>
            <w:vAlign w:val="bottom"/>
          </w:tcPr>
          <w:p>
            <w:pPr>
              <w:spacing w:after="0"/>
              <w:rPr>
                <w:sz w:val="20"/>
                <w:szCs w:val="20"/>
                <w:color w:val="auto"/>
              </w:rPr>
            </w:pPr>
            <w:r>
              <w:rPr>
                <w:rFonts w:ascii="Arial" w:cs="Arial" w:eastAsia="Arial" w:hAnsi="Arial"/>
                <w:sz w:val="20"/>
                <w:szCs w:val="20"/>
                <w:color w:val="auto"/>
              </w:rPr>
              <w:t>Red Canyon Quarry</w:t>
            </w:r>
          </w:p>
        </w:tc>
        <w:tc>
          <w:tcPr>
            <w:tcW w:w="860" w:type="dxa"/>
            <w:vAlign w:val="bottom"/>
          </w:tcPr>
          <w:p>
            <w:pPr>
              <w:jc w:val="right"/>
              <w:ind w:right="61"/>
              <w:spacing w:after="0"/>
              <w:rPr>
                <w:sz w:val="20"/>
                <w:szCs w:val="20"/>
                <w:color w:val="auto"/>
              </w:rPr>
            </w:pPr>
            <w:r>
              <w:rPr>
                <w:rFonts w:ascii="Arial" w:cs="Arial" w:eastAsia="Arial" w:hAnsi="Arial"/>
                <w:sz w:val="20"/>
                <w:szCs w:val="20"/>
                <w:color w:val="auto"/>
                <w:w w:val="87"/>
              </w:rPr>
              <w:t>0504136</w:t>
            </w:r>
          </w:p>
        </w:tc>
        <w:tc>
          <w:tcPr>
            <w:tcW w:w="5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615</w:t>
            </w:r>
          </w:p>
        </w:tc>
        <w:tc>
          <w:tcPr>
            <w:tcW w:w="5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200" w:type="dxa"/>
            <w:vAlign w:val="bottom"/>
            <w:shd w:val="clear" w:color="auto" w:fill="CFF0FC"/>
          </w:tcPr>
          <w:p>
            <w:pPr>
              <w:spacing w:after="0"/>
              <w:rPr>
                <w:sz w:val="20"/>
                <w:szCs w:val="20"/>
                <w:color w:val="auto"/>
              </w:rPr>
            </w:pPr>
            <w:r>
              <w:rPr>
                <w:rFonts w:ascii="Arial" w:cs="Arial" w:eastAsia="Arial" w:hAnsi="Arial"/>
                <w:sz w:val="20"/>
                <w:szCs w:val="20"/>
                <w:color w:val="auto"/>
              </w:rPr>
              <w:t>Riverbend Sand Gravel</w:t>
            </w:r>
          </w:p>
        </w:tc>
        <w:tc>
          <w:tcPr>
            <w:tcW w:w="8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87"/>
              </w:rPr>
              <w:t>0504841</w:t>
            </w:r>
          </w:p>
        </w:tc>
        <w:tc>
          <w:tcPr>
            <w:tcW w:w="5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246</w:t>
            </w:r>
          </w:p>
        </w:tc>
        <w:tc>
          <w:tcPr>
            <w:tcW w:w="5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26"/>
        </w:trPr>
        <w:tc>
          <w:tcPr>
            <w:tcW w:w="2200" w:type="dxa"/>
            <w:vAlign w:val="bottom"/>
          </w:tcPr>
          <w:p>
            <w:pPr>
              <w:spacing w:after="0" w:line="227" w:lineRule="exact"/>
              <w:rPr>
                <w:sz w:val="20"/>
                <w:szCs w:val="20"/>
                <w:color w:val="auto"/>
              </w:rPr>
            </w:pPr>
            <w:r>
              <w:rPr>
                <w:rFonts w:ascii="Arial" w:cs="Arial" w:eastAsia="Arial" w:hAnsi="Arial"/>
                <w:sz w:val="20"/>
                <w:szCs w:val="20"/>
                <w:color w:val="auto"/>
                <w:w w:val="89"/>
              </w:rPr>
              <w:t>Spanish Springs Quarry Co</w:t>
            </w:r>
          </w:p>
        </w:tc>
        <w:tc>
          <w:tcPr>
            <w:tcW w:w="8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6"/>
        </w:trPr>
        <w:tc>
          <w:tcPr>
            <w:tcW w:w="2200" w:type="dxa"/>
            <w:vAlign w:val="bottom"/>
          </w:tcPr>
          <w:p>
            <w:pPr>
              <w:spacing w:after="0"/>
              <w:rPr>
                <w:sz w:val="20"/>
                <w:szCs w:val="20"/>
                <w:color w:val="auto"/>
              </w:rPr>
            </w:pPr>
            <w:r>
              <w:rPr>
                <w:rFonts w:ascii="Arial" w:cs="Arial" w:eastAsia="Arial" w:hAnsi="Arial"/>
                <w:sz w:val="20"/>
                <w:szCs w:val="20"/>
                <w:color w:val="auto"/>
              </w:rPr>
              <w:t>2</w:t>
            </w:r>
          </w:p>
        </w:tc>
        <w:tc>
          <w:tcPr>
            <w:tcW w:w="860" w:type="dxa"/>
            <w:vAlign w:val="bottom"/>
          </w:tcPr>
          <w:p>
            <w:pPr>
              <w:jc w:val="right"/>
              <w:ind w:right="61"/>
              <w:spacing w:after="0"/>
              <w:rPr>
                <w:sz w:val="20"/>
                <w:szCs w:val="20"/>
                <w:color w:val="auto"/>
              </w:rPr>
            </w:pPr>
            <w:r>
              <w:rPr>
                <w:rFonts w:ascii="Arial" w:cs="Arial" w:eastAsia="Arial" w:hAnsi="Arial"/>
                <w:sz w:val="20"/>
                <w:szCs w:val="20"/>
                <w:color w:val="auto"/>
                <w:w w:val="87"/>
              </w:rPr>
              <w:t>2600803</w:t>
            </w:r>
          </w:p>
        </w:tc>
        <w:tc>
          <w:tcPr>
            <w:tcW w:w="540" w:type="dxa"/>
            <w:vAlign w:val="bottom"/>
          </w:tcPr>
          <w:p>
            <w:pPr>
              <w:jc w:val="right"/>
              <w:ind w:right="201"/>
              <w:spacing w:after="0"/>
              <w:rPr>
                <w:sz w:val="20"/>
                <w:szCs w:val="20"/>
                <w:color w:val="auto"/>
              </w:rPr>
            </w:pPr>
            <w:r>
              <w:rPr>
                <w:rFonts w:ascii="Arial" w:cs="Arial" w:eastAsia="Arial" w:hAnsi="Arial"/>
                <w:sz w:val="20"/>
                <w:szCs w:val="20"/>
                <w:color w:val="auto"/>
              </w:rPr>
              <w:t>2</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w w:val="87"/>
              </w:rPr>
              <w:t>2,964</w:t>
            </w:r>
          </w:p>
        </w:tc>
        <w:tc>
          <w:tcPr>
            <w:tcW w:w="5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200" w:type="dxa"/>
            <w:vAlign w:val="bottom"/>
            <w:shd w:val="clear" w:color="auto" w:fill="CFF0FC"/>
          </w:tcPr>
          <w:p>
            <w:pPr>
              <w:spacing w:after="0"/>
              <w:rPr>
                <w:sz w:val="20"/>
                <w:szCs w:val="20"/>
                <w:color w:val="auto"/>
              </w:rPr>
            </w:pPr>
            <w:r>
              <w:rPr>
                <w:rFonts w:ascii="Arial" w:cs="Arial" w:eastAsia="Arial" w:hAnsi="Arial"/>
                <w:sz w:val="20"/>
                <w:szCs w:val="20"/>
                <w:color w:val="auto"/>
              </w:rPr>
              <w:t>Spec Agg Quarry</w:t>
            </w:r>
          </w:p>
        </w:tc>
        <w:tc>
          <w:tcPr>
            <w:tcW w:w="8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87"/>
              </w:rPr>
              <w:t>0500860</w:t>
            </w:r>
          </w:p>
        </w:tc>
        <w:tc>
          <w:tcPr>
            <w:tcW w:w="5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1</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87"/>
              </w:rPr>
              <w:t>1,486</w:t>
            </w:r>
          </w:p>
        </w:tc>
        <w:tc>
          <w:tcPr>
            <w:tcW w:w="5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200" w:type="dxa"/>
            <w:vAlign w:val="bottom"/>
          </w:tcPr>
          <w:p>
            <w:pPr>
              <w:spacing w:after="0"/>
              <w:rPr>
                <w:sz w:val="20"/>
                <w:szCs w:val="20"/>
                <w:color w:val="auto"/>
              </w:rPr>
            </w:pPr>
            <w:r>
              <w:rPr>
                <w:rFonts w:ascii="Arial" w:cs="Arial" w:eastAsia="Arial" w:hAnsi="Arial"/>
                <w:sz w:val="20"/>
                <w:szCs w:val="20"/>
                <w:color w:val="auto"/>
              </w:rPr>
              <w:t>Taft Sand Gravel</w:t>
            </w:r>
          </w:p>
        </w:tc>
        <w:tc>
          <w:tcPr>
            <w:tcW w:w="860" w:type="dxa"/>
            <w:vAlign w:val="bottom"/>
          </w:tcPr>
          <w:p>
            <w:pPr>
              <w:jc w:val="right"/>
              <w:ind w:right="61"/>
              <w:spacing w:after="0"/>
              <w:rPr>
                <w:sz w:val="20"/>
                <w:szCs w:val="20"/>
                <w:color w:val="auto"/>
              </w:rPr>
            </w:pPr>
            <w:r>
              <w:rPr>
                <w:rFonts w:ascii="Arial" w:cs="Arial" w:eastAsia="Arial" w:hAnsi="Arial"/>
                <w:sz w:val="20"/>
                <w:szCs w:val="20"/>
                <w:color w:val="auto"/>
                <w:w w:val="87"/>
              </w:rPr>
              <w:t>0504526</w:t>
            </w:r>
          </w:p>
        </w:tc>
        <w:tc>
          <w:tcPr>
            <w:tcW w:w="5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123</w:t>
            </w:r>
          </w:p>
        </w:tc>
        <w:tc>
          <w:tcPr>
            <w:tcW w:w="5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200" w:type="dxa"/>
            <w:vAlign w:val="bottom"/>
            <w:shd w:val="clear" w:color="auto" w:fill="CFF0FC"/>
          </w:tcPr>
          <w:p>
            <w:pPr>
              <w:spacing w:after="0"/>
              <w:rPr>
                <w:sz w:val="20"/>
                <w:szCs w:val="20"/>
                <w:color w:val="auto"/>
              </w:rPr>
            </w:pPr>
            <w:r>
              <w:rPr>
                <w:rFonts w:ascii="Arial" w:cs="Arial" w:eastAsia="Arial" w:hAnsi="Arial"/>
                <w:sz w:val="20"/>
                <w:szCs w:val="20"/>
                <w:color w:val="auto"/>
              </w:rPr>
              <w:t>Taft Shop</w:t>
            </w:r>
          </w:p>
        </w:tc>
        <w:tc>
          <w:tcPr>
            <w:tcW w:w="8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87"/>
              </w:rPr>
              <w:t>0504735</w:t>
            </w:r>
          </w:p>
        </w:tc>
        <w:tc>
          <w:tcPr>
            <w:tcW w:w="5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200" w:type="dxa"/>
            <w:vAlign w:val="bottom"/>
          </w:tcPr>
          <w:p>
            <w:pPr>
              <w:spacing w:after="0"/>
              <w:rPr>
                <w:sz w:val="20"/>
                <w:szCs w:val="20"/>
                <w:color w:val="auto"/>
              </w:rPr>
            </w:pPr>
            <w:r>
              <w:rPr>
                <w:rFonts w:ascii="Arial" w:cs="Arial" w:eastAsia="Arial" w:hAnsi="Arial"/>
                <w:sz w:val="20"/>
                <w:szCs w:val="20"/>
                <w:color w:val="auto"/>
              </w:rPr>
              <w:t>Hunter Cement</w:t>
            </w:r>
          </w:p>
        </w:tc>
        <w:tc>
          <w:tcPr>
            <w:tcW w:w="860" w:type="dxa"/>
            <w:vAlign w:val="bottom"/>
          </w:tcPr>
          <w:p>
            <w:pPr>
              <w:jc w:val="right"/>
              <w:ind w:right="61"/>
              <w:spacing w:after="0"/>
              <w:rPr>
                <w:sz w:val="20"/>
                <w:szCs w:val="20"/>
                <w:color w:val="auto"/>
              </w:rPr>
            </w:pPr>
            <w:r>
              <w:rPr>
                <w:rFonts w:ascii="Arial" w:cs="Arial" w:eastAsia="Arial" w:hAnsi="Arial"/>
                <w:sz w:val="20"/>
                <w:szCs w:val="20"/>
                <w:color w:val="auto"/>
                <w:w w:val="87"/>
              </w:rPr>
              <w:t>4102820</w:t>
            </w:r>
          </w:p>
        </w:tc>
        <w:tc>
          <w:tcPr>
            <w:tcW w:w="540" w:type="dxa"/>
            <w:vAlign w:val="bottom"/>
          </w:tcPr>
          <w:p>
            <w:pPr>
              <w:jc w:val="right"/>
              <w:ind w:right="201"/>
              <w:spacing w:after="0"/>
              <w:rPr>
                <w:sz w:val="20"/>
                <w:szCs w:val="20"/>
                <w:color w:val="auto"/>
              </w:rPr>
            </w:pPr>
            <w:r>
              <w:rPr>
                <w:rFonts w:ascii="Arial" w:cs="Arial" w:eastAsia="Arial" w:hAnsi="Arial"/>
                <w:sz w:val="20"/>
                <w:szCs w:val="20"/>
                <w:color w:val="auto"/>
              </w:rPr>
              <w:t>4</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w w:val="87"/>
              </w:rPr>
              <w:t>7,790</w:t>
            </w:r>
          </w:p>
        </w:tc>
        <w:tc>
          <w:tcPr>
            <w:tcW w:w="5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2</w:t>
            </w:r>
          </w:p>
        </w:tc>
        <w:tc>
          <w:tcPr>
            <w:tcW w:w="420" w:type="dxa"/>
            <w:vAlign w:val="bottom"/>
          </w:tcPr>
          <w:p>
            <w:pPr>
              <w:jc w:val="right"/>
              <w:spacing w:after="0"/>
              <w:rPr>
                <w:sz w:val="20"/>
                <w:szCs w:val="20"/>
                <w:color w:val="auto"/>
              </w:rPr>
            </w:pPr>
            <w:r>
              <w:rPr>
                <w:rFonts w:ascii="Arial" w:cs="Arial" w:eastAsia="Arial" w:hAnsi="Arial"/>
                <w:sz w:val="20"/>
                <w:szCs w:val="20"/>
                <w:color w:val="auto"/>
              </w:rPr>
              <w:t>2</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200" w:type="dxa"/>
            <w:vAlign w:val="bottom"/>
            <w:shd w:val="clear" w:color="auto" w:fill="CFF0FC"/>
          </w:tcPr>
          <w:p>
            <w:pPr>
              <w:spacing w:after="0"/>
              <w:rPr>
                <w:sz w:val="20"/>
                <w:szCs w:val="20"/>
                <w:color w:val="auto"/>
              </w:rPr>
            </w:pPr>
            <w:r>
              <w:rPr>
                <w:rFonts w:ascii="Arial" w:cs="Arial" w:eastAsia="Arial" w:hAnsi="Arial"/>
                <w:sz w:val="20"/>
                <w:szCs w:val="20"/>
                <w:color w:val="auto"/>
              </w:rPr>
              <w:t>Midlothian Cement</w:t>
            </w:r>
          </w:p>
        </w:tc>
        <w:tc>
          <w:tcPr>
            <w:tcW w:w="8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87"/>
              </w:rPr>
              <w:t>4100071</w:t>
            </w:r>
          </w:p>
        </w:tc>
        <w:tc>
          <w:tcPr>
            <w:tcW w:w="5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2</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87"/>
              </w:rPr>
              <w:t>5,966</w:t>
            </w:r>
          </w:p>
        </w:tc>
        <w:tc>
          <w:tcPr>
            <w:tcW w:w="5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2</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200" w:type="dxa"/>
            <w:vAlign w:val="bottom"/>
          </w:tcPr>
          <w:p>
            <w:pPr>
              <w:spacing w:after="0"/>
              <w:rPr>
                <w:sz w:val="20"/>
                <w:szCs w:val="20"/>
                <w:color w:val="auto"/>
              </w:rPr>
            </w:pPr>
            <w:r>
              <w:rPr>
                <w:rFonts w:ascii="Arial" w:cs="Arial" w:eastAsia="Arial" w:hAnsi="Arial"/>
                <w:sz w:val="20"/>
                <w:szCs w:val="20"/>
                <w:color w:val="auto"/>
                <w:w w:val="99"/>
              </w:rPr>
              <w:t>Geology and Exploration</w:t>
            </w:r>
          </w:p>
        </w:tc>
        <w:tc>
          <w:tcPr>
            <w:tcW w:w="860" w:type="dxa"/>
            <w:vAlign w:val="bottom"/>
          </w:tcPr>
          <w:p>
            <w:pPr>
              <w:jc w:val="right"/>
              <w:ind w:right="61"/>
              <w:spacing w:after="0"/>
              <w:rPr>
                <w:sz w:val="20"/>
                <w:szCs w:val="20"/>
                <w:color w:val="auto"/>
              </w:rPr>
            </w:pPr>
            <w:r>
              <w:rPr>
                <w:rFonts w:ascii="Arial" w:cs="Arial" w:eastAsia="Arial" w:hAnsi="Arial"/>
                <w:sz w:val="20"/>
                <w:szCs w:val="20"/>
                <w:color w:val="auto"/>
              </w:rPr>
              <w:t>B7127</w:t>
            </w:r>
          </w:p>
        </w:tc>
        <w:tc>
          <w:tcPr>
            <w:tcW w:w="5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200" w:type="dxa"/>
            <w:vAlign w:val="bottom"/>
            <w:shd w:val="clear" w:color="auto" w:fill="CFF0FC"/>
          </w:tcPr>
          <w:p>
            <w:pPr>
              <w:spacing w:after="0"/>
              <w:rPr>
                <w:sz w:val="20"/>
                <w:szCs w:val="20"/>
                <w:color w:val="auto"/>
              </w:rPr>
            </w:pPr>
            <w:r>
              <w:rPr>
                <w:rFonts w:ascii="Arial" w:cs="Arial" w:eastAsia="Arial" w:hAnsi="Arial"/>
                <w:sz w:val="20"/>
                <w:szCs w:val="20"/>
                <w:color w:val="auto"/>
              </w:rPr>
              <w:t>Salisbury Shop</w:t>
            </w:r>
          </w:p>
        </w:tc>
        <w:tc>
          <w:tcPr>
            <w:tcW w:w="8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87"/>
              </w:rPr>
              <w:t>3101235</w:t>
            </w:r>
          </w:p>
        </w:tc>
        <w:tc>
          <w:tcPr>
            <w:tcW w:w="5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763"/>
        </w:trPr>
        <w:tc>
          <w:tcPr>
            <w:tcW w:w="220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52"/>
        </w:trPr>
        <w:tc>
          <w:tcPr>
            <w:tcW w:w="18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w w:val="91"/>
              </w:rPr>
              <w:t>Appendix 1</w:t>
            </w:r>
          </w:p>
        </w:tc>
      </w:tr>
      <w:tr>
        <w:trPr>
          <w:trHeight w:val="468"/>
        </w:trPr>
        <w:tc>
          <w:tcPr>
            <w:tcW w:w="1800" w:type="dxa"/>
            <w:vAlign w:val="bottom"/>
          </w:tcPr>
          <w:p>
            <w:pPr>
              <w:spacing w:after="0"/>
              <w:rPr>
                <w:sz w:val="20"/>
                <w:szCs w:val="20"/>
                <w:color w:val="auto"/>
              </w:rPr>
            </w:pPr>
            <w:r>
              <w:rPr>
                <w:rFonts w:ascii="Arial" w:cs="Arial" w:eastAsia="Arial" w:hAnsi="Arial"/>
                <w:sz w:val="20"/>
                <w:szCs w:val="20"/>
                <w:color w:val="auto"/>
              </w:rPr>
              <w:t>Woodville  Stone</w:t>
            </w:r>
          </w:p>
        </w:tc>
        <w:tc>
          <w:tcPr>
            <w:tcW w:w="1180" w:type="dxa"/>
            <w:vAlign w:val="bottom"/>
          </w:tcPr>
          <w:p>
            <w:pPr>
              <w:jc w:val="right"/>
              <w:ind w:right="21"/>
              <w:spacing w:after="0"/>
              <w:rPr>
                <w:sz w:val="20"/>
                <w:szCs w:val="20"/>
                <w:color w:val="auto"/>
              </w:rPr>
            </w:pPr>
            <w:r>
              <w:rPr>
                <w:rFonts w:ascii="Arial" w:cs="Arial" w:eastAsia="Arial" w:hAnsi="Arial"/>
                <w:sz w:val="20"/>
                <w:szCs w:val="20"/>
                <w:color w:val="auto"/>
              </w:rPr>
              <w:t>3300156</w:t>
            </w:r>
          </w:p>
        </w:tc>
        <w:tc>
          <w:tcPr>
            <w:tcW w:w="600" w:type="dxa"/>
            <w:vAlign w:val="bottom"/>
          </w:tcPr>
          <w:p>
            <w:pPr>
              <w:jc w:val="right"/>
              <w:ind w:right="221"/>
              <w:spacing w:after="0"/>
              <w:rPr>
                <w:sz w:val="20"/>
                <w:szCs w:val="20"/>
                <w:color w:val="auto"/>
              </w:rPr>
            </w:pPr>
            <w:r>
              <w:rPr>
                <w:rFonts w:ascii="Arial" w:cs="Arial" w:eastAsia="Arial" w:hAnsi="Arial"/>
                <w:sz w:val="20"/>
                <w:szCs w:val="20"/>
                <w:color w:val="auto"/>
              </w:rPr>
              <w:t>1</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740" w:type="dxa"/>
            <w:vAlign w:val="bottom"/>
          </w:tcPr>
          <w:p>
            <w:pPr>
              <w:jc w:val="right"/>
              <w:ind w:right="81"/>
              <w:spacing w:after="0"/>
              <w:rPr>
                <w:sz w:val="20"/>
                <w:szCs w:val="20"/>
                <w:color w:val="auto"/>
              </w:rPr>
            </w:pPr>
            <w:r>
              <w:rPr>
                <w:rFonts w:ascii="Arial" w:cs="Arial" w:eastAsia="Arial" w:hAnsi="Arial"/>
                <w:sz w:val="20"/>
                <w:szCs w:val="20"/>
                <w:color w:val="auto"/>
              </w:rPr>
              <w:t>4,773</w:t>
            </w:r>
          </w:p>
        </w:tc>
        <w:tc>
          <w:tcPr>
            <w:tcW w:w="5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60" w:type="dxa"/>
            <w:vAlign w:val="bottom"/>
          </w:tcPr>
          <w:p>
            <w:pPr>
              <w:jc w:val="right"/>
              <w:ind w:right="221"/>
              <w:spacing w:after="0"/>
              <w:rPr>
                <w:sz w:val="20"/>
                <w:szCs w:val="20"/>
                <w:color w:val="auto"/>
              </w:rPr>
            </w:pPr>
            <w:r>
              <w:rPr>
                <w:rFonts w:ascii="Arial" w:cs="Arial" w:eastAsia="Arial" w:hAnsi="Arial"/>
                <w:sz w:val="20"/>
                <w:szCs w:val="20"/>
                <w:color w:val="auto"/>
              </w:rPr>
              <w:t>1</w:t>
            </w:r>
          </w:p>
        </w:tc>
        <w:tc>
          <w:tcPr>
            <w:tcW w:w="380" w:type="dxa"/>
            <w:vAlign w:val="bottom"/>
          </w:tcPr>
          <w:p>
            <w:pPr>
              <w:jc w:val="right"/>
              <w:spacing w:after="0"/>
              <w:rPr>
                <w:sz w:val="20"/>
                <w:szCs w:val="20"/>
                <w:color w:val="auto"/>
              </w:rPr>
            </w:pPr>
            <w:r>
              <w:rPr>
                <w:rFonts w:ascii="Arial" w:cs="Arial" w:eastAsia="Arial" w:hAnsi="Arial"/>
                <w:sz w:val="20"/>
                <w:szCs w:val="20"/>
                <w:color w:val="auto"/>
              </w:rPr>
              <w:t>1</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r>
      <w:tr>
        <w:trPr>
          <w:trHeight w:val="243"/>
        </w:trPr>
        <w:tc>
          <w:tcPr>
            <w:tcW w:w="1800" w:type="dxa"/>
            <w:vAlign w:val="bottom"/>
            <w:shd w:val="clear" w:color="auto" w:fill="CFF0FC"/>
          </w:tcPr>
          <w:p>
            <w:pPr>
              <w:spacing w:after="0"/>
              <w:rPr>
                <w:sz w:val="20"/>
                <w:szCs w:val="20"/>
                <w:color w:val="auto"/>
              </w:rPr>
            </w:pPr>
            <w:r>
              <w:rPr>
                <w:rFonts w:ascii="Arial" w:cs="Arial" w:eastAsia="Arial" w:hAnsi="Arial"/>
                <w:sz w:val="20"/>
                <w:szCs w:val="20"/>
                <w:b w:val="1"/>
                <w:bCs w:val="1"/>
                <w:color w:val="auto"/>
              </w:rPr>
              <w:t>TOTAL</w:t>
            </w:r>
          </w:p>
        </w:tc>
        <w:tc>
          <w:tcPr>
            <w:tcW w:w="1180" w:type="dxa"/>
            <w:vAlign w:val="bottom"/>
            <w:shd w:val="clear" w:color="auto" w:fill="CFF0FC"/>
          </w:tcPr>
          <w:p>
            <w:pPr>
              <w:spacing w:after="0"/>
              <w:rPr>
                <w:sz w:val="21"/>
                <w:szCs w:val="21"/>
                <w:color w:val="auto"/>
              </w:rPr>
            </w:pPr>
          </w:p>
        </w:tc>
        <w:tc>
          <w:tcPr>
            <w:tcW w:w="600" w:type="dxa"/>
            <w:vAlign w:val="bottom"/>
            <w:shd w:val="clear" w:color="auto" w:fill="CFF0FC"/>
          </w:tcPr>
          <w:p>
            <w:pPr>
              <w:jc w:val="right"/>
              <w:ind w:right="181"/>
              <w:spacing w:after="0"/>
              <w:rPr>
                <w:sz w:val="20"/>
                <w:szCs w:val="20"/>
                <w:color w:val="auto"/>
              </w:rPr>
            </w:pPr>
            <w:r>
              <w:rPr>
                <w:rFonts w:ascii="Arial" w:cs="Arial" w:eastAsia="Arial" w:hAnsi="Arial"/>
                <w:sz w:val="20"/>
                <w:szCs w:val="20"/>
                <w:b w:val="1"/>
                <w:bCs w:val="1"/>
                <w:color w:val="auto"/>
              </w:rPr>
              <w:t>53</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b w:val="1"/>
                <w:bCs w:val="1"/>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b w:val="1"/>
                <w:bCs w:val="1"/>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b w:val="1"/>
                <w:bCs w:val="1"/>
                <w:color w:val="auto"/>
              </w:rPr>
              <w:t>0</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260" w:type="dxa"/>
            <w:vAlign w:val="bottom"/>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740" w:type="dxa"/>
            <w:vAlign w:val="bottom"/>
            <w:shd w:val="clear" w:color="auto" w:fill="CFF0FC"/>
          </w:tcPr>
          <w:p>
            <w:pPr>
              <w:jc w:val="right"/>
              <w:ind w:right="81"/>
              <w:spacing w:after="0"/>
              <w:rPr>
                <w:sz w:val="20"/>
                <w:szCs w:val="20"/>
                <w:color w:val="auto"/>
              </w:rPr>
            </w:pPr>
            <w:r>
              <w:rPr>
                <w:rFonts w:ascii="Arial" w:cs="Arial" w:eastAsia="Arial" w:hAnsi="Arial"/>
                <w:sz w:val="20"/>
                <w:szCs w:val="20"/>
                <w:b w:val="1"/>
                <w:bCs w:val="1"/>
                <w:color w:val="auto"/>
                <w:w w:val="88"/>
              </w:rPr>
              <w:t>82,560</w:t>
            </w:r>
          </w:p>
        </w:tc>
        <w:tc>
          <w:tcPr>
            <w:tcW w:w="500" w:type="dxa"/>
            <w:vAlign w:val="bottom"/>
            <w:shd w:val="clear" w:color="auto" w:fill="CFF0FC"/>
          </w:tcPr>
          <w:p>
            <w:pPr>
              <w:jc w:val="right"/>
              <w:ind w:right="141"/>
              <w:spacing w:after="0"/>
              <w:rPr>
                <w:sz w:val="20"/>
                <w:szCs w:val="20"/>
                <w:color w:val="auto"/>
              </w:rPr>
            </w:pPr>
            <w:r>
              <w:rPr>
                <w:rFonts w:ascii="Arial" w:cs="Arial" w:eastAsia="Arial" w:hAnsi="Arial"/>
                <w:sz w:val="20"/>
                <w:szCs w:val="20"/>
                <w:b w:val="1"/>
                <w:bCs w:val="1"/>
                <w:color w:val="auto"/>
              </w:rPr>
              <w:t>0</w:t>
            </w:r>
          </w:p>
        </w:tc>
        <w:tc>
          <w:tcPr>
            <w:tcW w:w="74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760" w:type="dxa"/>
            <w:vAlign w:val="bottom"/>
            <w:shd w:val="clear" w:color="auto" w:fill="CFF0FC"/>
          </w:tcPr>
          <w:p>
            <w:pPr>
              <w:jc w:val="right"/>
              <w:ind w:right="181"/>
              <w:spacing w:after="0"/>
              <w:rPr>
                <w:sz w:val="20"/>
                <w:szCs w:val="20"/>
                <w:color w:val="auto"/>
              </w:rPr>
            </w:pPr>
            <w:r>
              <w:rPr>
                <w:rFonts w:ascii="Arial" w:cs="Arial" w:eastAsia="Arial" w:hAnsi="Arial"/>
                <w:sz w:val="20"/>
                <w:szCs w:val="20"/>
                <w:b w:val="1"/>
                <w:bCs w:val="1"/>
                <w:color w:val="auto"/>
              </w:rPr>
              <w:t>11</w:t>
            </w:r>
          </w:p>
        </w:tc>
        <w:tc>
          <w:tcPr>
            <w:tcW w:w="380" w:type="dxa"/>
            <w:vAlign w:val="bottom"/>
            <w:shd w:val="clear" w:color="auto" w:fill="CFF0FC"/>
          </w:tcPr>
          <w:p>
            <w:pPr>
              <w:jc w:val="right"/>
              <w:spacing w:after="0"/>
              <w:rPr>
                <w:sz w:val="20"/>
                <w:szCs w:val="20"/>
                <w:color w:val="auto"/>
              </w:rPr>
            </w:pPr>
            <w:r>
              <w:rPr>
                <w:rFonts w:ascii="Arial" w:cs="Arial" w:eastAsia="Arial" w:hAnsi="Arial"/>
                <w:sz w:val="20"/>
                <w:szCs w:val="20"/>
                <w:b w:val="1"/>
                <w:bCs w:val="1"/>
                <w:color w:val="auto"/>
              </w:rPr>
              <w:t>9</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b w:val="1"/>
                <w:bCs w:val="1"/>
                <w:color w:val="auto"/>
              </w:rPr>
              <w:t>9</w:t>
            </w:r>
          </w:p>
        </w:tc>
      </w:tr>
    </w:tbl>
    <w:p>
      <w:pPr>
        <w:spacing w:after="0" w:line="199" w:lineRule="exact"/>
        <w:rPr>
          <w:sz w:val="20"/>
          <w:szCs w:val="20"/>
          <w:color w:val="auto"/>
        </w:rPr>
      </w:pPr>
    </w:p>
    <w:p>
      <w:pPr>
        <w:jc w:val="both"/>
        <w:ind w:firstLine="8"/>
        <w:spacing w:after="0" w:line="244" w:lineRule="auto"/>
        <w:tabs>
          <w:tab w:leader="none" w:pos="166" w:val="left"/>
        </w:tabs>
        <w:numPr>
          <w:ilvl w:val="0"/>
          <w:numId w:val="27"/>
        </w:numPr>
        <w:rPr>
          <w:rFonts w:ascii="Arial" w:cs="Arial" w:eastAsia="Arial" w:hAnsi="Arial"/>
          <w:sz w:val="20"/>
          <w:szCs w:val="20"/>
          <w:color w:val="auto"/>
        </w:rPr>
      </w:pPr>
      <w:r>
        <w:rPr>
          <w:rFonts w:ascii="Arial" w:cs="Arial" w:eastAsia="Arial" w:hAnsi="Arial"/>
          <w:sz w:val="20"/>
          <w:szCs w:val="20"/>
          <w:color w:val="auto"/>
        </w:rPr>
        <w:t>Of the 11 legal actions pending on June 30, 2020, none were contests of citations or orders referenced in Subpart B of CFR Part 2700, which includes contests of citations and orders issued under Section 104 of the Mine Act and contests of imminent danger orders under Section 107 of the Mine Act and all were a contest of proposed penalties referenced in Subpart C of 29 CFR Part 2700, which are administrative proceedings before the Commission challenging a civil penalty that MSHA has proposed for the violation contained in a citation or order.</w:t>
      </w:r>
    </w:p>
    <w:sectPr>
      <w:pgSz w:w="11900" w:h="16838" w:orient="portrait"/>
      <w:cols w:equalWidth="0" w:num="1">
        <w:col w:w="11240"/>
      </w:cols>
      <w:pgMar w:left="320" w:top="12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1."/>
      <w:numFmt w:val="decimal"/>
      <w:start w:val="1"/>
    </w:lvl>
  </w:abstractNum>
  <w:abstractNum w:abstractNumId="3">
    <w:nsid w:val="41A7C4C9"/>
    <w:multiLevelType w:val="hybridMultilevel"/>
    <w:lvl w:ilvl="0">
      <w:lvlJc w:val="left"/>
      <w:lvlText w:val="%1."/>
      <w:numFmt w:val="decimal"/>
      <w:start w:val="2"/>
    </w:lvl>
  </w:abstractNum>
  <w:abstractNum w:abstractNumId="4">
    <w:nsid w:val="6B68079A"/>
    <w:multiLevelType w:val="hybridMultilevel"/>
    <w:lvl w:ilvl="0">
      <w:lvlJc w:val="left"/>
      <w:lvlText w:val="%1."/>
      <w:numFmt w:val="decimal"/>
      <w:start w:val="5"/>
    </w:lvl>
  </w:abstractNum>
  <w:abstractNum w:abstractNumId="5">
    <w:nsid w:val="4E6AFB66"/>
    <w:multiLevelType w:val="hybridMultilevel"/>
    <w:lvl w:ilvl="0">
      <w:lvlJc w:val="left"/>
      <w:lvlText w:val="%1."/>
      <w:numFmt w:val="decimal"/>
      <w:start w:val="7"/>
    </w:lvl>
  </w:abstractNum>
  <w:abstractNum w:abstractNumId="6">
    <w:nsid w:val="25E45D32"/>
    <w:multiLevelType w:val="hybridMultilevel"/>
    <w:lvl w:ilvl="0">
      <w:lvlJc w:val="left"/>
      <w:lvlText w:val="%1."/>
      <w:numFmt w:val="decimal"/>
      <w:start w:val="8"/>
    </w:lvl>
  </w:abstractNum>
  <w:abstractNum w:abstractNumId="7">
    <w:nsid w:val="519B500D"/>
    <w:multiLevelType w:val="hybridMultilevel"/>
    <w:lvl w:ilvl="0">
      <w:lvlJc w:val="left"/>
      <w:lvlText w:val="%1."/>
      <w:numFmt w:val="decimal"/>
      <w:start w:val="9"/>
    </w:lvl>
  </w:abstractNum>
  <w:abstractNum w:abstractNumId="8">
    <w:nsid w:val="431BD7B7"/>
    <w:multiLevelType w:val="hybridMultilevel"/>
    <w:lvl w:ilvl="0">
      <w:lvlJc w:val="left"/>
      <w:lvlText w:val="%1."/>
      <w:numFmt w:val="decimal"/>
      <w:start w:val="12"/>
    </w:lvl>
  </w:abstractNum>
  <w:abstractNum w:abstractNumId="9">
    <w:nsid w:val="3F2DBA31"/>
    <w:multiLevelType w:val="hybridMultilevel"/>
    <w:lvl w:ilvl="0">
      <w:lvlJc w:val="left"/>
      <w:lvlText w:val="%1."/>
      <w:numFmt w:val="decimal"/>
      <w:start w:val="14"/>
    </w:lvl>
  </w:abstractNum>
  <w:abstractNum w:abstractNumId="10">
    <w:nsid w:val="7C83E458"/>
    <w:multiLevelType w:val="hybridMultilevel"/>
    <w:lvl w:ilvl="0">
      <w:lvlJc w:val="left"/>
      <w:lvlText w:val="♦"/>
      <w:numFmt w:val="bullet"/>
      <w:start w:val="1"/>
    </w:lvl>
  </w:abstractNum>
  <w:abstractNum w:abstractNumId="11">
    <w:nsid w:val="257130A3"/>
    <w:multiLevelType w:val="hybridMultilevel"/>
    <w:lvl w:ilvl="0">
      <w:lvlJc w:val="left"/>
      <w:lvlText w:val="(%1)"/>
      <w:numFmt w:val="decimal"/>
      <w:start w:val="1"/>
    </w:lvl>
  </w:abstractNum>
  <w:abstractNum w:abstractNumId="12">
    <w:nsid w:val="62BBD95A"/>
    <w:multiLevelType w:val="hybridMultilevel"/>
    <w:lvl w:ilvl="0">
      <w:lvlJc w:val="left"/>
      <w:lvlText w:val="(%1)"/>
      <w:numFmt w:val="decimal"/>
      <w:start w:val="1"/>
    </w:lvl>
  </w:abstractNum>
  <w:abstractNum w:abstractNumId="13">
    <w:nsid w:val="436C6125"/>
    <w:multiLevelType w:val="hybridMultilevel"/>
    <w:lvl w:ilvl="0">
      <w:lvlJc w:val="left"/>
      <w:lvlText w:val="♦"/>
      <w:numFmt w:val="bullet"/>
      <w:start w:val="1"/>
    </w:lvl>
  </w:abstractNum>
  <w:abstractNum w:abstractNumId="14">
    <w:nsid w:val="628C895D"/>
    <w:multiLevelType w:val="hybridMultilevel"/>
    <w:lvl w:ilvl="0">
      <w:lvlJc w:val="left"/>
      <w:lvlText w:val="(%1)"/>
      <w:numFmt w:val="decimal"/>
      <w:start w:val="1"/>
    </w:lvl>
  </w:abstractNum>
  <w:abstractNum w:abstractNumId="15">
    <w:nsid w:val="333AB105"/>
    <w:multiLevelType w:val="hybridMultilevel"/>
    <w:lvl w:ilvl="0">
      <w:lvlJc w:val="left"/>
      <w:lvlText w:val="(%1)"/>
      <w:numFmt w:val="decimal"/>
      <w:start w:val="1"/>
    </w:lvl>
  </w:abstractNum>
  <w:abstractNum w:abstractNumId="16">
    <w:nsid w:val="721DA317"/>
    <w:multiLevelType w:val="hybridMultilevel"/>
    <w:lvl w:ilvl="0">
      <w:lvlJc w:val="left"/>
      <w:lvlText w:val="%1"/>
      <w:numFmt w:val="decimal"/>
      <w:start w:val="95"/>
    </w:lvl>
  </w:abstractNum>
  <w:abstractNum w:abstractNumId="17">
    <w:nsid w:val="2443A858"/>
    <w:multiLevelType w:val="hybridMultilevel"/>
    <w:lvl w:ilvl="0">
      <w:lvlJc w:val="left"/>
      <w:lvlText w:val="%1"/>
      <w:numFmt w:val="decimal"/>
      <w:start w:val="104"/>
    </w:lvl>
  </w:abstractNum>
  <w:abstractNum w:abstractNumId="18">
    <w:nsid w:val="2D1D5AE9"/>
    <w:multiLevelType w:val="hybridMultilevel"/>
    <w:lvl w:ilvl="0">
      <w:lvlJc w:val="left"/>
      <w:lvlText w:val="%1."/>
      <w:numFmt w:val="decimal"/>
      <w:start w:val="1"/>
    </w:lvl>
    <w:lvl w:ilvl="1">
      <w:lvlJc w:val="left"/>
      <w:lvlText w:val="%2."/>
      <w:numFmt w:val="lowerLetter"/>
      <w:start w:val="1"/>
    </w:lvl>
  </w:abstractNum>
  <w:abstractNum w:abstractNumId="19">
    <w:nsid w:val="6763845E"/>
    <w:multiLevelType w:val="hybridMultilevel"/>
    <w:lvl w:ilvl="0">
      <w:lvlJc w:val="left"/>
      <w:lvlText w:val="%1."/>
      <w:numFmt w:val="decimal"/>
      <w:start w:val="5"/>
    </w:lvl>
    <w:lvl w:ilvl="1">
      <w:lvlJc w:val="left"/>
      <w:lvlText w:val="%2."/>
      <w:numFmt w:val="lowerLetter"/>
      <w:start w:val="1"/>
    </w:lvl>
  </w:abstractNum>
  <w:abstractNum w:abstractNumId="20">
    <w:nsid w:val="75A2A8D4"/>
    <w:multiLevelType w:val="hybridMultilevel"/>
    <w:lvl w:ilvl="0">
      <w:lvlJc w:val="left"/>
      <w:lvlText w:val="%1."/>
      <w:numFmt w:val="decimal"/>
      <w:start w:val="1"/>
    </w:lvl>
    <w:lvl w:ilvl="1">
      <w:lvlJc w:val="left"/>
      <w:lvlText w:val="%2."/>
      <w:numFmt w:val="lowerLetter"/>
      <w:start w:val="1"/>
    </w:lvl>
  </w:abstractNum>
  <w:abstractNum w:abstractNumId="21">
    <w:nsid w:val="8EDBDAB"/>
    <w:multiLevelType w:val="hybridMultilevel"/>
    <w:lvl w:ilvl="0">
      <w:lvlJc w:val="left"/>
      <w:lvlText w:val="%1."/>
      <w:numFmt w:val="decimal"/>
      <w:start w:val="5"/>
    </w:lvl>
    <w:lvl w:ilvl="1">
      <w:lvlJc w:val="left"/>
      <w:lvlText w:val="%2."/>
      <w:numFmt w:val="lowerLetter"/>
      <w:start w:val="1"/>
    </w:lvl>
  </w:abstractNum>
  <w:abstractNum w:abstractNumId="22">
    <w:nsid w:val="79838CB2"/>
    <w:multiLevelType w:val="hybridMultilevel"/>
    <w:lvl w:ilvl="0">
      <w:lvlJc w:val="left"/>
      <w:lvlText w:val="(%1)"/>
      <w:numFmt w:val="decimal"/>
      <w:start w:val="1"/>
    </w:lvl>
  </w:abstractNum>
  <w:abstractNum w:abstractNumId="23">
    <w:nsid w:val="4353D0CD"/>
    <w:multiLevelType w:val="hybridMultilevel"/>
    <w:lvl w:ilvl="0">
      <w:lvlJc w:val="left"/>
      <w:lvlText w:val="(%1)"/>
      <w:numFmt w:val="decimal"/>
      <w:start w:val="1"/>
    </w:lvl>
  </w:abstractNum>
  <w:abstractNum w:abstractNumId="24">
    <w:nsid w:val="B03E0C6"/>
    <w:multiLevelType w:val="hybridMultilevel"/>
    <w:lvl w:ilvl="0">
      <w:lvlJc w:val="left"/>
      <w:lvlText w:val="•"/>
      <w:numFmt w:val="bullet"/>
      <w:start w:val="1"/>
    </w:lvl>
  </w:abstractNum>
  <w:abstractNum w:abstractNumId="25">
    <w:nsid w:val="189A769B"/>
    <w:multiLevelType w:val="hybridMultilevel"/>
    <w:lvl w:ilvl="0">
      <w:lvlJc w:val="left"/>
      <w:lvlText w:val="•"/>
      <w:numFmt w:val="bullet"/>
      <w:start w:val="1"/>
    </w:lvl>
  </w:abstractNum>
  <w:abstractNum w:abstractNumId="26">
    <w:nsid w:val="54E49EB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65" Type="http://schemas.openxmlformats.org/officeDocument/2006/relationships/hyperlink" Target="http://www.sec.gov/Archives/edgar/data/916076/000119312520182492/d708540dex101.htm" TargetMode="External"/><Relationship Id="rId66" Type="http://schemas.openxmlformats.org/officeDocument/2006/relationships/hyperlink" Target="http://www.sec.gov/Archives/edgar/data/916076/000119312520182492/d708540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2020-07-28T12:44:17Z</dcterms:created>
  <dcterms:modified xsi:type="dcterms:W3CDTF">2020-07-28T12:44:17Z</dcterms:modified>
</cp:coreProperties>
</file>