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(Rule 14a-101)</w:t>
      </w:r>
    </w:p>
    <w:p>
      <w:pPr>
        <w:spacing w:after="0" w:line="1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3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Exchange Act of 1934 (Amendment No. )</w:t>
      </w:r>
    </w:p>
    <w:p>
      <w:pPr>
        <w:spacing w:after="0" w:line="192"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Check the appropriate box:</w:t>
      </w:r>
    </w:p>
    <w:p>
      <w:pPr>
        <w:spacing w:after="0" w:line="83" w:lineRule="exact"/>
        <w:rPr>
          <w:sz w:val="20"/>
          <w:szCs w:val="20"/>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right="3840" w:hanging="7"/>
        <w:spacing w:after="0" w:line="217" w:lineRule="exact"/>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Martin Marietta Materials, Inc.</w:t>
      </w:r>
    </w:p>
    <w:p>
      <w:pPr>
        <w:spacing w:after="0" w:line="3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1000" w:hanging="307"/>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0"/>
          <w:szCs w:val="20"/>
          <w:color w:val="auto"/>
        </w:rPr>
      </w:pPr>
    </w:p>
    <w:p>
      <w:pPr>
        <w:ind w:left="880" w:hanging="18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left="1600" w:right="140" w:hanging="682"/>
        <w:spacing w:after="0" w:line="277"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1000" w:hanging="307"/>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-2642870</wp:posOffset>
            </wp:positionV>
            <wp:extent cx="5419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-2419985</wp:posOffset>
            </wp:positionV>
            <wp:extent cx="5419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-2051050</wp:posOffset>
            </wp:positionV>
            <wp:extent cx="5419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-1828165</wp:posOffset>
            </wp:positionV>
            <wp:extent cx="5419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-1605280</wp:posOffset>
            </wp:positionV>
            <wp:extent cx="5419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-1373505</wp:posOffset>
            </wp:positionV>
            <wp:extent cx="5419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-661670</wp:posOffset>
            </wp:positionV>
            <wp:extent cx="5419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-438785</wp:posOffset>
            </wp:positionV>
            <wp:extent cx="5419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-207645</wp:posOffset>
            </wp:positionV>
            <wp:extent cx="5419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14605</wp:posOffset>
            </wp:positionV>
            <wp:extent cx="5419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218440</wp:posOffset>
            </wp:positionV>
            <wp:extent cx="6590665" cy="798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0665" cy="798830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April 21,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Dear Fellow Shareholder:</w:t>
      </w:r>
    </w:p>
    <w:p>
      <w:pPr>
        <w:spacing w:after="0" w:line="121" w:lineRule="exact"/>
        <w:rPr>
          <w:sz w:val="20"/>
          <w:szCs w:val="20"/>
          <w:color w:val="auto"/>
        </w:rPr>
      </w:pPr>
    </w:p>
    <w:p>
      <w:pPr>
        <w:ind w:left="1600" w:right="460"/>
        <w:spacing w:after="0" w:line="269" w:lineRule="auto"/>
        <w:rPr>
          <w:sz w:val="20"/>
          <w:szCs w:val="20"/>
          <w:color w:val="auto"/>
        </w:rPr>
      </w:pPr>
      <w:r>
        <w:rPr>
          <w:rFonts w:ascii="Arial" w:cs="Arial" w:eastAsia="Arial" w:hAnsi="Arial"/>
          <w:sz w:val="19"/>
          <w:szCs w:val="19"/>
          <w:color w:val="auto"/>
        </w:rPr>
        <w:t>The Directors and Officers of Martin Marietta Materials, Inc. join me in inviting you to attend the Corporation’s Annual Meeting of Shareholders on May 27, 2009. The formal notice of this meeting and the proxy statement describing the matters to be acted upon at the meeting accompany this letter.</w:t>
      </w:r>
    </w:p>
    <w:p>
      <w:pPr>
        <w:spacing w:after="0" w:line="76" w:lineRule="exact"/>
        <w:rPr>
          <w:sz w:val="20"/>
          <w:szCs w:val="20"/>
          <w:color w:val="auto"/>
        </w:rPr>
      </w:pPr>
    </w:p>
    <w:p>
      <w:pPr>
        <w:ind w:left="1600"/>
        <w:spacing w:after="0" w:line="260" w:lineRule="auto"/>
        <w:rPr>
          <w:sz w:val="20"/>
          <w:szCs w:val="20"/>
          <w:color w:val="auto"/>
        </w:rPr>
      </w:pPr>
      <w:r>
        <w:rPr>
          <w:rFonts w:ascii="Arial" w:cs="Arial" w:eastAsia="Arial" w:hAnsi="Arial"/>
          <w:sz w:val="20"/>
          <w:szCs w:val="20"/>
          <w:color w:val="auto"/>
        </w:rPr>
        <w:t>Your vote is important. Whether or not you plan to attend the Annual Meeting in person, we encourage you to vote so that your shares will be represented and voted at the meeting.</w:t>
      </w:r>
    </w:p>
    <w:p>
      <w:pPr>
        <w:spacing w:after="0" w:line="82"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Thank you for your continued support of Martin Marietta Materials.</w:t>
      </w:r>
    </w:p>
    <w:p>
      <w:pPr>
        <w:spacing w:after="0" w:line="200" w:lineRule="exact"/>
        <w:rPr>
          <w:sz w:val="20"/>
          <w:szCs w:val="20"/>
          <w:color w:val="auto"/>
        </w:rPr>
      </w:pPr>
    </w:p>
    <w:p>
      <w:pPr>
        <w:spacing w:after="0" w:line="245"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Stephen P. Zelnak, Jr.</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20"/>
          <w:szCs w:val="20"/>
          <w:i w:val="1"/>
          <w:iCs w:val="1"/>
          <w:color w:val="auto"/>
        </w:rPr>
        <w:t>Chairman of the Board and</w:t>
      </w:r>
    </w:p>
    <w:p>
      <w:pPr>
        <w:ind w:left="6340"/>
        <w:spacing w:after="0"/>
        <w:rPr>
          <w:sz w:val="20"/>
          <w:szCs w:val="20"/>
          <w:color w:val="auto"/>
        </w:rPr>
      </w:pPr>
      <w:r>
        <w:rPr>
          <w:rFonts w:ascii="Arial" w:cs="Arial" w:eastAsia="Arial" w:hAnsi="Arial"/>
          <w:sz w:val="20"/>
          <w:szCs w:val="20"/>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2536825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Notice of Annual Meeting of Shareholders To Be Held May 27, 2009</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GENERAL INFORMATION</w:t>
        </w:r>
      </w:hyperlink>
    </w:p>
    <w:p>
      <w:pPr>
        <w:spacing w:after="0" w:line="1" w:lineRule="exact"/>
        <w:rPr>
          <w:sz w:val="20"/>
          <w:szCs w:val="20"/>
          <w:color w:val="auto"/>
        </w:rPr>
      </w:pPr>
    </w:p>
    <w:p>
      <w:pPr>
        <w:ind w:right="1039"/>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SECURITY OWNERSHIP OF CERTAIN BENEFICIAL OWNERS AND MANAGEMENT</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THE BOARD OF DIRECTORS</w:t>
        </w:r>
      </w:hyperlink>
    </w:p>
    <w:p>
      <w:pPr>
        <w:spacing w:after="0" w:line="1" w:lineRule="exact"/>
        <w:rPr>
          <w:sz w:val="20"/>
          <w:szCs w:val="20"/>
          <w:color w:val="auto"/>
        </w:rPr>
      </w:pPr>
    </w:p>
    <w:p>
      <w:pPr>
        <w:ind w:right="4499"/>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DIRECTOR COMPENSATION</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CORPORATE GOVERNANCE MATTERS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PROPOSAL 2 -- INDEPENDENT AUDITORS</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AUDIT COMMITTEE REPORT</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COMPENSATION DISCUSSION AND ANALYSIS</w:t>
        </w:r>
      </w:hyperlink>
    </w:p>
    <w:p>
      <w:pPr>
        <w:spacing w:after="0" w:line="233"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MANAGEMENT DEVELOPMENT AND COMPENSATION COMMITTEE REPORT</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1"/>
          <w:szCs w:val="21"/>
          <w:u w:val="single" w:color="auto"/>
          <w:color w:val="0000EE"/>
        </w:rPr>
      </w:pPr>
      <w:hyperlink w:anchor="page38">
        <w:r>
          <w:rPr>
            <w:rFonts w:ascii="Arial" w:cs="Arial" w:eastAsia="Arial" w:hAnsi="Arial"/>
            <w:sz w:val="21"/>
            <w:szCs w:val="21"/>
            <w:u w:val="single" w:color="auto"/>
            <w:color w:val="0000EE"/>
          </w:rPr>
          <w:t>COMPENSATION COMMITTEE INTERLOCKS AND INSIDER PARTICIPATION IN</w:t>
        </w:r>
      </w:hyperlink>
    </w:p>
    <w:p>
      <w:pPr>
        <w:spacing w:after="0" w:line="232"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COMPENSATION DECISIONS</w:t>
        </w:r>
      </w:hyperlink>
    </w:p>
    <w:p>
      <w:pPr>
        <w:spacing w:after="0" w:line="230"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SUMMARY COMPENSATION TABLE</w:t>
        </w:r>
      </w:hyperlink>
    </w:p>
    <w:p>
      <w:pPr>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GRANTS OF PLAN-BASED AWARDS TABLE</w:t>
        </w:r>
      </w:hyperlink>
    </w:p>
    <w:p>
      <w:pPr>
        <w:ind w:right="2779"/>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OUTSTANDING EQUITY AWARDS AT FISCAL YEAR-END TABLE</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OPTION EXERCISES AND STOCK VESTED TABLE</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PENSION BENEFITS TABLE</w:t>
        </w:r>
      </w:hyperlink>
    </w:p>
    <w:p>
      <w:pPr>
        <w:spacing w:after="0" w:line="2" w:lineRule="exact"/>
        <w:rPr>
          <w:rFonts w:ascii="Arial" w:cs="Arial" w:eastAsia="Arial" w:hAnsi="Arial"/>
          <w:sz w:val="22"/>
          <w:szCs w:val="22"/>
          <w:u w:val="single" w:color="auto"/>
          <w:color w:val="0000EE"/>
        </w:rPr>
      </w:pPr>
    </w:p>
    <w:p>
      <w:pPr>
        <w:ind w:right="1879"/>
        <w:spacing w:after="0" w:line="230"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POTENTIAL PAYMENTS UPON TERMINATION -- STEPHEN P. ZELNAK, JR.</w:t>
        </w:r>
      </w:hyperlink>
      <w:r>
        <w:rPr>
          <w:rFonts w:ascii="Arial" w:cs="Arial" w:eastAsia="Arial" w:hAnsi="Arial"/>
          <w:sz w:val="22"/>
          <w:szCs w:val="22"/>
          <w:u w:val="single" w:color="auto"/>
          <w:color w:val="0000EE"/>
        </w:rPr>
        <w:t xml:space="preserve"> </w:t>
      </w:r>
      <w:hyperlink w:anchor="page49">
        <w:r>
          <w:rPr>
            <w:rFonts w:ascii="Arial" w:cs="Arial" w:eastAsia="Arial" w:hAnsi="Arial"/>
            <w:sz w:val="22"/>
            <w:szCs w:val="22"/>
            <w:u w:val="single" w:color="auto"/>
            <w:color w:val="0000EE"/>
          </w:rPr>
          <w:t>POTENTIAL PAYMENTS UPON TERMINATION -- ANNE H. LLOYD</w:t>
        </w:r>
      </w:hyperlink>
      <w:r>
        <w:rPr>
          <w:rFonts w:ascii="Arial" w:cs="Arial" w:eastAsia="Arial" w:hAnsi="Arial"/>
          <w:sz w:val="22"/>
          <w:szCs w:val="22"/>
          <w:u w:val="single" w:color="auto"/>
          <w:color w:val="0000EE"/>
        </w:rPr>
        <w:t xml:space="preserve"> </w:t>
      </w:r>
      <w:hyperlink w:anchor="page50">
        <w:r>
          <w:rPr>
            <w:rFonts w:ascii="Arial" w:cs="Arial" w:eastAsia="Arial" w:hAnsi="Arial"/>
            <w:sz w:val="22"/>
            <w:szCs w:val="22"/>
            <w:u w:val="single" w:color="auto"/>
            <w:color w:val="0000EE"/>
          </w:rPr>
          <w:t>POTENTIAL PAYMENTS UPON TERMINATION -- C. HOWARD NYE</w:t>
        </w:r>
      </w:hyperlink>
      <w:r>
        <w:rPr>
          <w:rFonts w:ascii="Arial" w:cs="Arial" w:eastAsia="Arial" w:hAnsi="Arial"/>
          <w:sz w:val="22"/>
          <w:szCs w:val="22"/>
          <w:u w:val="single" w:color="auto"/>
          <w:color w:val="0000EE"/>
        </w:rPr>
        <w:t xml:space="preserve"> </w:t>
      </w:r>
      <w:hyperlink w:anchor="page51">
        <w:r>
          <w:rPr>
            <w:rFonts w:ascii="Arial" w:cs="Arial" w:eastAsia="Arial" w:hAnsi="Arial"/>
            <w:sz w:val="22"/>
            <w:szCs w:val="22"/>
            <w:u w:val="single" w:color="auto"/>
            <w:color w:val="0000EE"/>
          </w:rPr>
          <w:t>POTENTIAL PAYMENTS UPON TERMINATION -- PHILIP J. SIPLING</w:t>
        </w:r>
      </w:hyperlink>
      <w:r>
        <w:rPr>
          <w:rFonts w:ascii="Arial" w:cs="Arial" w:eastAsia="Arial" w:hAnsi="Arial"/>
          <w:sz w:val="22"/>
          <w:szCs w:val="22"/>
          <w:u w:val="single" w:color="auto"/>
          <w:color w:val="0000EE"/>
        </w:rPr>
        <w:t xml:space="preserve"> </w:t>
      </w:r>
      <w:hyperlink w:anchor="page52">
        <w:r>
          <w:rPr>
            <w:rFonts w:ascii="Arial" w:cs="Arial" w:eastAsia="Arial" w:hAnsi="Arial"/>
            <w:sz w:val="22"/>
            <w:szCs w:val="22"/>
            <w:u w:val="single" w:color="auto"/>
            <w:color w:val="0000EE"/>
          </w:rPr>
          <w:t>POTENTIAL PAYMENTS UPON TERMINATION -- DANIEL G. SHEPHARD</w:t>
        </w:r>
      </w:hyperlink>
      <w:r>
        <w:rPr>
          <w:rFonts w:ascii="Arial" w:cs="Arial" w:eastAsia="Arial" w:hAnsi="Arial"/>
          <w:sz w:val="22"/>
          <w:szCs w:val="22"/>
          <w:u w:val="single" w:color="auto"/>
          <w:color w:val="0000EE"/>
        </w:rPr>
        <w:t xml:space="preserve"> </w:t>
      </w:r>
      <w:hyperlink w:anchor="page53">
        <w:r>
          <w:rPr>
            <w:rFonts w:ascii="Arial" w:cs="Arial" w:eastAsia="Arial" w:hAnsi="Arial"/>
            <w:sz w:val="22"/>
            <w:szCs w:val="22"/>
            <w:u w:val="single" w:color="auto"/>
            <w:color w:val="0000EE"/>
          </w:rPr>
          <w:t>EQUITY COMPENSATION PLAN INFORMATION</w:t>
        </w:r>
      </w:hyperlink>
      <w:r>
        <w:rPr>
          <w:rFonts w:ascii="Arial" w:cs="Arial" w:eastAsia="Arial" w:hAnsi="Arial"/>
          <w:sz w:val="22"/>
          <w:szCs w:val="22"/>
          <w:u w:val="single" w:color="auto"/>
          <w:color w:val="0000EE"/>
        </w:rPr>
        <w:t xml:space="preserve"> </w:t>
      </w:r>
      <w:hyperlink w:anchor="page54">
        <w:r>
          <w:rPr>
            <w:rFonts w:ascii="Arial" w:cs="Arial" w:eastAsia="Arial" w:hAnsi="Arial"/>
            <w:sz w:val="22"/>
            <w:szCs w:val="22"/>
            <w:u w:val="single" w:color="auto"/>
            <w:color w:val="0000EE"/>
          </w:rPr>
          <w:t>INCORPORATION BY REFERENCE</w:t>
        </w:r>
      </w:hyperlink>
    </w:p>
    <w:p>
      <w:pPr>
        <w:spacing w:after="0" w:line="5" w:lineRule="exact"/>
        <w:rPr>
          <w:rFonts w:ascii="Arial" w:cs="Arial" w:eastAsia="Arial" w:hAnsi="Arial"/>
          <w:sz w:val="22"/>
          <w:szCs w:val="22"/>
          <w:u w:val="single" w:color="auto"/>
          <w:color w:val="0000EE"/>
        </w:rPr>
      </w:pPr>
    </w:p>
    <w:p>
      <w:pPr>
        <w:ind w:right="3119"/>
        <w:spacing w:after="0" w:line="237"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SHAREHOLDERS’ PROPOSALS FOR 2010 ANNUAL MEETING</w:t>
        </w:r>
      </w:hyperlink>
      <w:r>
        <w:rPr>
          <w:rFonts w:ascii="Arial" w:cs="Arial" w:eastAsia="Arial" w:hAnsi="Arial"/>
          <w:sz w:val="22"/>
          <w:szCs w:val="22"/>
          <w:u w:val="single" w:color="auto"/>
          <w:color w:val="0000EE"/>
        </w:rPr>
        <w:t xml:space="preserve"> </w:t>
      </w:r>
      <w:hyperlink w:anchor="page56">
        <w:r>
          <w:rPr>
            <w:rFonts w:ascii="Arial" w:cs="Arial" w:eastAsia="Arial" w:hAnsi="Arial"/>
            <w:sz w:val="22"/>
            <w:szCs w:val="22"/>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128905</wp:posOffset>
            </wp:positionV>
            <wp:extent cx="645287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ectPr>
          <w:pgSz w:w="11900" w:h="16838" w:orient="portrait"/>
          <w:cols w:equalWidth="0" w:num="1">
            <w:col w:w="9119"/>
          </w:cols>
          <w:pgMar w:left="1340" w:top="112"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6950710" cy="7910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0520"/>
          </w:cols>
          <w:pgMar w:left="82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9"/>
        <w:spacing w:after="0"/>
        <w:rPr>
          <w:sz w:val="20"/>
          <w:szCs w:val="20"/>
          <w:color w:val="auto"/>
        </w:rPr>
      </w:pPr>
      <w:r>
        <w:rPr>
          <w:rFonts w:ascii="Arial" w:cs="Arial" w:eastAsia="Arial" w:hAnsi="Arial"/>
          <w:sz w:val="27"/>
          <w:szCs w:val="27"/>
          <w:b w:val="1"/>
          <w:bCs w:val="1"/>
          <w:color w:val="auto"/>
        </w:rPr>
        <w:t>MARTIN MARIETTA MATERIALS,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2710 Wycliff Road, Raleigh, North Carolina 27607</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22"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To Be Held May 27, 2009</w:t>
      </w:r>
    </w:p>
    <w:p>
      <w:pPr>
        <w:spacing w:after="0" w:line="3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 our Shareholders:</w:t>
      </w:r>
    </w:p>
    <w:p>
      <w:pPr>
        <w:spacing w:after="0" w:line="2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 Meeting of Shareholders of Martin Marietta Materials, Inc. will be held on Wednesday, May 27, 2009, at</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11:30 a.m. at our principal office located at 2710 Wycliff Road, Raleigh, North Carolina. At the meeting, the holders of our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outstanding common stock will act on the following matters:</w:t>
      </w:r>
    </w:p>
    <w:p>
      <w:pPr>
        <w:spacing w:after="0" w:line="267" w:lineRule="exact"/>
        <w:rPr>
          <w:sz w:val="20"/>
          <w:szCs w:val="20"/>
          <w:color w:val="auto"/>
        </w:rPr>
      </w:pPr>
    </w:p>
    <w:p>
      <w:pPr>
        <w:jc w:val="both"/>
        <w:ind w:left="1620" w:hanging="608"/>
        <w:spacing w:after="0" w:line="250" w:lineRule="auto"/>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Election as Directors of the four (4) nominees named in the attached proxy statement, each to serve for a term of three (3) years until the Annual Meeting of Shareholders in 2012, and until their successors are duly elected and qualified;</w:t>
      </w:r>
    </w:p>
    <w:p>
      <w:pPr>
        <w:spacing w:after="0" w:line="240"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ratification of the appointment of independent auditors; and</w:t>
      </w:r>
    </w:p>
    <w:p>
      <w:pPr>
        <w:spacing w:after="0" w:line="269"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other business as may properly come before the meeting.</w:t>
      </w:r>
    </w:p>
    <w:p>
      <w:pPr>
        <w:spacing w:after="0" w:line="121" w:lineRule="exact"/>
        <w:rPr>
          <w:sz w:val="20"/>
          <w:szCs w:val="20"/>
          <w:color w:val="auto"/>
        </w:rPr>
      </w:pPr>
    </w:p>
    <w:p>
      <w:pPr>
        <w:ind w:left="400" w:right="180" w:firstLine="609"/>
        <w:spacing w:after="0" w:line="316" w:lineRule="auto"/>
        <w:rPr>
          <w:sz w:val="20"/>
          <w:szCs w:val="20"/>
          <w:color w:val="auto"/>
        </w:rPr>
      </w:pPr>
      <w:r>
        <w:rPr>
          <w:rFonts w:ascii="Arial" w:cs="Arial" w:eastAsia="Arial" w:hAnsi="Arial"/>
          <w:sz w:val="18"/>
          <w:szCs w:val="18"/>
          <w:color w:val="auto"/>
        </w:rPr>
        <w:t>All holders of record of shares of Martin Marietta Materials common stock (NYSE: MLM) at the close of business on March 20, 2009 are entitled to vote at the annual meeting and any adjournments or postponements of the meeting.</w:t>
      </w:r>
    </w:p>
    <w:p>
      <w:pPr>
        <w:spacing w:after="0" w:line="36" w:lineRule="exact"/>
        <w:rPr>
          <w:sz w:val="20"/>
          <w:szCs w:val="20"/>
          <w:color w:val="auto"/>
        </w:rPr>
      </w:pPr>
    </w:p>
    <w:p>
      <w:pPr>
        <w:ind w:left="400" w:right="300" w:firstLine="609"/>
        <w:spacing w:after="0" w:line="260" w:lineRule="auto"/>
        <w:rPr>
          <w:sz w:val="20"/>
          <w:szCs w:val="20"/>
          <w:color w:val="auto"/>
        </w:rPr>
      </w:pPr>
      <w:r>
        <w:rPr>
          <w:rFonts w:ascii="Arial" w:cs="Arial" w:eastAsia="Arial" w:hAnsi="Arial"/>
          <w:sz w:val="20"/>
          <w:szCs w:val="20"/>
          <w:color w:val="auto"/>
        </w:rPr>
        <w:t>Whether or not you expect to attend the meeting, we hope you will date and sign the enclosed proxy card and mail it promptly in the enclosed stamped envelope.</w:t>
      </w:r>
    </w:p>
    <w:p>
      <w:pPr>
        <w:spacing w:after="0" w:line="200" w:lineRule="exact"/>
        <w:rPr>
          <w:sz w:val="20"/>
          <w:szCs w:val="20"/>
          <w:color w:val="auto"/>
        </w:rPr>
      </w:pPr>
    </w:p>
    <w:p>
      <w:pPr>
        <w:spacing w:after="0" w:line="207"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Roselyn R. Bar</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i w:val="1"/>
          <w:iCs w:val="1"/>
          <w:color w:val="auto"/>
        </w:rPr>
        <w:t>Senior Vice President, General</w:t>
      </w:r>
    </w:p>
    <w:p>
      <w:pPr>
        <w:ind w:left="5360"/>
        <w:spacing w:after="0"/>
        <w:rPr>
          <w:sz w:val="20"/>
          <w:szCs w:val="20"/>
          <w:color w:val="auto"/>
        </w:rPr>
      </w:pPr>
      <w:r>
        <w:rPr>
          <w:rFonts w:ascii="Arial" w:cs="Arial" w:eastAsia="Arial" w:hAnsi="Arial"/>
          <w:sz w:val="20"/>
          <w:szCs w:val="20"/>
          <w:i w:val="1"/>
          <w:iCs w:val="1"/>
          <w:color w:val="auto"/>
        </w:rPr>
        <w:t>Counsel and Secretary</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April 21, 2009</w:t>
      </w:r>
    </w:p>
    <w:p>
      <w:pPr>
        <w:spacing w:after="0" w:line="324"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IMPORTANT NOTICE REGARDING THE AVAILABILITY OF PROXY MATERIALS</w:t>
      </w:r>
    </w:p>
    <w:p>
      <w:pPr>
        <w:spacing w:after="0" w:line="22"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FOR THE ANNUAL SHAREHOLDER MEETING TO BE HELD ON MAY 27, 2009</w:t>
      </w:r>
    </w:p>
    <w:p>
      <w:pPr>
        <w:spacing w:after="0" w:line="105" w:lineRule="exact"/>
        <w:rPr>
          <w:sz w:val="20"/>
          <w:szCs w:val="20"/>
          <w:color w:val="auto"/>
        </w:rPr>
      </w:pPr>
    </w:p>
    <w:p>
      <w:pPr>
        <w:ind w:left="400" w:right="160" w:firstLine="609"/>
        <w:spacing w:after="0" w:line="260" w:lineRule="auto"/>
        <w:rPr>
          <w:sz w:val="20"/>
          <w:szCs w:val="20"/>
          <w:color w:val="auto"/>
        </w:rPr>
      </w:pPr>
      <w:r>
        <w:rPr>
          <w:rFonts w:ascii="Arial" w:cs="Arial" w:eastAsia="Arial" w:hAnsi="Arial"/>
          <w:sz w:val="20"/>
          <w:szCs w:val="20"/>
          <w:color w:val="auto"/>
        </w:rPr>
        <w:t xml:space="preserve">The Corporation’s proxy statement, form of proxy card and 2008 Annual Report to Shareholders are also available for review on the Internet at </w:t>
      </w:r>
      <w:r>
        <w:rPr>
          <w:rFonts w:ascii="Arial" w:cs="Arial" w:eastAsia="Arial" w:hAnsi="Arial"/>
          <w:sz w:val="20"/>
          <w:szCs w:val="20"/>
          <w:i w:val="1"/>
          <w:iCs w:val="1"/>
          <w:color w:val="auto"/>
        </w:rPr>
        <w:t>ir.martinmarietta.com/annuals.cfm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1107440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820" w:top="419" w:right="5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680"/>
        <w:spacing w:after="0"/>
        <w:rPr>
          <w:sz w:val="20"/>
          <w:szCs w:val="20"/>
          <w:color w:val="auto"/>
        </w:rPr>
      </w:pPr>
      <w:r>
        <w:rPr>
          <w:rFonts w:ascii="Arial" w:cs="Arial" w:eastAsia="Arial" w:hAnsi="Arial"/>
          <w:sz w:val="29"/>
          <w:szCs w:val="29"/>
          <w:b w:val="1"/>
          <w:bCs w:val="1"/>
          <w:color w:val="auto"/>
        </w:rPr>
        <w:t>PROXY STATEMENT</w:t>
      </w:r>
    </w:p>
    <w:p>
      <w:pPr>
        <w:spacing w:after="0" w:line="243"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GENERAL INFORMATION</w:t>
      </w:r>
    </w:p>
    <w:p>
      <w:pPr>
        <w:spacing w:after="0" w:line="137" w:lineRule="exact"/>
        <w:rPr>
          <w:sz w:val="20"/>
          <w:szCs w:val="20"/>
          <w:color w:val="auto"/>
        </w:rPr>
      </w:pPr>
    </w:p>
    <w:p>
      <w:pPr>
        <w:jc w:val="both"/>
        <w:ind w:left="980" w:right="40" w:firstLine="609"/>
        <w:spacing w:after="0" w:line="282"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to be held on Wednesday, May 27, 2009, at 11:30 a.m. at the Corporation’s principal office, 2710 Wycliff Road, Raleigh, North Carolina. The Corporation’s audited financial statements and portions of the Annual Report on Form 10-K for the fiscal year ended December 31, 2008 are being mailed to shareholders with this proxy statement.</w:t>
      </w:r>
    </w:p>
    <w:p>
      <w:pPr>
        <w:spacing w:after="0" w:line="67" w:lineRule="exact"/>
        <w:rPr>
          <w:sz w:val="20"/>
          <w:szCs w:val="20"/>
          <w:color w:val="auto"/>
        </w:rPr>
      </w:pPr>
    </w:p>
    <w:p>
      <w:pPr>
        <w:ind w:left="980" w:right="80" w:firstLine="609"/>
        <w:spacing w:after="0" w:line="260" w:lineRule="auto"/>
        <w:rPr>
          <w:sz w:val="20"/>
          <w:szCs w:val="20"/>
          <w:color w:val="auto"/>
        </w:rPr>
      </w:pPr>
      <w:r>
        <w:rPr>
          <w:rFonts w:ascii="Arial" w:cs="Arial" w:eastAsia="Arial" w:hAnsi="Arial"/>
          <w:sz w:val="20"/>
          <w:szCs w:val="20"/>
          <w:color w:val="auto"/>
        </w:rPr>
        <w:t>This proxy statement, the proxy card, and the notice of meeting are being sent commencing on approximately April 21, 2009 to shareholders of record on March 20, 2009.</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purpose of the annual meeting?</w:t>
      </w:r>
    </w:p>
    <w:p>
      <w:pPr>
        <w:spacing w:after="0" w:line="121" w:lineRule="exact"/>
        <w:rPr>
          <w:sz w:val="20"/>
          <w:szCs w:val="20"/>
          <w:color w:val="auto"/>
        </w:rPr>
      </w:pPr>
    </w:p>
    <w:p>
      <w:pPr>
        <w:ind w:left="980" w:right="220" w:firstLine="609"/>
        <w:spacing w:after="0" w:line="291"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57" w:lineRule="exact"/>
        <w:rPr>
          <w:sz w:val="20"/>
          <w:szCs w:val="20"/>
          <w:color w:val="auto"/>
        </w:rPr>
      </w:pPr>
    </w:p>
    <w:p>
      <w:pPr>
        <w:ind w:left="980" w:right="260" w:firstLine="609"/>
        <w:spacing w:after="0" w:line="260" w:lineRule="auto"/>
        <w:rPr>
          <w:sz w:val="20"/>
          <w:szCs w:val="20"/>
          <w:color w:val="auto"/>
        </w:rPr>
      </w:pPr>
      <w:r>
        <w:rPr>
          <w:rFonts w:ascii="Arial" w:cs="Arial" w:eastAsia="Arial" w:hAnsi="Arial"/>
          <w:sz w:val="20"/>
          <w:szCs w:val="20"/>
          <w:color w:val="auto"/>
        </w:rPr>
        <w:t>Whether or not you plan to attend the meeting, we encourage you to date, sign, and return your proxy in the enclosed envelope.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is entitled to vote at the meeting?</w:t>
      </w:r>
    </w:p>
    <w:p>
      <w:pPr>
        <w:spacing w:after="0" w:line="121" w:lineRule="exact"/>
        <w:rPr>
          <w:sz w:val="20"/>
          <w:szCs w:val="20"/>
          <w:color w:val="auto"/>
        </w:rPr>
      </w:pPr>
    </w:p>
    <w:p>
      <w:pPr>
        <w:jc w:val="both"/>
        <w:ind w:left="980" w:right="60" w:firstLine="609"/>
        <w:spacing w:after="0" w:line="250" w:lineRule="auto"/>
        <w:rPr>
          <w:sz w:val="20"/>
          <w:szCs w:val="20"/>
          <w:color w:val="auto"/>
        </w:rPr>
      </w:pPr>
      <w:r>
        <w:rPr>
          <w:rFonts w:ascii="Arial" w:cs="Arial" w:eastAsia="Arial" w:hAnsi="Arial"/>
          <w:sz w:val="20"/>
          <w:szCs w:val="20"/>
          <w:color w:val="auto"/>
        </w:rPr>
        <w:t>Only shareholders of record at the close of business on March 20, 2009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are the voting rights of the holders of Martin Marietta Materials’ common stock?</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Each share of Martin Marietta Materials common stock is entitled to one vote on each matter considered at the meeting.</w:t>
      </w:r>
    </w:p>
    <w:p>
      <w:pPr>
        <w:spacing w:after="0" w:line="27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can attend the meeting?</w:t>
      </w:r>
    </w:p>
    <w:p>
      <w:pPr>
        <w:spacing w:after="0" w:line="121" w:lineRule="exact"/>
        <w:rPr>
          <w:sz w:val="20"/>
          <w:szCs w:val="20"/>
          <w:color w:val="auto"/>
        </w:rPr>
      </w:pPr>
    </w:p>
    <w:p>
      <w:pPr>
        <w:ind w:left="980" w:right="680" w:firstLine="609"/>
        <w:spacing w:after="0" w:line="386"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constitutes a quorum?</w:t>
      </w:r>
    </w:p>
    <w:p>
      <w:pPr>
        <w:spacing w:after="0" w:line="121" w:lineRule="exact"/>
        <w:rPr>
          <w:sz w:val="20"/>
          <w:szCs w:val="20"/>
          <w:color w:val="auto"/>
        </w:rPr>
      </w:pPr>
    </w:p>
    <w:p>
      <w:pPr>
        <w:ind w:left="980" w:right="20" w:firstLine="609"/>
        <w:spacing w:after="0" w:line="269" w:lineRule="auto"/>
        <w:rPr>
          <w:sz w:val="20"/>
          <w:szCs w:val="20"/>
          <w:color w:val="auto"/>
        </w:rPr>
      </w:pPr>
      <w:r>
        <w:rPr>
          <w:rFonts w:ascii="Arial" w:cs="Arial" w:eastAsia="Arial" w:hAnsi="Arial"/>
          <w:sz w:val="19"/>
          <w:szCs w:val="19"/>
          <w:color w:val="auto"/>
        </w:rPr>
        <w:t>The presence at the meeting, in person or by proxy, of the holders of a majority of the common stock outstanding on the record date constitutes a quorum, permitting shareholders to take action at the meeting. On March 20, 2009, there were 42,450,565 shares outstanding of the Corporation’s common stock, $.01 par value per share.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will oversee the voting results?</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will be counted as</w:t>
      </w:r>
    </w:p>
    <w:p>
      <w:pPr>
        <w:spacing w:after="0" w:line="20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91" w:lineRule="auto"/>
        <w:rPr>
          <w:sz w:val="20"/>
          <w:szCs w:val="20"/>
          <w:color w:val="auto"/>
        </w:rPr>
      </w:pPr>
      <w:r>
        <w:rPr>
          <w:rFonts w:ascii="Arial" w:cs="Arial" w:eastAsia="Arial" w:hAnsi="Arial"/>
          <w:sz w:val="18"/>
          <w:szCs w:val="18"/>
          <w:color w:val="auto"/>
        </w:rPr>
        <w:t>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 I vote?</w:t>
      </w:r>
    </w:p>
    <w:p>
      <w:pPr>
        <w:spacing w:after="0" w:line="121" w:lineRule="exact"/>
        <w:rPr>
          <w:sz w:val="20"/>
          <w:szCs w:val="20"/>
          <w:color w:val="auto"/>
        </w:rPr>
      </w:pPr>
    </w:p>
    <w:p>
      <w:pPr>
        <w:jc w:val="both"/>
        <w:ind w:left="980" w:right="40" w:firstLine="609"/>
        <w:spacing w:after="0" w:line="246" w:lineRule="auto"/>
        <w:rPr>
          <w:sz w:val="20"/>
          <w:szCs w:val="20"/>
          <w:color w:val="auto"/>
        </w:rPr>
      </w:pPr>
      <w:r>
        <w:rPr>
          <w:rFonts w:ascii="Arial" w:cs="Arial" w:eastAsia="Arial" w:hAnsi="Arial"/>
          <w:sz w:val="20"/>
          <w:szCs w:val="20"/>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Can I change my vote after I return my proxy card?</w:t>
      </w:r>
    </w:p>
    <w:p>
      <w:pPr>
        <w:spacing w:after="0" w:line="121" w:lineRule="exact"/>
        <w:rPr>
          <w:sz w:val="20"/>
          <w:szCs w:val="20"/>
          <w:color w:val="auto"/>
        </w:rPr>
      </w:pPr>
    </w:p>
    <w:p>
      <w:pPr>
        <w:ind w:left="980" w:right="80" w:firstLine="609"/>
        <w:spacing w:after="0" w:line="328" w:lineRule="auto"/>
        <w:rPr>
          <w:sz w:val="20"/>
          <w:szCs w:val="20"/>
          <w:color w:val="auto"/>
        </w:rPr>
      </w:pPr>
      <w:r>
        <w:rPr>
          <w:rFonts w:ascii="Arial" w:cs="Arial" w:eastAsia="Arial" w:hAnsi="Arial"/>
          <w:sz w:val="16"/>
          <w:szCs w:val="16"/>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 I vote my 401(k) shares?</w:t>
      </w:r>
    </w:p>
    <w:p>
      <w:pPr>
        <w:spacing w:after="0" w:line="121" w:lineRule="exact"/>
        <w:rPr>
          <w:sz w:val="20"/>
          <w:szCs w:val="20"/>
          <w:color w:val="auto"/>
        </w:rPr>
      </w:pPr>
    </w:p>
    <w:p>
      <w:pPr>
        <w:ind w:left="980" w:right="80" w:firstLine="609"/>
        <w:spacing w:after="0" w:line="244" w:lineRule="auto"/>
        <w:rPr>
          <w:sz w:val="20"/>
          <w:szCs w:val="20"/>
          <w:color w:val="auto"/>
        </w:rPr>
      </w:pPr>
      <w:r>
        <w:rPr>
          <w:rFonts w:ascii="Arial" w:cs="Arial" w:eastAsia="Arial" w:hAnsi="Arial"/>
          <w:sz w:val="20"/>
          <w:szCs w:val="20"/>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brokers required to vote? What are “broker non-votes”?</w:t>
      </w:r>
    </w:p>
    <w:p>
      <w:pPr>
        <w:spacing w:after="0" w:line="121" w:lineRule="exact"/>
        <w:rPr>
          <w:sz w:val="20"/>
          <w:szCs w:val="20"/>
          <w:color w:val="auto"/>
        </w:rPr>
      </w:pPr>
    </w:p>
    <w:p>
      <w:pPr>
        <w:ind w:left="980" w:right="60" w:firstLine="609"/>
        <w:spacing w:after="0" w:line="258" w:lineRule="auto"/>
        <w:rPr>
          <w:sz w:val="20"/>
          <w:szCs w:val="20"/>
          <w:color w:val="auto"/>
        </w:rPr>
      </w:pPr>
      <w:r>
        <w:rPr>
          <w:rFonts w:ascii="Arial" w:cs="Arial" w:eastAsia="Arial" w:hAnsi="Arial"/>
          <w:sz w:val="19"/>
          <w:szCs w:val="19"/>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The election of Directors and the ratification of the appointment of independent auditors are not such proposals, so any broker holding shares for you may vote your shares at their discretion unless you give them specific instructions on how you wish for them to vote.</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vote is required to approve each item?</w:t>
      </w:r>
    </w:p>
    <w:p>
      <w:pPr>
        <w:spacing w:after="0" w:line="121" w:lineRule="exact"/>
        <w:rPr>
          <w:sz w:val="20"/>
          <w:szCs w:val="20"/>
          <w:color w:val="auto"/>
        </w:rPr>
      </w:pPr>
    </w:p>
    <w:p>
      <w:pPr>
        <w:ind w:left="980" w:right="120" w:firstLine="609"/>
        <w:spacing w:after="0" w:line="260" w:lineRule="auto"/>
        <w:rPr>
          <w:sz w:val="20"/>
          <w:szCs w:val="20"/>
          <w:color w:val="auto"/>
        </w:rPr>
      </w:pPr>
      <w:r>
        <w:rPr>
          <w:rFonts w:ascii="Arial" w:cs="Arial" w:eastAsia="Arial" w:hAnsi="Arial"/>
          <w:sz w:val="20"/>
          <w:szCs w:val="20"/>
          <w:color w:val="auto"/>
        </w:rPr>
        <w:t>The election of Directors requires a plurality of the votes cast with a quorum present. “Withheld” votes are not counted in determining whether a plurality of votes was received by a Director nominee.</w:t>
      </w:r>
    </w:p>
    <w:p>
      <w:pPr>
        <w:spacing w:after="0" w:line="82" w:lineRule="exact"/>
        <w:rPr>
          <w:sz w:val="20"/>
          <w:szCs w:val="20"/>
          <w:color w:val="auto"/>
        </w:rPr>
      </w:pPr>
    </w:p>
    <w:p>
      <w:pPr>
        <w:ind w:left="980" w:right="260" w:firstLine="609"/>
        <w:spacing w:after="0" w:line="250" w:lineRule="auto"/>
        <w:rPr>
          <w:sz w:val="20"/>
          <w:szCs w:val="20"/>
          <w:color w:val="auto"/>
        </w:rPr>
      </w:pPr>
      <w:r>
        <w:rPr>
          <w:rFonts w:ascii="Arial" w:cs="Arial" w:eastAsia="Arial" w:hAnsi="Arial"/>
          <w:sz w:val="20"/>
          <w:szCs w:val="20"/>
          <w:color w:val="auto"/>
        </w:rPr>
        <w:t>The ratification of the selection of independent auditors,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92" w:lineRule="exact"/>
        <w:rPr>
          <w:sz w:val="20"/>
          <w:szCs w:val="20"/>
          <w:color w:val="auto"/>
        </w:rPr>
      </w:pPr>
    </w:p>
    <w:p>
      <w:pPr>
        <w:ind w:left="980" w:right="120" w:firstLine="609"/>
        <w:spacing w:after="0" w:line="250" w:lineRule="auto"/>
        <w:rPr>
          <w:sz w:val="20"/>
          <w:szCs w:val="20"/>
          <w:color w:val="auto"/>
        </w:rPr>
      </w:pPr>
      <w:r>
        <w:rPr>
          <w:rFonts w:ascii="Arial" w:cs="Arial" w:eastAsia="Arial" w:hAnsi="Arial"/>
          <w:sz w:val="20"/>
          <w:szCs w:val="20"/>
          <w:color w:val="auto"/>
        </w:rPr>
        <w:t>With respect to any other matters that may properly be introduced at the annual meeting, the Corporation’s Bylaws generally require the affirmative vote of a majority of the votes cast for or against a proposal at the meeting to authorize action by the shareholders at the annual meeting.</w:t>
      </w:r>
    </w:p>
    <w:p>
      <w:pPr>
        <w:spacing w:after="0" w:line="19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are the Board’s recommendations?</w:t>
      </w:r>
    </w:p>
    <w:p>
      <w:pPr>
        <w:spacing w:after="0" w:line="121" w:lineRule="exact"/>
        <w:rPr>
          <w:sz w:val="20"/>
          <w:szCs w:val="20"/>
          <w:color w:val="auto"/>
        </w:rPr>
      </w:pPr>
    </w:p>
    <w:p>
      <w:pPr>
        <w:ind w:left="980" w:firstLine="609"/>
        <w:spacing w:after="0" w:line="250" w:lineRule="auto"/>
        <w:rPr>
          <w:sz w:val="20"/>
          <w:szCs w:val="20"/>
          <w:color w:val="auto"/>
        </w:rPr>
      </w:pPr>
      <w:r>
        <w:rPr>
          <w:rFonts w:ascii="Arial" w:cs="Arial" w:eastAsia="Arial" w:hAnsi="Arial"/>
          <w:sz w:val="20"/>
          <w:szCs w:val="20"/>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86" w:lineRule="exact"/>
        <w:rPr>
          <w:sz w:val="20"/>
          <w:szCs w:val="20"/>
          <w:color w:val="auto"/>
        </w:rPr>
      </w:pPr>
    </w:p>
    <w:p>
      <w:pPr>
        <w:ind w:left="1800" w:hanging="208"/>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the nominated slate of Directors; and</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ratification of the selection of Ernst &amp; Young LLP as independent auditors.</w:t>
      </w:r>
    </w:p>
    <w:p>
      <w:pPr>
        <w:spacing w:after="0" w:line="127" w:lineRule="exact"/>
        <w:rPr>
          <w:sz w:val="20"/>
          <w:szCs w:val="20"/>
          <w:color w:val="auto"/>
        </w:rPr>
      </w:pPr>
    </w:p>
    <w:p>
      <w:pPr>
        <w:ind w:left="980" w:right="60" w:firstLine="609"/>
        <w:spacing w:after="0" w:line="260" w:lineRule="auto"/>
        <w:rPr>
          <w:sz w:val="20"/>
          <w:szCs w:val="20"/>
          <w:color w:val="auto"/>
        </w:rPr>
      </w:pPr>
      <w:r>
        <w:rPr>
          <w:rFonts w:ascii="Arial" w:cs="Arial" w:eastAsia="Arial" w:hAnsi="Arial"/>
          <w:sz w:val="20"/>
          <w:szCs w:val="20"/>
          <w:color w:val="auto"/>
        </w:rPr>
        <w:t>With respect to any other matter that properly comes before the meeting, the proxy holders will vote as recommended by the Board of Directors or, if no recommendation is given, in their own discretion.</w:t>
      </w:r>
    </w:p>
    <w:p>
      <w:pPr>
        <w:spacing w:after="0" w:line="293" w:lineRule="exact"/>
        <w:rPr>
          <w:sz w:val="20"/>
          <w:szCs w:val="20"/>
          <w:color w:val="auto"/>
        </w:rPr>
      </w:pPr>
    </w:p>
    <w:p>
      <w:pPr>
        <w:jc w:val="center"/>
        <w:ind w:left="1380" w:right="1120"/>
        <w:spacing w:after="0" w:line="253" w:lineRule="auto"/>
        <w:rPr>
          <w:sz w:val="20"/>
          <w:szCs w:val="20"/>
          <w:color w:val="auto"/>
        </w:rPr>
      </w:pPr>
      <w:r>
        <w:rPr>
          <w:rFonts w:ascii="Arial" w:cs="Arial" w:eastAsia="Arial" w:hAnsi="Arial"/>
          <w:sz w:val="20"/>
          <w:szCs w:val="20"/>
          <w:b w:val="1"/>
          <w:bCs w:val="1"/>
          <w:color w:val="auto"/>
        </w:rPr>
        <w:t>IMPORTANT NOTICE REGARDING THE AVAILABILITY OF PROXY MATERIALS FOR THE ANNUAL MEETING OF SHAREHOLDERS TO BE HELD ON MAY 27, 2009</w:t>
      </w:r>
    </w:p>
    <w:p>
      <w:pPr>
        <w:spacing w:after="0" w:line="89" w:lineRule="exact"/>
        <w:rPr>
          <w:sz w:val="20"/>
          <w:szCs w:val="20"/>
          <w:color w:val="auto"/>
        </w:rPr>
      </w:pPr>
    </w:p>
    <w:p>
      <w:pPr>
        <w:ind w:left="980" w:right="1560" w:firstLine="609"/>
        <w:spacing w:after="0" w:line="260" w:lineRule="auto"/>
        <w:rPr>
          <w:sz w:val="20"/>
          <w:szCs w:val="20"/>
          <w:color w:val="auto"/>
        </w:rPr>
      </w:pPr>
      <w:r>
        <w:rPr>
          <w:rFonts w:ascii="Arial" w:cs="Arial" w:eastAsia="Arial" w:hAnsi="Arial"/>
          <w:sz w:val="20"/>
          <w:szCs w:val="20"/>
          <w:color w:val="auto"/>
        </w:rPr>
        <w:t xml:space="preserve">This proxy statement, form of proxy card and the accompanying annual report are also available at </w:t>
      </w:r>
      <w:r>
        <w:rPr>
          <w:rFonts w:ascii="Arial" w:cs="Arial" w:eastAsia="Arial" w:hAnsi="Arial"/>
          <w:sz w:val="20"/>
          <w:szCs w:val="20"/>
          <w:i w:val="1"/>
          <w:iCs w:val="1"/>
          <w:color w:val="auto"/>
        </w:rPr>
        <w:t>ir.martinmarietta.com/annuals.cfm</w:t>
      </w:r>
      <w:r>
        <w:rPr>
          <w:rFonts w:ascii="Arial" w:cs="Arial" w:eastAsia="Arial" w:hAnsi="Arial"/>
          <w:sz w:val="20"/>
          <w:szCs w:val="20"/>
          <w:color w:val="auto"/>
        </w:rPr>
        <w:t>.</w:t>
      </w:r>
    </w:p>
    <w:p>
      <w:pPr>
        <w:spacing w:after="0" w:line="186"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4867910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SECURITY OWNERSHIP OF CERTAIN</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BENEFICIAL OWNERS AND MANAGEMENT</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are the largest owners of the Corporation’s stock?</w:t>
      </w:r>
    </w:p>
    <w:p>
      <w:pPr>
        <w:spacing w:after="0" w:line="121" w:lineRule="exact"/>
        <w:rPr>
          <w:sz w:val="20"/>
          <w:szCs w:val="20"/>
          <w:color w:val="auto"/>
        </w:rPr>
      </w:pPr>
    </w:p>
    <w:p>
      <w:pPr>
        <w:ind w:left="980" w:right="40" w:firstLine="609"/>
        <w:spacing w:after="0" w:line="244" w:lineRule="auto"/>
        <w:rPr>
          <w:sz w:val="20"/>
          <w:szCs w:val="20"/>
          <w:color w:val="auto"/>
        </w:rPr>
      </w:pPr>
      <w:r>
        <w:rPr>
          <w:rFonts w:ascii="Arial" w:cs="Arial" w:eastAsia="Arial" w:hAnsi="Arial"/>
          <w:sz w:val="20"/>
          <w:szCs w:val="20"/>
          <w:color w:val="auto"/>
        </w:rPr>
        <w:t>The following table sets forth information with respect to the shares of common stock which are held by persons known to the Corporation to be the beneficial owners of more than 5% of such stock as of March 20, 2009. To the best of the Corporation’s knowledge, based in part on filings with the Securities and Exchange Commission as noted below, no person beneficially owned more than 5% of any class of the Corporation’s outstanding voting securities at the close of business on March 20, 2009, except for those shown below.</w:t>
      </w:r>
    </w:p>
    <w:p>
      <w:pPr>
        <w:spacing w:after="0" w:line="111" w:lineRule="exact"/>
        <w:rPr>
          <w:sz w:val="20"/>
          <w:szCs w:val="20"/>
          <w:color w:val="auto"/>
        </w:rPr>
      </w:pPr>
    </w:p>
    <w:tbl>
      <w:tblPr>
        <w:tblLayout w:type="fixed"/>
        <w:tblInd w:w="970" w:type="dxa"/>
        <w:tblCellMar>
          <w:top w:w="0" w:type="dxa"/>
          <w:left w:w="0" w:type="dxa"/>
          <w:bottom w:w="0" w:type="dxa"/>
          <w:right w:w="0" w:type="dxa"/>
        </w:tblCellMar>
      </w:tblPr>
      <w:tr>
        <w:trPr>
          <w:trHeight w:val="153"/>
        </w:trPr>
        <w:tc>
          <w:tcPr>
            <w:tcW w:w="720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2200" w:type="dxa"/>
            <w:vAlign w:val="bottom"/>
            <w:tcBorders>
              <w:top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Amount and Nature of</w:t>
            </w:r>
          </w:p>
        </w:tc>
        <w:tc>
          <w:tcPr>
            <w:tcW w:w="760" w:type="dxa"/>
            <w:vAlign w:val="bottom"/>
            <w:tcBorders>
              <w:top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7200" w:type="dxa"/>
            <w:vAlign w:val="bottom"/>
            <w:tcBorders>
              <w:left w:val="single" w:sz="8" w:color="auto"/>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Beneficial Ownership</w:t>
            </w: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23"/>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15"/>
                <w:szCs w:val="15"/>
                <w:color w:val="auto"/>
              </w:rPr>
              <w:t>(1)</w:t>
            </w:r>
          </w:p>
        </w:tc>
        <w:tc>
          <w:tcPr>
            <w:tcW w:w="2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6,307,015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2949 East Elvira Road, Suite 101</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Tucson, AZ 85706</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tcBorders>
              <w:left w:val="single" w:sz="8" w:color="auto"/>
            </w:tcBorders>
          </w:tcPr>
          <w:p>
            <w:pPr>
              <w:ind w:left="60"/>
              <w:spacing w:after="0" w:line="201" w:lineRule="exact"/>
              <w:rPr>
                <w:sz w:val="20"/>
                <w:szCs w:val="20"/>
                <w:color w:val="auto"/>
              </w:rPr>
            </w:pPr>
            <w:r>
              <w:rPr>
                <w:rFonts w:ascii="Arial" w:cs="Arial" w:eastAsia="Arial" w:hAnsi="Arial"/>
                <w:sz w:val="18"/>
                <w:szCs w:val="18"/>
                <w:color w:val="auto"/>
              </w:rPr>
              <w:t>Ruane, Cunniff &amp; Goldfarb Inc.</w:t>
            </w:r>
            <w:r>
              <w:rPr>
                <w:rFonts w:ascii="Arial" w:cs="Arial" w:eastAsia="Arial" w:hAnsi="Arial"/>
                <w:sz w:val="15"/>
                <w:szCs w:val="15"/>
                <w:color w:val="auto"/>
              </w:rPr>
              <w:t>(2)</w:t>
            </w:r>
          </w:p>
        </w:tc>
        <w:tc>
          <w:tcPr>
            <w:tcW w:w="2200" w:type="dxa"/>
            <w:vAlign w:val="bottom"/>
          </w:tcPr>
          <w:p>
            <w:pPr>
              <w:jc w:val="right"/>
              <w:ind w:right="295"/>
              <w:spacing w:after="0" w:line="201" w:lineRule="exact"/>
              <w:rPr>
                <w:sz w:val="20"/>
                <w:szCs w:val="20"/>
                <w:color w:val="auto"/>
              </w:rPr>
            </w:pPr>
            <w:r>
              <w:rPr>
                <w:rFonts w:ascii="Arial" w:cs="Arial" w:eastAsia="Arial" w:hAnsi="Arial"/>
                <w:sz w:val="18"/>
                <w:szCs w:val="18"/>
                <w:color w:val="auto"/>
              </w:rPr>
              <w:t>5,919,049</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767 Fifth Ave.,</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New York, NY 10153</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SPO Advisory Corp.</w:t>
            </w:r>
            <w:r>
              <w:rPr>
                <w:rFonts w:ascii="Arial" w:cs="Arial" w:eastAsia="Arial" w:hAnsi="Arial"/>
                <w:sz w:val="15"/>
                <w:szCs w:val="15"/>
                <w:color w:val="auto"/>
              </w:rPr>
              <w:t>(3)</w:t>
            </w:r>
          </w:p>
        </w:tc>
        <w:tc>
          <w:tcPr>
            <w:tcW w:w="2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5,381,235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591 Redwood Highway, #3215</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Mill Valley, CA 94941</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tcBorders>
              <w:left w:val="single" w:sz="8" w:color="auto"/>
            </w:tcBorders>
          </w:tcPr>
          <w:p>
            <w:pPr>
              <w:ind w:left="60"/>
              <w:spacing w:after="0" w:line="201" w:lineRule="exact"/>
              <w:rPr>
                <w:sz w:val="20"/>
                <w:szCs w:val="20"/>
                <w:color w:val="auto"/>
              </w:rPr>
            </w:pPr>
            <w:r>
              <w:rPr>
                <w:rFonts w:ascii="Arial" w:cs="Arial" w:eastAsia="Arial" w:hAnsi="Arial"/>
                <w:sz w:val="18"/>
                <w:szCs w:val="18"/>
                <w:color w:val="auto"/>
              </w:rPr>
              <w:t>Morgan Stanley</w:t>
            </w:r>
            <w:r>
              <w:rPr>
                <w:rFonts w:ascii="Arial" w:cs="Arial" w:eastAsia="Arial" w:hAnsi="Arial"/>
                <w:sz w:val="15"/>
                <w:szCs w:val="15"/>
                <w:color w:val="auto"/>
              </w:rPr>
              <w:t>(4)</w:t>
            </w:r>
          </w:p>
        </w:tc>
        <w:tc>
          <w:tcPr>
            <w:tcW w:w="2200" w:type="dxa"/>
            <w:vAlign w:val="bottom"/>
          </w:tcPr>
          <w:p>
            <w:pPr>
              <w:jc w:val="right"/>
              <w:ind w:right="295"/>
              <w:spacing w:after="0" w:line="201" w:lineRule="exact"/>
              <w:rPr>
                <w:sz w:val="20"/>
                <w:szCs w:val="20"/>
                <w:color w:val="auto"/>
              </w:rPr>
            </w:pPr>
            <w:r>
              <w:rPr>
                <w:rFonts w:ascii="Arial" w:cs="Arial" w:eastAsia="Arial" w:hAnsi="Arial"/>
                <w:sz w:val="18"/>
                <w:szCs w:val="18"/>
                <w:color w:val="auto"/>
              </w:rPr>
              <w:t>3,366,986</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1585 Broadway</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New York, NY 10036</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 Investments, Inc.</w:t>
            </w:r>
            <w:r>
              <w:rPr>
                <w:rFonts w:ascii="Arial" w:cs="Arial" w:eastAsia="Arial" w:hAnsi="Arial"/>
                <w:sz w:val="15"/>
                <w:szCs w:val="15"/>
                <w:color w:val="auto"/>
              </w:rPr>
              <w:t>(5)</w:t>
            </w:r>
          </w:p>
        </w:tc>
        <w:tc>
          <w:tcPr>
            <w:tcW w:w="2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2,100,000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Queen Street East, 20th Floor</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Toronto, ON M5C 3G7 CA</w:t>
            </w:r>
          </w:p>
        </w:tc>
        <w:tc>
          <w:tcPr>
            <w:tcW w:w="2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13G/A dated December 31, 2008 filed with the Securities and Exchange Commission on February 12, 2009.</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 dated December 31, 2008 filed with the Securities and Exchange Commission on February 13, 2009.</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13F dated December 31, 2008 filed with the Securities and Exchange Commission on February 17, 2009.</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 dated December 31, 2008 filed with the Securities and Exchange Commission on February 16, 2009.</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13F dated December 31, 2008 filed with the Securities and Exchange Commission on January 9, 2009.</w:t>
      </w:r>
    </w:p>
    <w:p>
      <w:pPr>
        <w:spacing w:after="0" w:line="21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much stock do the Corporation’s Directors and executive officers own?</w:t>
      </w:r>
    </w:p>
    <w:p>
      <w:pPr>
        <w:spacing w:after="0" w:line="121"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The following table sets forth information as of March 20, 2009 with respect to the shares of common stock that are beneficially owned by the Directors and nominees, the Chief Executive Officer, the Chief Financial Officer, and the three other most highly compensated executive officers, individually, and by all Directors and executive officers of the Corporation as a group.</w:t>
      </w:r>
    </w:p>
    <w:p>
      <w:pPr>
        <w:spacing w:after="0" w:line="107" w:lineRule="exact"/>
        <w:rPr>
          <w:sz w:val="20"/>
          <w:szCs w:val="20"/>
          <w:color w:val="auto"/>
        </w:rPr>
      </w:pPr>
    </w:p>
    <w:tbl>
      <w:tblPr>
        <w:tblLayout w:type="fixed"/>
        <w:tblInd w:w="970" w:type="dxa"/>
        <w:tblCellMar>
          <w:top w:w="0" w:type="dxa"/>
          <w:left w:w="0" w:type="dxa"/>
          <w:bottom w:w="0" w:type="dxa"/>
          <w:right w:w="0" w:type="dxa"/>
        </w:tblCellMar>
      </w:tblPr>
      <w:tr>
        <w:trPr>
          <w:trHeight w:val="153"/>
        </w:trPr>
        <w:tc>
          <w:tcPr>
            <w:tcW w:w="766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w:t>
            </w:r>
          </w:p>
        </w:tc>
        <w:tc>
          <w:tcPr>
            <w:tcW w:w="2500" w:type="dxa"/>
            <w:vAlign w:val="bottom"/>
            <w:tcBorders>
              <w:top w:val="single" w:sz="8" w:color="auto"/>
            </w:tcBorders>
          </w:tcPr>
          <w:p>
            <w:pPr>
              <w:jc w:val="right"/>
              <w:ind w:right="872"/>
              <w:spacing w:after="0" w:line="153" w:lineRule="exact"/>
              <w:rPr>
                <w:sz w:val="20"/>
                <w:szCs w:val="20"/>
                <w:color w:val="auto"/>
              </w:rPr>
            </w:pPr>
            <w:r>
              <w:rPr>
                <w:rFonts w:ascii="Arial" w:cs="Arial" w:eastAsia="Arial" w:hAnsi="Arial"/>
                <w:sz w:val="14"/>
                <w:szCs w:val="14"/>
                <w:b w:val="1"/>
                <w:bCs w:val="1"/>
                <w:color w:val="auto"/>
              </w:rPr>
              <w:t>Amount and Nature of</w:t>
            </w:r>
          </w:p>
        </w:tc>
        <w:tc>
          <w:tcPr>
            <w:tcW w:w="0" w:type="dxa"/>
            <w:vAlign w:val="bottom"/>
          </w:tcPr>
          <w:p>
            <w:pPr>
              <w:spacing w:after="0"/>
              <w:rPr>
                <w:sz w:val="1"/>
                <w:szCs w:val="1"/>
                <w:color w:val="auto"/>
              </w:rPr>
            </w:pPr>
          </w:p>
        </w:tc>
      </w:tr>
      <w:tr>
        <w:trPr>
          <w:trHeight w:val="185"/>
        </w:trPr>
        <w:tc>
          <w:tcPr>
            <w:tcW w:w="7660" w:type="dxa"/>
            <w:vAlign w:val="bottom"/>
            <w:tcBorders>
              <w:left w:val="single" w:sz="8" w:color="auto"/>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w w:val="99"/>
              </w:rPr>
              <w:t>Beneficial Ownership</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23"/>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Sue W. Cole</w:t>
            </w:r>
          </w:p>
        </w:tc>
        <w:tc>
          <w:tcPr>
            <w:tcW w:w="25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32,080</w:t>
            </w: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Anne H. Lloyd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57,958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David G. Maffucci</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15,169</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William E. McDonald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27,911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Frank H. Menaker, Jr.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38,561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 Howard Nye</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44,968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Laree E. Perez</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14,073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Michael J. Quillen</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3,724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Dennis L. Rediker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19,542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Daniel G. Shephard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54,986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Philip J. Sipling</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118,957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Richard A. Vinroot</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31,847</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Stephen P. Zelnak, Jr.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215,593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Directors and executive officers as a group (16 individuals including those named above)</w:t>
            </w:r>
          </w:p>
        </w:tc>
        <w:tc>
          <w:tcPr>
            <w:tcW w:w="2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846,612</w:t>
            </w:r>
            <w:r>
              <w:rPr>
                <w:rFonts w:ascii="Arial" w:cs="Arial" w:eastAsia="Arial" w:hAnsi="Arial"/>
                <w:sz w:val="15"/>
                <w:szCs w:val="15"/>
                <w:color w:val="auto"/>
              </w:rPr>
              <w:t>(2,3,4)</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20" w:hanging="250"/>
        <w:spacing w:after="0" w:line="264"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1.99% of the shares of common stock outstanding as of March 20, 2009. None of the shares reported are pledged as security.</w:t>
      </w:r>
    </w:p>
    <w:p>
      <w:pPr>
        <w:spacing w:after="0" w:line="6" w:lineRule="exact"/>
        <w:rPr>
          <w:rFonts w:ascii="Arial" w:cs="Arial" w:eastAsia="Arial" w:hAnsi="Arial"/>
          <w:sz w:val="13"/>
          <w:szCs w:val="13"/>
          <w:color w:val="auto"/>
        </w:rPr>
      </w:pPr>
    </w:p>
    <w:p>
      <w:pPr>
        <w:ind w:left="1220" w:right="20" w:hanging="250"/>
        <w:spacing w:after="0" w:line="244"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20, 2009 is as follows: Ms. Cole, 8,830; Mr. Maffucci, 3,169; Mr. McDonald, 10,911;</w:t>
      </w:r>
    </w:p>
    <w:p>
      <w:pPr>
        <w:spacing w:after="0" w:line="1" w:lineRule="exact"/>
        <w:rPr>
          <w:rFonts w:ascii="Arial" w:cs="Arial" w:eastAsia="Arial" w:hAnsi="Arial"/>
          <w:sz w:val="13"/>
          <w:szCs w:val="13"/>
          <w:color w:val="auto"/>
        </w:rPr>
      </w:pPr>
    </w:p>
    <w:p>
      <w:pPr>
        <w:ind w:left="1220" w:right="80"/>
        <w:spacing w:after="0" w:line="232" w:lineRule="auto"/>
        <w:rPr>
          <w:rFonts w:ascii="Arial" w:cs="Arial" w:eastAsia="Arial" w:hAnsi="Arial"/>
          <w:sz w:val="13"/>
          <w:szCs w:val="13"/>
          <w:color w:val="auto"/>
        </w:rPr>
      </w:pPr>
      <w:r>
        <w:rPr>
          <w:rFonts w:ascii="Arial" w:cs="Arial" w:eastAsia="Arial" w:hAnsi="Arial"/>
          <w:sz w:val="14"/>
          <w:szCs w:val="14"/>
          <w:color w:val="auto"/>
        </w:rPr>
        <w:t>Mr. Menaker, 13,061; Ms. Perez, 2,073; Mr. Quillen, 724; Mr. Rediker, 4,542; and Mr. Vinroot, 11,347. Amounts reported also include options for common stock for each Director, as follows: Ms. Cole, 19,000; Mr. Maffucci, 12,000; Mr. McDonald, 17,000; Mr. Menaker, 24,000; Ms. Perez, 12,000; Mr. Quillen, 3,000; Mr. Rediker, 15,000; and Mr. Vinroot, 20,500.</w:t>
      </w:r>
    </w:p>
    <w:p>
      <w:pPr>
        <w:spacing w:after="0" w:line="20" w:lineRule="exact"/>
        <w:rPr>
          <w:rFonts w:ascii="Arial" w:cs="Arial" w:eastAsia="Arial" w:hAnsi="Arial"/>
          <w:sz w:val="13"/>
          <w:szCs w:val="13"/>
          <w:color w:val="auto"/>
        </w:rPr>
      </w:pPr>
    </w:p>
    <w:p>
      <w:pPr>
        <w:ind w:left="1220" w:hanging="250"/>
        <w:spacing w:after="0"/>
        <w:tabs>
          <w:tab w:leader="none" w:pos="1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Ms. Cole’s IRA.</w:t>
      </w:r>
    </w:p>
    <w:p>
      <w:pPr>
        <w:spacing w:after="0" w:line="41" w:lineRule="exact"/>
        <w:rPr>
          <w:rFonts w:ascii="Arial" w:cs="Arial" w:eastAsia="Arial" w:hAnsi="Arial"/>
          <w:sz w:val="14"/>
          <w:szCs w:val="14"/>
          <w:color w:val="auto"/>
        </w:rPr>
      </w:pPr>
    </w:p>
    <w:p>
      <w:pPr>
        <w:ind w:left="1220" w:right="40" w:hanging="250"/>
        <w:spacing w:after="0" w:line="241"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number of shares owned for each of Ms. Lloyd and Messrs. Nye, Shephard, Sipling, and Zelnak and all Directors and executive officers as a group assumes that options held by each of them covering shares of common stock in the amounts indicated, which are currently exercisable within 60 days of March 20, 2009, have been exercised: Ms. Lloyd, 22,931; Mr. Nye, 3,291; Mr. Shephard, 14,045; Mr. Sipling, 43,560; Mr. Zelnak, 38,409; and all Directors and executive officers as a group 290,927.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Lloyd, 2,497 and 23,971, respectively;</w:t>
      </w:r>
    </w:p>
    <w:p>
      <w:pPr>
        <w:spacing w:after="0" w:line="2" w:lineRule="exact"/>
        <w:rPr>
          <w:rFonts w:ascii="Arial" w:cs="Arial" w:eastAsia="Arial" w:hAnsi="Arial"/>
          <w:sz w:val="13"/>
          <w:szCs w:val="13"/>
          <w:color w:val="auto"/>
        </w:rPr>
      </w:pPr>
    </w:p>
    <w:p>
      <w:pPr>
        <w:ind w:left="1220" w:right="340"/>
        <w:spacing w:after="0" w:line="271" w:lineRule="auto"/>
        <w:rPr>
          <w:rFonts w:ascii="Arial" w:cs="Arial" w:eastAsia="Arial" w:hAnsi="Arial"/>
          <w:sz w:val="13"/>
          <w:szCs w:val="13"/>
          <w:color w:val="auto"/>
        </w:rPr>
      </w:pPr>
      <w:r>
        <w:rPr>
          <w:rFonts w:ascii="Arial" w:cs="Arial" w:eastAsia="Arial" w:hAnsi="Arial"/>
          <w:sz w:val="13"/>
          <w:szCs w:val="13"/>
          <w:color w:val="auto"/>
        </w:rPr>
        <w:t>Mr. Nye, 3,134 and 38,543, respectively; Mr. Shephard, 4,026 and 25,486, respectively; Mr. Sipling, 1,421 and 48,402, respectively; Mr. Zelnak, 14,352 and 162,832, respectively; and all Directors and executive officers as a group,32,532 and 385,186, respectively. There are no voting rights associated with the stock units.</w:t>
      </w:r>
    </w:p>
    <w:p>
      <w:pPr>
        <w:spacing w:after="0" w:line="17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2397760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Section 16(a) Beneficial Ownership Reporting Compliance</w:t>
      </w:r>
    </w:p>
    <w:p>
      <w:pPr>
        <w:spacing w:after="0" w:line="121" w:lineRule="exact"/>
        <w:rPr>
          <w:sz w:val="20"/>
          <w:szCs w:val="20"/>
          <w:color w:val="auto"/>
        </w:rPr>
      </w:pPr>
    </w:p>
    <w:p>
      <w:pPr>
        <w:ind w:left="980" w:right="120" w:firstLine="609"/>
        <w:spacing w:after="0" w:line="282" w:lineRule="auto"/>
        <w:rPr>
          <w:sz w:val="20"/>
          <w:szCs w:val="20"/>
          <w:color w:val="auto"/>
        </w:rPr>
      </w:pPr>
      <w:r>
        <w:rPr>
          <w:rFonts w:ascii="Arial" w:cs="Arial" w:eastAsia="Arial" w:hAnsi="Arial"/>
          <w:sz w:val="18"/>
          <w:szCs w:val="18"/>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67"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Based solely on its review of the copies of reports furnished to the Corporation and written representations that no other reports were required for the year ended December 31, 2008, the Corporation believes that no Director, officer, or 10% shareholder failed to timely file in 2008 any report required by Section 16(a).</w:t>
      </w:r>
    </w:p>
    <w:p>
      <w:pPr>
        <w:spacing w:after="0" w:line="302"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THE BOARD OF DIRECTORS</w:t>
      </w:r>
    </w:p>
    <w:p>
      <w:pPr>
        <w:spacing w:after="0" w:line="127" w:lineRule="exact"/>
        <w:rPr>
          <w:sz w:val="20"/>
          <w:szCs w:val="20"/>
          <w:color w:val="auto"/>
        </w:rPr>
      </w:pPr>
    </w:p>
    <w:p>
      <w:pPr>
        <w:ind w:left="980" w:right="240" w:firstLine="609"/>
        <w:spacing w:after="0" w:line="260" w:lineRule="auto"/>
        <w:rPr>
          <w:sz w:val="20"/>
          <w:szCs w:val="20"/>
          <w:color w:val="auto"/>
        </w:rPr>
      </w:pPr>
      <w:r>
        <w:rPr>
          <w:rFonts w:ascii="Arial" w:cs="Arial" w:eastAsia="Arial" w:hAnsi="Arial"/>
          <w:sz w:val="20"/>
          <w:szCs w:val="20"/>
          <w:color w:val="auto"/>
        </w:rPr>
        <w:t>The Board of Directors currently consists of nine members, eight of whom are non-employee Directors. The Board is divided into three classes with three-year terms.</w:t>
      </w:r>
    </w:p>
    <w:p>
      <w:pPr>
        <w:spacing w:after="0" w:line="82" w:lineRule="exact"/>
        <w:rPr>
          <w:sz w:val="20"/>
          <w:szCs w:val="20"/>
          <w:color w:val="auto"/>
        </w:rPr>
      </w:pPr>
    </w:p>
    <w:p>
      <w:pPr>
        <w:ind w:left="980" w:firstLine="609"/>
        <w:spacing w:after="0" w:line="260" w:lineRule="auto"/>
        <w:rPr>
          <w:sz w:val="20"/>
          <w:szCs w:val="20"/>
          <w:color w:val="auto"/>
        </w:rPr>
      </w:pPr>
      <w:r>
        <w:rPr>
          <w:rFonts w:ascii="Arial" w:cs="Arial" w:eastAsia="Arial" w:hAnsi="Arial"/>
          <w:sz w:val="19"/>
          <w:szCs w:val="19"/>
          <w:color w:val="auto"/>
        </w:rPr>
        <w:t>The Board of Directors has nominated four persons for election as Directors to serve three-year terms expiring in 2012.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86"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One vacancy currently exists on the Board. The Board, and its Nominating and Corporate Governance Committee, will continue to review and evaluate potential candidates to fill such vacancy as promptly as practicable, but do not intend at this time to nominate an additional person for election at the annual meeting to fill the current vacancy. If a vacancy on the Board is filled by the Board after the 2009 annual meeting but before the 2010 annual meeting, such Director would stand for election by shareholders at the 2010 annual meeting of shareholders. Proxies cannot be voted for a greater number of persons than the number of nominees named.</w:t>
      </w:r>
    </w:p>
    <w:p>
      <w:pPr>
        <w:spacing w:after="0" w:line="102"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2008 annual meeting, for a nomination to be properly made by a shareholder at the 2009 annual meeting, the shareholder’s notice must have been sent to, and received by, our Secretary at our principal executive offices between January 20, 2009 and February 19, 2009.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9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firstLine="609"/>
        <w:spacing w:after="0" w:line="260" w:lineRule="auto"/>
        <w:rPr>
          <w:sz w:val="20"/>
          <w:szCs w:val="20"/>
          <w:color w:val="auto"/>
        </w:rPr>
      </w:pPr>
      <w:r>
        <w:rPr>
          <w:rFonts w:ascii="Arial" w:cs="Arial" w:eastAsia="Arial" w:hAnsi="Arial"/>
          <w:sz w:val="20"/>
          <w:szCs w:val="20"/>
          <w:color w:val="auto"/>
        </w:rPr>
        <w:t>The following sets forth the age and certain other biographical information for each of the nominees for election and for each of the other members of the Board of Directors as of the date of this proxy statement.</w:t>
      </w:r>
    </w:p>
    <w:p>
      <w:pPr>
        <w:spacing w:after="0" w:line="293"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PROPOSAL 1 — ELECTION OF DIRECTORS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Nominees for Election to the Board of Directors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For a Term Continuing Until 2012:</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David G. Maffucci </w:t>
      </w:r>
      <w:r>
        <w:rPr>
          <w:rFonts w:ascii="Arial" w:cs="Arial" w:eastAsia="Arial" w:hAnsi="Arial"/>
          <w:sz w:val="20"/>
          <w:szCs w:val="20"/>
          <w:color w:val="auto"/>
        </w:rPr>
        <w:t>(58)</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Director (since 2005), Chair of the Audit Committee and member of the Finance Committee.</w:t>
      </w:r>
    </w:p>
    <w:p>
      <w:pPr>
        <w:spacing w:after="0" w:line="105" w:lineRule="exact"/>
        <w:rPr>
          <w:sz w:val="20"/>
          <w:szCs w:val="20"/>
          <w:color w:val="auto"/>
        </w:rPr>
      </w:pPr>
    </w:p>
    <w:p>
      <w:pPr>
        <w:jc w:val="both"/>
        <w:ind w:left="1480" w:right="120"/>
        <w:spacing w:after="0" w:line="272" w:lineRule="auto"/>
        <w:rPr>
          <w:sz w:val="20"/>
          <w:szCs w:val="20"/>
          <w:color w:val="auto"/>
        </w:rPr>
      </w:pPr>
      <w:r>
        <w:rPr>
          <w:rFonts w:ascii="Arial" w:cs="Arial" w:eastAsia="Arial" w:hAnsi="Arial"/>
          <w:sz w:val="18"/>
          <w:szCs w:val="18"/>
          <w:color w:val="auto"/>
        </w:rPr>
        <w:t>Mr. Maffucci served as Executive Vice President of Bowater Incorporated and President of its Newsprint Division from 2005 to 2006. He served as Chief Financial Officer of Bowater Incorporated from 1995 to 2005. On October 29, 2007, Bowater Incorporated combined with Abitibi-Consolidated Inc. to form AbitibiBowater Inc. (NYSE: ABH).</w:t>
      </w:r>
    </w:p>
    <w:p>
      <w:pPr>
        <w:spacing w:after="0" w:line="1" w:lineRule="exact"/>
        <w:rPr>
          <w:sz w:val="20"/>
          <w:szCs w:val="20"/>
          <w:color w:val="auto"/>
        </w:rPr>
      </w:pPr>
    </w:p>
    <w:p>
      <w:pPr>
        <w:ind w:left="1480" w:right="120"/>
        <w:spacing w:after="0" w:line="241" w:lineRule="auto"/>
        <w:rPr>
          <w:sz w:val="20"/>
          <w:szCs w:val="20"/>
          <w:color w:val="auto"/>
        </w:rPr>
      </w:pPr>
      <w:r>
        <w:rPr>
          <w:rFonts w:ascii="Arial" w:cs="Arial" w:eastAsia="Arial" w:hAnsi="Arial"/>
          <w:sz w:val="20"/>
          <w:szCs w:val="20"/>
          <w:color w:val="auto"/>
        </w:rPr>
        <w:t>AbitibiBowater produces a wide range of newsprint and commercial printing papers, market pulp and wood products. It is the eighth largest publicly-traded pulp and paper manufacturer in the world. Mr. Maffucci is a Director of Xerium Technologies, Inc., and is a member of its Audit and Compensation Committees.</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William E. McDonald </w:t>
      </w:r>
      <w:r>
        <w:rPr>
          <w:rFonts w:ascii="Arial" w:cs="Arial" w:eastAsia="Arial" w:hAnsi="Arial"/>
          <w:sz w:val="20"/>
          <w:szCs w:val="20"/>
          <w:color w:val="auto"/>
        </w:rPr>
        <w:t>(66)</w:t>
      </w:r>
    </w:p>
    <w:p>
      <w:pPr>
        <w:spacing w:after="0" w:line="22" w:lineRule="exact"/>
        <w:rPr>
          <w:sz w:val="20"/>
          <w:szCs w:val="20"/>
          <w:color w:val="auto"/>
        </w:rPr>
      </w:pPr>
    </w:p>
    <w:p>
      <w:pPr>
        <w:ind w:left="980" w:right="680"/>
        <w:spacing w:after="0" w:line="244" w:lineRule="auto"/>
        <w:rPr>
          <w:sz w:val="20"/>
          <w:szCs w:val="20"/>
          <w:color w:val="auto"/>
        </w:rPr>
      </w:pPr>
      <w:r>
        <w:rPr>
          <w:rFonts w:ascii="Arial" w:cs="Arial" w:eastAsia="Arial" w:hAnsi="Arial"/>
          <w:sz w:val="20"/>
          <w:szCs w:val="20"/>
          <w:i w:val="1"/>
          <w:iCs w:val="1"/>
          <w:color w:val="auto"/>
        </w:rPr>
        <w:t>Director (since 1996), Chair of the Management Development and Compensation Committee, member of the Executive Committee and the Nominating and Corporate Governance Committee.</w:t>
      </w:r>
    </w:p>
    <w:p>
      <w:pPr>
        <w:spacing w:after="0" w:line="97" w:lineRule="exact"/>
        <w:rPr>
          <w:sz w:val="20"/>
          <w:szCs w:val="20"/>
          <w:color w:val="auto"/>
        </w:rPr>
      </w:pPr>
    </w:p>
    <w:p>
      <w:pPr>
        <w:ind w:left="1480" w:right="40"/>
        <w:spacing w:after="0" w:line="260" w:lineRule="auto"/>
        <w:rPr>
          <w:sz w:val="20"/>
          <w:szCs w:val="20"/>
          <w:color w:val="auto"/>
        </w:rPr>
      </w:pPr>
      <w:r>
        <w:rPr>
          <w:rFonts w:ascii="Arial" w:cs="Arial" w:eastAsia="Arial" w:hAnsi="Arial"/>
          <w:sz w:val="20"/>
          <w:szCs w:val="20"/>
          <w:color w:val="auto"/>
        </w:rPr>
        <w:t>Mr. McDonald served as Senior Vice President, Customer Service Operations, Sprint Corporation, a telecommunications company, until his retirement in 2000.</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Frank H. Menaker, Jr. </w:t>
      </w:r>
      <w:r>
        <w:rPr>
          <w:rFonts w:ascii="Arial" w:cs="Arial" w:eastAsia="Arial" w:hAnsi="Arial"/>
          <w:sz w:val="20"/>
          <w:szCs w:val="20"/>
          <w:color w:val="auto"/>
        </w:rPr>
        <w:t>(68)</w:t>
      </w:r>
    </w:p>
    <w:p>
      <w:pPr>
        <w:spacing w:after="0" w:line="22" w:lineRule="exact"/>
        <w:rPr>
          <w:sz w:val="20"/>
          <w:szCs w:val="20"/>
          <w:color w:val="auto"/>
        </w:rPr>
      </w:pPr>
    </w:p>
    <w:p>
      <w:pPr>
        <w:ind w:left="980" w:right="180"/>
        <w:spacing w:after="0" w:line="244" w:lineRule="auto"/>
        <w:rPr>
          <w:sz w:val="20"/>
          <w:szCs w:val="20"/>
          <w:color w:val="auto"/>
        </w:rPr>
      </w:pPr>
      <w:r>
        <w:rPr>
          <w:rFonts w:ascii="Arial" w:cs="Arial" w:eastAsia="Arial" w:hAnsi="Arial"/>
          <w:sz w:val="20"/>
          <w:szCs w:val="20"/>
          <w:i w:val="1"/>
          <w:iCs w:val="1"/>
          <w:color w:val="auto"/>
        </w:rPr>
        <w:t>Director (since 1993), Member of the Audit Committee, the Ethics, Environment, Safety and Health Committee, the Executive Committee and the Management Development and Compensation Committee.</w:t>
      </w:r>
    </w:p>
    <w:p>
      <w:pPr>
        <w:spacing w:after="0" w:line="97" w:lineRule="exact"/>
        <w:rPr>
          <w:sz w:val="20"/>
          <w:szCs w:val="20"/>
          <w:color w:val="auto"/>
        </w:rPr>
      </w:pPr>
    </w:p>
    <w:p>
      <w:pPr>
        <w:ind w:left="1380" w:right="160"/>
        <w:spacing w:after="0" w:line="269" w:lineRule="auto"/>
        <w:rPr>
          <w:sz w:val="20"/>
          <w:szCs w:val="20"/>
          <w:color w:val="auto"/>
        </w:rPr>
      </w:pPr>
      <w:r>
        <w:rPr>
          <w:rFonts w:ascii="Arial" w:cs="Arial" w:eastAsia="Arial" w:hAnsi="Arial"/>
          <w:sz w:val="19"/>
          <w:szCs w:val="19"/>
          <w:color w:val="auto"/>
        </w:rPr>
        <w:t>Mr. Menaker is Of Counsel in the DLA Piper international law firm, based in Washington, D.C. Mr. Menaker previously served as Senior Vice President and General Counsel of Lockheed Martin Corporation, a defense, aeronautics, and aerospace company, from 1996 until 2005. He retired from Lockheed Martin in 2006.</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Richard A. Vinroot </w:t>
      </w:r>
      <w:r>
        <w:rPr>
          <w:rFonts w:ascii="Arial" w:cs="Arial" w:eastAsia="Arial" w:hAnsi="Arial"/>
          <w:sz w:val="20"/>
          <w:szCs w:val="20"/>
          <w:color w:val="auto"/>
        </w:rPr>
        <w:t>(68)</w:t>
      </w:r>
    </w:p>
    <w:p>
      <w:pPr>
        <w:spacing w:after="0" w:line="22" w:lineRule="exact"/>
        <w:rPr>
          <w:sz w:val="20"/>
          <w:szCs w:val="20"/>
          <w:color w:val="auto"/>
        </w:rPr>
      </w:pPr>
    </w:p>
    <w:p>
      <w:pPr>
        <w:ind w:left="980" w:right="400"/>
        <w:spacing w:after="0" w:line="244" w:lineRule="auto"/>
        <w:rPr>
          <w:sz w:val="20"/>
          <w:szCs w:val="20"/>
          <w:color w:val="auto"/>
        </w:rPr>
      </w:pPr>
      <w:r>
        <w:rPr>
          <w:rFonts w:ascii="Arial" w:cs="Arial" w:eastAsia="Arial" w:hAnsi="Arial"/>
          <w:sz w:val="20"/>
          <w:szCs w:val="20"/>
          <w:i w:val="1"/>
          <w:iCs w:val="1"/>
          <w:color w:val="auto"/>
        </w:rPr>
        <w:t>Director (since 1996), Chair of the Ethics, Environment, Safety and Health Committee and member of the Nominating and Corporate Governance Committee.</w:t>
      </w:r>
    </w:p>
    <w:p>
      <w:pPr>
        <w:spacing w:after="0" w:line="97" w:lineRule="exact"/>
        <w:rPr>
          <w:sz w:val="20"/>
          <w:szCs w:val="20"/>
          <w:color w:val="auto"/>
        </w:rPr>
      </w:pPr>
    </w:p>
    <w:p>
      <w:pPr>
        <w:ind w:left="1380" w:right="60"/>
        <w:spacing w:after="0" w:line="260" w:lineRule="auto"/>
        <w:rPr>
          <w:sz w:val="20"/>
          <w:szCs w:val="20"/>
          <w:color w:val="auto"/>
        </w:rPr>
      </w:pPr>
      <w:r>
        <w:rPr>
          <w:rFonts w:ascii="Arial" w:cs="Arial" w:eastAsia="Arial" w:hAnsi="Arial"/>
          <w:sz w:val="20"/>
          <w:szCs w:val="20"/>
          <w:color w:val="auto"/>
        </w:rPr>
        <w:t>Mr. Vinroot has been a member of the law firm of Robinson, Bradshaw &amp; Hinson, P.A. in Charlotte, North Carolina since 1969. From 1991 to 1995, Mr. Vinroot served as Mayor of Charlotte, North Carolina.</w:t>
      </w:r>
    </w:p>
    <w:p>
      <w:pPr>
        <w:spacing w:after="0" w:line="184"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i w:val="1"/>
          <w:iCs w:val="1"/>
          <w:u w:val="single" w:color="auto"/>
          <w:color w:val="auto"/>
        </w:rPr>
        <w:t>“FOR”</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ALL NOMINEES FOR ELECTION TO THE BOARD OF DIRECTORS.</w:t>
      </w:r>
    </w:p>
    <w:p>
      <w:pPr>
        <w:spacing w:after="0" w:line="20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1711960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Directors Whose Terms Continue Until 2010:</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Laree E. Perez </w:t>
      </w:r>
      <w:r>
        <w:rPr>
          <w:rFonts w:ascii="Arial" w:cs="Arial" w:eastAsia="Arial" w:hAnsi="Arial"/>
          <w:sz w:val="20"/>
          <w:szCs w:val="20"/>
          <w:color w:val="auto"/>
        </w:rPr>
        <w:t>(55)</w:t>
      </w:r>
    </w:p>
    <w:p>
      <w:pPr>
        <w:spacing w:after="0" w:line="22" w:lineRule="exact"/>
        <w:rPr>
          <w:sz w:val="20"/>
          <w:szCs w:val="20"/>
          <w:color w:val="auto"/>
        </w:rPr>
      </w:pPr>
    </w:p>
    <w:p>
      <w:pPr>
        <w:ind w:left="980" w:right="480"/>
        <w:spacing w:after="0" w:line="244" w:lineRule="auto"/>
        <w:rPr>
          <w:sz w:val="20"/>
          <w:szCs w:val="20"/>
          <w:color w:val="auto"/>
        </w:rPr>
      </w:pPr>
      <w:r>
        <w:rPr>
          <w:rFonts w:ascii="Arial" w:cs="Arial" w:eastAsia="Arial" w:hAnsi="Arial"/>
          <w:sz w:val="20"/>
          <w:szCs w:val="20"/>
          <w:i w:val="1"/>
          <w:iCs w:val="1"/>
          <w:color w:val="auto"/>
        </w:rPr>
        <w:t>Director (since 2004), Chair of the Finance Committee and member of the Audit Committee and the Ethics, Environment, Safety and Health Committee.</w:t>
      </w:r>
    </w:p>
    <w:p>
      <w:pPr>
        <w:spacing w:after="0" w:line="97" w:lineRule="exact"/>
        <w:rPr>
          <w:sz w:val="20"/>
          <w:szCs w:val="20"/>
          <w:color w:val="auto"/>
        </w:rPr>
      </w:pPr>
    </w:p>
    <w:p>
      <w:pPr>
        <w:jc w:val="both"/>
        <w:ind w:left="1380" w:right="260"/>
        <w:spacing w:after="0" w:line="269" w:lineRule="auto"/>
        <w:rPr>
          <w:sz w:val="20"/>
          <w:szCs w:val="20"/>
          <w:color w:val="auto"/>
        </w:rPr>
      </w:pPr>
      <w:r>
        <w:rPr>
          <w:rFonts w:ascii="Arial" w:cs="Arial" w:eastAsia="Arial" w:hAnsi="Arial"/>
          <w:sz w:val="19"/>
          <w:szCs w:val="19"/>
          <w:color w:val="auto"/>
        </w:rPr>
        <w:t>Ms. Perez has served as the Managing Partner in The Medallion Company, LLC, an investment management company, since 2003 and as an independent financial consultant with that company since 2002. Ms. Perez is a Director of Reliant Energy, Inc. and is a member of its Nominating and Governance Committee.</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Dennis L. Rediker </w:t>
      </w:r>
      <w:r>
        <w:rPr>
          <w:rFonts w:ascii="Arial" w:cs="Arial" w:eastAsia="Arial" w:hAnsi="Arial"/>
          <w:sz w:val="20"/>
          <w:szCs w:val="20"/>
          <w:color w:val="auto"/>
        </w:rPr>
        <w:t>(65)</w:t>
      </w:r>
    </w:p>
    <w:p>
      <w:pPr>
        <w:spacing w:after="0" w:line="22" w:lineRule="exact"/>
        <w:rPr>
          <w:sz w:val="20"/>
          <w:szCs w:val="20"/>
          <w:color w:val="auto"/>
        </w:rPr>
      </w:pPr>
    </w:p>
    <w:p>
      <w:pPr>
        <w:ind w:left="980"/>
        <w:spacing w:after="0" w:line="244" w:lineRule="auto"/>
        <w:rPr>
          <w:sz w:val="20"/>
          <w:szCs w:val="20"/>
          <w:color w:val="auto"/>
        </w:rPr>
      </w:pPr>
      <w:r>
        <w:rPr>
          <w:rFonts w:ascii="Arial" w:cs="Arial" w:eastAsia="Arial" w:hAnsi="Arial"/>
          <w:sz w:val="20"/>
          <w:szCs w:val="20"/>
          <w:i w:val="1"/>
          <w:iCs w:val="1"/>
          <w:color w:val="auto"/>
        </w:rPr>
        <w:t>Director (since 2003), Member of the Audit Committee, the Finance Committee and the Ethics, Environment, Safety and Health Committee.</w:t>
      </w:r>
    </w:p>
    <w:p>
      <w:pPr>
        <w:spacing w:after="0" w:line="97" w:lineRule="exact"/>
        <w:rPr>
          <w:sz w:val="20"/>
          <w:szCs w:val="20"/>
          <w:color w:val="auto"/>
        </w:rPr>
      </w:pPr>
    </w:p>
    <w:p>
      <w:pPr>
        <w:ind w:left="1380" w:right="140"/>
        <w:spacing w:after="0" w:line="260" w:lineRule="auto"/>
        <w:rPr>
          <w:sz w:val="20"/>
          <w:szCs w:val="20"/>
          <w:color w:val="auto"/>
        </w:rPr>
      </w:pPr>
      <w:r>
        <w:rPr>
          <w:rFonts w:ascii="Arial" w:cs="Arial" w:eastAsia="Arial" w:hAnsi="Arial"/>
          <w:sz w:val="20"/>
          <w:szCs w:val="20"/>
          <w:color w:val="auto"/>
        </w:rPr>
        <w:t>Mr. Rediker served as President, Chief Executive Officer and a Director of The Standard Register Company, a document services company, from 2000 until his retirement in 2008.</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Directors Whose Terms Continue Until 2011:</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Sue W. Cole </w:t>
      </w:r>
      <w:r>
        <w:rPr>
          <w:rFonts w:ascii="Arial" w:cs="Arial" w:eastAsia="Arial" w:hAnsi="Arial"/>
          <w:sz w:val="20"/>
          <w:szCs w:val="20"/>
          <w:color w:val="auto"/>
        </w:rPr>
        <w:t>(58)</w:t>
      </w:r>
    </w:p>
    <w:p>
      <w:pPr>
        <w:spacing w:after="0" w:line="22" w:lineRule="exact"/>
        <w:rPr>
          <w:sz w:val="20"/>
          <w:szCs w:val="20"/>
          <w:color w:val="auto"/>
        </w:rPr>
      </w:pPr>
    </w:p>
    <w:p>
      <w:pPr>
        <w:ind w:left="980" w:right="600"/>
        <w:spacing w:after="0" w:line="244" w:lineRule="auto"/>
        <w:rPr>
          <w:sz w:val="20"/>
          <w:szCs w:val="20"/>
          <w:color w:val="auto"/>
        </w:rPr>
      </w:pPr>
      <w:r>
        <w:rPr>
          <w:rFonts w:ascii="Arial" w:cs="Arial" w:eastAsia="Arial" w:hAnsi="Arial"/>
          <w:sz w:val="20"/>
          <w:szCs w:val="20"/>
          <w:i w:val="1"/>
          <w:iCs w:val="1"/>
          <w:color w:val="auto"/>
        </w:rPr>
        <w:t>Director (since 2002), Chair of the Nominating and Corporate Governance Committee and member of the Management Development and Compensation Committee.</w:t>
      </w:r>
    </w:p>
    <w:p>
      <w:pPr>
        <w:spacing w:after="0" w:line="97" w:lineRule="exact"/>
        <w:rPr>
          <w:sz w:val="20"/>
          <w:szCs w:val="20"/>
          <w:color w:val="auto"/>
        </w:rPr>
      </w:pPr>
    </w:p>
    <w:p>
      <w:pPr>
        <w:ind w:left="1380" w:right="80"/>
        <w:spacing w:after="0" w:line="250" w:lineRule="auto"/>
        <w:rPr>
          <w:sz w:val="20"/>
          <w:szCs w:val="20"/>
          <w:color w:val="auto"/>
        </w:rPr>
      </w:pPr>
      <w:r>
        <w:rPr>
          <w:rFonts w:ascii="Arial" w:cs="Arial" w:eastAsia="Arial" w:hAnsi="Arial"/>
          <w:sz w:val="20"/>
          <w:szCs w:val="20"/>
          <w:color w:val="auto"/>
        </w:rPr>
        <w:t>Ms. Cole is a principal of Granville Capital Inc., a registered investment advisor. Previously she served as Regional Chief Executive Officer of the Mid-Atlantic Region of United States Trust Company, N.A., an integrated wealth management firm, from 2003 to 2006.</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Michael J. Quillen </w:t>
      </w:r>
      <w:r>
        <w:rPr>
          <w:rFonts w:ascii="Arial" w:cs="Arial" w:eastAsia="Arial" w:hAnsi="Arial"/>
          <w:sz w:val="20"/>
          <w:szCs w:val="20"/>
          <w:color w:val="auto"/>
        </w:rPr>
        <w:t>(60)</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9"/>
          <w:szCs w:val="19"/>
          <w:i w:val="1"/>
          <w:iCs w:val="1"/>
          <w:color w:val="auto"/>
        </w:rPr>
        <w:t>Director (since 2008), Member of the Ethics, Environment, Safety and Health Committee and the Finance Committee.</w:t>
      </w:r>
    </w:p>
    <w:p>
      <w:pPr>
        <w:spacing w:after="0" w:line="117" w:lineRule="exact"/>
        <w:rPr>
          <w:sz w:val="20"/>
          <w:szCs w:val="20"/>
          <w:color w:val="auto"/>
        </w:rPr>
      </w:pPr>
    </w:p>
    <w:p>
      <w:pPr>
        <w:ind w:left="1380" w:right="160"/>
        <w:spacing w:after="0" w:line="243" w:lineRule="auto"/>
        <w:rPr>
          <w:sz w:val="20"/>
          <w:szCs w:val="20"/>
          <w:color w:val="auto"/>
        </w:rPr>
      </w:pPr>
      <w:r>
        <w:rPr>
          <w:rFonts w:ascii="Arial" w:cs="Arial" w:eastAsia="Arial" w:hAnsi="Arial"/>
          <w:sz w:val="20"/>
          <w:szCs w:val="20"/>
          <w:color w:val="auto"/>
        </w:rPr>
        <w:t>Mr. Quillen has served as Chief Executive Officer and a member of the Board of Directors of Alpha Natural Resources, Inc., a leading Appalachian coal supplier, since its formation in 2004. He was named Chairman of the Board of Alpha in 2006. Mr. Quillen served as President of Alpha until 2006. In 2002, Mr. Quillen joined the Alpha management team as President and the sole manager of Alpha’s operating subsidiary, Alpha Natural Resources, LLC, where he has served as Chief Executive Officer since 2003. From 2002 to 2005 he also served in senior executive capacities with other former affiliates of Alpha.</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Stephen P. Zelnak, Jr. </w:t>
      </w:r>
      <w:r>
        <w:rPr>
          <w:rFonts w:ascii="Arial" w:cs="Arial" w:eastAsia="Arial" w:hAnsi="Arial"/>
          <w:sz w:val="20"/>
          <w:szCs w:val="20"/>
          <w:color w:val="auto"/>
        </w:rPr>
        <w:t>(64)</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Chairman of the Board (since 1997) and Director (since 1993), Chair of the Executive Committee.</w:t>
      </w:r>
    </w:p>
    <w:p>
      <w:pPr>
        <w:spacing w:after="0" w:line="105" w:lineRule="exact"/>
        <w:rPr>
          <w:sz w:val="20"/>
          <w:szCs w:val="20"/>
          <w:color w:val="auto"/>
        </w:rPr>
      </w:pPr>
    </w:p>
    <w:p>
      <w:pPr>
        <w:ind w:left="1380" w:right="80"/>
        <w:spacing w:after="0" w:line="316" w:lineRule="auto"/>
        <w:rPr>
          <w:sz w:val="20"/>
          <w:szCs w:val="20"/>
          <w:color w:val="auto"/>
        </w:rPr>
      </w:pPr>
      <w:r>
        <w:rPr>
          <w:rFonts w:ascii="Arial" w:cs="Arial" w:eastAsia="Arial" w:hAnsi="Arial"/>
          <w:sz w:val="18"/>
          <w:szCs w:val="18"/>
          <w:color w:val="auto"/>
        </w:rPr>
        <w:t>Mr. Zelnak has served as Chief Executive Officer of the Corporation since 1993. He previously served as President of the Corporation from 1993 to 2006. Mr. Zelnak is also a Director of Beazer Homes USA, Inc., and Pace Industries.</w:t>
      </w:r>
    </w:p>
    <w:p>
      <w:pPr>
        <w:spacing w:after="0" w:line="13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DIRECTOR COMPENSATION</w:t>
      </w:r>
    </w:p>
    <w:p>
      <w:pPr>
        <w:spacing w:after="0" w:line="127" w:lineRule="exact"/>
        <w:rPr>
          <w:sz w:val="20"/>
          <w:szCs w:val="20"/>
          <w:color w:val="auto"/>
        </w:rPr>
      </w:pPr>
    </w:p>
    <w:p>
      <w:pPr>
        <w:ind w:left="980" w:right="160" w:firstLine="609"/>
        <w:spacing w:after="0" w:line="243" w:lineRule="auto"/>
        <w:rPr>
          <w:sz w:val="20"/>
          <w:szCs w:val="20"/>
          <w:color w:val="auto"/>
        </w:rPr>
      </w:pPr>
      <w:r>
        <w:rPr>
          <w:rFonts w:ascii="Arial" w:cs="Arial" w:eastAsia="Arial" w:hAnsi="Arial"/>
          <w:sz w:val="20"/>
          <w:szCs w:val="20"/>
          <w:color w:val="auto"/>
        </w:rPr>
        <w:t>The Corporation uses a combination of cash and stock-based incentive compensation to attract and retain qualified candidates to serve on the Board of Directors. In setting director compensation, the Corporation considers the significant amount of time that Directors expend in fulfilling their duties to the Corporation as well as the skill-level required by the Corporation of members of the Board. The Board determines reasonable compensation for Directors upon recommendation of the Management Development and Compensation Committee of the Board, which retains independent compensation consultants to assist it.</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Cash Compensation Paid to Board Members</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For the fiscal year ended December 31, 2008, all of the Directors, except Mr. Zelnak, who is the Chief Executive</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Officer of the Corporation and is not compensated separately for his service as a Director, received an annual retainer of</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$32,500. Directors received $1,250 for each regular or special meeting of the Board and Board committees attended. Members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of the Audit Committee received an additional $5,000 in view of their increased responsibilities. The Chair of the Audit</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Committee received an annual fee of $8,000 in light of his increased responsibilities. Each committee chair (other than the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Chairs of the Audit and the Executive Committees) received an annual fee of $4,000. Directors were also reimbursed for travel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and other expenses related to attendance at Board and committee meetings. The Corporation’s plane was used to transport some</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Directors to and from Board and committee meetings, but no Directors received personal use of the Corporation’s plane 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other perquisites and personal benefits in 2008.</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Equity Compensation Paid to Board Members</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All of the Directors in 2008, except Mr. Zelnak, were granted 3,000 non-qualified stock option awards pursuant to the Amended and Restated Stock-Based Award Plan. The stock options granted to the Directors in 2008 were immediately exercisable and expire ten years from the date of grant. The exercise price of the shares of the Corporation’s common stock subject to the options was set at the closing price of the common stock on the New York Stock Exchange on the date the options were granted. Until an option is exercised, shares subject to option cannot be voted nor do they receive dividends or dividend equivalents.</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Deferred Compensation Program for Board Members</w:t>
      </w:r>
    </w:p>
    <w:p>
      <w:pPr>
        <w:spacing w:after="0" w:line="121" w:lineRule="exact"/>
        <w:rPr>
          <w:sz w:val="20"/>
          <w:szCs w:val="20"/>
          <w:color w:val="auto"/>
        </w:rPr>
      </w:pPr>
    </w:p>
    <w:p>
      <w:pPr>
        <w:ind w:left="980" w:right="20" w:firstLine="609"/>
        <w:spacing w:after="0" w:line="307" w:lineRule="auto"/>
        <w:rPr>
          <w:sz w:val="20"/>
          <w:szCs w:val="20"/>
          <w:color w:val="auto"/>
        </w:rPr>
      </w:pPr>
      <w:r>
        <w:rPr>
          <w:rFonts w:ascii="Arial" w:cs="Arial" w:eastAsia="Arial" w:hAnsi="Arial"/>
          <w:sz w:val="16"/>
          <w:szCs w:val="16"/>
          <w:color w:val="auto"/>
        </w:rPr>
        <w:t>Pursuant to the Common Stock Purchase Plan for Directors, non-employee Directors may elect to receive all or a portion of their fees in the form of the Corporation’s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the Corporation. The units are converted into common stock of the Corporation pursuant to the terms of the plan. Dividend equivalents are paid on the units at the same rate as dividends are paid to all shareholders. The Directors do not have voting or investment power for their respective units.</w:t>
      </w:r>
    </w:p>
    <w:p>
      <w:pPr>
        <w:spacing w:after="0" w:line="39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1146175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 Compensation Table</w:t>
      </w:r>
    </w:p>
    <w:p>
      <w:pPr>
        <w:spacing w:after="0" w:line="121" w:lineRule="exact"/>
        <w:rPr>
          <w:sz w:val="20"/>
          <w:szCs w:val="20"/>
          <w:color w:val="auto"/>
        </w:rPr>
      </w:pPr>
    </w:p>
    <w:p>
      <w:pPr>
        <w:ind w:left="980" w:right="220" w:firstLine="609"/>
        <w:spacing w:after="0" w:line="260" w:lineRule="auto"/>
        <w:rPr>
          <w:sz w:val="20"/>
          <w:szCs w:val="20"/>
          <w:color w:val="auto"/>
        </w:rPr>
      </w:pPr>
      <w:r>
        <w:rPr>
          <w:rFonts w:ascii="Arial" w:cs="Arial" w:eastAsia="Arial" w:hAnsi="Arial"/>
          <w:sz w:val="20"/>
          <w:szCs w:val="20"/>
          <w:color w:val="auto"/>
        </w:rPr>
        <w:t>The table below summarizes the compensation paid by the Corporation to each person who served as a non-employee Directors during the fiscal year ended December 31, 2008.</w:t>
      </w:r>
    </w:p>
    <w:p>
      <w:pPr>
        <w:spacing w:after="0" w:line="93"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3140" w:type="dxa"/>
            <w:vAlign w:val="bottom"/>
            <w:tcBorders>
              <w:top w:val="single" w:sz="8" w:color="auto"/>
              <w:left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5"/>
              </w:rPr>
              <w:t>Change in Pension</w:t>
            </w:r>
          </w:p>
        </w:tc>
        <w:tc>
          <w:tcPr>
            <w:tcW w:w="1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35"/>
        </w:trPr>
        <w:tc>
          <w:tcPr>
            <w:tcW w:w="3140" w:type="dxa"/>
            <w:vAlign w:val="bottom"/>
            <w:tcBorders>
              <w:lef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Value and</w:t>
            </w:r>
          </w:p>
        </w:tc>
        <w:tc>
          <w:tcPr>
            <w:tcW w:w="1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40" w:type="dxa"/>
            <w:vAlign w:val="bottom"/>
            <w:tcBorders>
              <w:lef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40" w:type="dxa"/>
            <w:vAlign w:val="bottom"/>
            <w:tcBorders>
              <w:left w:val="single" w:sz="8" w:color="auto"/>
            </w:tcBorders>
          </w:tcPr>
          <w:p>
            <w:pPr>
              <w:spacing w:after="0"/>
              <w:rPr>
                <w:sz w:val="11"/>
                <w:szCs w:val="11"/>
                <w:color w:val="auto"/>
              </w:rPr>
            </w:pPr>
          </w:p>
        </w:tc>
        <w:tc>
          <w:tcPr>
            <w:tcW w:w="90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85"/>
              </w:rPr>
              <w:t>Fees Earned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1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140" w:type="dxa"/>
            <w:vAlign w:val="bottom"/>
            <w:tcBorders>
              <w:left w:val="single" w:sz="8" w:color="auto"/>
            </w:tcBorders>
          </w:tcPr>
          <w:p>
            <w:pPr>
              <w:spacing w:after="0"/>
              <w:rPr>
                <w:sz w:val="11"/>
                <w:szCs w:val="11"/>
                <w:color w:val="auto"/>
              </w:rPr>
            </w:pPr>
          </w:p>
        </w:tc>
        <w:tc>
          <w:tcPr>
            <w:tcW w:w="90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1"/>
              </w:rPr>
              <w:t>or Paid in</w:t>
            </w:r>
          </w:p>
        </w:tc>
        <w:tc>
          <w:tcPr>
            <w:tcW w:w="7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4"/>
              </w:rPr>
              <w:t>Stock</w:t>
            </w:r>
          </w:p>
        </w:tc>
        <w:tc>
          <w:tcPr>
            <w:tcW w:w="8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90"/>
              </w:rPr>
              <w:t>Option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80" w:type="dxa"/>
            <w:vAlign w:val="bottom"/>
          </w:tcPr>
          <w:p>
            <w:pPr>
              <w:jc w:val="center"/>
              <w:ind w:right="103"/>
              <w:spacing w:after="0" w:line="135" w:lineRule="exact"/>
              <w:rPr>
                <w:sz w:val="20"/>
                <w:szCs w:val="20"/>
                <w:color w:val="auto"/>
              </w:rPr>
            </w:pPr>
            <w:r>
              <w:rPr>
                <w:rFonts w:ascii="Arial" w:cs="Arial" w:eastAsia="Arial" w:hAnsi="Arial"/>
                <w:sz w:val="13"/>
                <w:szCs w:val="13"/>
                <w:b w:val="1"/>
                <w:bCs w:val="1"/>
                <w:color w:val="auto"/>
                <w:w w:val="90"/>
              </w:rPr>
              <w:t>All Other</w:t>
            </w:r>
          </w:p>
        </w:tc>
        <w:tc>
          <w:tcPr>
            <w:tcW w:w="720" w:type="dxa"/>
            <w:vAlign w:val="bottom"/>
          </w:tcPr>
          <w:p>
            <w:pPr>
              <w:spacing w:after="0"/>
              <w:rPr>
                <w:sz w:val="11"/>
                <w:szCs w:val="11"/>
                <w:color w:val="auto"/>
              </w:rPr>
            </w:pPr>
          </w:p>
        </w:tc>
      </w:tr>
      <w:tr>
        <w:trPr>
          <w:trHeight w:val="135"/>
        </w:trPr>
        <w:tc>
          <w:tcPr>
            <w:tcW w:w="3140" w:type="dxa"/>
            <w:vAlign w:val="bottom"/>
            <w:tcBorders>
              <w:left w:val="single" w:sz="8" w:color="auto"/>
            </w:tcBorders>
          </w:tcPr>
          <w:p>
            <w:pPr>
              <w:ind w:left="1340"/>
              <w:spacing w:after="0" w:line="135" w:lineRule="exact"/>
              <w:rPr>
                <w:sz w:val="20"/>
                <w:szCs w:val="20"/>
                <w:color w:val="auto"/>
              </w:rPr>
            </w:pPr>
            <w:r>
              <w:rPr>
                <w:rFonts w:ascii="Arial" w:cs="Arial" w:eastAsia="Arial" w:hAnsi="Arial"/>
                <w:sz w:val="13"/>
                <w:szCs w:val="13"/>
                <w:b w:val="1"/>
                <w:bCs w:val="1"/>
                <w:color w:val="auto"/>
              </w:rPr>
              <w:t>Name</w:t>
            </w:r>
            <w:r>
              <w:rPr>
                <w:rFonts w:ascii="Arial" w:cs="Arial" w:eastAsia="Arial" w:hAnsi="Arial"/>
                <w:sz w:val="10"/>
                <w:szCs w:val="10"/>
                <w:b w:val="1"/>
                <w:bCs w:val="1"/>
                <w:color w:val="auto"/>
              </w:rPr>
              <w:t>(1)</w:t>
            </w:r>
          </w:p>
        </w:tc>
        <w:tc>
          <w:tcPr>
            <w:tcW w:w="90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1"/>
              </w:rPr>
              <w:t>Cash ($)</w:t>
            </w:r>
            <w:r>
              <w:rPr>
                <w:rFonts w:ascii="Arial" w:cs="Arial" w:eastAsia="Arial" w:hAnsi="Arial"/>
                <w:sz w:val="10"/>
                <w:szCs w:val="10"/>
                <w:b w:val="1"/>
                <w:bCs w:val="1"/>
                <w:color w:val="auto"/>
                <w:w w:val="91"/>
              </w:rPr>
              <w:t>(2)</w:t>
            </w:r>
          </w:p>
        </w:tc>
        <w:tc>
          <w:tcPr>
            <w:tcW w:w="74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9"/>
              </w:rPr>
              <w:t>Awards($)</w:t>
            </w:r>
          </w:p>
        </w:tc>
        <w:tc>
          <w:tcPr>
            <w:tcW w:w="8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10"/>
                <w:szCs w:val="10"/>
                <w:b w:val="1"/>
                <w:bCs w:val="1"/>
                <w:color w:val="auto"/>
                <w:w w:val="93"/>
              </w:rPr>
              <w:t>(3)</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Compensation($)</w:t>
            </w: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Earnings($)</w:t>
            </w:r>
            <w:r>
              <w:rPr>
                <w:rFonts w:ascii="Arial" w:cs="Arial" w:eastAsia="Arial" w:hAnsi="Arial"/>
                <w:sz w:val="10"/>
                <w:szCs w:val="10"/>
                <w:b w:val="1"/>
                <w:bCs w:val="1"/>
                <w:color w:val="auto"/>
                <w:w w:val="90"/>
              </w:rPr>
              <w:t>(4)</w:t>
            </w:r>
          </w:p>
        </w:tc>
        <w:tc>
          <w:tcPr>
            <w:tcW w:w="1280" w:type="dxa"/>
            <w:vAlign w:val="bottom"/>
          </w:tcPr>
          <w:p>
            <w:pPr>
              <w:jc w:val="center"/>
              <w:ind w:right="103"/>
              <w:spacing w:after="0" w:line="135" w:lineRule="exact"/>
              <w:rPr>
                <w:sz w:val="20"/>
                <w:szCs w:val="20"/>
                <w:color w:val="auto"/>
              </w:rPr>
            </w:pPr>
            <w:r>
              <w:rPr>
                <w:rFonts w:ascii="Arial" w:cs="Arial" w:eastAsia="Arial" w:hAnsi="Arial"/>
                <w:sz w:val="13"/>
                <w:szCs w:val="13"/>
                <w:b w:val="1"/>
                <w:bCs w:val="1"/>
                <w:color w:val="auto"/>
                <w:w w:val="89"/>
              </w:rPr>
              <w:t>Compensation($)</w:t>
            </w:r>
            <w:r>
              <w:rPr>
                <w:rFonts w:ascii="Arial" w:cs="Arial" w:eastAsia="Arial" w:hAnsi="Arial"/>
                <w:sz w:val="10"/>
                <w:szCs w:val="10"/>
                <w:b w:val="1"/>
                <w:bCs w:val="1"/>
                <w:color w:val="auto"/>
                <w:w w:val="89"/>
              </w:rPr>
              <w:t>(5)</w:t>
            </w:r>
          </w:p>
        </w:tc>
        <w:tc>
          <w:tcPr>
            <w:tcW w:w="72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Total($)</w:t>
            </w:r>
          </w:p>
        </w:tc>
      </w:tr>
      <w:tr>
        <w:trPr>
          <w:trHeight w:val="181"/>
        </w:trPr>
        <w:tc>
          <w:tcPr>
            <w:tcW w:w="3140" w:type="dxa"/>
            <w:vAlign w:val="bottom"/>
            <w:tcBorders>
              <w:left w:val="single" w:sz="8" w:color="auto"/>
              <w:bottom w:val="single" w:sz="8" w:color="auto"/>
            </w:tcBorders>
          </w:tcPr>
          <w:p>
            <w:pPr>
              <w:ind w:left="1540"/>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a)</w:t>
            </w: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(b)</w:t>
            </w:r>
          </w:p>
        </w:tc>
        <w:tc>
          <w:tcPr>
            <w:tcW w:w="7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7"/>
              </w:rPr>
              <w:t>(c)</w:t>
            </w:r>
          </w:p>
        </w:tc>
        <w:tc>
          <w:tcPr>
            <w:tcW w:w="88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84"/>
              </w:rPr>
              <w:t>(d)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128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4"/>
              </w:rPr>
              <w:t>(g)</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(h)</w:t>
            </w:r>
          </w:p>
        </w:tc>
      </w:tr>
      <w:tr>
        <w:trPr>
          <w:trHeight w:val="209"/>
        </w:trPr>
        <w:tc>
          <w:tcPr>
            <w:tcW w:w="31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Sue W. Cole</w:t>
            </w:r>
          </w:p>
        </w:tc>
        <w:tc>
          <w:tcPr>
            <w:tcW w:w="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65,250</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2,929</w:t>
            </w: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29,280</w:t>
            </w:r>
          </w:p>
        </w:tc>
        <w:tc>
          <w:tcPr>
            <w:tcW w:w="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217,129</w:t>
            </w: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David G. Maffucci</w:t>
            </w:r>
          </w:p>
        </w:tc>
        <w:tc>
          <w:tcPr>
            <w:tcW w:w="900" w:type="dxa"/>
            <w:vAlign w:val="bottom"/>
          </w:tcPr>
          <w:p>
            <w:pPr>
              <w:ind w:left="260"/>
              <w:spacing w:after="0"/>
              <w:rPr>
                <w:sz w:val="20"/>
                <w:szCs w:val="20"/>
                <w:color w:val="auto"/>
              </w:rPr>
            </w:pPr>
            <w:r>
              <w:rPr>
                <w:rFonts w:ascii="Arial" w:cs="Arial" w:eastAsia="Arial" w:hAnsi="Arial"/>
                <w:sz w:val="16"/>
                <w:szCs w:val="16"/>
                <w:color w:val="auto"/>
              </w:rPr>
              <w:t>81,250</w:t>
            </w:r>
          </w:p>
        </w:tc>
        <w:tc>
          <w:tcPr>
            <w:tcW w:w="7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Arial" w:cs="Arial" w:eastAsia="Arial" w:hAnsi="Arial"/>
                <w:sz w:val="16"/>
                <w:szCs w:val="16"/>
                <w:color w:val="auto"/>
              </w:rPr>
              <w:t>452</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24,776</w:t>
            </w:r>
          </w:p>
        </w:tc>
        <w:tc>
          <w:tcPr>
            <w:tcW w:w="720" w:type="dxa"/>
            <w:vAlign w:val="bottom"/>
          </w:tcPr>
          <w:p>
            <w:pPr>
              <w:ind w:left="100"/>
              <w:spacing w:after="0"/>
              <w:rPr>
                <w:sz w:val="20"/>
                <w:szCs w:val="20"/>
                <w:color w:val="auto"/>
              </w:rPr>
            </w:pPr>
            <w:r>
              <w:rPr>
                <w:rFonts w:ascii="Arial" w:cs="Arial" w:eastAsia="Arial" w:hAnsi="Arial"/>
                <w:sz w:val="16"/>
                <w:szCs w:val="16"/>
                <w:color w:val="auto"/>
              </w:rPr>
              <w:t>226,148</w:t>
            </w:r>
          </w:p>
        </w:tc>
      </w:tr>
      <w:tr>
        <w:trPr>
          <w:trHeight w:val="203"/>
        </w:trPr>
        <w:tc>
          <w:tcPr>
            <w:tcW w:w="31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William E. McDonald</w:t>
            </w:r>
          </w:p>
        </w:tc>
        <w:tc>
          <w:tcPr>
            <w:tcW w:w="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60,250</w:t>
            </w: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4,770</w:t>
            </w: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31,253</w:t>
            </w:r>
          </w:p>
        </w:tc>
        <w:tc>
          <w:tcPr>
            <w:tcW w:w="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215,943</w:t>
            </w: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Frank H. Menaker, Jr.</w:t>
            </w:r>
          </w:p>
        </w:tc>
        <w:tc>
          <w:tcPr>
            <w:tcW w:w="900" w:type="dxa"/>
            <w:vAlign w:val="bottom"/>
          </w:tcPr>
          <w:p>
            <w:pPr>
              <w:ind w:left="260"/>
              <w:spacing w:after="0"/>
              <w:rPr>
                <w:sz w:val="20"/>
                <w:szCs w:val="20"/>
                <w:color w:val="auto"/>
              </w:rPr>
            </w:pPr>
            <w:r>
              <w:rPr>
                <w:rFonts w:ascii="Arial" w:cs="Arial" w:eastAsia="Arial" w:hAnsi="Arial"/>
                <w:sz w:val="16"/>
                <w:szCs w:val="16"/>
                <w:color w:val="auto"/>
              </w:rPr>
              <w:t>71,250</w:t>
            </w:r>
          </w:p>
        </w:tc>
        <w:tc>
          <w:tcPr>
            <w:tcW w:w="7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Arial" w:cs="Arial" w:eastAsia="Arial" w:hAnsi="Arial"/>
                <w:sz w:val="16"/>
                <w:szCs w:val="16"/>
                <w:color w:val="auto"/>
              </w:rPr>
              <w:t>5,958</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37,116</w:t>
            </w:r>
          </w:p>
        </w:tc>
        <w:tc>
          <w:tcPr>
            <w:tcW w:w="720" w:type="dxa"/>
            <w:vAlign w:val="bottom"/>
          </w:tcPr>
          <w:p>
            <w:pPr>
              <w:ind w:left="100"/>
              <w:spacing w:after="0"/>
              <w:rPr>
                <w:sz w:val="20"/>
                <w:szCs w:val="20"/>
                <w:color w:val="auto"/>
              </w:rPr>
            </w:pPr>
            <w:r>
              <w:rPr>
                <w:rFonts w:ascii="Arial" w:cs="Arial" w:eastAsia="Arial" w:hAnsi="Arial"/>
                <w:sz w:val="16"/>
                <w:szCs w:val="16"/>
                <w:color w:val="auto"/>
              </w:rPr>
              <w:t>233,994</w:t>
            </w:r>
          </w:p>
        </w:tc>
      </w:tr>
      <w:tr>
        <w:trPr>
          <w:trHeight w:val="203"/>
        </w:trPr>
        <w:tc>
          <w:tcPr>
            <w:tcW w:w="31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Laree E. Perez</w:t>
            </w:r>
          </w:p>
        </w:tc>
        <w:tc>
          <w:tcPr>
            <w:tcW w:w="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75,250</w:t>
            </w: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390</w:t>
            </w: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12,465</w:t>
            </w:r>
          </w:p>
        </w:tc>
        <w:tc>
          <w:tcPr>
            <w:tcW w:w="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207,775</w:t>
            </w: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Michael J. Quillen</w:t>
            </w:r>
          </w:p>
        </w:tc>
        <w:tc>
          <w:tcPr>
            <w:tcW w:w="900" w:type="dxa"/>
            <w:vAlign w:val="bottom"/>
          </w:tcPr>
          <w:p>
            <w:pPr>
              <w:ind w:left="260"/>
              <w:spacing w:after="0"/>
              <w:rPr>
                <w:sz w:val="20"/>
                <w:szCs w:val="20"/>
                <w:color w:val="auto"/>
              </w:rPr>
            </w:pPr>
            <w:r>
              <w:rPr>
                <w:rFonts w:ascii="Arial" w:cs="Arial" w:eastAsia="Arial" w:hAnsi="Arial"/>
                <w:sz w:val="16"/>
                <w:szCs w:val="16"/>
                <w:color w:val="auto"/>
              </w:rPr>
              <w:t>64,250</w:t>
            </w:r>
          </w:p>
        </w:tc>
        <w:tc>
          <w:tcPr>
            <w:tcW w:w="7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Arial" w:cs="Arial" w:eastAsia="Arial" w:hAnsi="Arial"/>
                <w:sz w:val="16"/>
                <w:szCs w:val="16"/>
                <w:color w:val="auto"/>
              </w:rPr>
              <w:t>14</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17,057</w:t>
            </w:r>
          </w:p>
        </w:tc>
        <w:tc>
          <w:tcPr>
            <w:tcW w:w="720" w:type="dxa"/>
            <w:vAlign w:val="bottom"/>
          </w:tcPr>
          <w:p>
            <w:pPr>
              <w:ind w:left="100"/>
              <w:spacing w:after="0"/>
              <w:rPr>
                <w:sz w:val="20"/>
                <w:szCs w:val="20"/>
                <w:color w:val="auto"/>
              </w:rPr>
            </w:pPr>
            <w:r>
              <w:rPr>
                <w:rFonts w:ascii="Arial" w:cs="Arial" w:eastAsia="Arial" w:hAnsi="Arial"/>
                <w:sz w:val="16"/>
                <w:szCs w:val="16"/>
                <w:color w:val="auto"/>
              </w:rPr>
              <w:t>200,991</w:t>
            </w:r>
          </w:p>
        </w:tc>
      </w:tr>
      <w:tr>
        <w:trPr>
          <w:trHeight w:val="203"/>
        </w:trPr>
        <w:tc>
          <w:tcPr>
            <w:tcW w:w="31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Dennis L. Rediker</w:t>
            </w:r>
          </w:p>
        </w:tc>
        <w:tc>
          <w:tcPr>
            <w:tcW w:w="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66,250</w:t>
            </w: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2,648</w:t>
            </w:r>
          </w:p>
        </w:tc>
        <w:tc>
          <w:tcPr>
            <w:tcW w:w="1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23,219</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211,787</w:t>
            </w: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Richard A. Vinroot</w:t>
            </w:r>
          </w:p>
        </w:tc>
        <w:tc>
          <w:tcPr>
            <w:tcW w:w="900" w:type="dxa"/>
            <w:vAlign w:val="bottom"/>
          </w:tcPr>
          <w:p>
            <w:pPr>
              <w:ind w:left="260"/>
              <w:spacing w:after="0"/>
              <w:rPr>
                <w:sz w:val="20"/>
                <w:szCs w:val="20"/>
                <w:color w:val="auto"/>
              </w:rPr>
            </w:pPr>
            <w:r>
              <w:rPr>
                <w:rFonts w:ascii="Arial" w:cs="Arial" w:eastAsia="Arial" w:hAnsi="Arial"/>
                <w:sz w:val="16"/>
                <w:szCs w:val="16"/>
                <w:color w:val="auto"/>
              </w:rPr>
              <w:t>54,000</w:t>
            </w:r>
          </w:p>
        </w:tc>
        <w:tc>
          <w:tcPr>
            <w:tcW w:w="7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6"/>
                <w:szCs w:val="16"/>
                <w:color w:val="auto"/>
              </w:rPr>
              <w:t>119,670</w:t>
            </w:r>
          </w:p>
        </w:tc>
        <w:tc>
          <w:tcPr>
            <w:tcW w:w="1000" w:type="dxa"/>
            <w:vAlign w:val="bottom"/>
          </w:tcPr>
          <w:p>
            <w:pPr>
              <w:spacing w:after="0"/>
              <w:rPr>
                <w:sz w:val="17"/>
                <w:szCs w:val="17"/>
                <w:color w:val="auto"/>
              </w:rPr>
            </w:pPr>
          </w:p>
        </w:tc>
        <w:tc>
          <w:tcPr>
            <w:tcW w:w="1500" w:type="dxa"/>
            <w:vAlign w:val="bottom"/>
          </w:tcPr>
          <w:p>
            <w:pPr>
              <w:jc w:val="right"/>
              <w:ind w:right="127"/>
              <w:spacing w:after="0"/>
              <w:rPr>
                <w:sz w:val="20"/>
                <w:szCs w:val="20"/>
                <w:color w:val="auto"/>
              </w:rPr>
            </w:pPr>
            <w:r>
              <w:rPr>
                <w:rFonts w:ascii="Arial" w:cs="Arial" w:eastAsia="Arial" w:hAnsi="Arial"/>
                <w:sz w:val="16"/>
                <w:szCs w:val="16"/>
                <w:color w:val="auto"/>
              </w:rPr>
              <w:t>5,457</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30,401</w:t>
            </w:r>
          </w:p>
        </w:tc>
        <w:tc>
          <w:tcPr>
            <w:tcW w:w="720" w:type="dxa"/>
            <w:vAlign w:val="bottom"/>
          </w:tcPr>
          <w:p>
            <w:pPr>
              <w:ind w:left="100"/>
              <w:spacing w:after="0"/>
              <w:rPr>
                <w:sz w:val="20"/>
                <w:szCs w:val="20"/>
                <w:color w:val="auto"/>
              </w:rPr>
            </w:pPr>
            <w:r>
              <w:rPr>
                <w:rFonts w:ascii="Arial" w:cs="Arial" w:eastAsia="Arial" w:hAnsi="Arial"/>
                <w:sz w:val="16"/>
                <w:szCs w:val="16"/>
                <w:color w:val="auto"/>
              </w:rPr>
              <w:t>209,528</w:t>
            </w:r>
          </w:p>
        </w:tc>
      </w:tr>
      <w:tr>
        <w:trPr>
          <w:trHeight w:val="203"/>
        </w:trPr>
        <w:tc>
          <w:tcPr>
            <w:tcW w:w="31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Former Director</w:t>
            </w: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3140" w:type="dxa"/>
            <w:vAlign w:val="bottom"/>
            <w:tcBorders>
              <w:left w:val="single" w:sz="8" w:color="auto"/>
              <w:bottom w:val="single" w:sz="8" w:color="auto"/>
            </w:tcBorders>
          </w:tcPr>
          <w:p>
            <w:pPr>
              <w:ind w:left="60"/>
              <w:spacing w:after="0" w:line="202" w:lineRule="exact"/>
              <w:rPr>
                <w:sz w:val="20"/>
                <w:szCs w:val="20"/>
                <w:color w:val="auto"/>
              </w:rPr>
            </w:pPr>
            <w:r>
              <w:rPr>
                <w:rFonts w:ascii="Arial" w:cs="Arial" w:eastAsia="Arial" w:hAnsi="Arial"/>
                <w:sz w:val="14"/>
                <w:szCs w:val="14"/>
                <w:color w:val="auto"/>
              </w:rPr>
              <w:t>Marcus C. Bennett</w:t>
            </w:r>
            <w:r>
              <w:rPr>
                <w:rFonts w:ascii="Arial" w:cs="Arial" w:eastAsia="Arial" w:hAnsi="Arial"/>
                <w:sz w:val="23"/>
                <w:szCs w:val="23"/>
                <w:color w:val="auto"/>
                <w:vertAlign w:val="superscript"/>
              </w:rPr>
              <w:t>(6)</w:t>
            </w: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16,250</w:t>
            </w: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color w:val="auto"/>
              </w:rPr>
              <w:t>2,351</w:t>
            </w: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120,675</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139,276</w:t>
            </w:r>
          </w:p>
        </w:tc>
      </w:tr>
    </w:tbl>
    <w:p>
      <w:pPr>
        <w:spacing w:after="0" w:line="143" w:lineRule="exact"/>
        <w:rPr>
          <w:sz w:val="20"/>
          <w:szCs w:val="20"/>
          <w:color w:val="auto"/>
        </w:rPr>
      </w:pPr>
    </w:p>
    <w:p>
      <w:pPr>
        <w:ind w:left="1220" w:right="100" w:hanging="242"/>
        <w:spacing w:after="0" w:line="238"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Zelnak, who is the Chairman of the Board of Directors and the Chief Executive Officer of the Corporation, is not included in this table because he is not compensated separately for his service as a Director. The compensation received by Mr. Zelnak as an employee of the Corporation is shown in the Summary Compensation Table on page 34.</w:t>
      </w:r>
    </w:p>
    <w:p>
      <w:pPr>
        <w:spacing w:after="0" w:line="74" w:lineRule="exact"/>
        <w:rPr>
          <w:rFonts w:ascii="Arial" w:cs="Arial" w:eastAsia="Arial" w:hAnsi="Arial"/>
          <w:sz w:val="14"/>
          <w:szCs w:val="14"/>
          <w:color w:val="auto"/>
        </w:rPr>
      </w:pPr>
    </w:p>
    <w:p>
      <w:pPr>
        <w:ind w:left="1220" w:right="160" w:hanging="242"/>
        <w:spacing w:after="0" w:line="241" w:lineRule="auto"/>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amounts in column (b) reflect fees earned in 2008. Some of these fees were deferred pursuant to the Common Stock Purchase Plan for Directors in the form of common stock units. The number of units of common stock credited in 2008 to each of the Directors under the Common Stock Purchase Plan for Directors and the grant date fair value for these awards in accordance with FAS 123(R), which includes the 20% discount, are as follows: Ms. Cole, 733 units and $89.02 value, respectively; Mr. Maffucci, 908 units and $89.48 value, respectively; Mr. McDonald, 672 units and $89.66 value, respectively; Mr. Menaker, 804 units and $88.62 value, respectively; Ms. Perez, 423 units and $88.95 value, respectively; Mr. Quillen, 724 units and $88.74 value, respectively; Mr. Rediker, 743 units and $89.17 value, respectively; and Mr. Vinroot, 599 units and $90.15 value, respectively. The number of units credited to each of the Directors as of December 31, 2008, including units accumulated under the plan for all years of service as a Director, is as follows: Ms. Cole, 8,830; Mr. Maffucci, 3,169; Mr. McDonald, 10,911; Mr. Menaker, 13,061; Ms. Perez, 2,073;</w:t>
      </w:r>
    </w:p>
    <w:p>
      <w:pPr>
        <w:spacing w:after="0" w:line="1" w:lineRule="exact"/>
        <w:rPr>
          <w:rFonts w:ascii="Arial" w:cs="Arial" w:eastAsia="Arial" w:hAnsi="Arial"/>
          <w:sz w:val="13"/>
          <w:szCs w:val="13"/>
          <w:color w:val="auto"/>
        </w:rPr>
      </w:pPr>
    </w:p>
    <w:p>
      <w:pPr>
        <w:ind w:left="1220" w:right="40"/>
        <w:spacing w:after="0" w:line="237" w:lineRule="auto"/>
        <w:rPr>
          <w:rFonts w:ascii="Arial" w:cs="Arial" w:eastAsia="Arial" w:hAnsi="Arial"/>
          <w:sz w:val="13"/>
          <w:szCs w:val="13"/>
          <w:color w:val="auto"/>
        </w:rPr>
      </w:pPr>
      <w:r>
        <w:rPr>
          <w:rFonts w:ascii="Arial" w:cs="Arial" w:eastAsia="Arial" w:hAnsi="Arial"/>
          <w:sz w:val="14"/>
          <w:szCs w:val="14"/>
          <w:color w:val="auto"/>
        </w:rPr>
        <w:t>Mr. Quillen, 724; Mr. Rediker, 4,542; and Mr. Vinroot, 11,347. The 20% discount from the market price of the Corporation’s common stock used in converting to common stock is reported in column (g).</w:t>
      </w:r>
    </w:p>
    <w:p>
      <w:pPr>
        <w:spacing w:after="0" w:line="21" w:lineRule="exact"/>
        <w:rPr>
          <w:rFonts w:ascii="Arial" w:cs="Arial" w:eastAsia="Arial" w:hAnsi="Arial"/>
          <w:sz w:val="13"/>
          <w:szCs w:val="13"/>
          <w:color w:val="auto"/>
        </w:rPr>
      </w:pPr>
    </w:p>
    <w:p>
      <w:pPr>
        <w:ind w:left="1220" w:right="400" w:hanging="242"/>
        <w:spacing w:after="0" w:line="234"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Each Director received 3,000 options in 2008. The amounts in column (d) reflect the dollar amount recognized by the Corporation for financial statement reporting purposes for the fiscal year ended December 31, 2008 in accordance with FAS 123(R) for option awards granted in 2008 (3,000 options at a fair value of $39.89 per option). As of December 31, 2008, each Director held options for common stock in the amounts as follows: Ms. Cole, 19,000; Mr. Maffucci, 12,000; Mr. McDonald, 17,000; Mr. Menaker, 24,000; Ms. Perez, 12,000; Mr. Quillen, 3,000; Mr. Rediker, 15,000; and Mr. Vinroot, 20,500.</w:t>
      </w:r>
    </w:p>
    <w:p>
      <w:pPr>
        <w:spacing w:after="0" w:line="20" w:lineRule="exact"/>
        <w:rPr>
          <w:rFonts w:ascii="Arial" w:cs="Arial" w:eastAsia="Arial" w:hAnsi="Arial"/>
          <w:sz w:val="14"/>
          <w:szCs w:val="14"/>
          <w:color w:val="auto"/>
        </w:rPr>
      </w:pPr>
    </w:p>
    <w:p>
      <w:pPr>
        <w:ind w:left="1220" w:hanging="242"/>
        <w:spacing w:after="0"/>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spacing w:after="0" w:line="41" w:lineRule="exact"/>
        <w:rPr>
          <w:rFonts w:ascii="Arial" w:cs="Arial" w:eastAsia="Arial" w:hAnsi="Arial"/>
          <w:sz w:val="14"/>
          <w:szCs w:val="14"/>
          <w:color w:val="auto"/>
        </w:rPr>
      </w:pPr>
    </w:p>
    <w:p>
      <w:pPr>
        <w:ind w:left="1220" w:right="40" w:hanging="242"/>
        <w:spacing w:after="0" w:line="256" w:lineRule="auto"/>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amounts in column (g) reflect for each Director: (i) an amount equal to the 20% discount from the market price of the Corporation’s common stock used in converting deferred fees into common stock units pursuant to the Common Stock Purchase Plan for Directors, and (ii) the dollar value of dividend equivalents paid in 2008 on common stock units held under the plan that were not included in the FAS 123(R) value reflected in column (d). The Directors did not receive perquisites or other personal benefits in 2008 except for Mr. Marcus C. Bennett, who received fees related to a consulting agreement entered into after his retirement from the Board.</w:t>
      </w:r>
    </w:p>
    <w:p>
      <w:pPr>
        <w:spacing w:after="0" w:line="10" w:lineRule="exact"/>
        <w:rPr>
          <w:rFonts w:ascii="Arial" w:cs="Arial" w:eastAsia="Arial" w:hAnsi="Arial"/>
          <w:sz w:val="13"/>
          <w:szCs w:val="13"/>
          <w:color w:val="auto"/>
        </w:rPr>
      </w:pPr>
    </w:p>
    <w:p>
      <w:pPr>
        <w:ind w:left="1220" w:right="260" w:hanging="242"/>
        <w:spacing w:after="0" w:line="238"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Bennett retired as a Director in May 2008. The Board of Directors entered into a consulting agreement with Mr. Bennett in June 2008 in the amount of $16,000 per month in addition to out-of-pocket travel expenses to attend meetings of the Board of Directors, when requested. Amounts paid under the consulting agreement are included in All Other Compensation.</w:t>
      </w:r>
    </w:p>
    <w:p>
      <w:pPr>
        <w:spacing w:after="0" w:line="19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2243455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CORPORATE GOVERNANCE MATTERS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Corporate Governance Philosophy</w:t>
      </w:r>
    </w:p>
    <w:p>
      <w:pPr>
        <w:spacing w:after="0" w:line="121" w:lineRule="exact"/>
        <w:rPr>
          <w:sz w:val="20"/>
          <w:szCs w:val="20"/>
          <w:color w:val="auto"/>
        </w:rPr>
      </w:pPr>
    </w:p>
    <w:p>
      <w:pPr>
        <w:ind w:left="980" w:right="120" w:firstLine="609"/>
        <w:spacing w:after="0" w:line="274" w:lineRule="auto"/>
        <w:rPr>
          <w:sz w:val="20"/>
          <w:szCs w:val="20"/>
          <w:color w:val="auto"/>
        </w:rPr>
      </w:pPr>
      <w:r>
        <w:rPr>
          <w:rFonts w:ascii="Arial" w:cs="Arial" w:eastAsia="Arial" w:hAnsi="Arial"/>
          <w:sz w:val="18"/>
          <w:szCs w:val="18"/>
          <w:color w:val="auto"/>
        </w:rPr>
        <w:t xml:space="preserve">The Board of Directors has long believed that good corporate governance is important to ensure the Corporation is managed for the long-term benefit of its shareholders. The Corporation’s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the Corporation are conducted has been the Corporation’s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which has been in place for two decades.</w:t>
      </w:r>
    </w:p>
    <w:p>
      <w:pPr>
        <w:spacing w:after="0" w:line="75" w:lineRule="exact"/>
        <w:rPr>
          <w:sz w:val="20"/>
          <w:szCs w:val="20"/>
          <w:color w:val="auto"/>
        </w:rPr>
      </w:pPr>
    </w:p>
    <w:p>
      <w:pPr>
        <w:ind w:left="980" w:right="240" w:firstLine="609"/>
        <w:spacing w:after="0" w:line="276" w:lineRule="auto"/>
        <w:rPr>
          <w:sz w:val="20"/>
          <w:szCs w:val="20"/>
          <w:color w:val="auto"/>
        </w:rPr>
      </w:pPr>
      <w:r>
        <w:rPr>
          <w:rFonts w:ascii="Arial" w:cs="Arial" w:eastAsia="Arial" w:hAnsi="Arial"/>
          <w:sz w:val="18"/>
          <w:szCs w:val="18"/>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71" w:lineRule="exact"/>
        <w:rPr>
          <w:sz w:val="20"/>
          <w:szCs w:val="20"/>
          <w:color w:val="auto"/>
        </w:rPr>
      </w:pPr>
    </w:p>
    <w:p>
      <w:pPr>
        <w:ind w:left="980" w:right="160" w:firstLine="609"/>
        <w:spacing w:after="0" w:line="244" w:lineRule="auto"/>
        <w:rPr>
          <w:sz w:val="20"/>
          <w:szCs w:val="20"/>
          <w:color w:val="auto"/>
        </w:rPr>
      </w:pPr>
      <w:r>
        <w:rPr>
          <w:rFonts w:ascii="Arial" w:cs="Arial" w:eastAsia="Arial" w:hAnsi="Arial"/>
          <w:sz w:val="20"/>
          <w:szCs w:val="20"/>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for the Corporation. The Nominating and Corporate Governance Committee is responsible for overseeing the guidelines and making recommendations to the Board relating to corporate governance matters.</w:t>
      </w:r>
    </w:p>
    <w:p>
      <w:pPr>
        <w:spacing w:after="0" w:line="100" w:lineRule="exact"/>
        <w:rPr>
          <w:sz w:val="20"/>
          <w:szCs w:val="20"/>
          <w:color w:val="auto"/>
        </w:rPr>
      </w:pPr>
    </w:p>
    <w:p>
      <w:pPr>
        <w:ind w:left="980" w:right="220" w:firstLine="609"/>
        <w:spacing w:after="0" w:line="257" w:lineRule="auto"/>
        <w:rPr>
          <w:sz w:val="20"/>
          <w:szCs w:val="20"/>
          <w:color w:val="auto"/>
        </w:rPr>
      </w:pPr>
      <w:r>
        <w:rPr>
          <w:rFonts w:ascii="Arial" w:cs="Arial" w:eastAsia="Arial" w:hAnsi="Arial"/>
          <w:sz w:val="19"/>
          <w:szCs w:val="19"/>
          <w:color w:val="auto"/>
        </w:rPr>
        <w:t>The New York Stock Exchange has adopted rules that require listed companies like the Corporation to adopt governance guidelines and comply with certain standards regarding corporate governance. The Corporation voluntarily implemented these corporate governance rules even prior to their effective date in 2004. 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The Corporation also submits written affirmations to the NYSE annually regarding details of the Corporation’s compliance with the corporate governance rules of the NYSE.</w:t>
      </w:r>
    </w:p>
    <w:p>
      <w:pPr>
        <w:spacing w:after="0" w:line="87" w:lineRule="exact"/>
        <w:rPr>
          <w:sz w:val="20"/>
          <w:szCs w:val="20"/>
          <w:color w:val="auto"/>
        </w:rPr>
      </w:pPr>
    </w:p>
    <w:p>
      <w:pPr>
        <w:ind w:left="980" w:right="140" w:firstLine="609"/>
        <w:spacing w:after="0" w:line="250" w:lineRule="auto"/>
        <w:rPr>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are posted and available for public viewing on the Corporation’s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 The guidelines address a wide array of governance issues. Among other matters, the corporate governance principles of Martin Marietta Materials include the following:</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Ethics</w:t>
      </w:r>
    </w:p>
    <w:p>
      <w:pPr>
        <w:spacing w:after="0" w:line="121" w:lineRule="exact"/>
        <w:rPr>
          <w:sz w:val="20"/>
          <w:szCs w:val="20"/>
          <w:color w:val="auto"/>
        </w:rPr>
      </w:pPr>
    </w:p>
    <w:p>
      <w:pPr>
        <w:ind w:left="1800" w:hanging="208"/>
        <w:spacing w:after="0" w:line="316"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the Corporation, including the Corporation’s executive officers, has been in place since the 1980’s.</w:t>
      </w:r>
    </w:p>
    <w:p>
      <w:pPr>
        <w:spacing w:after="0" w:line="22" w:lineRule="exact"/>
        <w:rPr>
          <w:rFonts w:ascii="Arial" w:cs="Arial" w:eastAsia="Arial" w:hAnsi="Arial"/>
          <w:sz w:val="18"/>
          <w:szCs w:val="18"/>
          <w:color w:val="auto"/>
        </w:rPr>
      </w:pPr>
    </w:p>
    <w:p>
      <w:pPr>
        <w:ind w:left="1800" w:right="100" w:hanging="208"/>
        <w:spacing w:after="0" w:line="260" w:lineRule="auto"/>
        <w:tabs>
          <w:tab w:leader="none" w:pos="1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confidential telephone hotline for anonymous reporting of complaints and concerns was established in 1994 when the Corporation’s common stock became publicly traded.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0" w:right="20" w:hanging="208"/>
        <w:spacing w:after="0" w:line="250"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78" w:lineRule="exact"/>
        <w:rPr>
          <w:rFonts w:ascii="Arial" w:cs="Arial" w:eastAsia="Arial" w:hAnsi="Arial"/>
          <w:sz w:val="20"/>
          <w:szCs w:val="20"/>
          <w:color w:val="auto"/>
        </w:rPr>
      </w:pPr>
    </w:p>
    <w:p>
      <w:pPr>
        <w:ind w:left="1800" w:right="140" w:hanging="208"/>
        <w:spacing w:after="0" w:line="246"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The Corporation will also disclose on its website any amendments to its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waivers, if any, of such code as applicable to the Corporation’s Directors and executive officers. Any waiver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or executive officers will be made only by the full Board and promptly disclosed to shareholders within four business days.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Board Independence</w:t>
      </w:r>
    </w:p>
    <w:p>
      <w:pPr>
        <w:spacing w:after="0" w:line="121" w:lineRule="exact"/>
        <w:rPr>
          <w:sz w:val="20"/>
          <w:szCs w:val="20"/>
          <w:color w:val="auto"/>
        </w:rPr>
      </w:pPr>
    </w:p>
    <w:p>
      <w:pPr>
        <w:ind w:left="1800" w:hanging="208"/>
        <w:spacing w:after="0"/>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Eight out of nine Board members are non-employee Directors.</w:t>
      </w:r>
    </w:p>
    <w:p>
      <w:pPr>
        <w:spacing w:after="0" w:line="107" w:lineRule="exact"/>
        <w:rPr>
          <w:rFonts w:ascii="Arial" w:cs="Arial" w:eastAsia="Arial" w:hAnsi="Arial"/>
          <w:sz w:val="20"/>
          <w:szCs w:val="20"/>
          <w:color w:val="auto"/>
        </w:rPr>
      </w:pPr>
    </w:p>
    <w:p>
      <w:pPr>
        <w:ind w:left="1800" w:right="70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Eight out of nine Board members are independent Directors, as defined in the rules of the NYSE, and are not affiliated with the Corporation.</w:t>
      </w:r>
    </w:p>
    <w:p>
      <w:pPr>
        <w:spacing w:after="0" w:line="68" w:lineRule="exact"/>
        <w:rPr>
          <w:rFonts w:ascii="Arial" w:cs="Arial" w:eastAsia="Arial" w:hAnsi="Arial"/>
          <w:sz w:val="20"/>
          <w:szCs w:val="20"/>
          <w:color w:val="auto"/>
        </w:rPr>
      </w:pPr>
    </w:p>
    <w:p>
      <w:pPr>
        <w:ind w:left="1800" w:right="28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Board has endeavored to replace retiring Directors with independent directors and has, since 2002, added five Directors who are both independent and financially literate.</w:t>
      </w:r>
    </w:p>
    <w:p>
      <w:pPr>
        <w:spacing w:after="0" w:line="68" w:lineRule="exact"/>
        <w:rPr>
          <w:rFonts w:ascii="Arial" w:cs="Arial" w:eastAsia="Arial" w:hAnsi="Arial"/>
          <w:sz w:val="20"/>
          <w:szCs w:val="20"/>
          <w:color w:val="auto"/>
        </w:rPr>
      </w:pPr>
    </w:p>
    <w:p>
      <w:pPr>
        <w:ind w:left="1800" w:right="38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adopted by the Board reflect the Board’s belief that at least two-thirds of all Directors should consist of independent Directors.</w:t>
      </w:r>
    </w:p>
    <w:p>
      <w:pPr>
        <w:spacing w:after="0" w:line="68" w:lineRule="exact"/>
        <w:rPr>
          <w:rFonts w:ascii="Arial" w:cs="Arial" w:eastAsia="Arial" w:hAnsi="Arial"/>
          <w:sz w:val="20"/>
          <w:szCs w:val="20"/>
          <w:color w:val="auto"/>
        </w:rPr>
      </w:pPr>
    </w:p>
    <w:p>
      <w:pPr>
        <w:ind w:left="1800" w:right="14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Board has adopted </w:t>
      </w:r>
      <w:r>
        <w:rPr>
          <w:rFonts w:ascii="Arial" w:cs="Arial" w:eastAsia="Arial" w:hAnsi="Arial"/>
          <w:sz w:val="20"/>
          <w:szCs w:val="20"/>
          <w:i w:val="1"/>
          <w:iCs w:val="1"/>
          <w:color w:val="auto"/>
        </w:rPr>
        <w:t>Guidelines for Director’s Independence</w:t>
      </w:r>
      <w:r>
        <w:rPr>
          <w:rFonts w:ascii="Arial" w:cs="Arial" w:eastAsia="Arial" w:hAnsi="Arial"/>
          <w:sz w:val="20"/>
          <w:szCs w:val="20"/>
          <w:color w:val="auto"/>
        </w:rPr>
        <w:t xml:space="preserve"> for the Corporation and has determined that eight of the nine Board members are independent under these Guidelines.</w:t>
      </w:r>
    </w:p>
    <w:p>
      <w:pPr>
        <w:spacing w:after="0" w:line="68" w:lineRule="exact"/>
        <w:rPr>
          <w:rFonts w:ascii="Arial" w:cs="Arial" w:eastAsia="Arial" w:hAnsi="Arial"/>
          <w:sz w:val="20"/>
          <w:szCs w:val="20"/>
          <w:color w:val="auto"/>
        </w:rPr>
      </w:pPr>
    </w:p>
    <w:p>
      <w:pPr>
        <w:ind w:left="1800" w:right="42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Board has adopted a policy of regularly scheduled executive sessions where the independent Directors meet without management.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Independent Board Committees</w:t>
      </w:r>
    </w:p>
    <w:p>
      <w:pPr>
        <w:spacing w:after="0" w:line="121" w:lineRule="exact"/>
        <w:rPr>
          <w:sz w:val="20"/>
          <w:szCs w:val="20"/>
          <w:color w:val="auto"/>
        </w:rPr>
      </w:pPr>
    </w:p>
    <w:p>
      <w:pPr>
        <w:ind w:left="1800" w:hanging="208"/>
        <w:spacing w:after="0" w:line="263" w:lineRule="auto"/>
        <w:tabs>
          <w:tab w:leader="none" w:pos="1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8" w:lineRule="exact"/>
        <w:rPr>
          <w:rFonts w:ascii="Arial" w:cs="Arial" w:eastAsia="Arial" w:hAnsi="Arial"/>
          <w:sz w:val="19"/>
          <w:szCs w:val="19"/>
          <w:color w:val="auto"/>
        </w:rPr>
      </w:pPr>
    </w:p>
    <w:p>
      <w:pPr>
        <w:ind w:left="1800" w:right="140" w:hanging="208"/>
        <w:spacing w:after="0" w:line="244"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86" w:lineRule="exact"/>
        <w:rPr>
          <w:rFonts w:ascii="Arial" w:cs="Arial" w:eastAsia="Arial" w:hAnsi="Arial"/>
          <w:sz w:val="20"/>
          <w:szCs w:val="20"/>
          <w:color w:val="auto"/>
        </w:rPr>
      </w:pPr>
    </w:p>
    <w:p>
      <w:pPr>
        <w:ind w:left="1800" w:right="28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Audit Committee meets privately with each of management, representatives of the Corporation’s independent auditors, and the Corporation’s internal audit department.</w:t>
      </w:r>
    </w:p>
    <w:p>
      <w:pPr>
        <w:spacing w:after="0" w:line="6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members of the Audit Committee do not receive any consulting or advisory fees or other compensation from the Corporation, other than Directors fees.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1480185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0" w:right="700" w:hanging="208"/>
        <w:spacing w:after="0" w:line="260" w:lineRule="auto"/>
        <w:tabs>
          <w:tab w:leader="none" w:pos="1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members of the Audit Committee have no affiliation with the Corporation other than as a Director of the Corporation.</w:t>
      </w:r>
    </w:p>
    <w:p>
      <w:pPr>
        <w:spacing w:after="0" w:line="68" w:lineRule="exact"/>
        <w:rPr>
          <w:rFonts w:ascii="Arial" w:cs="Arial" w:eastAsia="Arial" w:hAnsi="Arial"/>
          <w:sz w:val="20"/>
          <w:szCs w:val="20"/>
          <w:color w:val="auto"/>
        </w:rPr>
      </w:pPr>
    </w:p>
    <w:p>
      <w:pPr>
        <w:ind w:left="1800" w:right="560" w:hanging="208"/>
        <w:spacing w:after="0" w:line="260" w:lineRule="auto"/>
        <w:tabs>
          <w:tab w:leader="none" w:pos="1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Board of Directors has determined that the Audit Committee includes at least one member who is an audit committee financial expert as defined in SEC rules.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General</w:t>
      </w:r>
    </w:p>
    <w:p>
      <w:pPr>
        <w:spacing w:after="0" w:line="121" w:lineRule="exact"/>
        <w:rPr>
          <w:sz w:val="20"/>
          <w:szCs w:val="20"/>
          <w:color w:val="auto"/>
        </w:rPr>
      </w:pPr>
    </w:p>
    <w:p>
      <w:pPr>
        <w:ind w:left="1800" w:hanging="20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130" w:lineRule="exact"/>
        <w:rPr>
          <w:rFonts w:ascii="Arial" w:cs="Arial" w:eastAsia="Arial" w:hAnsi="Arial"/>
          <w:sz w:val="18"/>
          <w:szCs w:val="18"/>
          <w:color w:val="auto"/>
        </w:rPr>
      </w:pPr>
    </w:p>
    <w:p>
      <w:pPr>
        <w:ind w:left="1800" w:right="540" w:hanging="208"/>
        <w:spacing w:after="0" w:line="260" w:lineRule="auto"/>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Directors have access to members of the Corporation’s management team and, as necessary and appropriate, to independent advisors.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At least annually, the Board evaluates the performance of the Chief Executive Officer.</w:t>
      </w:r>
    </w:p>
    <w:p>
      <w:pPr>
        <w:spacing w:after="0" w:line="107" w:lineRule="exact"/>
        <w:rPr>
          <w:rFonts w:ascii="Arial" w:cs="Arial" w:eastAsia="Arial" w:hAnsi="Arial"/>
          <w:sz w:val="20"/>
          <w:szCs w:val="20"/>
          <w:color w:val="auto"/>
        </w:rPr>
      </w:pPr>
    </w:p>
    <w:p>
      <w:pPr>
        <w:ind w:left="1800" w:right="120" w:hanging="208"/>
        <w:spacing w:after="0" w:line="291"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are the Corporation’s Independent Directors?</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All of the Corporation’s Directors are independent, non-employee Directors except Mr. Zelnak. Mr. Zelnak does not sit in the executive sessions of the independent Directors unless invited to attend for a specific discussion nor does he participate in any action of the Board relating to any executive compensation plan in which he may participate. The Board of Directors has determined that no Director (except Mr. Zelnak), or any person or organization with which the Director has any affiliation, has a relationship with the Corporation that may interfere with the Director’s independence from the Corporation and its management.</w:t>
      </w:r>
    </w:p>
    <w:p>
      <w:pPr>
        <w:spacing w:after="0" w:line="102" w:lineRule="exact"/>
        <w:rPr>
          <w:sz w:val="20"/>
          <w:szCs w:val="20"/>
          <w:color w:val="auto"/>
        </w:rPr>
      </w:pPr>
    </w:p>
    <w:p>
      <w:pPr>
        <w:ind w:left="980" w:right="180" w:firstLine="609"/>
        <w:spacing w:after="0" w:line="259" w:lineRule="auto"/>
        <w:rPr>
          <w:sz w:val="20"/>
          <w:szCs w:val="20"/>
          <w:color w:val="auto"/>
        </w:rPr>
      </w:pPr>
      <w:r>
        <w:rPr>
          <w:rFonts w:ascii="Arial" w:cs="Arial" w:eastAsia="Arial" w:hAnsi="Arial"/>
          <w:sz w:val="19"/>
          <w:szCs w:val="19"/>
          <w:color w:val="auto"/>
        </w:rPr>
        <w:t xml:space="preserve">In assessing the independence of its members, the Board has adopted for the Corporation a set of </w:t>
      </w:r>
      <w:r>
        <w:rPr>
          <w:rFonts w:ascii="Arial" w:cs="Arial" w:eastAsia="Arial" w:hAnsi="Arial"/>
          <w:sz w:val="19"/>
          <w:szCs w:val="19"/>
          <w:i w:val="1"/>
          <w:iCs w:val="1"/>
          <w:color w:val="auto"/>
        </w:rPr>
        <w:t>Guidelines for</w:t>
      </w:r>
      <w:r>
        <w:rPr>
          <w:rFonts w:ascii="Arial" w:cs="Arial" w:eastAsia="Arial" w:hAnsi="Arial"/>
          <w:sz w:val="19"/>
          <w:szCs w:val="19"/>
          <w:color w:val="auto"/>
        </w:rPr>
        <w:t xml:space="preserve"> </w:t>
      </w:r>
      <w:r>
        <w:rPr>
          <w:rFonts w:ascii="Arial" w:cs="Arial" w:eastAsia="Arial" w:hAnsi="Arial"/>
          <w:sz w:val="19"/>
          <w:szCs w:val="19"/>
          <w:i w:val="1"/>
          <w:iCs w:val="1"/>
          <w:color w:val="auto"/>
        </w:rPr>
        <w:t>Director’s Independence</w:t>
      </w:r>
      <w:r>
        <w:rPr>
          <w:rFonts w:ascii="Arial" w:cs="Arial" w:eastAsia="Arial" w:hAnsi="Arial"/>
          <w:sz w:val="19"/>
          <w:szCs w:val="19"/>
          <w:color w:val="auto"/>
        </w:rPr>
        <w:t>. The Guidelines are posted and available for public viewing on the Corporation’s website at</w:t>
      </w:r>
      <w:r>
        <w:rPr>
          <w:rFonts w:ascii="Arial" w:cs="Arial" w:eastAsia="Arial" w:hAnsi="Arial"/>
          <w:sz w:val="19"/>
          <w:szCs w:val="19"/>
          <w:i w:val="1"/>
          <w:iCs w:val="1"/>
          <w:color w:val="auto"/>
        </w:rPr>
        <w:t xml:space="preserve"> www.martinmarietta.com</w:t>
      </w:r>
      <w:r>
        <w:rPr>
          <w:rFonts w:ascii="Arial" w:cs="Arial" w:eastAsia="Arial" w:hAnsi="Arial"/>
          <w:sz w:val="19"/>
          <w:szCs w:val="19"/>
          <w:color w:val="auto"/>
        </w:rPr>
        <w:t>. A copy may also be obtained upon request from the Corporation’s Corporate Secretary. These</w:t>
      </w:r>
      <w:r>
        <w:rPr>
          <w:rFonts w:ascii="Arial" w:cs="Arial" w:eastAsia="Arial" w:hAnsi="Arial"/>
          <w:sz w:val="19"/>
          <w:szCs w:val="19"/>
          <w:i w:val="1"/>
          <w:iCs w:val="1"/>
          <w:color w:val="auto"/>
        </w:rPr>
        <w:t xml:space="preserve"> </w:t>
      </w:r>
      <w:r>
        <w:rPr>
          <w:rFonts w:ascii="Arial" w:cs="Arial" w:eastAsia="Arial" w:hAnsi="Arial"/>
          <w:sz w:val="19"/>
          <w:szCs w:val="19"/>
          <w:color w:val="auto"/>
        </w:rPr>
        <w:t>Guidelines reflect the rules of the NYSE, applicable requirements of the SEC, and other standards determined by the Board to be important in assessing the independence of Board members. The Board has determined that all members of the Board, except Mr. Zelnak, are “independent” under these Guidelines.</w:t>
      </w:r>
    </w:p>
    <w:p>
      <w:pPr>
        <w:spacing w:after="0" w:line="84" w:lineRule="exact"/>
        <w:rPr>
          <w:sz w:val="20"/>
          <w:szCs w:val="20"/>
          <w:color w:val="auto"/>
        </w:rPr>
      </w:pPr>
    </w:p>
    <w:p>
      <w:pPr>
        <w:ind w:left="980" w:right="100" w:firstLine="609"/>
        <w:spacing w:after="0" w:line="242" w:lineRule="auto"/>
        <w:rPr>
          <w:sz w:val="20"/>
          <w:szCs w:val="20"/>
          <w:color w:val="auto"/>
        </w:rPr>
      </w:pPr>
      <w:r>
        <w:rPr>
          <w:rFonts w:ascii="Arial" w:cs="Arial" w:eastAsia="Arial" w:hAnsi="Arial"/>
          <w:sz w:val="20"/>
          <w:szCs w:val="20"/>
          <w:color w:val="auto"/>
        </w:rPr>
        <w:t>In making this “independence” determination, the Board considered other entities with which the Directors were affiliated and any business the Corporation had done with such entities. In that regard, Mr. Vinroot is a member of the law firm of Robinson, Bradshaw &amp; Hinson, P.A. located in Charlotte, North Carolina, which provided certain legal services to the Corporation in 2008. Mr. Vinroot did not work on any of the legal matters for the Corporation. The amount of fees paid to Robinson, Bradshaw &amp; Hinson, P.A. for such services in 2008 was approximately $200,000, representing less than 0.5%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Do the independent Directors ever meet without management?</w:t>
      </w:r>
    </w:p>
    <w:p>
      <w:pPr>
        <w:spacing w:after="0" w:line="121"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Chief</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862965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44" w:lineRule="auto"/>
        <w:rPr>
          <w:sz w:val="20"/>
          <w:szCs w:val="20"/>
          <w:color w:val="auto"/>
        </w:rPr>
      </w:pPr>
      <w:r>
        <w:rPr>
          <w:rFonts w:ascii="Arial" w:cs="Arial" w:eastAsia="Arial" w:hAnsi="Arial"/>
          <w:sz w:val="20"/>
          <w:szCs w:val="20"/>
          <w:color w:val="auto"/>
        </w:rPr>
        <w:t>Executive Officer. In 2008, the Corporation’s non-employee Directors met 5 times in executive session without management, in addition to executive sessions held by committees of the Board. The Chair of the Nominating and Corporate Governance Committee, currently Ms. Cole, a non-employee Director, presides at these executive sessions of non-employee Directors. In the absence of such Chair, the non-employee Directors would elect from among themselves a chair for such an executive session.</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would interested parties make their concerns known to the independent Directors?</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The Board of Directors provides a process for shareholders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99"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00" w:lineRule="exact"/>
        <w:rPr>
          <w:sz w:val="20"/>
          <w:szCs w:val="20"/>
          <w:color w:val="auto"/>
        </w:rPr>
      </w:pPr>
    </w:p>
    <w:p>
      <w:pPr>
        <w:ind w:left="980" w:right="200" w:firstLine="609"/>
        <w:spacing w:after="0" w:line="246" w:lineRule="auto"/>
        <w:rPr>
          <w:sz w:val="20"/>
          <w:szCs w:val="20"/>
          <w:color w:val="auto"/>
        </w:rPr>
      </w:pPr>
      <w:r>
        <w:rPr>
          <w:rFonts w:ascii="Arial" w:cs="Arial" w:eastAsia="Arial" w:hAnsi="Arial"/>
          <w:sz w:val="20"/>
          <w:szCs w:val="20"/>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often did the Board meet during 2008?</w:t>
      </w:r>
    </w:p>
    <w:p>
      <w:pPr>
        <w:spacing w:after="0" w:line="121"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The Corporation’s Board of Directors held 12 meetings during 2008, 5 of which were regularly scheduled meetings. There were also a total of 21 committee meetings in 2008. In addition, management confers frequently with its Directors on an informal basis to discuss Corporation affairs.</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many times did Directors attend meetings of the Board and its Committees?</w:t>
      </w:r>
    </w:p>
    <w:p>
      <w:pPr>
        <w:spacing w:after="0" w:line="121" w:lineRule="exact"/>
        <w:rPr>
          <w:sz w:val="20"/>
          <w:szCs w:val="20"/>
          <w:color w:val="auto"/>
        </w:rPr>
      </w:pPr>
    </w:p>
    <w:p>
      <w:pPr>
        <w:ind w:left="980" w:right="220" w:firstLine="609"/>
        <w:spacing w:after="0" w:line="287" w:lineRule="auto"/>
        <w:rPr>
          <w:sz w:val="20"/>
          <w:szCs w:val="20"/>
          <w:color w:val="auto"/>
        </w:rPr>
      </w:pPr>
      <w:r>
        <w:rPr>
          <w:rFonts w:ascii="Arial" w:cs="Arial" w:eastAsia="Arial" w:hAnsi="Arial"/>
          <w:sz w:val="19"/>
          <w:szCs w:val="19"/>
          <w:color w:val="auto"/>
        </w:rPr>
        <w:t>In 2008, all Directors attended at least 75% of the meetings of the Board of Directors. All directors attended all of the meetings of the committees of the Board on which they served (during the periods that they served).</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the Directors attend the Annual Meeting?</w:t>
      </w:r>
    </w:p>
    <w:p>
      <w:pPr>
        <w:spacing w:after="0" w:line="121" w:lineRule="exact"/>
        <w:rPr>
          <w:sz w:val="20"/>
          <w:szCs w:val="20"/>
          <w:color w:val="auto"/>
        </w:rPr>
      </w:pPr>
    </w:p>
    <w:p>
      <w:pPr>
        <w:jc w:val="both"/>
        <w:ind w:left="980" w:right="300" w:firstLine="609"/>
        <w:spacing w:after="0" w:line="260" w:lineRule="auto"/>
        <w:rPr>
          <w:sz w:val="20"/>
          <w:szCs w:val="20"/>
          <w:color w:val="auto"/>
        </w:rPr>
      </w:pPr>
      <w:r>
        <w:rPr>
          <w:rFonts w:ascii="Arial" w:cs="Arial" w:eastAsia="Arial" w:hAnsi="Arial"/>
          <w:sz w:val="20"/>
          <w:szCs w:val="20"/>
          <w:color w:val="auto"/>
        </w:rPr>
        <w:t>The Corporation’s Directors are expected to attend the Corporation’s Annual Meeting of Shareholders. All Directors then serving on the Board attended the 2008 Annual Meeting of Shareholders.</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Directors compensated?</w:t>
      </w:r>
    </w:p>
    <w:p>
      <w:pPr>
        <w:spacing w:after="0" w:line="81" w:lineRule="exact"/>
        <w:rPr>
          <w:sz w:val="20"/>
          <w:szCs w:val="20"/>
          <w:color w:val="auto"/>
        </w:rPr>
      </w:pPr>
    </w:p>
    <w:p>
      <w:pPr>
        <w:jc w:val="both"/>
        <w:ind w:left="980" w:right="320" w:firstLine="609"/>
        <w:spacing w:after="0" w:line="282" w:lineRule="auto"/>
        <w:rPr>
          <w:sz w:val="20"/>
          <w:szCs w:val="20"/>
          <w:color w:val="auto"/>
        </w:rPr>
      </w:pPr>
      <w:r>
        <w:rPr>
          <w:rFonts w:ascii="Arial" w:cs="Arial" w:eastAsia="Arial" w:hAnsi="Arial"/>
          <w:sz w:val="18"/>
          <w:szCs w:val="18"/>
          <w:color w:val="auto"/>
        </w:rPr>
        <w:t xml:space="preserve">A table showing the compensation paid by the Corporation to its Directors other than Mr. Zelnak for the year ended December 31, 2008 is included in the section of this proxy statement entitled “DIRECTOR COMPENSATION —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Mr. Zelnak’s compensation as an executive officer of the Corporation is shown in the section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and he receives no additional compensation for service as a Director.</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Committees has the Board established?</w:t>
      </w:r>
    </w:p>
    <w:p>
      <w:pPr>
        <w:spacing w:after="0" w:line="94" w:lineRule="exact"/>
        <w:rPr>
          <w:sz w:val="20"/>
          <w:szCs w:val="20"/>
          <w:color w:val="auto"/>
        </w:rPr>
      </w:pPr>
    </w:p>
    <w:p>
      <w:pPr>
        <w:ind w:left="980" w:right="440" w:firstLine="609"/>
        <w:spacing w:after="0" w:line="269" w:lineRule="auto"/>
        <w:rPr>
          <w:sz w:val="20"/>
          <w:szCs w:val="20"/>
          <w:color w:val="auto"/>
        </w:rPr>
      </w:pPr>
      <w:r>
        <w:rPr>
          <w:rFonts w:ascii="Arial" w:cs="Arial" w:eastAsia="Arial" w:hAnsi="Arial"/>
          <w:sz w:val="19"/>
          <w:szCs w:val="19"/>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29" w:lineRule="exact"/>
        <w:rPr>
          <w:sz w:val="20"/>
          <w:szCs w:val="20"/>
          <w:color w:val="auto"/>
        </w:rPr>
      </w:pPr>
    </w:p>
    <w:p>
      <w:pPr>
        <w:ind w:left="980" w:right="280" w:firstLine="609"/>
        <w:spacing w:after="0" w:line="25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Audit Committee</w:t>
      </w:r>
      <w:r>
        <w:rPr>
          <w:rFonts w:ascii="Arial" w:cs="Arial" w:eastAsia="Arial" w:hAnsi="Arial"/>
          <w:sz w:val="19"/>
          <w:szCs w:val="19"/>
          <w:color w:val="auto"/>
        </w:rPr>
        <w:t>, which is composed entirely of non-employee, independent Directors, held 8 meetings during 2008.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45" w:lineRule="exact"/>
        <w:rPr>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selects the independent auditors</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pre-approves all audit and non-audit services provided to the Corporation by the independent auditors</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monitors the independence of the independent auditors</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approves:</w:t>
      </w:r>
    </w:p>
    <w:p>
      <w:pPr>
        <w:spacing w:after="0" w:line="94"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scope and timing of work to be performed by the independent auditors</w:t>
      </w:r>
    </w:p>
    <w:p>
      <w:pPr>
        <w:spacing w:after="0" w:line="80"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compensation to be paid to the independent auditors</w:t>
      </w:r>
    </w:p>
    <w:p>
      <w:pPr>
        <w:spacing w:after="0" w:line="80"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financial accounting and reporting principles used by the Corporation</w:t>
      </w:r>
    </w:p>
    <w:p>
      <w:pPr>
        <w:spacing w:after="0" w:line="94"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policies and procedures concerning audits, accounting, and financial controls</w:t>
      </w:r>
    </w:p>
    <w:p>
      <w:pPr>
        <w:spacing w:after="0" w:line="80"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recommendations to improve existing practices</w:t>
      </w:r>
    </w:p>
    <w:p>
      <w:pPr>
        <w:spacing w:after="0" w:line="80"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results of the audit and the reports of the independent auditors</w:t>
      </w:r>
    </w:p>
    <w:p>
      <w:pPr>
        <w:spacing w:after="0" w:line="94" w:lineRule="exact"/>
        <w:rPr>
          <w:rFonts w:ascii="Arial" w:cs="Arial" w:eastAsia="Arial" w:hAnsi="Arial"/>
          <w:sz w:val="20"/>
          <w:szCs w:val="20"/>
          <w:color w:val="auto"/>
        </w:rPr>
      </w:pPr>
    </w:p>
    <w:p>
      <w:pPr>
        <w:ind w:left="1800" w:right="20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discusses the Corporation’s annual audited financial statements and quarterly financial statements with management and the independent auditors</w:t>
      </w:r>
    </w:p>
    <w:p>
      <w:pPr>
        <w:spacing w:after="0" w:line="28" w:lineRule="exact"/>
        <w:rPr>
          <w:rFonts w:ascii="Arial" w:cs="Arial" w:eastAsia="Arial" w:hAnsi="Arial"/>
          <w:sz w:val="20"/>
          <w:szCs w:val="20"/>
          <w:color w:val="auto"/>
        </w:rPr>
      </w:pPr>
    </w:p>
    <w:p>
      <w:pPr>
        <w:ind w:left="1800" w:right="16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discusses management’s assessment of the effectiveness of the Corporation’s system of internal control over financial reporting</w:t>
      </w:r>
    </w:p>
    <w:p>
      <w:pPr>
        <w:spacing w:after="0" w:line="28" w:lineRule="exact"/>
        <w:rPr>
          <w:rFonts w:ascii="Arial" w:cs="Arial" w:eastAsia="Arial" w:hAnsi="Arial"/>
          <w:sz w:val="20"/>
          <w:szCs w:val="20"/>
          <w:color w:val="auto"/>
        </w:rPr>
      </w:pPr>
    </w:p>
    <w:p>
      <w:pPr>
        <w:ind w:left="1800" w:right="14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discusses the Corporation’s earnings press releases, as well as financial information and earnings guidance provided to analysts and rating agencies</w:t>
      </w:r>
    </w:p>
    <w:p>
      <w:pPr>
        <w:spacing w:after="0" w:line="2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discusses guidelines, policies, and other matters related to risk assessment and risk management and how the process is handled by management</w:t>
      </w:r>
    </w:p>
    <w:p>
      <w:pPr>
        <w:spacing w:after="0" w:line="28"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considers allegations, if ever made, of possible financial fraud or other financial improprieties</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sets clear hiring policies for employees or former employees of the independent auditors</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the qualifications and the plan and scope of work of the corporate internal audit function</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prepares an audit committee report as required by the SEC to be in this proxy statement</w:t>
      </w:r>
    </w:p>
    <w:p>
      <w:pPr>
        <w:spacing w:after="0" w:line="81"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20"/>
          <w:szCs w:val="20"/>
          <w:i w:val="1"/>
          <w:iCs w:val="1"/>
          <w:color w:val="auto"/>
        </w:rPr>
        <w:t>Guidelines for</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Director’s Independence</w:t>
      </w:r>
      <w:r>
        <w:rPr>
          <w:rFonts w:ascii="Arial" w:cs="Arial" w:eastAsia="Arial" w:hAnsi="Arial"/>
          <w:sz w:val="20"/>
          <w:szCs w:val="20"/>
          <w:color w:val="auto"/>
        </w:rPr>
        <w:t>.</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640080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0" w:right="260" w:firstLine="609"/>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Ethics, Environment, Safety and Health Committee</w:t>
      </w:r>
      <w:r>
        <w:rPr>
          <w:rFonts w:ascii="Arial" w:cs="Arial" w:eastAsia="Arial" w:hAnsi="Arial"/>
          <w:sz w:val="18"/>
          <w:szCs w:val="18"/>
          <w:color w:val="auto"/>
        </w:rPr>
        <w:t xml:space="preserve"> held 1 meeting during 2008. It monitors compliance with the Corporation’s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and reviews all matters presented 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Vinroot (Chair), Menaker, Perez, Quillen, and Rediker.</w:t>
      </w:r>
    </w:p>
    <w:p>
      <w:pPr>
        <w:spacing w:after="0" w:line="4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Executive Committee</w:t>
      </w:r>
      <w:r>
        <w:rPr>
          <w:rFonts w:ascii="Arial" w:cs="Arial" w:eastAsia="Arial" w:hAnsi="Arial"/>
          <w:sz w:val="20"/>
          <w:szCs w:val="20"/>
          <w:color w:val="auto"/>
        </w:rPr>
        <w:t xml:space="preserve"> held no meetings during 2008.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50" w:lineRule="exact"/>
        <w:rPr>
          <w:sz w:val="20"/>
          <w:szCs w:val="20"/>
          <w:color w:val="auto"/>
        </w:rPr>
      </w:pPr>
    </w:p>
    <w:p>
      <w:pPr>
        <w:ind w:left="980" w:firstLine="609"/>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Finance Committee</w:t>
      </w:r>
      <w:r>
        <w:rPr>
          <w:rFonts w:ascii="Arial" w:cs="Arial" w:eastAsia="Arial" w:hAnsi="Arial"/>
          <w:sz w:val="18"/>
          <w:szCs w:val="18"/>
          <w:color w:val="auto"/>
        </w:rPr>
        <w:t xml:space="preserve"> held 5 meetings during 2008.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25" w:lineRule="exact"/>
        <w:rPr>
          <w:sz w:val="20"/>
          <w:szCs w:val="20"/>
          <w:color w:val="auto"/>
        </w:rPr>
      </w:pPr>
    </w:p>
    <w:p>
      <w:pPr>
        <w:ind w:left="980" w:right="60" w:firstLine="609"/>
        <w:spacing w:after="0" w:line="27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Management Development and Compensation Committee</w:t>
      </w:r>
      <w:r>
        <w:rPr>
          <w:rFonts w:ascii="Arial" w:cs="Arial" w:eastAsia="Arial" w:hAnsi="Arial"/>
          <w:sz w:val="18"/>
          <w:szCs w:val="18"/>
          <w:color w:val="auto"/>
        </w:rPr>
        <w:t xml:space="preserve"> held 5 meetings during 2008. It is composed entirely of non-employee, independent Directors, as required by the rules of the NYSE, who are also “non-employee” and “outside” Directors as those terms are defined by Rule 16b-3 promulgated under the Securities and Exchange Act of 1934 and</w:t>
      </w:r>
    </w:p>
    <w:p>
      <w:pPr>
        <w:spacing w:after="0" w:line="2" w:lineRule="exact"/>
        <w:rPr>
          <w:sz w:val="20"/>
          <w:szCs w:val="20"/>
          <w:color w:val="auto"/>
        </w:rPr>
      </w:pPr>
    </w:p>
    <w:p>
      <w:pPr>
        <w:jc w:val="both"/>
        <w:ind w:left="980" w:right="120"/>
        <w:spacing w:after="0" w:line="276" w:lineRule="auto"/>
        <w:rPr>
          <w:sz w:val="20"/>
          <w:szCs w:val="20"/>
          <w:color w:val="auto"/>
        </w:rPr>
      </w:pPr>
      <w:r>
        <w:rPr>
          <w:rFonts w:ascii="Arial" w:cs="Arial" w:eastAsia="Arial" w:hAnsi="Arial"/>
          <w:sz w:val="18"/>
          <w:szCs w:val="18"/>
          <w:color w:val="auto"/>
        </w:rPr>
        <w:t>Section 162(m) of the Internal Revenue Code of 1986. The Committee possesses and may exercise the powers of the Board of Directors relating to management development and compensation matters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45" w:lineRule="exact"/>
        <w:rPr>
          <w:sz w:val="20"/>
          <w:szCs w:val="20"/>
          <w:color w:val="auto"/>
        </w:rPr>
      </w:pPr>
    </w:p>
    <w:p>
      <w:pPr>
        <w:ind w:left="1800" w:right="160" w:hanging="208"/>
        <w:spacing w:after="0" w:line="260" w:lineRule="auto"/>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establish an overall strategy with respect to compensation for officers and management to enable the Corporation to attract and retain qualified employees</w:t>
      </w:r>
    </w:p>
    <w:p>
      <w:pPr>
        <w:spacing w:after="0" w:line="28" w:lineRule="exact"/>
        <w:rPr>
          <w:rFonts w:ascii="Arial" w:cs="Arial" w:eastAsia="Arial" w:hAnsi="Arial"/>
          <w:sz w:val="20"/>
          <w:szCs w:val="20"/>
          <w:color w:val="auto"/>
        </w:rPr>
      </w:pPr>
    </w:p>
    <w:p>
      <w:pPr>
        <w:ind w:left="1800" w:hanging="208"/>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oversee executive succession and management development plans</w:t>
      </w:r>
    </w:p>
    <w:p>
      <w:pPr>
        <w:spacing w:after="0" w:line="67" w:lineRule="exact"/>
        <w:rPr>
          <w:rFonts w:ascii="Arial" w:cs="Arial" w:eastAsia="Arial" w:hAnsi="Arial"/>
          <w:sz w:val="20"/>
          <w:szCs w:val="20"/>
          <w:color w:val="auto"/>
        </w:rPr>
      </w:pPr>
    </w:p>
    <w:p>
      <w:pPr>
        <w:ind w:left="1800" w:hanging="20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the Corporation’s directors and elected officers</w:t>
      </w:r>
    </w:p>
    <w:p>
      <w:pPr>
        <w:spacing w:after="0" w:line="90" w:lineRule="exact"/>
        <w:rPr>
          <w:rFonts w:ascii="Arial" w:cs="Arial" w:eastAsia="Arial" w:hAnsi="Arial"/>
          <w:sz w:val="18"/>
          <w:szCs w:val="18"/>
          <w:color w:val="auto"/>
        </w:rPr>
      </w:pPr>
    </w:p>
    <w:p>
      <w:pPr>
        <w:ind w:left="1800" w:hanging="208"/>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administer the Corporation’s equity and other compensation plans, as amended from time to time</w:t>
      </w:r>
    </w:p>
    <w:p>
      <w:pPr>
        <w:spacing w:after="0" w:line="67" w:lineRule="exact"/>
        <w:rPr>
          <w:rFonts w:ascii="Arial" w:cs="Arial" w:eastAsia="Arial" w:hAnsi="Arial"/>
          <w:sz w:val="20"/>
          <w:szCs w:val="20"/>
          <w:color w:val="auto"/>
        </w:rPr>
      </w:pPr>
    </w:p>
    <w:p>
      <w:pPr>
        <w:ind w:left="1800" w:right="420" w:hanging="208"/>
        <w:spacing w:after="0" w:line="260" w:lineRule="auto"/>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review and discuss the Compensation Discussion and Analysis and produce a compensation committee report as required by the SEC to be in this proxy statement</w:t>
      </w:r>
    </w:p>
    <w:p>
      <w:pPr>
        <w:spacing w:after="0" w:line="42"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the Corporation.</w:t>
      </w:r>
    </w:p>
    <w:p>
      <w:pPr>
        <w:spacing w:after="0" w:line="51"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The Committee reviews and approves the Corporation’s goals and objectives for Chief Executive Officer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880110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00"/>
        <w:spacing w:after="0" w:line="278" w:lineRule="auto"/>
        <w:rPr>
          <w:sz w:val="20"/>
          <w:szCs w:val="20"/>
          <w:color w:val="auto"/>
        </w:rPr>
      </w:pPr>
      <w:r>
        <w:rPr>
          <w:rFonts w:ascii="Arial" w:cs="Arial" w:eastAsia="Arial" w:hAnsi="Arial"/>
          <w:sz w:val="18"/>
          <w:szCs w:val="18"/>
          <w:color w:val="auto"/>
        </w:rPr>
        <w:t>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the Corporation. The Committee’s current members are Directors McDonald (Chair), Cole, and Menaker.</w:t>
      </w:r>
    </w:p>
    <w:p>
      <w:pPr>
        <w:spacing w:after="0" w:line="65" w:lineRule="exact"/>
        <w:rPr>
          <w:sz w:val="20"/>
          <w:szCs w:val="20"/>
          <w:color w:val="auto"/>
        </w:rPr>
      </w:pPr>
    </w:p>
    <w:p>
      <w:pPr>
        <w:ind w:left="980" w:right="220" w:firstLine="609"/>
        <w:spacing w:after="0" w:line="28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xml:space="preserve"> held 2 meetings in 2008. The Committee is composed entirely of non-employee, independent Directors, as required by the rules of the NYSE. The Committee possesses and may exercise the powers of the Board of Directors relating to the process of governance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68" w:lineRule="exact"/>
        <w:rPr>
          <w:sz w:val="20"/>
          <w:szCs w:val="20"/>
          <w:color w:val="auto"/>
        </w:rPr>
      </w:pPr>
    </w:p>
    <w:p>
      <w:pPr>
        <w:ind w:left="1800" w:hanging="208"/>
        <w:spacing w:after="0"/>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 the identification and selection of qualified Board and Committee members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recommend to the Board director nominees for the next annual meeting of shareholders</w:t>
      </w:r>
    </w:p>
    <w:p>
      <w:pPr>
        <w:spacing w:after="0" w:line="107" w:lineRule="exact"/>
        <w:rPr>
          <w:rFonts w:ascii="Arial" w:cs="Arial" w:eastAsia="Arial" w:hAnsi="Arial"/>
          <w:sz w:val="20"/>
          <w:szCs w:val="20"/>
          <w:color w:val="auto"/>
        </w:rPr>
      </w:pPr>
    </w:p>
    <w:p>
      <w:pPr>
        <w:ind w:left="1800" w:right="940" w:hanging="208"/>
        <w:spacing w:after="0" w:line="260" w:lineRule="auto"/>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 the development and implementation of a set of corporate governance principles applicable to the Corporation</w:t>
      </w:r>
    </w:p>
    <w:p>
      <w:pPr>
        <w:spacing w:after="0" w:line="82" w:lineRule="exact"/>
        <w:rPr>
          <w:sz w:val="20"/>
          <w:szCs w:val="20"/>
          <w:color w:val="auto"/>
        </w:rPr>
      </w:pPr>
    </w:p>
    <w:p>
      <w:pPr>
        <w:jc w:val="both"/>
        <w:ind w:left="980" w:right="120" w:firstLine="609"/>
        <w:spacing w:after="0" w:line="342" w:lineRule="auto"/>
        <w:rPr>
          <w:sz w:val="20"/>
          <w:szCs w:val="20"/>
          <w:color w:val="auto"/>
        </w:rPr>
      </w:pPr>
      <w:r>
        <w:rPr>
          <w:rFonts w:ascii="Arial" w:cs="Arial" w:eastAsia="Arial" w:hAnsi="Arial"/>
          <w:sz w:val="16"/>
          <w:szCs w:val="16"/>
          <w:color w:val="auto"/>
        </w:rPr>
        <w:t>The Committee also oversees the evaluation of the Board and management (along with the Management Development and Compensation Committee). The Committee has the sole authority to retain, pay, and terminate search firms, if any, used to identify Director candidates. The Committee’s current members are Directors Cole (Chair), McDonald, and Vinroot.</w:t>
      </w:r>
    </w:p>
    <w:p>
      <w:pPr>
        <w:spacing w:after="0" w:line="24" w:lineRule="exact"/>
        <w:rPr>
          <w:sz w:val="20"/>
          <w:szCs w:val="20"/>
          <w:color w:val="auto"/>
        </w:rPr>
      </w:pPr>
    </w:p>
    <w:p>
      <w:pPr>
        <w:ind w:left="980" w:right="40" w:firstLine="609"/>
        <w:spacing w:after="0" w:line="244" w:lineRule="auto"/>
        <w:rPr>
          <w:sz w:val="20"/>
          <w:szCs w:val="20"/>
          <w:color w:val="auto"/>
        </w:rPr>
      </w:pPr>
      <w:r>
        <w:rPr>
          <w:rFonts w:ascii="Arial" w:cs="Arial" w:eastAsia="Arial" w:hAnsi="Arial"/>
          <w:sz w:val="20"/>
          <w:szCs w:val="20"/>
          <w:color w:val="auto"/>
        </w:rPr>
        <w:t xml:space="preserve">Upon the recommendation of this Committee, the Board of Directors has adopted a set of </w:t>
      </w:r>
      <w:r>
        <w:rPr>
          <w:rFonts w:ascii="Arial" w:cs="Arial" w:eastAsia="Arial" w:hAnsi="Arial"/>
          <w:sz w:val="20"/>
          <w:szCs w:val="20"/>
          <w:i w:val="1"/>
          <w:iCs w:val="1"/>
          <w:color w:val="auto"/>
        </w:rPr>
        <w:t>Corporate Governance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Guidelines </w:t>
      </w:r>
      <w:r>
        <w:rPr>
          <w:rFonts w:ascii="Arial" w:cs="Arial" w:eastAsia="Arial" w:hAnsi="Arial"/>
          <w:sz w:val="20"/>
          <w:szCs w:val="20"/>
          <w:color w:val="auto"/>
        </w:rPr>
        <w:t>for the Corporation. The Guidelines are posted and available for public viewing on the Corporation’s website at</w:t>
      </w:r>
      <w:r>
        <w:rPr>
          <w:rFonts w:ascii="Arial" w:cs="Arial" w:eastAsia="Arial" w:hAnsi="Arial"/>
          <w:sz w:val="20"/>
          <w:szCs w:val="20"/>
          <w:i w:val="1"/>
          <w:iCs w:val="1"/>
          <w:color w:val="auto"/>
        </w:rPr>
        <w:t xml:space="preserve"> www.martinmarietta.com</w:t>
      </w:r>
      <w:r>
        <w:rPr>
          <w:rFonts w:ascii="Arial" w:cs="Arial" w:eastAsia="Arial" w:hAnsi="Arial"/>
          <w:sz w:val="20"/>
          <w:szCs w:val="20"/>
          <w:color w:val="auto"/>
        </w:rPr>
        <w:t>. A copy may also be obtained upon request from the Corporation’s Corporate Secretary.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concerning the corporate governance process of the Corporation is contained in the section entitled “CORPORATE GOVERNANCE MATTERS” above.</w:t>
      </w:r>
    </w:p>
    <w:p>
      <w:pPr>
        <w:spacing w:after="0" w:line="208" w:lineRule="exact"/>
        <w:rPr>
          <w:sz w:val="20"/>
          <w:szCs w:val="20"/>
          <w:color w:val="auto"/>
        </w:rPr>
      </w:pPr>
    </w:p>
    <w:p>
      <w:pPr>
        <w:ind w:left="980" w:right="1120"/>
        <w:spacing w:after="0" w:line="260" w:lineRule="auto"/>
        <w:rPr>
          <w:sz w:val="20"/>
          <w:szCs w:val="20"/>
          <w:color w:val="auto"/>
        </w:rPr>
      </w:pPr>
      <w:r>
        <w:rPr>
          <w:rFonts w:ascii="Arial" w:cs="Arial" w:eastAsia="Arial" w:hAnsi="Arial"/>
          <w:sz w:val="20"/>
          <w:szCs w:val="20"/>
          <w:b w:val="1"/>
          <w:bCs w:val="1"/>
          <w:i w:val="1"/>
          <w:iCs w:val="1"/>
          <w:color w:val="auto"/>
        </w:rPr>
        <w:t>Will the Nominating and Corporate Governance Committee consider any Director candidates recommended by shareholders?</w:t>
      </w:r>
    </w:p>
    <w:p>
      <w:pPr>
        <w:spacing w:after="0" w:line="82"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2008 annual meeting, the Corporation has not made any material changes to the procedures by which shareholders may recommend nominees to the Corporation’s Board of Directors. Additional information is contained in the section entitled “SHAREHOLDERS’ PROPOSALS FOR 2010 ANNUAL MEETING” below.</w:t>
      </w:r>
    </w:p>
    <w:p>
      <w:pPr>
        <w:spacing w:after="0" w:line="18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1300480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does the Board select nominees for the Board?</w:t>
      </w:r>
    </w:p>
    <w:p>
      <w:pPr>
        <w:spacing w:after="0" w:line="94"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36" w:lineRule="exact"/>
        <w:rPr>
          <w:sz w:val="20"/>
          <w:szCs w:val="20"/>
          <w:color w:val="auto"/>
        </w:rPr>
      </w:pPr>
    </w:p>
    <w:p>
      <w:pPr>
        <w:ind w:left="980" w:right="100" w:firstLine="609"/>
        <w:spacing w:after="0" w:line="243" w:lineRule="auto"/>
        <w:rPr>
          <w:sz w:val="20"/>
          <w:szCs w:val="20"/>
          <w:color w:val="auto"/>
        </w:rPr>
      </w:pPr>
      <w:r>
        <w:rPr>
          <w:rFonts w:ascii="Arial" w:cs="Arial" w:eastAsia="Arial" w:hAnsi="Arial"/>
          <w:sz w:val="20"/>
          <w:szCs w:val="20"/>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20"/>
          <w:szCs w:val="20"/>
          <w:i w:val="1"/>
          <w:iCs w:val="1"/>
          <w:color w:val="auto"/>
        </w:rPr>
        <w:t>Guidelines for Potential New Board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Members </w:t>
      </w:r>
      <w:r>
        <w:rPr>
          <w:rFonts w:ascii="Arial" w:cs="Arial" w:eastAsia="Arial" w:hAnsi="Arial"/>
          <w:sz w:val="20"/>
          <w:szCs w:val="20"/>
          <w:color w:val="auto"/>
        </w:rPr>
        <w:t>adopted by the Committee, and takes into account all other factors it considers appropriate. A copy of these</w:t>
      </w:r>
      <w:r>
        <w:rPr>
          <w:rFonts w:ascii="Arial" w:cs="Arial" w:eastAsia="Arial" w:hAnsi="Arial"/>
          <w:sz w:val="20"/>
          <w:szCs w:val="20"/>
          <w:i w:val="1"/>
          <w:iCs w:val="1"/>
          <w:color w:val="auto"/>
        </w:rPr>
        <w:t xml:space="preserve"> </w:t>
      </w:r>
      <w:r>
        <w:rPr>
          <w:rFonts w:ascii="Arial" w:cs="Arial" w:eastAsia="Arial" w:hAnsi="Arial"/>
          <w:sz w:val="20"/>
          <w:szCs w:val="20"/>
          <w:color w:val="auto"/>
        </w:rPr>
        <w:t>Guidelines is attached to this proxy statement as Appendix A. The Committee seeks a diverse group of candidates who possess the background, skills, expertise, and time to make a significant contribution to the Board, to the Corporation, and to its shareholders.</w:t>
      </w:r>
    </w:p>
    <w:p>
      <w:pPr>
        <w:spacing w:after="0" w:line="61" w:lineRule="exact"/>
        <w:rPr>
          <w:sz w:val="20"/>
          <w:szCs w:val="20"/>
          <w:color w:val="auto"/>
        </w:rPr>
      </w:pPr>
    </w:p>
    <w:p>
      <w:pPr>
        <w:jc w:val="both"/>
        <w:ind w:left="980" w:firstLine="609"/>
        <w:spacing w:after="0" w:line="250" w:lineRule="auto"/>
        <w:rPr>
          <w:sz w:val="20"/>
          <w:szCs w:val="20"/>
          <w:color w:val="auto"/>
        </w:rPr>
      </w:pPr>
      <w:r>
        <w:rPr>
          <w:rFonts w:ascii="Arial" w:cs="Arial" w:eastAsia="Arial" w:hAnsi="Arial"/>
          <w:sz w:val="20"/>
          <w:szCs w:val="20"/>
          <w:color w:val="auto"/>
        </w:rPr>
        <w:t>Each nominee approved by the Nominating and Corporate Governance Committee and recommended for election at the 2009 Annual Meeting is a current Director standing for re-election. The Committee received no additional recommendations for Director nominees for consideration at the annual meeting.</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Do the Board Committees have charters? How can shareholders obtain them?</w:t>
      </w:r>
    </w:p>
    <w:p>
      <w:pPr>
        <w:spacing w:after="0" w:line="81" w:lineRule="exact"/>
        <w:rPr>
          <w:sz w:val="20"/>
          <w:szCs w:val="20"/>
          <w:color w:val="auto"/>
        </w:rPr>
      </w:pPr>
    </w:p>
    <w:p>
      <w:pPr>
        <w:ind w:left="980" w:right="20" w:firstLine="609"/>
        <w:spacing w:after="0" w:line="257" w:lineRule="auto"/>
        <w:rPr>
          <w:sz w:val="20"/>
          <w:szCs w:val="20"/>
          <w:color w:val="auto"/>
        </w:rPr>
      </w:pPr>
      <w:r>
        <w:rPr>
          <w:rFonts w:ascii="Arial" w:cs="Arial" w:eastAsia="Arial" w:hAnsi="Arial"/>
          <w:sz w:val="19"/>
          <w:szCs w:val="19"/>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along with copies of the Corporation’s</w:t>
      </w:r>
      <w:r>
        <w:rPr>
          <w:rFonts w:ascii="Arial" w:cs="Arial" w:eastAsia="Arial" w:hAnsi="Arial"/>
          <w:sz w:val="19"/>
          <w:szCs w:val="19"/>
          <w:i w:val="1"/>
          <w:iCs w:val="1"/>
          <w:color w:val="auto"/>
        </w:rPr>
        <w:t xml:space="preserve"> Corporate Governance Guidelines, Code of Ethics and Standards of Conduct</w:t>
      </w:r>
      <w:r>
        <w:rPr>
          <w:rFonts w:ascii="Arial" w:cs="Arial" w:eastAsia="Arial" w:hAnsi="Arial"/>
          <w:sz w:val="19"/>
          <w:szCs w:val="19"/>
          <w:color w:val="auto"/>
        </w:rPr>
        <w:t>, and</w:t>
      </w:r>
      <w:r>
        <w:rPr>
          <w:rFonts w:ascii="Arial" w:cs="Arial" w:eastAsia="Arial" w:hAnsi="Arial"/>
          <w:sz w:val="19"/>
          <w:szCs w:val="19"/>
          <w:i w:val="1"/>
          <w:iCs w:val="1"/>
          <w:color w:val="auto"/>
        </w:rPr>
        <w:t xml:space="preserve"> Guidelines for Director’s Independence</w:t>
      </w:r>
      <w:r>
        <w:rPr>
          <w:rFonts w:ascii="Arial" w:cs="Arial" w:eastAsia="Arial" w:hAnsi="Arial"/>
          <w:sz w:val="19"/>
          <w:szCs w:val="19"/>
          <w:color w:val="auto"/>
        </w:rPr>
        <w:t>. A copy of each of these items may also be obtained free of</w:t>
      </w:r>
      <w:r>
        <w:rPr>
          <w:rFonts w:ascii="Arial" w:cs="Arial" w:eastAsia="Arial" w:hAnsi="Arial"/>
          <w:sz w:val="19"/>
          <w:szCs w:val="19"/>
          <w:i w:val="1"/>
          <w:iCs w:val="1"/>
          <w:color w:val="auto"/>
        </w:rPr>
        <w:t xml:space="preserve"> </w:t>
      </w:r>
      <w:r>
        <w:rPr>
          <w:rFonts w:ascii="Arial" w:cs="Arial" w:eastAsia="Arial" w:hAnsi="Arial"/>
          <w:sz w:val="19"/>
          <w:szCs w:val="19"/>
          <w:color w:val="auto"/>
        </w:rPr>
        <w:t>charge by any shareholder upon request by writing to: Martin Marietta Materials, Inc., Attn: Corporate Secretary, 2710 Wycliff Road, Raleigh, North Carolina 27607-3033.</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transactions with persons related to the Corporation reviewed?</w:t>
      </w:r>
    </w:p>
    <w:p>
      <w:pPr>
        <w:spacing w:after="0" w:line="81" w:lineRule="exact"/>
        <w:rPr>
          <w:sz w:val="20"/>
          <w:szCs w:val="20"/>
          <w:color w:val="auto"/>
        </w:rPr>
      </w:pPr>
    </w:p>
    <w:p>
      <w:pPr>
        <w:ind w:left="980" w:right="220" w:firstLine="609"/>
        <w:spacing w:after="0" w:line="246" w:lineRule="auto"/>
        <w:rPr>
          <w:sz w:val="20"/>
          <w:szCs w:val="20"/>
          <w:color w:val="auto"/>
        </w:rPr>
      </w:pPr>
      <w:r>
        <w:rPr>
          <w:rFonts w:ascii="Arial" w:cs="Arial" w:eastAsia="Arial" w:hAnsi="Arial"/>
          <w:sz w:val="20"/>
          <w:szCs w:val="20"/>
          <w:color w:val="auto"/>
        </w:rPr>
        <w:t>The SEC requires the Corporation to disclose in this proxy statement certain transactions in which the Corporation participates and in which certain persons considered “related persons” of the Corporation have a direct or indirect material interest. These “related persons” would include the directors and executive officers of the Corporation, nominees for director, certain control persons, and their immediate family members.</w:t>
      </w:r>
    </w:p>
    <w:p>
      <w:pPr>
        <w:spacing w:after="0" w:line="70" w:lineRule="exact"/>
        <w:rPr>
          <w:sz w:val="20"/>
          <w:szCs w:val="20"/>
          <w:color w:val="auto"/>
        </w:rPr>
      </w:pPr>
    </w:p>
    <w:p>
      <w:pPr>
        <w:ind w:left="980" w:right="280" w:firstLine="609"/>
        <w:spacing w:after="0" w:line="243" w:lineRule="auto"/>
        <w:rPr>
          <w:sz w:val="20"/>
          <w:szCs w:val="20"/>
          <w:color w:val="auto"/>
        </w:rPr>
      </w:pPr>
      <w:r>
        <w:rPr>
          <w:rFonts w:ascii="Arial" w:cs="Arial" w:eastAsia="Arial" w:hAnsi="Arial"/>
          <w:sz w:val="20"/>
          <w:szCs w:val="20"/>
          <w:color w:val="auto"/>
        </w:rPr>
        <w:t xml:space="preserve">Each director, executive officer, and nominee for director of the Corporation receives and agrees to abide by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The Corporation considers that any transaction in which the Corporation participates and in which any related person of the Corporation has a direct or indirect material interest will be subject to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subject to review, approval or ratification, as appropriate under the circumstances, by the Corporation under the standards enumerated in the Corporation’s </w:t>
      </w:r>
      <w:r>
        <w:rPr>
          <w:rFonts w:ascii="Arial" w:cs="Arial" w:eastAsia="Arial" w:hAnsi="Arial"/>
          <w:sz w:val="20"/>
          <w:szCs w:val="20"/>
          <w:i w:val="1"/>
          <w:iCs w:val="1"/>
          <w:color w:val="auto"/>
        </w:rPr>
        <w:t>Code of Ethics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Standards of Conduct. </w:t>
      </w:r>
      <w:r>
        <w:rPr>
          <w:rFonts w:ascii="Arial" w:cs="Arial" w:eastAsia="Arial" w:hAnsi="Arial"/>
          <w:sz w:val="20"/>
          <w:szCs w:val="20"/>
          <w:color w:val="auto"/>
        </w:rPr>
        <w:t>If a proposed transaction is one in which a Director of the Corporation has an actual or potential</w:t>
      </w:r>
      <w:r>
        <w:rPr>
          <w:rFonts w:ascii="Arial" w:cs="Arial" w:eastAsia="Arial" w:hAnsi="Arial"/>
          <w:sz w:val="20"/>
          <w:szCs w:val="20"/>
          <w:i w:val="1"/>
          <w:iCs w:val="1"/>
          <w:color w:val="auto"/>
        </w:rPr>
        <w:t xml:space="preserve"> </w:t>
      </w:r>
      <w:r>
        <w:rPr>
          <w:rFonts w:ascii="Arial" w:cs="Arial" w:eastAsia="Arial" w:hAnsi="Arial"/>
          <w:sz w:val="20"/>
          <w:szCs w:val="20"/>
          <w:color w:val="auto"/>
        </w:rPr>
        <w:t>conflict of interest, it will be</w:t>
      </w:r>
    </w:p>
    <w:p>
      <w:pPr>
        <w:spacing w:after="0" w:line="20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699770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60"/>
        <w:spacing w:after="0" w:line="260" w:lineRule="auto"/>
        <w:rPr>
          <w:sz w:val="20"/>
          <w:szCs w:val="20"/>
          <w:color w:val="auto"/>
        </w:rPr>
      </w:pPr>
      <w:r>
        <w:rPr>
          <w:rFonts w:ascii="Arial" w:cs="Arial" w:eastAsia="Arial" w:hAnsi="Arial"/>
          <w:sz w:val="20"/>
          <w:szCs w:val="20"/>
          <w:color w:val="auto"/>
        </w:rPr>
        <w:t>subject to review by the Chairman of the Board of Directors and the Chairman of the Nominating and Corporate Governance Committee.</w:t>
      </w:r>
    </w:p>
    <w:p>
      <w:pPr>
        <w:spacing w:after="0" w:line="82"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 xml:space="preserve">Any waivers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and executive officers may be made only by the Corporation’s Board of Directors or any committee to which it delegates that authority. Any waivers for Directors and executive officers and any amendments to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will be promptly disclosed to the Corporation’s shareholders.</w:t>
      </w:r>
    </w:p>
    <w:p>
      <w:pPr>
        <w:spacing w:after="0" w:line="97"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In assessing the independence of its members, the Board considers any interests a director may have in any transactions in which the Corporation participates. The Board also considers other entities with which the Directors are affiliated and any business the Corporation has done with such entities.</w:t>
      </w:r>
    </w:p>
    <w:p>
      <w:pPr>
        <w:spacing w:after="0" w:line="302"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PROPOSAL 2 — INDEPENDENT AUDITORS</w:t>
      </w:r>
    </w:p>
    <w:p>
      <w:pPr>
        <w:spacing w:after="0" w:line="127" w:lineRule="exact"/>
        <w:rPr>
          <w:sz w:val="20"/>
          <w:szCs w:val="20"/>
          <w:color w:val="auto"/>
        </w:rPr>
      </w:pPr>
    </w:p>
    <w:p>
      <w:pPr>
        <w:ind w:left="980" w:firstLine="609"/>
        <w:spacing w:after="0" w:line="321" w:lineRule="auto"/>
        <w:rPr>
          <w:sz w:val="20"/>
          <w:szCs w:val="20"/>
          <w:color w:val="auto"/>
        </w:rPr>
      </w:pPr>
      <w:r>
        <w:rPr>
          <w:rFonts w:ascii="Arial" w:cs="Arial" w:eastAsia="Arial" w:hAnsi="Arial"/>
          <w:sz w:val="16"/>
          <w:szCs w:val="16"/>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2009.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39" w:lineRule="exact"/>
        <w:rPr>
          <w:sz w:val="20"/>
          <w:szCs w:val="20"/>
          <w:color w:val="auto"/>
        </w:rPr>
      </w:pPr>
    </w:p>
    <w:p>
      <w:pPr>
        <w:ind w:left="980" w:right="100" w:firstLine="609"/>
        <w:spacing w:after="0" w:line="276" w:lineRule="auto"/>
        <w:rPr>
          <w:sz w:val="20"/>
          <w:szCs w:val="20"/>
          <w:color w:val="auto"/>
        </w:rPr>
      </w:pPr>
      <w:r>
        <w:rPr>
          <w:rFonts w:ascii="Arial" w:cs="Arial" w:eastAsia="Arial" w:hAnsi="Arial"/>
          <w:sz w:val="18"/>
          <w:szCs w:val="18"/>
          <w:color w:val="auto"/>
        </w:rPr>
        <w:t>Ernst &amp; Young LLP served as the Corporation’s independent auditors for 2008 and audited the consolidated financial statements of the Corporation for the year ended December 31, 2008 and the effectiveness of the Corporation’s internal control over financial reporting as of December 31, 2008. In connection with the audit of the Corporation’s 2008 financial statements, the Corporation entered into an engagement letter with Ernst &amp; Young LLP that sets forth the terms by which Ernst &amp; Young LLP would perform audit services for the Corporation. Ernst &amp; Young LLP required that the audit engagement agreement be subject to alternative dispute resolution procedures and an exclusion of punitive damages.</w:t>
      </w:r>
    </w:p>
    <w:p>
      <w:pPr>
        <w:spacing w:after="0" w:line="71" w:lineRule="exact"/>
        <w:rPr>
          <w:sz w:val="20"/>
          <w:szCs w:val="20"/>
          <w:color w:val="auto"/>
        </w:rPr>
      </w:pPr>
    </w:p>
    <w:p>
      <w:pPr>
        <w:ind w:left="980" w:right="100" w:firstLine="609"/>
        <w:spacing w:after="0" w:line="291" w:lineRule="auto"/>
        <w:rPr>
          <w:sz w:val="20"/>
          <w:szCs w:val="20"/>
          <w:color w:val="auto"/>
        </w:rPr>
      </w:pPr>
      <w:r>
        <w:rPr>
          <w:rFonts w:ascii="Arial" w:cs="Arial" w:eastAsia="Arial" w:hAnsi="Arial"/>
          <w:sz w:val="18"/>
          <w:szCs w:val="18"/>
          <w:color w:val="auto"/>
        </w:rPr>
        <w:t>The Audit Committee is solely responsible for retaining or terminating the Corporation’s independent auditors in 2009. Representatives of Ernst &amp; Young LLP are expected to attend the Annual Meeting of Shareholders of the Corporation, will have the opportunity to make a statement if they so desire, and will be available to respond to questions from shareholders.</w:t>
      </w:r>
    </w:p>
    <w:p>
      <w:pPr>
        <w:spacing w:after="0" w:line="51"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i w:val="1"/>
          <w:iCs w:val="1"/>
          <w:u w:val="single" w:color="auto"/>
          <w:color w:val="auto"/>
        </w:rPr>
        <w:t>“FOR”</w:t>
      </w:r>
      <w:r>
        <w:rPr>
          <w:rFonts w:ascii="Arial" w:cs="Arial" w:eastAsia="Arial" w:hAnsi="Arial"/>
          <w:sz w:val="20"/>
          <w:szCs w:val="20"/>
          <w:b w:val="1"/>
          <w:bCs w:val="1"/>
          <w:color w:val="auto"/>
        </w:rPr>
        <w:t xml:space="preserve"> RATIFICATION</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OF THE SELECTION OF ERNST &amp; YOUNG LLP AS INDEPENDENT AUDITORS.</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Summary of Fees</w:t>
      </w:r>
    </w:p>
    <w:p>
      <w:pPr>
        <w:spacing w:after="0" w:line="121" w:lineRule="exact"/>
        <w:rPr>
          <w:sz w:val="20"/>
          <w:szCs w:val="20"/>
          <w:color w:val="auto"/>
        </w:rPr>
      </w:pPr>
    </w:p>
    <w:p>
      <w:pPr>
        <w:ind w:left="980" w:right="220" w:firstLine="609"/>
        <w:spacing w:after="0" w:line="246" w:lineRule="auto"/>
        <w:rPr>
          <w:sz w:val="20"/>
          <w:szCs w:val="20"/>
          <w:color w:val="auto"/>
        </w:rPr>
      </w:pPr>
      <w:r>
        <w:rPr>
          <w:rFonts w:ascii="Arial" w:cs="Arial" w:eastAsia="Arial" w:hAnsi="Arial"/>
          <w:sz w:val="20"/>
          <w:szCs w:val="20"/>
          <w:color w:val="auto"/>
        </w:rPr>
        <w:t>The following table summarizes the aggregate fees billed for professional services rendered to the Corporation by Ernst &amp; Young LLP in 2008 and 2007. A description of these various fees and services follows the table. None of the audit hours conducted by Ernst &amp; Young LLP in 2008 and 2007 were performed by people other than full time, permanent Ernst &amp; Young LLP employees.</w:t>
      </w:r>
    </w:p>
    <w:p>
      <w:pPr>
        <w:spacing w:after="0" w:line="107" w:lineRule="exact"/>
        <w:rPr>
          <w:sz w:val="20"/>
          <w:szCs w:val="20"/>
          <w:color w:val="auto"/>
        </w:rPr>
      </w:pPr>
    </w:p>
    <w:tbl>
      <w:tblPr>
        <w:tblLayout w:type="fixed"/>
        <w:tblInd w:w="970" w:type="dxa"/>
        <w:tblCellMar>
          <w:top w:w="0" w:type="dxa"/>
          <w:left w:w="0" w:type="dxa"/>
          <w:bottom w:w="0" w:type="dxa"/>
          <w:right w:w="0" w:type="dxa"/>
        </w:tblCellMar>
      </w:tblPr>
      <w:tr>
        <w:trPr>
          <w:trHeight w:val="176"/>
        </w:trPr>
        <w:tc>
          <w:tcPr>
            <w:tcW w:w="7860" w:type="dxa"/>
            <w:vAlign w:val="bottom"/>
            <w:tcBorders>
              <w:top w:val="single" w:sz="8" w:color="auto"/>
              <w:left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bottom w:val="single" w:sz="8" w:color="auto"/>
            </w:tcBorders>
          </w:tcPr>
          <w:p>
            <w:pPr>
              <w:spacing w:after="0"/>
              <w:rPr>
                <w:sz w:val="15"/>
                <w:szCs w:val="15"/>
                <w:color w:val="auto"/>
              </w:rPr>
            </w:pPr>
          </w:p>
        </w:tc>
      </w:tr>
      <w:tr>
        <w:trPr>
          <w:trHeight w:val="223"/>
        </w:trPr>
        <w:tc>
          <w:tcPr>
            <w:tcW w:w="78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1,515,000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1,453,000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173,000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132,000</w:t>
            </w:r>
          </w:p>
        </w:tc>
      </w:tr>
      <w:tr>
        <w:trPr>
          <w:trHeight w:val="216"/>
        </w:trPr>
        <w:tc>
          <w:tcPr>
            <w:tcW w:w="78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240,000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6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1,918,000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1,825,000</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Audit &amp; Audit-Related Fees to Total Fees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88.0%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86.8%</w:t>
            </w:r>
          </w:p>
        </w:tc>
      </w:tr>
    </w:tbl>
    <w:p>
      <w:pPr>
        <w:spacing w:after="0" w:line="22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871220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 Fees</w:t>
      </w:r>
    </w:p>
    <w:p>
      <w:pPr>
        <w:spacing w:after="0" w:line="121" w:lineRule="exact"/>
        <w:rPr>
          <w:sz w:val="20"/>
          <w:szCs w:val="20"/>
          <w:color w:val="auto"/>
        </w:rPr>
      </w:pPr>
    </w:p>
    <w:p>
      <w:pPr>
        <w:ind w:left="980" w:right="40" w:firstLine="609"/>
        <w:spacing w:after="0" w:line="259" w:lineRule="auto"/>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2008 and 2007 in connection with the annual financial statement audit, the annual internal controls audit, and reviews of the Corporation’s financial statements included in the quarterly reports on Form 10-Q were $1,390,000 and $1,278,000, respectively. During 2008, Ernst &amp; Young LLP also billed the Corporation $125,000 related to the debt issuance in April 2008 under the Corporation’s shelf registration statement. During 2007, Ernst &amp; Young LLP also billed the Corporation $175,000 related to the filing of the shelf registration statement and the April 2007 debt issuance.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Audit-Related Fees</w:t>
      </w:r>
    </w:p>
    <w:p>
      <w:pPr>
        <w:spacing w:after="0" w:line="121"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2008 and 2007 in connection with audit-related services, including subsidiary audits and continuing education, were $173,000 and $132,000, respectively.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Tax Fees</w:t>
      </w:r>
    </w:p>
    <w:p>
      <w:pPr>
        <w:spacing w:after="0" w:line="121"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2008 and 2007 in connection with tax advice, including consultation on transfer pricing issues, and other tax-related activities were $230,000 and $240,000, respectively.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All Other Fees</w:t>
      </w:r>
    </w:p>
    <w:p>
      <w:pPr>
        <w:spacing w:after="0" w:line="121" w:lineRule="exact"/>
        <w:rPr>
          <w:sz w:val="20"/>
          <w:szCs w:val="20"/>
          <w:color w:val="auto"/>
        </w:rPr>
      </w:pPr>
    </w:p>
    <w:p>
      <w:pPr>
        <w:ind w:left="980" w:right="60" w:firstLine="609"/>
        <w:spacing w:after="0" w:line="260" w:lineRule="auto"/>
        <w:rPr>
          <w:sz w:val="20"/>
          <w:szCs w:val="20"/>
          <w:color w:val="auto"/>
        </w:rPr>
      </w:pPr>
      <w:r>
        <w:rPr>
          <w:rFonts w:ascii="Arial" w:cs="Arial" w:eastAsia="Arial" w:hAnsi="Arial"/>
          <w:sz w:val="20"/>
          <w:szCs w:val="20"/>
          <w:color w:val="auto"/>
        </w:rPr>
        <w:t>There were no other fees billed for other professional services rendered or products provided by Ernst &amp; Young LLP to the Corporation for 2008 and 2007.</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Pre-Approval Policies and Procedures</w:t>
      </w:r>
    </w:p>
    <w:p>
      <w:pPr>
        <w:spacing w:after="0" w:line="121" w:lineRule="exact"/>
        <w:rPr>
          <w:sz w:val="20"/>
          <w:szCs w:val="20"/>
          <w:color w:val="auto"/>
        </w:rPr>
      </w:pPr>
    </w:p>
    <w:p>
      <w:pPr>
        <w:ind w:left="980" w:right="20" w:firstLine="609"/>
        <w:spacing w:after="0" w:line="259" w:lineRule="auto"/>
        <w:rPr>
          <w:sz w:val="20"/>
          <w:szCs w:val="20"/>
          <w:color w:val="auto"/>
        </w:rPr>
      </w:pPr>
      <w:r>
        <w:rPr>
          <w:rFonts w:ascii="Arial" w:cs="Arial" w:eastAsia="Arial" w:hAnsi="Arial"/>
          <w:sz w:val="19"/>
          <w:szCs w:val="19"/>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 Committee Review</w:t>
      </w:r>
    </w:p>
    <w:p>
      <w:pPr>
        <w:spacing w:after="0" w:line="121" w:lineRule="exact"/>
        <w:rPr>
          <w:sz w:val="20"/>
          <w:szCs w:val="20"/>
          <w:color w:val="auto"/>
        </w:rPr>
      </w:pPr>
    </w:p>
    <w:p>
      <w:pPr>
        <w:ind w:left="980" w:right="20" w:firstLine="609"/>
        <w:spacing w:after="0" w:line="246" w:lineRule="auto"/>
        <w:rPr>
          <w:sz w:val="20"/>
          <w:szCs w:val="20"/>
          <w:color w:val="auto"/>
        </w:rPr>
      </w:pPr>
      <w:r>
        <w:rPr>
          <w:rFonts w:ascii="Arial" w:cs="Arial" w:eastAsia="Arial" w:hAnsi="Arial"/>
          <w:sz w:val="20"/>
          <w:szCs w:val="20"/>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307"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AUDIT COMMITTEE REPORT</w:t>
      </w:r>
    </w:p>
    <w:p>
      <w:pPr>
        <w:spacing w:after="0" w:line="127" w:lineRule="exact"/>
        <w:rPr>
          <w:sz w:val="20"/>
          <w:szCs w:val="20"/>
          <w:color w:val="auto"/>
        </w:rPr>
      </w:pPr>
    </w:p>
    <w:p>
      <w:pPr>
        <w:ind w:left="980" w:firstLine="609"/>
        <w:spacing w:after="0" w:line="273"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can be viewed on the Corporation’s website at </w:t>
      </w:r>
      <w:r>
        <w:rPr>
          <w:rFonts w:ascii="Arial" w:cs="Arial" w:eastAsia="Arial" w:hAnsi="Arial"/>
          <w:sz w:val="18"/>
          <w:szCs w:val="18"/>
          <w:i w:val="1"/>
          <w:iCs w:val="1"/>
          <w:color w:val="auto"/>
        </w:rPr>
        <w:t>www.martinmarietta.com.</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320" w:firstLine="609"/>
        <w:spacing w:after="0" w:line="246" w:lineRule="auto"/>
        <w:rPr>
          <w:sz w:val="20"/>
          <w:szCs w:val="20"/>
          <w:color w:val="auto"/>
        </w:rPr>
      </w:pPr>
      <w:r>
        <w:rPr>
          <w:rFonts w:ascii="Arial" w:cs="Arial" w:eastAsia="Arial" w:hAnsi="Arial"/>
          <w:sz w:val="20"/>
          <w:szCs w:val="20"/>
          <w:color w:val="auto"/>
        </w:rPr>
        <w:t>The Board of Directors has charged the Audit Committee with a number of responsibilities, including review of the adequacy of the Corporation’s financial reporting, accounting systems, and internal controls. The Corporation’s independent auditors and the vice president of the internal audit function report directly and are ultimately accountable to the Audit Committee.</w:t>
      </w:r>
    </w:p>
    <w:p>
      <w:pPr>
        <w:spacing w:after="0" w:line="97" w:lineRule="exact"/>
        <w:rPr>
          <w:sz w:val="20"/>
          <w:szCs w:val="20"/>
          <w:color w:val="auto"/>
        </w:rPr>
      </w:pPr>
    </w:p>
    <w:p>
      <w:pPr>
        <w:ind w:left="980" w:right="200" w:firstLine="609"/>
        <w:spacing w:after="0" w:line="243" w:lineRule="auto"/>
        <w:rPr>
          <w:sz w:val="20"/>
          <w:szCs w:val="20"/>
          <w:color w:val="auto"/>
        </w:rPr>
      </w:pPr>
      <w:r>
        <w:rPr>
          <w:rFonts w:ascii="Arial" w:cs="Arial" w:eastAsia="Arial" w:hAnsi="Arial"/>
          <w:sz w:val="20"/>
          <w:szCs w:val="20"/>
          <w:color w:val="auto"/>
        </w:rPr>
        <w:t xml:space="preserve">In the discharge of its responsibilities, the Audit Committee has reviewed and discussed with management and the independent auditors the Corporation’s audited financial statements for fiscal year 2008. In addition, the Committee has discussed with the independent auditors matters such as the quality (in addition to acceptability), clarity, consistency, and completeness of the Corporation’s financial reporting, as required by Statement on Auditing Standards No. 61, as amended (AICPA, </w:t>
      </w:r>
      <w:r>
        <w:rPr>
          <w:rFonts w:ascii="Arial" w:cs="Arial" w:eastAsia="Arial" w:hAnsi="Arial"/>
          <w:sz w:val="20"/>
          <w:szCs w:val="20"/>
          <w:i w:val="1"/>
          <w:iCs w:val="1"/>
          <w:color w:val="auto"/>
        </w:rPr>
        <w:t>Professional Standards,</w:t>
      </w:r>
      <w:r>
        <w:rPr>
          <w:rFonts w:ascii="Arial" w:cs="Arial" w:eastAsia="Arial" w:hAnsi="Arial"/>
          <w:sz w:val="20"/>
          <w:szCs w:val="20"/>
          <w:color w:val="auto"/>
        </w:rPr>
        <w:t xml:space="preserve"> Vol. 1, AU section 380), as adopted by the Public Company Accounting Oversight Board in Rule 3200T.</w:t>
      </w:r>
    </w:p>
    <w:p>
      <w:pPr>
        <w:spacing w:after="0" w:line="102"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 xml:space="preserve">The Audit Committee has received from the independent auditors written disclosures and a letter concerning the independent auditors’ independence from the Corporation, as required by Independence Standards Board Standard No. 1, (Independence Standards Board Standard No. 1, </w:t>
      </w:r>
      <w:r>
        <w:rPr>
          <w:rFonts w:ascii="Arial" w:cs="Arial" w:eastAsia="Arial" w:hAnsi="Arial"/>
          <w:sz w:val="19"/>
          <w:szCs w:val="19"/>
          <w:i w:val="1"/>
          <w:iCs w:val="1"/>
          <w:color w:val="auto"/>
        </w:rPr>
        <w:t>Independence Discussions with Audit Committees)</w:t>
      </w:r>
      <w:r>
        <w:rPr>
          <w:rFonts w:ascii="Arial" w:cs="Arial" w:eastAsia="Arial" w:hAnsi="Arial"/>
          <w:sz w:val="19"/>
          <w:szCs w:val="19"/>
          <w:color w:val="auto"/>
        </w:rPr>
        <w:t>, as adopted by the Public Company Accounting Oversight Board in Rule 3600T, and has discussed with the independent auditors the independent auditors’ independence. The Audit Committee also 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87"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Based on these reviews and discussions, the Audit Committee has recommended to the Board that the audited financial statements be included in the Corporation’s 2008 Annual Report on Form 10-K for filing with the Securities and Exchange Commission.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February 16, 2009</w:t>
      </w:r>
    </w:p>
    <w:p>
      <w:pPr>
        <w:spacing w:after="0" w:line="7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Laree E. Perez</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Dennis L. Rediker</w:t>
      </w:r>
    </w:p>
    <w:p>
      <w:pPr>
        <w:spacing w:after="0" w:line="21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2972435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Philosophy and Objectives</w:t>
      </w:r>
    </w:p>
    <w:p>
      <w:pPr>
        <w:spacing w:after="0" w:line="121" w:lineRule="exact"/>
        <w:rPr>
          <w:sz w:val="20"/>
          <w:szCs w:val="20"/>
          <w:color w:val="auto"/>
        </w:rPr>
      </w:pPr>
    </w:p>
    <w:p>
      <w:pPr>
        <w:ind w:left="980" w:right="20" w:firstLine="609"/>
        <w:spacing w:after="0" w:line="270" w:lineRule="auto"/>
        <w:rPr>
          <w:sz w:val="20"/>
          <w:szCs w:val="20"/>
          <w:color w:val="auto"/>
        </w:rPr>
      </w:pPr>
      <w:r>
        <w:rPr>
          <w:rFonts w:ascii="Arial" w:cs="Arial" w:eastAsia="Arial" w:hAnsi="Arial"/>
          <w:sz w:val="18"/>
          <w:szCs w:val="18"/>
          <w:color w:val="auto"/>
        </w:rPr>
        <w:t>We believe that our employees are the Corporation’s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2008,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The Role of the Management Development and Compensation Committee</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the Corporation. The Committee has the authority to determine compensation and benefits for the Corporation’s executive officers. The Committee members are each non-employee, independent Board members pursuant to the New York Stock Exchange rules, and the Committee operates pursuant to a written charter, a copy of which can be viewed on the Corporation’s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w:t>
      </w:r>
    </w:p>
    <w:p>
      <w:pPr>
        <w:spacing w:after="0" w:line="102" w:lineRule="exact"/>
        <w:rPr>
          <w:sz w:val="20"/>
          <w:szCs w:val="20"/>
          <w:color w:val="auto"/>
        </w:rPr>
      </w:pPr>
    </w:p>
    <w:p>
      <w:pPr>
        <w:ind w:left="980" w:right="80" w:firstLine="609"/>
        <w:spacing w:after="0" w:line="256" w:lineRule="auto"/>
        <w:rPr>
          <w:sz w:val="20"/>
          <w:szCs w:val="20"/>
          <w:color w:val="auto"/>
        </w:rPr>
      </w:pPr>
      <w:r>
        <w:rPr>
          <w:rFonts w:ascii="Arial" w:cs="Arial" w:eastAsia="Arial" w:hAnsi="Arial"/>
          <w:sz w:val="19"/>
          <w:szCs w:val="19"/>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 — Human Resources, with respect to salary adjustments and annual cash and equity awards. No other named executive officers participate in the Committee’s decision to set compensation.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the Corporation and any executive officer of the Corporation, including the Chief Executive Officer.</w:t>
      </w:r>
    </w:p>
    <w:p>
      <w:pPr>
        <w:spacing w:after="0" w:line="90"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The Committee uses a mix of annual and long-term compensation to provide a total compensation structure that is designed to motivate executives to achieve the business goals set by the Corporation and reward the Corporation’s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1000125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0"/>
        <w:spacing w:after="0" w:line="271" w:lineRule="auto"/>
        <w:rPr>
          <w:sz w:val="20"/>
          <w:szCs w:val="20"/>
          <w:color w:val="auto"/>
        </w:rPr>
      </w:pPr>
      <w:r>
        <w:rPr>
          <w:rFonts w:ascii="Arial" w:cs="Arial" w:eastAsia="Arial" w:hAnsi="Arial"/>
          <w:sz w:val="18"/>
          <w:szCs w:val="18"/>
          <w:color w:val="auto"/>
        </w:rPr>
        <w:t>Officer (except for his own compensation) and information provided by independent compensation consultants. The Committee has engaged Watson Wyatt Worldwide as its independent compensation consultant to assist it in reviewing the Corporation’s executive compensation program to ensure that the program is consistent with the Board’s philosophy and to provide valuable information and insight as to market pay practices. Watson Wyatt conducted an extensive review and benchmarking study of the Corporation’s compensation program in 2007. In addition, it reviews and provides comments on management’s annual competitive analysis of each component of compensation and total compensation for the Chief Executive Officer and executive officers of the Corporation. Watson Wyatt provides the Committee with relevant market data and alternatives to consider when making compensation decisions for the Chief Executive Officer. Watson Wyatt also provides feedback to management on proxy information and published compensation surveys, which are then used by the Chief Executive Officer in making recommendations to the Committee with respect to compensation for executive officers other than the Chief Executive Officer.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The Use of Benchmarking Information</w:t>
      </w:r>
    </w:p>
    <w:p>
      <w:pPr>
        <w:spacing w:after="0" w:line="121" w:lineRule="exact"/>
        <w:rPr>
          <w:sz w:val="20"/>
          <w:szCs w:val="20"/>
          <w:color w:val="auto"/>
        </w:rPr>
      </w:pPr>
    </w:p>
    <w:p>
      <w:pPr>
        <w:ind w:left="980" w:right="20" w:firstLine="609"/>
        <w:spacing w:after="0" w:line="268" w:lineRule="auto"/>
        <w:rPr>
          <w:sz w:val="20"/>
          <w:szCs w:val="20"/>
          <w:color w:val="auto"/>
        </w:rPr>
      </w:pPr>
      <w:r>
        <w:rPr>
          <w:rFonts w:ascii="Arial" w:cs="Arial" w:eastAsia="Arial" w:hAnsi="Arial"/>
          <w:sz w:val="18"/>
          <w:szCs w:val="18"/>
          <w:color w:val="auto"/>
        </w:rPr>
        <w:t>The Committee reviews compensation information drawn from various sources, including proxy statements of a peer group of the following companies that we selected primarily from the Standards and Poors 1500 Basic Materials Index with other companies added to the group, that are in the aggregates, cement, natural resources and specialty chemical industries based on similarities in revenue and business characteristics: Albermarle Corporation, Arch Coal Inc., Cabot Corporation, Cytec Industries Inc., FMC Corporation, Granite Construction Inc., Headwaters Inc., Louisiana Pacific Corp., Lubrizol Corp., Mosaic Company, Packaging Corp of America, RPM International, Inc., Sigma Aldrich Corp., Sonoco Products Co., Universal Forest Products Inc., Valspar Corporation and Vulcan Materials Company. Because the information in the proxy statements of these companies generally does not provide precise comparisons by position to our executive officers, the Committee also takes into consideration published independent compensation surveys of companies with revenue in the range of $2 billion to</w:t>
      </w:r>
    </w:p>
    <w:p>
      <w:pPr>
        <w:spacing w:after="0" w:line="2" w:lineRule="exact"/>
        <w:rPr>
          <w:sz w:val="20"/>
          <w:szCs w:val="20"/>
          <w:color w:val="auto"/>
        </w:rPr>
      </w:pPr>
    </w:p>
    <w:p>
      <w:pPr>
        <w:ind w:left="980"/>
        <w:spacing w:after="0" w:line="272" w:lineRule="auto"/>
        <w:rPr>
          <w:sz w:val="20"/>
          <w:szCs w:val="20"/>
          <w:color w:val="auto"/>
        </w:rPr>
      </w:pPr>
      <w:r>
        <w:rPr>
          <w:rFonts w:ascii="Arial" w:cs="Arial" w:eastAsia="Arial" w:hAnsi="Arial"/>
          <w:sz w:val="18"/>
          <w:szCs w:val="18"/>
          <w:color w:val="auto"/>
        </w:rPr>
        <w:t>$2.5 billion as to median levels for each executive officer. As to the Chief Executive Officer’s compensation, the Committee reviews compensation information derived from both the peer group described above and the published surveys described in the preceding sentence, as well as the advice of Watson Wyatt. The peer group used for compensation purposes, which is described above, is broader than the peer group used by the Corporation for the five-year performance chart included in the 2008 Annual Report to Shareholders because the Committee believes that the Corporation’s direct competition for talent is broader than the companies that are included in the performance peer group.</w:t>
      </w:r>
    </w:p>
    <w:p>
      <w:pPr>
        <w:spacing w:after="0" w:line="76"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In 2008, the Committee compared annual base salaries to the median compensation levels or the 50th percentile of executive officers performing similar job functions at the companies in both the peer group survey and the published surveys described above that were reviewed. The same peer group survey was used to consider compensation for the Chief Executive Officer and the executive officers responsible for operations. The published surveys described above were used to consider compensation for the Chief Executive Officer and all the named executive officers. The Committee also reviewed a range of market pay for similarly-situated executive officers. It also compared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sought to give each executive officer the opportunity to earn more than the median of the total compensation paid to executive officers performing similar job functions at the peer companies for outstanding performance. The Committee used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18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1377315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40" w:firstLine="609"/>
        <w:spacing w:after="0" w:line="256" w:lineRule="auto"/>
        <w:rPr>
          <w:sz w:val="20"/>
          <w:szCs w:val="20"/>
          <w:color w:val="auto"/>
        </w:rPr>
      </w:pPr>
      <w:r>
        <w:rPr>
          <w:rFonts w:ascii="Arial" w:cs="Arial" w:eastAsia="Arial" w:hAnsi="Arial"/>
          <w:sz w:val="19"/>
          <w:szCs w:val="19"/>
          <w:color w:val="auto"/>
        </w:rPr>
        <w:t>Although the Committee used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the Corporation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Structure and Awards for 2008</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The Committee periodically reviews the components of the Corporation’s executive compensation program to ensure that pay levels are competitive and that incentive opportunities are effective in attracting and retaining talented employees. Consistent with the Committee’s approach in prior years, the 2008 executive compensation program was based on the following principles:</w:t>
      </w:r>
    </w:p>
    <w:p>
      <w:pPr>
        <w:spacing w:after="0" w:line="97" w:lineRule="exact"/>
        <w:rPr>
          <w:sz w:val="20"/>
          <w:szCs w:val="20"/>
          <w:color w:val="auto"/>
        </w:rPr>
      </w:pPr>
    </w:p>
    <w:p>
      <w:pPr>
        <w:ind w:left="2000" w:right="22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Base salaries that provide a base level of compensation targeted to the median level of salaries paid to officers in comparable companies with perceived comparable responsibilities.</w:t>
      </w:r>
    </w:p>
    <w:p>
      <w:pPr>
        <w:spacing w:after="0" w:line="68" w:lineRule="exact"/>
        <w:rPr>
          <w:rFonts w:ascii="Arial" w:cs="Arial" w:eastAsia="Arial" w:hAnsi="Arial"/>
          <w:sz w:val="20"/>
          <w:szCs w:val="20"/>
          <w:color w:val="auto"/>
        </w:rPr>
      </w:pPr>
    </w:p>
    <w:p>
      <w:pPr>
        <w:ind w:left="2000" w:right="58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Annual cash bonuses that award recipients if they achieve or exceed performance results against established targeted corporate and personal goals.</w:t>
      </w:r>
    </w:p>
    <w:p>
      <w:pPr>
        <w:spacing w:after="0" w:line="68" w:lineRule="exact"/>
        <w:rPr>
          <w:rFonts w:ascii="Arial" w:cs="Arial" w:eastAsia="Arial" w:hAnsi="Arial"/>
          <w:sz w:val="20"/>
          <w:szCs w:val="20"/>
          <w:color w:val="auto"/>
        </w:rPr>
      </w:pPr>
    </w:p>
    <w:p>
      <w:pPr>
        <w:ind w:left="2000" w:right="24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Stock purchase awards that encourage stock ownership and reward future stock price appreciation by permitting the recipients to purchase stock at a discount with cash from bonus awards.</w:t>
      </w:r>
    </w:p>
    <w:p>
      <w:pPr>
        <w:spacing w:after="0" w:line="68" w:lineRule="exact"/>
        <w:rPr>
          <w:rFonts w:ascii="Arial" w:cs="Arial" w:eastAsia="Arial" w:hAnsi="Arial"/>
          <w:sz w:val="20"/>
          <w:szCs w:val="20"/>
          <w:color w:val="auto"/>
        </w:rPr>
      </w:pPr>
    </w:p>
    <w:p>
      <w:pPr>
        <w:ind w:left="2000" w:right="40" w:hanging="408"/>
        <w:spacing w:after="0" w:line="246"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Long-term equity compensation that links officers’ rewards directly to the return realized by the Corporation’s shareholders. This component includes both stock options and restricted stock awards, some of which are based on the Corporation’s performance and some of which are granted in connection with executive succession planning for the Corporation’s management.</w:t>
      </w:r>
    </w:p>
    <w:p>
      <w:pPr>
        <w:spacing w:after="0" w:line="83" w:lineRule="exact"/>
        <w:rPr>
          <w:rFonts w:ascii="Arial" w:cs="Arial" w:eastAsia="Arial" w:hAnsi="Arial"/>
          <w:sz w:val="20"/>
          <w:szCs w:val="20"/>
          <w:color w:val="auto"/>
        </w:rPr>
      </w:pPr>
    </w:p>
    <w:p>
      <w:pPr>
        <w:ind w:left="2000" w:right="180" w:hanging="408"/>
        <w:spacing w:after="0" w:line="287" w:lineRule="auto"/>
        <w:tabs>
          <w:tab w:leader="none" w:pos="20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Retirement and other benefits that are designed to attract and retain employees. The level of retirement payments reward employees who remain with the Corporation for longer periods of employment.</w:t>
      </w:r>
    </w:p>
    <w:p>
      <w:pPr>
        <w:spacing w:after="0" w:line="58"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When setting total compensation for each of the named executive officers, the Committee reviewed in 2008 tally sheets that showed the executive’s total current compensation, including equity and non-equity based compensation. In establishing specific award levels in 2008,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Base Salary</w:t>
      </w:r>
    </w:p>
    <w:p>
      <w:pPr>
        <w:spacing w:after="0" w:line="121"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The Corporation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the Corporation, and (2) changes in median</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648335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0"/>
        <w:spacing w:after="0" w:line="257" w:lineRule="auto"/>
        <w:rPr>
          <w:sz w:val="20"/>
          <w:szCs w:val="20"/>
          <w:color w:val="auto"/>
        </w:rPr>
      </w:pPr>
      <w:r>
        <w:rPr>
          <w:rFonts w:ascii="Arial" w:cs="Arial" w:eastAsia="Arial" w:hAnsi="Arial"/>
          <w:sz w:val="19"/>
          <w:szCs w:val="19"/>
          <w:color w:val="auto"/>
        </w:rPr>
        <w:t>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assessing the Chief Executive Officer’s base salary for 2008, the Committee reviewed base salary data for chief executive officers in the compensation studies described above. It also considered the advice of Watson Wyatt and certain other qualitative factors including the Committee’s belief in Mr. Zelnak’s continued superior stewardship of the Corporation and his accomplishment of positioning the Corporation to derive long-term value for the Corporation’s shareholders. Mr. Zelnak’s base salary for 2008 was within the ranges indicated by the compensation studies and suggested by Watson Wyatt.</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Annual Bonus Compensation</w:t>
      </w:r>
    </w:p>
    <w:p>
      <w:pPr>
        <w:spacing w:after="0" w:line="121" w:lineRule="exact"/>
        <w:rPr>
          <w:sz w:val="20"/>
          <w:szCs w:val="20"/>
          <w:color w:val="auto"/>
        </w:rPr>
      </w:pPr>
    </w:p>
    <w:p>
      <w:pPr>
        <w:ind w:left="980" w:right="20" w:firstLine="609"/>
        <w:spacing w:after="0" w:line="278" w:lineRule="auto"/>
        <w:rPr>
          <w:sz w:val="20"/>
          <w:szCs w:val="20"/>
          <w:color w:val="auto"/>
        </w:rPr>
      </w:pPr>
      <w:r>
        <w:rPr>
          <w:rFonts w:ascii="Arial" w:cs="Arial" w:eastAsia="Arial" w:hAnsi="Arial"/>
          <w:sz w:val="18"/>
          <w:szCs w:val="18"/>
          <w:color w:val="auto"/>
        </w:rPr>
        <w:t>We award annual cash bonuses based on corporate performance objectives and the achievement of individualized targeted goals. This furthers the Corporation’s compensation philosophy in that it encourages superior performance and rewards the achievement of the Corporation’s annual goals. In 2008, under the Corporation’s Executive Incentive Plan, the amount of bonus that an executive could receive was based upon a percentage of that executive’s base salary. All of the executive officers participate in the plan, except for Mr. Zelnak, for whom bonus compensation is awarded outside of the plan.</w:t>
      </w:r>
    </w:p>
    <w:p>
      <w:pPr>
        <w:spacing w:after="0" w:line="71" w:lineRule="exact"/>
        <w:rPr>
          <w:sz w:val="20"/>
          <w:szCs w:val="20"/>
          <w:color w:val="auto"/>
        </w:rPr>
      </w:pPr>
    </w:p>
    <w:p>
      <w:pPr>
        <w:ind w:left="980" w:right="140" w:firstLine="609"/>
        <w:spacing w:after="0" w:line="321" w:lineRule="auto"/>
        <w:rPr>
          <w:sz w:val="20"/>
          <w:szCs w:val="20"/>
          <w:color w:val="auto"/>
        </w:rPr>
      </w:pPr>
      <w:r>
        <w:rPr>
          <w:rFonts w:ascii="Arial" w:cs="Arial" w:eastAsia="Arial" w:hAnsi="Arial"/>
          <w:sz w:val="16"/>
          <w:szCs w:val="16"/>
          <w:color w:val="auto"/>
        </w:rPr>
        <w:t xml:space="preserve">In determining awards granted under the plan, the Committee first reviews the achievements of the Corporation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safety, customer satisfaction, and product quality.</w:t>
      </w:r>
    </w:p>
    <w:p>
      <w:pPr>
        <w:spacing w:after="0" w:line="39" w:lineRule="exact"/>
        <w:rPr>
          <w:sz w:val="20"/>
          <w:szCs w:val="20"/>
          <w:color w:val="auto"/>
        </w:rPr>
      </w:pPr>
    </w:p>
    <w:p>
      <w:pPr>
        <w:ind w:left="980" w:right="60" w:firstLine="609"/>
        <w:spacing w:after="0" w:line="256" w:lineRule="auto"/>
        <w:rPr>
          <w:sz w:val="20"/>
          <w:szCs w:val="20"/>
          <w:color w:val="auto"/>
        </w:rPr>
      </w:pPr>
      <w:r>
        <w:rPr>
          <w:rFonts w:ascii="Arial" w:cs="Arial" w:eastAsia="Arial" w:hAnsi="Arial"/>
          <w:sz w:val="19"/>
          <w:szCs w:val="19"/>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the Corporation as a whole and for individual business units, and subjective measures, such as the individual’s overall contribution to the Corporation,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2008, the target bonus level set for each of the named executive officers was a percentage of such officer’s base salary: 90% for the President, and 80% for the other named executive officers. The maximum is 150% of target commensurate with performance at that “stretch” level. There is no threshold since there is no guaranteed bonus if the performance goals are not met.</w:t>
      </w:r>
    </w:p>
    <w:p>
      <w:pPr>
        <w:spacing w:after="0" w:line="87" w:lineRule="exact"/>
        <w:rPr>
          <w:sz w:val="20"/>
          <w:szCs w:val="20"/>
          <w:color w:val="auto"/>
        </w:rPr>
      </w:pPr>
    </w:p>
    <w:p>
      <w:pPr>
        <w:ind w:left="980" w:firstLine="609"/>
        <w:spacing w:after="0" w:line="276" w:lineRule="auto"/>
        <w:rPr>
          <w:sz w:val="20"/>
          <w:szCs w:val="20"/>
          <w:color w:val="auto"/>
        </w:rPr>
      </w:pPr>
      <w:r>
        <w:rPr>
          <w:rFonts w:ascii="Arial" w:cs="Arial" w:eastAsia="Arial" w:hAnsi="Arial"/>
          <w:sz w:val="18"/>
          <w:szCs w:val="18"/>
          <w:color w:val="auto"/>
        </w:rPr>
        <w:t>The objective goals vary by the position of the executive officer. They are established at the beginning of each plan year and are based upon the Corporation’s Long Range Operating Plan, which is set at the end of the previous year. For executives in corporate staff positions, 50% of the determination is made with respect to the Corporation’s performance and 50% is based on the individual’s performance against established objectives. For executives with operating unit responsibility, 50% of the determination is made with respect to the operating unit’s performance, 25% is based on the Corporation’s performance and 25% is based on the individual’s performance against established objectives.</w:t>
      </w:r>
    </w:p>
    <w:p>
      <w:pPr>
        <w:spacing w:after="0" w:line="71" w:lineRule="exact"/>
        <w:rPr>
          <w:sz w:val="20"/>
          <w:szCs w:val="20"/>
          <w:color w:val="auto"/>
        </w:rPr>
      </w:pPr>
    </w:p>
    <w:p>
      <w:pPr>
        <w:ind w:left="980" w:right="260" w:firstLine="609"/>
        <w:spacing w:after="0" w:line="246" w:lineRule="auto"/>
        <w:rPr>
          <w:sz w:val="20"/>
          <w:szCs w:val="20"/>
          <w:color w:val="auto"/>
        </w:rPr>
      </w:pPr>
      <w:r>
        <w:rPr>
          <w:rFonts w:ascii="Arial" w:cs="Arial" w:eastAsia="Arial" w:hAnsi="Arial"/>
          <w:sz w:val="20"/>
          <w:szCs w:val="20"/>
          <w:color w:val="auto"/>
        </w:rPr>
        <w:t>The individualized target goals are tailored for each executive, his or her specific areas of responsibility and the then-current and longer term goals of the Corporation. In addition, achievement of the goals typically is in part dependent on conditions outside the control of each of the named executive officers. For example, we have a strong focus on safety in our operations. Regardless of the achievement of other targets, incentive</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1146175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60"/>
        <w:spacing w:after="0" w:line="260" w:lineRule="auto"/>
        <w:rPr>
          <w:sz w:val="20"/>
          <w:szCs w:val="20"/>
          <w:color w:val="auto"/>
        </w:rPr>
      </w:pPr>
      <w:r>
        <w:rPr>
          <w:rFonts w:ascii="Arial" w:cs="Arial" w:eastAsia="Arial" w:hAnsi="Arial"/>
          <w:sz w:val="20"/>
          <w:szCs w:val="20"/>
          <w:color w:val="auto"/>
        </w:rPr>
        <w:t>awards are reduced for all employees in the event of any workplace fatality in the Corporation. Similarly, our business may be adversely affected by hurricanes or other weather-related conditions.</w:t>
      </w:r>
    </w:p>
    <w:p>
      <w:pPr>
        <w:spacing w:after="0" w:line="82" w:lineRule="exact"/>
        <w:rPr>
          <w:sz w:val="20"/>
          <w:szCs w:val="20"/>
          <w:color w:val="auto"/>
        </w:rPr>
      </w:pPr>
    </w:p>
    <w:p>
      <w:pPr>
        <w:ind w:left="980" w:right="20" w:firstLine="609"/>
        <w:spacing w:after="0" w:line="246" w:lineRule="auto"/>
        <w:rPr>
          <w:sz w:val="20"/>
          <w:szCs w:val="20"/>
          <w:color w:val="auto"/>
        </w:rPr>
      </w:pPr>
      <w:r>
        <w:rPr>
          <w:rFonts w:ascii="Arial" w:cs="Arial" w:eastAsia="Arial" w:hAnsi="Arial"/>
          <w:sz w:val="20"/>
          <w:szCs w:val="20"/>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97" w:lineRule="exact"/>
        <w:rPr>
          <w:sz w:val="20"/>
          <w:szCs w:val="20"/>
          <w:color w:val="auto"/>
        </w:rPr>
      </w:pPr>
    </w:p>
    <w:p>
      <w:pPr>
        <w:ind w:left="980" w:right="120" w:firstLine="609"/>
        <w:spacing w:after="0" w:line="274" w:lineRule="auto"/>
        <w:rPr>
          <w:sz w:val="20"/>
          <w:szCs w:val="20"/>
          <w:color w:val="auto"/>
        </w:rPr>
      </w:pPr>
      <w:r>
        <w:rPr>
          <w:rFonts w:ascii="Arial" w:cs="Arial" w:eastAsia="Arial" w:hAnsi="Arial"/>
          <w:sz w:val="18"/>
          <w:szCs w:val="18"/>
          <w:color w:val="auto"/>
        </w:rPr>
        <w:t>The bonus level for 2008 for the named executive officers was 60% of target as a result of the Corporation’s lower financial performance in 2008 even though the named executive officers achieved near their target levels on the individualized personal goals. The factors that the Committee took into account in determining the Corporation’s performance in 2008 included a detailed assessment of the Corporation’s overall financial performance and each segment’s financial performance, the Corporation’s continuing cost reduction and automation initiatives in a challenging economic environment, record safety results with the Corporation’s best safety performance and an improved injury incident rate over the prior year’s record low rate, and continuing achievement of excellent management of working capital.</w:t>
      </w:r>
    </w:p>
    <w:p>
      <w:pPr>
        <w:spacing w:after="0" w:line="75" w:lineRule="exact"/>
        <w:rPr>
          <w:sz w:val="20"/>
          <w:szCs w:val="20"/>
          <w:color w:val="auto"/>
        </w:rPr>
      </w:pPr>
    </w:p>
    <w:p>
      <w:pPr>
        <w:ind w:left="980" w:firstLine="609"/>
        <w:spacing w:after="0" w:line="268" w:lineRule="auto"/>
        <w:rPr>
          <w:sz w:val="20"/>
          <w:szCs w:val="20"/>
          <w:color w:val="auto"/>
        </w:rPr>
      </w:pPr>
      <w:r>
        <w:rPr>
          <w:rFonts w:ascii="Arial" w:cs="Arial" w:eastAsia="Arial" w:hAnsi="Arial"/>
          <w:sz w:val="18"/>
          <w:szCs w:val="18"/>
          <w:color w:val="auto"/>
        </w:rPr>
        <w:t>Mr. Zelnak does not participate in the Corporation’s Executive Incentive Plan and his bonus, if any, is determined at the discretion of the Committee. Generally, his bonus level is approximately 100% of his base salary although there is no specific target for the Chief Executive Officer’s bonus. The Committee did not attempt to set Mr. Zelnak’s 2008 bonus in any particular relationship to peer compensation survey data. The Committee awarded him an annual incentive bonus of $660,375 for 2008 after considering many diverse factors. Consistent with its compensation philosophy that focuses on long-term performance, the Committee considers whether there are factors in addition to quantitative ones that should be taken into account in establishing the overall level of Mr. Zelnak’s compensation. In this regard, the Committee considered accomplishments that benefit shareholders in the longer term. In determining the amount of Mr. Zelnak’s bonus for 2008, the Committee took into account the same type of objective performance measures and qualitative measures, such as the effectiveness and quality of</w:t>
      </w:r>
    </w:p>
    <w:p>
      <w:pPr>
        <w:spacing w:after="0" w:line="2" w:lineRule="exact"/>
        <w:rPr>
          <w:sz w:val="20"/>
          <w:szCs w:val="20"/>
          <w:color w:val="auto"/>
        </w:rPr>
      </w:pPr>
    </w:p>
    <w:p>
      <w:pPr>
        <w:ind w:left="980" w:right="180"/>
        <w:spacing w:after="0" w:line="244" w:lineRule="auto"/>
        <w:rPr>
          <w:sz w:val="20"/>
          <w:szCs w:val="20"/>
          <w:color w:val="auto"/>
        </w:rPr>
      </w:pPr>
      <w:r>
        <w:rPr>
          <w:rFonts w:ascii="Arial" w:cs="Arial" w:eastAsia="Arial" w:hAnsi="Arial"/>
          <w:sz w:val="20"/>
          <w:szCs w:val="20"/>
          <w:color w:val="auto"/>
        </w:rPr>
        <w:t>Mr. Zelnak’s leadership of the Corporation, as it would typically consider for executive officers who receive awards under the plan.</w:t>
      </w:r>
    </w:p>
    <w:p>
      <w:pPr>
        <w:spacing w:after="0" w:line="97"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The following achievements were considered by the Committee in determining Mr. Zelnak’s 2008 bonus:</w:t>
      </w:r>
    </w:p>
    <w:p>
      <w:pPr>
        <w:spacing w:after="0" w:line="121" w:lineRule="exact"/>
        <w:rPr>
          <w:sz w:val="20"/>
          <w:szCs w:val="20"/>
          <w:color w:val="auto"/>
        </w:rPr>
      </w:pPr>
    </w:p>
    <w:p>
      <w:pPr>
        <w:ind w:left="2000" w:right="160" w:hanging="408"/>
        <w:spacing w:after="0" w:line="291"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per share of $4.20 despite a decrease of 13% in volumes over prior year, and return on shareholders equity in 2008 of 17.9%. Although the return on the Corporation’s common stock in 2008 was (25.7%) assuming reinvestment of dividends, it exceeded the return to shareholders of the S&amp;P 500 and the S&amp;P Materials Index.</w:t>
      </w:r>
    </w:p>
    <w:p>
      <w:pPr>
        <w:spacing w:after="0" w:line="43" w:lineRule="exact"/>
        <w:rPr>
          <w:rFonts w:ascii="Arial" w:cs="Arial" w:eastAsia="Arial" w:hAnsi="Arial"/>
          <w:sz w:val="18"/>
          <w:szCs w:val="18"/>
          <w:color w:val="auto"/>
        </w:rPr>
      </w:pPr>
    </w:p>
    <w:p>
      <w:pPr>
        <w:ind w:left="2000" w:hanging="408"/>
        <w:spacing w:after="0"/>
        <w:tabs>
          <w:tab w:leader="none" w:pos="2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stringent focus on reducing costs, including overtime, and discretionary expenses.</w:t>
      </w:r>
    </w:p>
    <w:p>
      <w:pPr>
        <w:spacing w:after="0" w:line="107" w:lineRule="exact"/>
        <w:rPr>
          <w:rFonts w:ascii="Arial" w:cs="Arial" w:eastAsia="Arial" w:hAnsi="Arial"/>
          <w:sz w:val="20"/>
          <w:szCs w:val="20"/>
          <w:color w:val="auto"/>
        </w:rPr>
      </w:pPr>
    </w:p>
    <w:p>
      <w:pPr>
        <w:ind w:left="2000" w:right="100" w:hanging="408"/>
        <w:spacing w:after="0" w:line="260" w:lineRule="auto"/>
        <w:tabs>
          <w:tab w:leader="none" w:pos="2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Achievement of record employee safety performance, including further improvement in total injury incidence and lost-time incidence rates.</w:t>
      </w:r>
    </w:p>
    <w:p>
      <w:pPr>
        <w:spacing w:after="0" w:line="68" w:lineRule="exact"/>
        <w:rPr>
          <w:rFonts w:ascii="Arial" w:cs="Arial" w:eastAsia="Arial" w:hAnsi="Arial"/>
          <w:sz w:val="20"/>
          <w:szCs w:val="20"/>
          <w:color w:val="auto"/>
        </w:rPr>
      </w:pPr>
    </w:p>
    <w:p>
      <w:pPr>
        <w:ind w:left="2000" w:right="20" w:hanging="408"/>
        <w:spacing w:after="0" w:line="260" w:lineRule="auto"/>
        <w:tabs>
          <w:tab w:leader="none" w:pos="2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innovative use of the Corporation’s information systems to achieve new and improved applications to enhance customer service and management’s ability to analyze and manage the business.</w:t>
      </w:r>
    </w:p>
    <w:p>
      <w:pPr>
        <w:spacing w:after="0" w:line="68" w:lineRule="exact"/>
        <w:rPr>
          <w:rFonts w:ascii="Arial" w:cs="Arial" w:eastAsia="Arial" w:hAnsi="Arial"/>
          <w:sz w:val="20"/>
          <w:szCs w:val="20"/>
          <w:color w:val="auto"/>
        </w:rPr>
      </w:pPr>
    </w:p>
    <w:p>
      <w:pPr>
        <w:ind w:left="2000" w:hanging="408"/>
        <w:spacing w:after="0"/>
        <w:tabs>
          <w:tab w:leader="none" w:pos="2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material deficiencies in the Corporation’s system of internal control over financial reporting.</w:t>
      </w:r>
    </w:p>
    <w:p>
      <w:pPr>
        <w:spacing w:after="0" w:line="107" w:lineRule="exact"/>
        <w:rPr>
          <w:rFonts w:ascii="Arial" w:cs="Arial" w:eastAsia="Arial" w:hAnsi="Arial"/>
          <w:sz w:val="20"/>
          <w:szCs w:val="20"/>
          <w:color w:val="auto"/>
        </w:rPr>
      </w:pPr>
    </w:p>
    <w:p>
      <w:pPr>
        <w:ind w:left="2000" w:hanging="408"/>
        <w:spacing w:after="0" w:line="250" w:lineRule="auto"/>
        <w:tabs>
          <w:tab w:leader="none" w:pos="2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continued successful implementation of the Corporation’s focus on long-haul transportation to build a competitive advantage, on assembling assets in growth areas and on continuing its disciplined growth strategy with the completion of three acquisitions.</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1240155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40" w:firstLine="609"/>
        <w:spacing w:after="0" w:line="246" w:lineRule="auto"/>
        <w:rPr>
          <w:sz w:val="20"/>
          <w:szCs w:val="20"/>
          <w:color w:val="auto"/>
        </w:rPr>
      </w:pPr>
      <w:r>
        <w:rPr>
          <w:rFonts w:ascii="Arial" w:cs="Arial" w:eastAsia="Arial" w:hAnsi="Arial"/>
          <w:sz w:val="20"/>
          <w:szCs w:val="20"/>
          <w:color w:val="auto"/>
        </w:rPr>
        <w:t>Because subjective performance criteria are used in determining the bonus compensation paid under the Executive Incentive Plan and the bonus compensation paid to Mr. Zelnak, the bonus compensation does not qualify for the performance-based exception to the $1,000,000 limit on deductibility of executive officer compensation under Section 162(m) of the Internal Revenue Code of 1986.</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Performance-Based Stock Purchase Awards</w:t>
      </w:r>
    </w:p>
    <w:p>
      <w:pPr>
        <w:spacing w:after="0" w:line="121"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the Corporation’s common stock on the date the amount of the bonus is determined. Participation in the plan is elective, except that all senior officers of the Corporation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w:t>
      </w:r>
    </w:p>
    <w:p>
      <w:pPr>
        <w:spacing w:after="0" w:line="75" w:lineRule="exact"/>
        <w:rPr>
          <w:sz w:val="20"/>
          <w:szCs w:val="20"/>
          <w:color w:val="auto"/>
        </w:rPr>
      </w:pPr>
    </w:p>
    <w:p>
      <w:pPr>
        <w:ind w:left="980" w:right="120" w:firstLine="609"/>
        <w:spacing w:after="0" w:line="244" w:lineRule="auto"/>
        <w:rPr>
          <w:sz w:val="20"/>
          <w:szCs w:val="20"/>
          <w:color w:val="auto"/>
        </w:rPr>
      </w:pPr>
      <w:r>
        <w:rPr>
          <w:rFonts w:ascii="Arial" w:cs="Arial" w:eastAsia="Arial" w:hAnsi="Arial"/>
          <w:sz w:val="20"/>
          <w:szCs w:val="20"/>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Long Term Incentive Compensation</w:t>
      </w:r>
    </w:p>
    <w:p>
      <w:pPr>
        <w:spacing w:after="0" w:line="121" w:lineRule="exact"/>
        <w:rPr>
          <w:sz w:val="20"/>
          <w:szCs w:val="20"/>
          <w:color w:val="auto"/>
        </w:rPr>
      </w:pPr>
    </w:p>
    <w:p>
      <w:pPr>
        <w:ind w:left="980" w:firstLine="609"/>
        <w:spacing w:after="0" w:line="272" w:lineRule="auto"/>
        <w:rPr>
          <w:sz w:val="20"/>
          <w:szCs w:val="20"/>
          <w:color w:val="auto"/>
        </w:rPr>
      </w:pPr>
      <w:r>
        <w:rPr>
          <w:rFonts w:ascii="Arial" w:cs="Arial" w:eastAsia="Arial" w:hAnsi="Arial"/>
          <w:sz w:val="18"/>
          <w:szCs w:val="18"/>
          <w:color w:val="auto"/>
        </w:rPr>
        <w:t>The Corporation’s long-term compensation in 2008 was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and the Committee has designed the awards to give the participants an opportunity to exceed the median level with high performance. Accordingly, these components of the executive compensation program encourage participants to focus on the long-term performance of the Corporation and provide an opportunity for executive officers to increase their stake in the Corporation. The long-term incentive compensation program delivers more value to executive officers if the value of the Corporation’s stock increases.</w:t>
      </w:r>
    </w:p>
    <w:p>
      <w:pPr>
        <w:spacing w:after="0" w:line="77" w:lineRule="exact"/>
        <w:rPr>
          <w:sz w:val="20"/>
          <w:szCs w:val="20"/>
          <w:color w:val="auto"/>
        </w:rPr>
      </w:pPr>
    </w:p>
    <w:p>
      <w:pPr>
        <w:ind w:left="980" w:right="140" w:firstLine="609"/>
        <w:spacing w:after="0" w:line="255" w:lineRule="auto"/>
        <w:rPr>
          <w:sz w:val="20"/>
          <w:szCs w:val="20"/>
          <w:color w:val="auto"/>
        </w:rPr>
      </w:pPr>
      <w:r>
        <w:rPr>
          <w:rFonts w:ascii="Arial" w:cs="Arial" w:eastAsia="Arial" w:hAnsi="Arial"/>
          <w:sz w:val="19"/>
          <w:szCs w:val="19"/>
          <w:i w:val="1"/>
          <w:iCs w:val="1"/>
          <w:u w:val="single" w:color="auto"/>
          <w:color w:val="auto"/>
        </w:rPr>
        <w:t>LTIP Awards</w:t>
      </w:r>
      <w:r>
        <w:rPr>
          <w:rFonts w:ascii="Arial" w:cs="Arial" w:eastAsia="Arial" w:hAnsi="Arial"/>
          <w:sz w:val="19"/>
          <w:szCs w:val="19"/>
          <w:i w:val="1"/>
          <w:iCs w:val="1"/>
          <w:color w:val="auto"/>
        </w:rPr>
        <w:t xml:space="preserve">. </w:t>
      </w:r>
      <w:r>
        <w:rPr>
          <w:rFonts w:ascii="Arial" w:cs="Arial" w:eastAsia="Arial" w:hAnsi="Arial"/>
          <w:sz w:val="19"/>
          <w:szCs w:val="19"/>
          <w:color w:val="auto"/>
        </w:rPr>
        <w:t>The Corporation’s long-term incentive program (LTIP Awards) consists of (1) granting a mix of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and restricted stock units and (2) basing the amount of the award on the performance of the Corporation. The Committee believes that the mix provides better incentives to executive officers than either options or restricted stock units alone. In addition, a change in the accounting rules beginning in 2006 made stock options less attractive because of their impact on our financial statements. Stock options link the compensation provided to the named executive officers with gains realized by the shareholders and therefore serve to confer on recipients an ownership interest in the Corporation. These awards also assist the Corporation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addition, restricted stock units permit us to issue fewer shares to deliver the same value, thereby reducing potential dilution.</w:t>
      </w:r>
    </w:p>
    <w:p>
      <w:pPr>
        <w:spacing w:after="0" w:line="144"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For each named executive officer, other than the Chief Executive Officer, the Committee derived a target dollar value for this component of compensation based on a review of equity award data in the compensation studies described above and input from Watson Wyatt. The target is increased each year by an amount equal to the average percentage increase in base pay for each level of officer and relevant subjective considerations, such as a promotion or expanded responsibilities. Based on the Corporation’s return on invested capital as compared to the weighted average cost of capital for the preceding fiscal year, the award is granted based on a predetermined percentage of the target in the range of 0-200%. The maximum award (200%) is a stretch goal based on the Committee’s subjective determination that such level of shareholder value created by the Corporation is outstanding, and is achieved when the Corporation’s return on invested capital is at least 6% higher than the weighted average cost of capital, which was achieved in 2008. One-third of the dollar value was then converted to stock options and two-thirds of the dollar value was converted to restricted stock units using the closing price on the date of grant. The Committee selected the Corporation’s return on invested capital as compared to the weighted average cost of capital as the performance criterion for this award because of its view that this is a standard measure of the Corporation’s performance.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85" w:lineRule="exact"/>
        <w:rPr>
          <w:sz w:val="20"/>
          <w:szCs w:val="20"/>
          <w:color w:val="auto"/>
        </w:rPr>
      </w:pPr>
    </w:p>
    <w:p>
      <w:pPr>
        <w:ind w:left="980" w:right="40" w:firstLine="609"/>
        <w:spacing w:after="0" w:line="256" w:lineRule="auto"/>
        <w:rPr>
          <w:sz w:val="20"/>
          <w:szCs w:val="20"/>
          <w:color w:val="auto"/>
        </w:rPr>
      </w:pPr>
      <w:r>
        <w:rPr>
          <w:rFonts w:ascii="Arial" w:cs="Arial" w:eastAsia="Arial" w:hAnsi="Arial"/>
          <w:sz w:val="19"/>
          <w:szCs w:val="19"/>
          <w:color w:val="auto"/>
        </w:rPr>
        <w:t>In 2008, the Committee awarded Mr. Zelnak 45,072 options and 22,536 shares of restricted stock units that are subject to vesting, which the Committee believes will align this portion of Mr. Zelnak’s compensation directly with the Corporation’s performance over the long term. In exercising its discretion for Mr. Zelnak, the Committee generally follows the same procedures as are followed in determining the amount of annual bonus compensation discussed above. The Committee determined the dollar value for this component of Mr. Zelnak’s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w:t>
      </w:r>
    </w:p>
    <w:p>
      <w:pPr>
        <w:spacing w:after="0" w:line="90" w:lineRule="exact"/>
        <w:rPr>
          <w:sz w:val="20"/>
          <w:szCs w:val="20"/>
          <w:color w:val="auto"/>
        </w:rPr>
      </w:pPr>
    </w:p>
    <w:p>
      <w:pPr>
        <w:ind w:left="980" w:right="40" w:firstLine="609"/>
        <w:spacing w:after="0" w:line="272" w:lineRule="auto"/>
        <w:rPr>
          <w:sz w:val="20"/>
          <w:szCs w:val="20"/>
          <w:color w:val="auto"/>
        </w:rPr>
      </w:pPr>
      <w:r>
        <w:rPr>
          <w:rFonts w:ascii="Arial" w:cs="Arial" w:eastAsia="Arial" w:hAnsi="Arial"/>
          <w:sz w:val="18"/>
          <w:szCs w:val="18"/>
          <w:color w:val="auto"/>
        </w:rPr>
        <w:t>The stock options granted in 2008 vest ratably over 4 years and the restricted stock units vest on the fourth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the Corporation.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77"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i w:val="1"/>
          <w:iCs w:val="1"/>
          <w:u w:val="single" w:color="auto"/>
          <w:color w:val="auto"/>
        </w:rPr>
        <w:t>Performance-Based Restricted Stock Unit Awards</w:t>
      </w:r>
      <w:r>
        <w:rPr>
          <w:rFonts w:ascii="Arial" w:cs="Arial" w:eastAsia="Arial" w:hAnsi="Arial"/>
          <w:sz w:val="20"/>
          <w:szCs w:val="20"/>
          <w:i w:val="1"/>
          <w:iCs w:val="1"/>
          <w:color w:val="auto"/>
        </w:rPr>
        <w:t xml:space="preserve">. </w:t>
      </w:r>
      <w:r>
        <w:rPr>
          <w:rFonts w:ascii="Arial" w:cs="Arial" w:eastAsia="Arial" w:hAnsi="Arial"/>
          <w:sz w:val="20"/>
          <w:szCs w:val="20"/>
          <w:color w:val="auto"/>
        </w:rPr>
        <w:t>In 2008, the Committee granted restricted stock unit awards to the</w:t>
      </w:r>
      <w:r>
        <w:rPr>
          <w:rFonts w:ascii="Arial" w:cs="Arial" w:eastAsia="Arial" w:hAnsi="Arial"/>
          <w:sz w:val="20"/>
          <w:szCs w:val="20"/>
          <w:i w:val="1"/>
          <w:iCs w:val="1"/>
          <w:color w:val="auto"/>
        </w:rPr>
        <w:t xml:space="preserve"> </w:t>
      </w:r>
      <w:r>
        <w:rPr>
          <w:rFonts w:ascii="Arial" w:cs="Arial" w:eastAsia="Arial" w:hAnsi="Arial"/>
          <w:sz w:val="20"/>
          <w:szCs w:val="20"/>
          <w:color w:val="auto"/>
        </w:rPr>
        <w:t>named executive officers under the Amended and Restated Stock-Based Award Plan. These awards were in addition to the LTIP awards described in the preceding paragraphs. The Committee makes these awards in addition to the awards described above because these awards incentivize performance relative to other public companies with which the Committee believes the Corporation competes for investors. By contrast, the awards described under the heading LTIP Awards reward the Corporation’s performance without</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1223010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60"/>
        <w:spacing w:after="0" w:line="246" w:lineRule="auto"/>
        <w:rPr>
          <w:sz w:val="20"/>
          <w:szCs w:val="20"/>
          <w:color w:val="auto"/>
        </w:rPr>
      </w:pPr>
      <w:r>
        <w:rPr>
          <w:rFonts w:ascii="Arial" w:cs="Arial" w:eastAsia="Arial" w:hAnsi="Arial"/>
          <w:sz w:val="20"/>
          <w:szCs w:val="20"/>
          <w:color w:val="auto"/>
        </w:rPr>
        <w:t>regard to the performance of other companies. These awards vest three years from the date of grant and require the executives to remain employed for the three-year period for vesting to occur. This approach offers the opportunity for the value of the awards to increase if the value of the Corporation’s common stock increases, thereby further aligning the executive’s interests with those of our shareholders.</w:t>
      </w:r>
    </w:p>
    <w:p>
      <w:pPr>
        <w:spacing w:after="0" w:line="97" w:lineRule="exact"/>
        <w:rPr>
          <w:sz w:val="20"/>
          <w:szCs w:val="20"/>
          <w:color w:val="auto"/>
        </w:rPr>
      </w:pPr>
    </w:p>
    <w:p>
      <w:pPr>
        <w:ind w:left="980" w:firstLine="609"/>
        <w:spacing w:after="0" w:line="306" w:lineRule="auto"/>
        <w:rPr>
          <w:sz w:val="20"/>
          <w:szCs w:val="20"/>
          <w:color w:val="auto"/>
        </w:rPr>
      </w:pPr>
      <w:r>
        <w:rPr>
          <w:rFonts w:ascii="Arial" w:cs="Arial" w:eastAsia="Arial" w:hAnsi="Arial"/>
          <w:sz w:val="16"/>
          <w:szCs w:val="16"/>
          <w:color w:val="auto"/>
        </w:rPr>
        <w:t>The restricted stock unit awards granted in 2008 were based on the Corporation’s performance as measured by its total return on shareholders’ investment that is equally weighted and determined by a total return to shareholders ranking that has a target level of at least the 60th percentile as compared to the Standard and Poor’s index of 400 MidCap companies and to the Standard and Poor’s 1500 Basic Materials Index over the three year period ending on December 31, 2007. No award would have been granted if the Corporation had not met the threshold performance objectives. The target award was based on 40% of each executive officer’s base salary. The executives would have earned 50% of their targeted award if the Corporation achieved the threshold 30th percentile as compared to each of the comparison groups, 100% of their targeted award if the Corporation had achieved the 60th percentile level, and 200% of the targeted award if the Corporation had achieved the 75th percentile level. These percentages were selected because, at the target level, it rewards executives for performance that surpasses the comparison groups of companies. The threshold and stretch goals were determined based on the Committee’s subjective determination that these were appropriate. For the awards granted in 2008, the Corporation had a total return to shareholders of 162.5% over the previous three years that resulted in the achievement by the Corporation of the 93rd percentile of the companies in the Standard and Poor’s index of 400 MidCap companies and the 89th percentile as compared to the Standard and Poor’s 1500 Basic Materials Index. The total award in 2008 based on the Corporation’s performance was 200% of the target.</w:t>
      </w:r>
    </w:p>
    <w:p>
      <w:pPr>
        <w:spacing w:after="0" w:line="286" w:lineRule="exact"/>
        <w:rPr>
          <w:sz w:val="20"/>
          <w:szCs w:val="20"/>
          <w:color w:val="auto"/>
        </w:rPr>
      </w:pPr>
    </w:p>
    <w:p>
      <w:pPr>
        <w:ind w:left="980" w:right="20" w:firstLine="609"/>
        <w:spacing w:after="0" w:line="256" w:lineRule="auto"/>
        <w:rPr>
          <w:sz w:val="20"/>
          <w:szCs w:val="20"/>
          <w:color w:val="auto"/>
        </w:rPr>
      </w:pPr>
      <w:r>
        <w:rPr>
          <w:rFonts w:ascii="Arial" w:cs="Arial" w:eastAsia="Arial" w:hAnsi="Arial"/>
          <w:sz w:val="19"/>
          <w:szCs w:val="19"/>
          <w:i w:val="1"/>
          <w:iCs w:val="1"/>
          <w:u w:val="single" w:color="auto"/>
          <w:color w:val="auto"/>
        </w:rPr>
        <w:t>Succession Planning Restricted Stock Unit Awards</w:t>
      </w:r>
      <w:r>
        <w:rPr>
          <w:rFonts w:ascii="Arial" w:cs="Arial" w:eastAsia="Arial" w:hAnsi="Arial"/>
          <w:sz w:val="19"/>
          <w:szCs w:val="19"/>
          <w:i w:val="1"/>
          <w:iCs w:val="1"/>
          <w:color w:val="auto"/>
        </w:rPr>
        <w:t xml:space="preserve">. </w:t>
      </w:r>
      <w:r>
        <w:rPr>
          <w:rFonts w:ascii="Arial" w:cs="Arial" w:eastAsia="Arial" w:hAnsi="Arial"/>
          <w:sz w:val="19"/>
          <w:szCs w:val="19"/>
          <w:color w:val="auto"/>
        </w:rPr>
        <w:t>In 2003, the Committee granted restricted stock unit awards to a</w:t>
      </w:r>
      <w:r>
        <w:rPr>
          <w:rFonts w:ascii="Arial" w:cs="Arial" w:eastAsia="Arial" w:hAnsi="Arial"/>
          <w:sz w:val="19"/>
          <w:szCs w:val="19"/>
          <w:i w:val="1"/>
          <w:iCs w:val="1"/>
          <w:color w:val="auto"/>
        </w:rPr>
        <w:t xml:space="preserve"> </w:t>
      </w:r>
      <w:r>
        <w:rPr>
          <w:rFonts w:ascii="Arial" w:cs="Arial" w:eastAsia="Arial" w:hAnsi="Arial"/>
          <w:sz w:val="19"/>
          <w:szCs w:val="19"/>
          <w:color w:val="auto"/>
        </w:rPr>
        <w:t>group of five executive officers and to the Chief Executive Officer, then ranging in age from 55 to 58, in connection with executive succession planning for the Corporation. The purpose of these awards was to provide an additional level of retention compensation to certain highly-valued executive officers. The nature and size of the awards were determined based on a variety of factors, including the advice of Watson Wyatt as to the type and level of award that would be effective in retaining the executives for the desired period of time. The Committee considers these awards to serve a specific purpose and did not adjust the level of other equity awards granted to these individuals because of these awards. The awards vest when each executive officer reaches age 62 if employed with the Corporation at that time and for the Chief Executive Officer, after six years of continued employment with the Corporation.</w:t>
      </w:r>
    </w:p>
    <w:p>
      <w:pPr>
        <w:spacing w:after="0" w:line="90" w:lineRule="exact"/>
        <w:rPr>
          <w:sz w:val="20"/>
          <w:szCs w:val="20"/>
          <w:color w:val="auto"/>
        </w:rPr>
      </w:pPr>
    </w:p>
    <w:p>
      <w:pPr>
        <w:ind w:left="980" w:right="20" w:firstLine="609"/>
        <w:spacing w:after="0" w:line="260" w:lineRule="auto"/>
        <w:rPr>
          <w:sz w:val="20"/>
          <w:szCs w:val="20"/>
          <w:color w:val="auto"/>
        </w:rPr>
      </w:pPr>
      <w:r>
        <w:rPr>
          <w:rFonts w:ascii="Arial" w:cs="Arial" w:eastAsia="Arial" w:hAnsi="Arial"/>
          <w:sz w:val="19"/>
          <w:szCs w:val="19"/>
          <w:color w:val="auto"/>
        </w:rPr>
        <w:t>These awards are reflected in the “Stock Awards” column of our Summary Compensation Table, with the amount included in that column for each executive officer who received them being the ratable portion of the value of the award over the vesting period. Because the vesting period is shorter for the older recipients of these awards, the corresponding amount reflected in the table for those executives is greater than that reflected for younger executives who received the same number of restricted stock units due to the shorter effective vesting period.</w:t>
      </w:r>
    </w:p>
    <w:p>
      <w:pPr>
        <w:spacing w:after="0" w:line="86" w:lineRule="exact"/>
        <w:rPr>
          <w:sz w:val="20"/>
          <w:szCs w:val="20"/>
          <w:color w:val="auto"/>
        </w:rPr>
      </w:pPr>
    </w:p>
    <w:p>
      <w:pPr>
        <w:ind w:left="980" w:firstLine="609"/>
        <w:spacing w:after="0" w:line="273" w:lineRule="auto"/>
        <w:rPr>
          <w:sz w:val="20"/>
          <w:szCs w:val="20"/>
          <w:color w:val="auto"/>
        </w:rPr>
      </w:pPr>
      <w:r>
        <w:rPr>
          <w:rFonts w:ascii="Arial" w:cs="Arial" w:eastAsia="Arial" w:hAnsi="Arial"/>
          <w:sz w:val="18"/>
          <w:szCs w:val="18"/>
          <w:i w:val="1"/>
          <w:iCs w:val="1"/>
          <w:u w:val="single" w:color="auto"/>
          <w:color w:val="auto"/>
        </w:rPr>
        <w:t>Stock-Based Awards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stock purchase awards under our Incentive Stock Plan and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awards are granted at the Committee’s regularly scheduled meetings in February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and restricted stock units are awarded at the New York Stock Exchange closing price of the Corporation’s common stock on the date of the grant. The Committee has never granted stock options with an exercise price that is less than the closing price of the Corporation’s common stock on the grant date nor has it granted options that are priced on a</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1223010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580"/>
        <w:spacing w:after="0" w:line="378" w:lineRule="auto"/>
        <w:rPr>
          <w:sz w:val="20"/>
          <w:szCs w:val="20"/>
          <w:color w:val="auto"/>
        </w:rPr>
      </w:pPr>
      <w:r>
        <w:rPr>
          <w:rFonts w:ascii="Arial" w:cs="Arial" w:eastAsia="Arial" w:hAnsi="Arial"/>
          <w:sz w:val="16"/>
          <w:szCs w:val="16"/>
          <w:color w:val="auto"/>
        </w:rPr>
        <w:t>date other than the date the Committee took action to make such grants. The Committee’s schedule is determined several months in advance and the proximity of any awards to earnings announcements or other market events is coincidental.</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All of the Corporation’s equity-based award plans have been approved by shareholders.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Ownership Guidelines</w:t>
      </w:r>
    </w:p>
    <w:p>
      <w:pPr>
        <w:spacing w:after="0" w:line="121" w:lineRule="exact"/>
        <w:rPr>
          <w:sz w:val="20"/>
          <w:szCs w:val="20"/>
          <w:color w:val="auto"/>
        </w:rPr>
      </w:pPr>
    </w:p>
    <w:p>
      <w:pPr>
        <w:ind w:left="980" w:right="100" w:firstLine="609"/>
        <w:spacing w:after="0" w:line="257" w:lineRule="auto"/>
        <w:rPr>
          <w:sz w:val="20"/>
          <w:szCs w:val="20"/>
          <w:color w:val="auto"/>
        </w:rPr>
      </w:pPr>
      <w:r>
        <w:rPr>
          <w:rFonts w:ascii="Arial" w:cs="Arial" w:eastAsia="Arial" w:hAnsi="Arial"/>
          <w:sz w:val="19"/>
          <w:szCs w:val="19"/>
          <w:color w:val="auto"/>
        </w:rPr>
        <w:t>The Corporation does not have formal minimum ownership guidelines for the named executive officers but, as noted above, it does generally require that executive officers, other than the Chief Executive Officer, invest a minimum of 20%, and that the Chief Executive Officer invest a minimum of 35%, of each year’s cash bonus award in common stock units of the Corporation through the Incentive Stock Plan, which awards vest generally after three years of additional employment with the Corporation. In addition, a significant portion of the executive compensation program is in the form of equity awards that vest over various periods. There is no required holding period beyond the vesting period. The Committee believes that the equity components of the compensation program appropriately align the interests of executive officers with the interests of our shareholders, as more fully described above.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Perquisites</w:t>
      </w:r>
    </w:p>
    <w:p>
      <w:pPr>
        <w:spacing w:after="0" w:line="121" w:lineRule="exact"/>
        <w:rPr>
          <w:sz w:val="20"/>
          <w:szCs w:val="20"/>
          <w:color w:val="auto"/>
        </w:rPr>
      </w:pPr>
    </w:p>
    <w:p>
      <w:pPr>
        <w:ind w:left="980" w:right="180" w:firstLine="609"/>
        <w:spacing w:after="0" w:line="244" w:lineRule="auto"/>
        <w:rPr>
          <w:sz w:val="20"/>
          <w:szCs w:val="20"/>
          <w:color w:val="auto"/>
        </w:rPr>
      </w:pPr>
      <w:r>
        <w:rPr>
          <w:rFonts w:ascii="Arial" w:cs="Arial" w:eastAsia="Arial" w:hAnsi="Arial"/>
          <w:sz w:val="20"/>
          <w:szCs w:val="20"/>
          <w:color w:val="auto"/>
        </w:rPr>
        <w:t>The Corporation provides named executive officers with perquisites that the Committee believes are appropriate, reasonable and consistent with its overall compensation program to better enable the Corporation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00" w:lineRule="exact"/>
        <w:rPr>
          <w:sz w:val="20"/>
          <w:szCs w:val="20"/>
          <w:color w:val="auto"/>
        </w:rPr>
      </w:pPr>
    </w:p>
    <w:p>
      <w:pPr>
        <w:ind w:left="980" w:right="120" w:firstLine="609"/>
        <w:spacing w:after="0" w:line="244" w:lineRule="auto"/>
        <w:rPr>
          <w:sz w:val="20"/>
          <w:szCs w:val="20"/>
          <w:color w:val="auto"/>
        </w:rPr>
      </w:pPr>
      <w:r>
        <w:rPr>
          <w:rFonts w:ascii="Arial" w:cs="Arial" w:eastAsia="Arial" w:hAnsi="Arial"/>
          <w:sz w:val="20"/>
          <w:szCs w:val="20"/>
          <w:color w:val="auto"/>
        </w:rPr>
        <w:t>The perquisites provided in 2008 to the named executive officers included personal use of leased automobiles and, for some executive officers, personal use of the Corporation’s plane and personal use of country club or dinner club memberships. The Corporation also provides to executive officers and other employees certain other fringe benefits such as tuition reimbursement, airline club dues, professional society dues, and food and recreational fees incidental to official company functions.</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Retirement and Other Benefits</w:t>
      </w:r>
    </w:p>
    <w:p>
      <w:pPr>
        <w:spacing w:after="0" w:line="121"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the Corporation for longer periods, thereby furthering the Corporation’s objectives of retaining individuals with more expertise in relevant areas and who can participate in management development for purposes of executive succession planning. All of the Corporation’s salaried employees are eligible to participate in the following retirement and other plans. The named executive officers participate in the plans on the same terms as the Corporation’s other salaried employees. Additional information regarding these benefits is under the heading Pension Benefit Table below and the accompanying narrative.</w:t>
      </w:r>
    </w:p>
    <w:p>
      <w:pPr>
        <w:spacing w:after="0" w:line="87" w:lineRule="exact"/>
        <w:rPr>
          <w:sz w:val="20"/>
          <w:szCs w:val="20"/>
          <w:color w:val="auto"/>
        </w:rPr>
      </w:pPr>
    </w:p>
    <w:p>
      <w:pPr>
        <w:ind w:left="980" w:right="200" w:firstLine="609"/>
        <w:spacing w:after="0" w:line="260" w:lineRule="auto"/>
        <w:rPr>
          <w:sz w:val="20"/>
          <w:szCs w:val="20"/>
          <w:color w:val="auto"/>
        </w:rPr>
      </w:pPr>
      <w:r>
        <w:rPr>
          <w:rFonts w:ascii="Arial" w:cs="Arial" w:eastAsia="Arial" w:hAnsi="Arial"/>
          <w:sz w:val="19"/>
          <w:szCs w:val="19"/>
          <w:i w:val="1"/>
          <w:iCs w:val="1"/>
          <w:u w:val="single" w:color="auto"/>
          <w:color w:val="auto"/>
        </w:rPr>
        <w:t>Pension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We have a defined benefit pension plan under which full-time salaried employees of the 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who have completed five continuous years of employment with the Corporation,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w:t>
      </w:r>
    </w:p>
    <w:p>
      <w:pPr>
        <w:spacing w:after="0" w:line="18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1068705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rPr>
          <w:sz w:val="20"/>
          <w:szCs w:val="20"/>
          <w:color w:val="auto"/>
        </w:rPr>
      </w:pPr>
      <w:r>
        <w:rPr>
          <w:rFonts w:ascii="Arial" w:cs="Arial" w:eastAsia="Arial" w:hAnsi="Arial"/>
          <w:sz w:val="16"/>
          <w:szCs w:val="16"/>
          <w:color w:val="auto"/>
          <w:highlight w:val="white"/>
        </w:rPr>
        <w:t>last ten years before retirement, less an offset for social security. The amount is equal to the sum of (A) plus (B) plus (C) below:</w:t>
      </w:r>
    </w:p>
    <w:p>
      <w:pPr>
        <w:spacing w:after="0" w:line="167" w:lineRule="exact"/>
        <w:rPr>
          <w:sz w:val="20"/>
          <w:szCs w:val="20"/>
          <w:color w:val="auto"/>
        </w:rPr>
      </w:pPr>
    </w:p>
    <w:p>
      <w:pPr>
        <w:ind w:left="2100" w:right="180" w:hanging="508"/>
        <w:spacing w:after="0" w:line="260" w:lineRule="auto"/>
        <w:tabs>
          <w:tab w:leader="none" w:pos="2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1.165% of the participant’s final average eligible pay up to social security covered compensation, multiplied by the participant’s credited years of service up to 35 years;</w:t>
      </w:r>
    </w:p>
    <w:p>
      <w:pPr>
        <w:spacing w:after="0" w:line="82" w:lineRule="exact"/>
        <w:rPr>
          <w:rFonts w:ascii="Arial" w:cs="Arial" w:eastAsia="Arial" w:hAnsi="Arial"/>
          <w:sz w:val="20"/>
          <w:szCs w:val="20"/>
          <w:color w:val="auto"/>
        </w:rPr>
      </w:pPr>
    </w:p>
    <w:p>
      <w:pPr>
        <w:ind w:left="2100" w:hanging="508"/>
        <w:spacing w:after="0" w:line="260" w:lineRule="auto"/>
        <w:tabs>
          <w:tab w:leader="none" w:pos="2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1.50% of the participant’s final average eligible pay in excess of social security covered compensation, multiplied by the participant’s credited years of service up to 35 years;</w:t>
      </w:r>
    </w:p>
    <w:p>
      <w:pPr>
        <w:spacing w:after="0" w:line="68" w:lineRule="exact"/>
        <w:rPr>
          <w:rFonts w:ascii="Arial" w:cs="Arial" w:eastAsia="Arial" w:hAnsi="Arial"/>
          <w:sz w:val="20"/>
          <w:szCs w:val="20"/>
          <w:color w:val="auto"/>
        </w:rPr>
      </w:pPr>
    </w:p>
    <w:p>
      <w:pPr>
        <w:ind w:left="2100" w:right="300" w:hanging="508"/>
        <w:spacing w:after="0" w:line="260" w:lineRule="auto"/>
        <w:tabs>
          <w:tab w:leader="none" w:pos="2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1.50% of the participant’s final average eligible pay multiplied by the participant’s credited years of service in excess of 35 years.</w:t>
      </w:r>
    </w:p>
    <w:p>
      <w:pPr>
        <w:spacing w:after="0" w:line="82" w:lineRule="exact"/>
        <w:rPr>
          <w:sz w:val="20"/>
          <w:szCs w:val="20"/>
          <w:color w:val="auto"/>
        </w:rPr>
      </w:pPr>
    </w:p>
    <w:p>
      <w:pPr>
        <w:ind w:left="980" w:right="80" w:firstLine="609"/>
        <w:spacing w:after="0" w:line="244" w:lineRule="auto"/>
        <w:rPr>
          <w:sz w:val="20"/>
          <w:szCs w:val="20"/>
          <w:color w:val="auto"/>
        </w:rPr>
      </w:pPr>
      <w:r>
        <w:rPr>
          <w:rFonts w:ascii="Arial" w:cs="Arial" w:eastAsia="Arial" w:hAnsi="Arial"/>
          <w:sz w:val="20"/>
          <w:szCs w:val="20"/>
          <w:i w:val="1"/>
          <w:iCs w:val="1"/>
          <w:u w:val="single" w:color="auto"/>
          <w:color w:val="auto"/>
        </w:rPr>
        <w:t>Supplemental Excess Retirement Plan</w:t>
      </w:r>
      <w:r>
        <w:rPr>
          <w:rFonts w:ascii="Arial" w:cs="Arial" w:eastAsia="Arial" w:hAnsi="Arial"/>
          <w:sz w:val="20"/>
          <w:szCs w:val="20"/>
          <w:i w:val="1"/>
          <w:iCs w:val="1"/>
          <w:color w:val="auto"/>
        </w:rPr>
        <w:t xml:space="preserve">. </w:t>
      </w:r>
      <w:r>
        <w:rPr>
          <w:rFonts w:ascii="Arial" w:cs="Arial" w:eastAsia="Arial" w:hAnsi="Arial"/>
          <w:sz w:val="20"/>
          <w:szCs w:val="20"/>
          <w:color w:val="auto"/>
        </w:rPr>
        <w:t>We also have a nonqualified restoration plan that covers any employee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defined benefit pension plan, including the named executive officers, who are highly compensated and whose qualified plan benefit is reduced by Internal Revenue Code benefit and pay limits in Sections 415(b) and 401(a)(17). The plan is based on the same formula as the qualified Pension Plan described above. Benefits under our nonqualified plan are paid from our general assets.</w:t>
      </w:r>
    </w:p>
    <w:p>
      <w:pPr>
        <w:spacing w:after="0" w:line="100" w:lineRule="exact"/>
        <w:rPr>
          <w:sz w:val="20"/>
          <w:szCs w:val="20"/>
          <w:color w:val="auto"/>
        </w:rPr>
      </w:pPr>
    </w:p>
    <w:p>
      <w:pPr>
        <w:ind w:left="980" w:right="140" w:firstLine="609"/>
        <w:spacing w:after="0" w:line="278" w:lineRule="auto"/>
        <w:rPr>
          <w:sz w:val="20"/>
          <w:szCs w:val="20"/>
          <w:color w:val="auto"/>
        </w:rPr>
      </w:pPr>
      <w:r>
        <w:rPr>
          <w:rFonts w:ascii="Arial" w:cs="Arial" w:eastAsia="Arial" w:hAnsi="Arial"/>
          <w:sz w:val="18"/>
          <w:szCs w:val="18"/>
          <w:i w:val="1"/>
          <w:iCs w:val="1"/>
          <w:u w:val="single" w:color="auto"/>
          <w:color w:val="auto"/>
        </w:rPr>
        <w:t>Performance Sharing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Sharing Plan is a tax-qualified defined contribution retirement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which all salaried employees, including the named executive officers, are eligible to contribute up to the limit prescribed by the Internal Revenue Service on a before-tax basis and up to an additional 10% on an after-tax basis. We match 50% of the first 7% of pay that is contributed by employees to the Performance Sharing Plan up to Internal Revenue Service limitations. All contributions as well as any matching contributions are fully vested upon contribution.</w:t>
      </w:r>
    </w:p>
    <w:p>
      <w:pPr>
        <w:spacing w:after="0" w:line="71" w:lineRule="exact"/>
        <w:rPr>
          <w:sz w:val="20"/>
          <w:szCs w:val="20"/>
          <w:color w:val="auto"/>
        </w:rPr>
      </w:pPr>
    </w:p>
    <w:p>
      <w:pPr>
        <w:ind w:left="980" w:firstLine="609"/>
        <w:spacing w:after="0" w:line="260" w:lineRule="auto"/>
        <w:rPr>
          <w:sz w:val="20"/>
          <w:szCs w:val="20"/>
          <w:color w:val="auto"/>
        </w:rPr>
      </w:pPr>
      <w:r>
        <w:rPr>
          <w:rFonts w:ascii="Arial" w:cs="Arial" w:eastAsia="Arial" w:hAnsi="Arial"/>
          <w:sz w:val="19"/>
          <w:szCs w:val="19"/>
          <w:i w:val="1"/>
          <w:iCs w:val="1"/>
          <w:u w:val="single" w:color="auto"/>
          <w:color w:val="auto"/>
        </w:rPr>
        <w:t>Retiree Medical</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who commenced employment with the Corporation prior to December 1, 1999 and who</w:t>
      </w:r>
      <w:r>
        <w:rPr>
          <w:rFonts w:ascii="Arial" w:cs="Arial" w:eastAsia="Arial" w:hAnsi="Arial"/>
          <w:sz w:val="19"/>
          <w:szCs w:val="19"/>
          <w:i w:val="1"/>
          <w:iCs w:val="1"/>
          <w:color w:val="auto"/>
        </w:rPr>
        <w:t xml:space="preserve"> </w:t>
      </w:r>
      <w:r>
        <w:rPr>
          <w:rFonts w:ascii="Arial" w:cs="Arial" w:eastAsia="Arial" w:hAnsi="Arial"/>
          <w:sz w:val="19"/>
          <w:szCs w:val="19"/>
          <w:color w:val="auto"/>
        </w:rPr>
        <w:t>retire with at least 5 years of service are currently eligible for retiree medical benefits for life. Employees who commenced employment with the Corporation between December 1, 1999 and December 31, 2001 and who retire with at least 15 years of service are currently eligible for retiree medical benefits until age 65. Employees share the cost of retiree medical based on their years of service and a predetermined cap on total payments by the Corporation.</w:t>
      </w:r>
    </w:p>
    <w:p>
      <w:pPr>
        <w:spacing w:after="0" w:line="86" w:lineRule="exact"/>
        <w:rPr>
          <w:sz w:val="20"/>
          <w:szCs w:val="20"/>
          <w:color w:val="auto"/>
        </w:rPr>
      </w:pPr>
    </w:p>
    <w:p>
      <w:pPr>
        <w:ind w:left="980" w:right="260" w:firstLine="609"/>
        <w:spacing w:after="0" w:line="246" w:lineRule="auto"/>
        <w:rPr>
          <w:sz w:val="20"/>
          <w:szCs w:val="20"/>
          <w:color w:val="auto"/>
        </w:rPr>
      </w:pPr>
      <w:r>
        <w:rPr>
          <w:rFonts w:ascii="Arial" w:cs="Arial" w:eastAsia="Arial" w:hAnsi="Arial"/>
          <w:sz w:val="20"/>
          <w:szCs w:val="20"/>
          <w:i w:val="1"/>
          <w:iCs w:val="1"/>
          <w:u w:val="single" w:color="auto"/>
          <w:color w:val="auto"/>
        </w:rPr>
        <w:t>Medical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an opportunity to all of its salaried employees and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immediate family to select health, dental and vision insurance coverage. The Corporation pays a portion of the premiums for this insurance for all employees. All employees, including the named executive officers, pay a portion of the premiums depending on the coverage they choose.</w:t>
      </w:r>
    </w:p>
    <w:p>
      <w:pPr>
        <w:spacing w:after="0" w:line="97" w:lineRule="exact"/>
        <w:rPr>
          <w:sz w:val="20"/>
          <w:szCs w:val="20"/>
          <w:color w:val="auto"/>
        </w:rPr>
      </w:pPr>
    </w:p>
    <w:p>
      <w:pPr>
        <w:ind w:left="980" w:right="20" w:firstLine="609"/>
        <w:spacing w:after="0" w:line="250" w:lineRule="auto"/>
        <w:rPr>
          <w:sz w:val="20"/>
          <w:szCs w:val="20"/>
          <w:color w:val="auto"/>
        </w:rPr>
      </w:pPr>
      <w:r>
        <w:rPr>
          <w:rFonts w:ascii="Arial" w:cs="Arial" w:eastAsia="Arial" w:hAnsi="Arial"/>
          <w:sz w:val="20"/>
          <w:szCs w:val="20"/>
          <w:i w:val="1"/>
          <w:iCs w:val="1"/>
          <w:u w:val="single" w:color="auto"/>
          <w:color w:val="auto"/>
        </w:rPr>
        <w:t>Life and Disability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to all of its salaried employees, including the named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certain disability and/or life insurance. All employees, including the named executive officers, pay a portion of the premiums depending on the coverage they choose.</w:t>
      </w:r>
    </w:p>
    <w:p>
      <w:pPr>
        <w:spacing w:after="0" w:line="92" w:lineRule="exact"/>
        <w:rPr>
          <w:sz w:val="20"/>
          <w:szCs w:val="20"/>
          <w:color w:val="auto"/>
        </w:rPr>
      </w:pPr>
    </w:p>
    <w:p>
      <w:pPr>
        <w:jc w:val="both"/>
        <w:ind w:left="980" w:right="820" w:firstLine="609"/>
        <w:spacing w:after="0" w:line="316" w:lineRule="auto"/>
        <w:rPr>
          <w:sz w:val="20"/>
          <w:szCs w:val="20"/>
          <w:color w:val="auto"/>
        </w:rPr>
      </w:pPr>
      <w:r>
        <w:rPr>
          <w:rFonts w:ascii="Arial" w:cs="Arial" w:eastAsia="Arial" w:hAnsi="Arial"/>
          <w:sz w:val="18"/>
          <w:szCs w:val="18"/>
          <w:i w:val="1"/>
          <w:iCs w:val="1"/>
          <w:u w:val="single" w:color="auto"/>
          <w:color w:val="auto"/>
        </w:rPr>
        <w:t>Housing Allowance and Relocation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provides relocation benefits, including a housing</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to certain employees upon their employment with the Corporation or in conjunction with a job promotion.</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The Corporation has entered into an Employment Protection Agreement with each of the named executive officers that provides for certain payments and benefits upon a change of control. The Corporation’s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40"/>
        <w:spacing w:after="0" w:line="250" w:lineRule="auto"/>
        <w:rPr>
          <w:sz w:val="20"/>
          <w:szCs w:val="20"/>
          <w:color w:val="auto"/>
        </w:rPr>
      </w:pPr>
      <w:r>
        <w:rPr>
          <w:rFonts w:ascii="Arial" w:cs="Arial" w:eastAsia="Arial" w:hAnsi="Arial"/>
          <w:sz w:val="20"/>
          <w:szCs w:val="20"/>
          <w:color w:val="auto"/>
        </w:rPr>
        <w:t>otherwise be in the best interests of our shareholders. There are no employment agreements with any employees of the Corporation, including the named executive officers. The Employment Protection Agreement is described on pages 42-43 of this Proxy Statement.</w:t>
      </w:r>
    </w:p>
    <w:p>
      <w:pPr>
        <w:spacing w:after="0" w:line="92" w:lineRule="exact"/>
        <w:rPr>
          <w:sz w:val="20"/>
          <w:szCs w:val="20"/>
          <w:color w:val="auto"/>
        </w:rPr>
      </w:pPr>
    </w:p>
    <w:p>
      <w:pPr>
        <w:ind w:left="980" w:right="60" w:firstLine="609"/>
        <w:spacing w:after="0" w:line="246" w:lineRule="auto"/>
        <w:rPr>
          <w:sz w:val="20"/>
          <w:szCs w:val="20"/>
          <w:color w:val="auto"/>
        </w:rPr>
      </w:pPr>
      <w:r>
        <w:rPr>
          <w:rFonts w:ascii="Arial" w:cs="Arial" w:eastAsia="Arial" w:hAnsi="Arial"/>
          <w:sz w:val="20"/>
          <w:szCs w:val="20"/>
          <w:color w:val="auto"/>
        </w:rPr>
        <w:t>In addition, the Corporation’s Amended and Restated Stock-Based Award Plan, pursuant to which equity-based awards are made to the executive officers, provides that upon the occurrence of a change of control of the Corporation as provided in the Employment Protection Agreements, all time periods for purposes of vesting in, or realizing gain from, any outstanding award under the plan will automatically accelerate.</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Tax and Accounting Implications</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Section 162(m) of the Internal Revenue Code of 1986 makes certain compensation to the named executives in excess of $1 million non-deductible to the Corporation unless it is based on objectively determined performance criteria pursuant to a plan approved by shareholders. Two of the named executive officers received annual compensation exceeding $1 million in 2008 that is not deductible pursuant to Section 162(m).</w:t>
      </w:r>
    </w:p>
    <w:p>
      <w:pPr>
        <w:spacing w:after="0" w:line="97" w:lineRule="exact"/>
        <w:rPr>
          <w:sz w:val="20"/>
          <w:szCs w:val="20"/>
          <w:color w:val="auto"/>
        </w:rPr>
      </w:pPr>
    </w:p>
    <w:p>
      <w:pPr>
        <w:ind w:left="980" w:right="80" w:firstLine="609"/>
        <w:spacing w:after="0" w:line="316"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46" w:lineRule="exact"/>
        <w:rPr>
          <w:sz w:val="20"/>
          <w:szCs w:val="20"/>
          <w:color w:val="auto"/>
        </w:rPr>
      </w:pPr>
    </w:p>
    <w:p>
      <w:pPr>
        <w:ind w:left="980" w:right="100" w:firstLine="609"/>
        <w:spacing w:after="0" w:line="282" w:lineRule="auto"/>
        <w:rPr>
          <w:sz w:val="20"/>
          <w:szCs w:val="20"/>
          <w:color w:val="auto"/>
        </w:rPr>
      </w:pPr>
      <w:r>
        <w:rPr>
          <w:rFonts w:ascii="Arial" w:cs="Arial" w:eastAsia="Arial" w:hAnsi="Arial"/>
          <w:sz w:val="18"/>
          <w:szCs w:val="18"/>
          <w:color w:val="auto"/>
        </w:rPr>
        <w:t>As noted above, the Corporation has moved from using only stock options as its long-term equity compensation component to a mix of options and restricted stock units. This was in part due to the change in accounting procedures required by FAS 123(R) beginning in 2006. As a result of this change, which provided that options would be accounted for on an equal footing with restricted stock units, restricted stock units became a more viable component of compensation.</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3701415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MANAGEMENT DEVELOPMENT AND COMPENSATION COMMITTEE REPORT</w:t>
      </w:r>
    </w:p>
    <w:p>
      <w:pPr>
        <w:spacing w:after="0" w:line="127" w:lineRule="exact"/>
        <w:rPr>
          <w:sz w:val="20"/>
          <w:szCs w:val="20"/>
          <w:color w:val="auto"/>
        </w:rPr>
      </w:pPr>
    </w:p>
    <w:p>
      <w:pPr>
        <w:ind w:left="980" w:right="80" w:firstLine="609"/>
        <w:spacing w:after="0" w:line="282"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22 of this proxy statement. Based on this review and discussion, the Management Development and Compensation Committee recommended to the Board of Directors that the Compensation Discussion and Analysis be included in the Corporation’s Annual Report on Form 10-K and this Proxy Statement.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February 17, 2009</w:t>
      </w:r>
    </w:p>
    <w:p>
      <w:pPr>
        <w:spacing w:after="0" w:line="115"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MANAGEMENT DEVELOPMENT AND</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COMPENSATION COMMITTEE</w:t>
      </w:r>
    </w:p>
    <w:p>
      <w:pPr>
        <w:spacing w:after="0" w:line="10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 xml:space="preserve">William E. McDonald, </w:t>
      </w:r>
      <w:r>
        <w:rPr>
          <w:rFonts w:ascii="Arial" w:cs="Arial" w:eastAsia="Arial" w:hAnsi="Arial"/>
          <w:sz w:val="20"/>
          <w:szCs w:val="20"/>
          <w:i w:val="1"/>
          <w:iCs w:val="1"/>
          <w:color w:val="auto"/>
        </w:rPr>
        <w:t>Chair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Sue W. Cole</w:t>
      </w:r>
    </w:p>
    <w:p>
      <w:pPr>
        <w:ind w:left="5940"/>
        <w:spacing w:after="0"/>
        <w:rPr>
          <w:sz w:val="20"/>
          <w:szCs w:val="20"/>
          <w:color w:val="auto"/>
        </w:rPr>
      </w:pPr>
      <w:r>
        <w:rPr>
          <w:rFonts w:ascii="Arial" w:cs="Arial" w:eastAsia="Arial" w:hAnsi="Arial"/>
          <w:sz w:val="20"/>
          <w:szCs w:val="20"/>
          <w:color w:val="auto"/>
        </w:rPr>
        <w:t>Frank H. Menaker, Jr.</w:t>
      </w:r>
    </w:p>
    <w:p>
      <w:pPr>
        <w:spacing w:after="0" w:line="315"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COMPENSATION COMMITTEE INTERLOCKS AND INSIDER</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PARTICIPATION IN COMPENSATION DECISIONS</w:t>
      </w:r>
    </w:p>
    <w:p>
      <w:pPr>
        <w:spacing w:after="0" w:line="105" w:lineRule="exact"/>
        <w:rPr>
          <w:sz w:val="20"/>
          <w:szCs w:val="20"/>
          <w:color w:val="auto"/>
        </w:rPr>
      </w:pPr>
    </w:p>
    <w:p>
      <w:pPr>
        <w:ind w:left="980" w:right="80" w:firstLine="609"/>
        <w:spacing w:after="0" w:line="282" w:lineRule="auto"/>
        <w:rPr>
          <w:sz w:val="20"/>
          <w:szCs w:val="20"/>
          <w:color w:val="auto"/>
        </w:rPr>
      </w:pPr>
      <w:r>
        <w:rPr>
          <w:rFonts w:ascii="Arial" w:cs="Arial" w:eastAsia="Arial" w:hAnsi="Arial"/>
          <w:sz w:val="18"/>
          <w:szCs w:val="18"/>
          <w:color w:val="auto"/>
        </w:rPr>
        <w:t>The members of the Corporation’s Management Development and Compensation Committee are Directors McDonald, Cole, and Menaker,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277"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Executive Officer Compensation</w:t>
      </w:r>
    </w:p>
    <w:p>
      <w:pPr>
        <w:spacing w:after="0" w:line="121" w:lineRule="exact"/>
        <w:rPr>
          <w:sz w:val="20"/>
          <w:szCs w:val="20"/>
          <w:color w:val="auto"/>
        </w:rPr>
      </w:pPr>
    </w:p>
    <w:p>
      <w:pPr>
        <w:ind w:left="980" w:right="40" w:firstLine="609"/>
        <w:spacing w:after="0" w:line="274" w:lineRule="auto"/>
        <w:rPr>
          <w:sz w:val="20"/>
          <w:szCs w:val="20"/>
          <w:color w:val="auto"/>
        </w:rPr>
      </w:pPr>
      <w:r>
        <w:rPr>
          <w:rFonts w:ascii="Arial" w:cs="Arial" w:eastAsia="Arial" w:hAnsi="Arial"/>
          <w:sz w:val="18"/>
          <w:szCs w:val="18"/>
          <w:color w:val="auto"/>
        </w:rPr>
        <w:t xml:space="preserve">The following tables show annual and long-term compensation earned by the Chief Executive Officer, the Chief Financial Officer and the next three most highly compensated executive officers for the year ended December 31, 2008 for services in all capacities to the Corporation. Other than compensation paid by the Corporation as set forth below, no annual or long-term compensation of any kind was paid to the Chief Executive Officer or other named executive officers of the Corporation in the year ended December 31, 2008. These tables and the accompanying narratives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which provides a detailed overview of the methods used by the Corporation to compensate its officers, including the named executive officers.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Summary Compensation Table</w:t>
      </w:r>
    </w:p>
    <w:p>
      <w:pPr>
        <w:spacing w:after="0" w:line="121" w:lineRule="exact"/>
        <w:rPr>
          <w:sz w:val="20"/>
          <w:szCs w:val="20"/>
          <w:color w:val="auto"/>
        </w:rPr>
      </w:pPr>
    </w:p>
    <w:p>
      <w:pPr>
        <w:ind w:left="980" w:firstLine="609"/>
        <w:spacing w:after="0" w:line="250" w:lineRule="auto"/>
        <w:rPr>
          <w:sz w:val="20"/>
          <w:szCs w:val="20"/>
          <w:color w:val="auto"/>
        </w:rPr>
      </w:pPr>
      <w:r>
        <w:rPr>
          <w:rFonts w:ascii="Arial" w:cs="Arial" w:eastAsia="Arial" w:hAnsi="Arial"/>
          <w:sz w:val="20"/>
          <w:szCs w:val="20"/>
          <w:color w:val="auto"/>
        </w:rPr>
        <w:t>The table below summarizes the total compensation paid or earned by each of the named executive officers for the fiscal year ended December 31, 2008. The Corporation has not entered into any employment agreements with any of the named executive officers.</w:t>
      </w:r>
    </w:p>
    <w:p>
      <w:pPr>
        <w:spacing w:after="0" w:line="92" w:lineRule="exact"/>
        <w:rPr>
          <w:sz w:val="20"/>
          <w:szCs w:val="20"/>
          <w:color w:val="auto"/>
        </w:rPr>
      </w:pPr>
    </w:p>
    <w:p>
      <w:pPr>
        <w:ind w:left="980" w:firstLine="609"/>
        <w:spacing w:after="0" w:line="259" w:lineRule="auto"/>
        <w:rPr>
          <w:sz w:val="20"/>
          <w:szCs w:val="20"/>
          <w:color w:val="auto"/>
        </w:rPr>
      </w:pPr>
      <w:r>
        <w:rPr>
          <w:rFonts w:ascii="Arial" w:cs="Arial" w:eastAsia="Arial" w:hAnsi="Arial"/>
          <w:sz w:val="19"/>
          <w:szCs w:val="19"/>
          <w:color w:val="auto"/>
        </w:rPr>
        <w:t>Based on the fair value of equity awards granted to the named executive officers in 2008 and the base salary of the named executive officers, the base salary accounted for approximately 22% of the total compensation of the Chief Executive Officer and approximately 30% of the total compensation of the other named executive officers, while incentive compensation including the cash bonus accounted for more than 70% of the total compensation of each of the named executive officers. Because the value of certain equity awards included below is based on the FAS 123(R) value, these percentages may not be able to be derived using the amounts reflected in the table below.</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631190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SUMMARY COMPENSATION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21"/>
        </w:trPr>
        <w:tc>
          <w:tcPr>
            <w:tcW w:w="2080" w:type="dxa"/>
            <w:vAlign w:val="bottom"/>
            <w:tcBorders>
              <w:top w:val="single" w:sz="8" w:color="auto"/>
              <w:lef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6"/>
              </w:rPr>
              <w:t>Change in</w:t>
            </w:r>
          </w:p>
        </w:tc>
        <w:tc>
          <w:tcPr>
            <w:tcW w:w="10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Pension</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and</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Non-Qualified</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right="132"/>
              <w:spacing w:after="0" w:line="122" w:lineRule="exact"/>
              <w:rPr>
                <w:sz w:val="20"/>
                <w:szCs w:val="20"/>
                <w:color w:val="auto"/>
              </w:rPr>
            </w:pPr>
            <w:r>
              <w:rPr>
                <w:rFonts w:ascii="Arial" w:cs="Arial" w:eastAsia="Arial" w:hAnsi="Arial"/>
                <w:sz w:val="11"/>
                <w:szCs w:val="11"/>
                <w:b w:val="1"/>
                <w:bCs w:val="1"/>
                <w:color w:val="auto"/>
                <w:w w:val="86"/>
              </w:rPr>
              <w:t>Stock</w:t>
            </w:r>
          </w:p>
        </w:tc>
        <w:tc>
          <w:tcPr>
            <w:tcW w:w="8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Non-Equity</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Deferred</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right="112"/>
              <w:spacing w:after="0" w:line="122" w:lineRule="exact"/>
              <w:rPr>
                <w:sz w:val="20"/>
                <w:szCs w:val="20"/>
                <w:color w:val="auto"/>
              </w:rPr>
            </w:pPr>
            <w:r>
              <w:rPr>
                <w:rFonts w:ascii="Arial" w:cs="Arial" w:eastAsia="Arial" w:hAnsi="Arial"/>
                <w:sz w:val="11"/>
                <w:szCs w:val="11"/>
                <w:b w:val="1"/>
                <w:bCs w:val="1"/>
                <w:color w:val="auto"/>
                <w:w w:val="90"/>
              </w:rPr>
              <w:t>Awards</w:t>
            </w:r>
          </w:p>
        </w:tc>
        <w:tc>
          <w:tcPr>
            <w:tcW w:w="860" w:type="dxa"/>
            <w:vAlign w:val="bottom"/>
          </w:tcPr>
          <w:p>
            <w:pPr>
              <w:jc w:val="center"/>
              <w:ind w:right="111"/>
              <w:spacing w:after="0" w:line="122" w:lineRule="exact"/>
              <w:rPr>
                <w:sz w:val="20"/>
                <w:szCs w:val="20"/>
                <w:color w:val="auto"/>
              </w:rPr>
            </w:pPr>
            <w:r>
              <w:rPr>
                <w:rFonts w:ascii="Arial" w:cs="Arial" w:eastAsia="Arial" w:hAnsi="Arial"/>
                <w:sz w:val="11"/>
                <w:szCs w:val="11"/>
                <w:b w:val="1"/>
                <w:bCs w:val="1"/>
                <w:color w:val="auto"/>
                <w:w w:val="90"/>
              </w:rPr>
              <w:t>Option</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Incentive Plan</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1080" w:type="dxa"/>
            <w:vAlign w:val="bottom"/>
          </w:tcPr>
          <w:p>
            <w:pPr>
              <w:jc w:val="center"/>
              <w:ind w:right="131"/>
              <w:spacing w:after="0" w:line="122" w:lineRule="exact"/>
              <w:rPr>
                <w:sz w:val="20"/>
                <w:szCs w:val="20"/>
                <w:color w:val="auto"/>
              </w:rPr>
            </w:pPr>
            <w:r>
              <w:rPr>
                <w:rFonts w:ascii="Arial" w:cs="Arial" w:eastAsia="Arial" w:hAnsi="Arial"/>
                <w:sz w:val="11"/>
                <w:szCs w:val="11"/>
                <w:b w:val="1"/>
                <w:bCs w:val="1"/>
                <w:color w:val="auto"/>
                <w:w w:val="94"/>
              </w:rPr>
              <w:t>All Other</w:t>
            </w: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auto"/>
              </w:rPr>
              <w:t>Name and Principal Position</w:t>
            </w:r>
          </w:p>
        </w:tc>
        <w:tc>
          <w:tcPr>
            <w:tcW w:w="160" w:type="dxa"/>
            <w:vAlign w:val="bottom"/>
          </w:tcPr>
          <w:p>
            <w:pPr>
              <w:spacing w:after="0"/>
              <w:rPr>
                <w:sz w:val="10"/>
                <w:szCs w:val="10"/>
                <w:color w:val="auto"/>
              </w:rPr>
            </w:pPr>
          </w:p>
        </w:tc>
        <w:tc>
          <w:tcPr>
            <w:tcW w:w="4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Year</w:t>
            </w:r>
          </w:p>
        </w:tc>
        <w:tc>
          <w:tcPr>
            <w:tcW w:w="860" w:type="dxa"/>
            <w:vAlign w:val="bottom"/>
          </w:tcPr>
          <w:p>
            <w:pPr>
              <w:jc w:val="right"/>
              <w:ind w:right="230"/>
              <w:spacing w:after="0" w:line="122" w:lineRule="exact"/>
              <w:rPr>
                <w:sz w:val="20"/>
                <w:szCs w:val="20"/>
                <w:color w:val="auto"/>
              </w:rPr>
            </w:pPr>
            <w:r>
              <w:rPr>
                <w:rFonts w:ascii="Arial" w:cs="Arial" w:eastAsia="Arial" w:hAnsi="Arial"/>
                <w:sz w:val="11"/>
                <w:szCs w:val="11"/>
                <w:b w:val="1"/>
                <w:bCs w:val="1"/>
                <w:color w:val="auto"/>
              </w:rPr>
              <w:t>Salary($)</w:t>
            </w:r>
          </w:p>
        </w:tc>
        <w:tc>
          <w:tcPr>
            <w:tcW w:w="780" w:type="dxa"/>
            <w:vAlign w:val="bottom"/>
          </w:tcPr>
          <w:p>
            <w:pPr>
              <w:jc w:val="right"/>
              <w:ind w:right="150"/>
              <w:spacing w:after="0" w:line="122" w:lineRule="exact"/>
              <w:rPr>
                <w:sz w:val="20"/>
                <w:szCs w:val="20"/>
                <w:color w:val="auto"/>
              </w:rPr>
            </w:pPr>
            <w:r>
              <w:rPr>
                <w:rFonts w:ascii="Arial" w:cs="Arial" w:eastAsia="Arial" w:hAnsi="Arial"/>
                <w:sz w:val="11"/>
                <w:szCs w:val="11"/>
                <w:color w:val="auto"/>
                <w:w w:val="91"/>
              </w:rPr>
              <w:t>Bonus ($)</w:t>
            </w:r>
            <w:r>
              <w:rPr>
                <w:rFonts w:ascii="Arial" w:cs="Arial" w:eastAsia="Arial" w:hAnsi="Arial"/>
                <w:sz w:val="9"/>
                <w:szCs w:val="9"/>
                <w:color w:val="auto"/>
                <w:w w:val="91"/>
              </w:rPr>
              <w:t>(1)</w:t>
            </w:r>
          </w:p>
        </w:tc>
        <w:tc>
          <w:tcPr>
            <w:tcW w:w="860" w:type="dxa"/>
            <w:vAlign w:val="bottom"/>
          </w:tcPr>
          <w:p>
            <w:pPr>
              <w:jc w:val="center"/>
              <w:ind w:right="112"/>
              <w:spacing w:after="0" w:line="122" w:lineRule="exact"/>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(2)</w:t>
            </w:r>
          </w:p>
        </w:tc>
        <w:tc>
          <w:tcPr>
            <w:tcW w:w="860" w:type="dxa"/>
            <w:vAlign w:val="bottom"/>
          </w:tcPr>
          <w:p>
            <w:pPr>
              <w:jc w:val="center"/>
              <w:ind w:right="111"/>
              <w:spacing w:after="0" w:line="122" w:lineRule="exact"/>
              <w:rPr>
                <w:sz w:val="20"/>
                <w:szCs w:val="20"/>
                <w:color w:val="auto"/>
              </w:rPr>
            </w:pPr>
            <w:r>
              <w:rPr>
                <w:rFonts w:ascii="Arial" w:cs="Arial" w:eastAsia="Arial" w:hAnsi="Arial"/>
                <w:sz w:val="11"/>
                <w:szCs w:val="11"/>
                <w:b w:val="1"/>
                <w:bCs w:val="1"/>
                <w:color w:val="auto"/>
                <w:w w:val="93"/>
              </w:rPr>
              <w:t>Awards($)</w:t>
            </w:r>
            <w:r>
              <w:rPr>
                <w:rFonts w:ascii="Arial" w:cs="Arial" w:eastAsia="Arial" w:hAnsi="Arial"/>
                <w:sz w:val="9"/>
                <w:szCs w:val="9"/>
                <w:b w:val="1"/>
                <w:bCs w:val="1"/>
                <w:color w:val="auto"/>
                <w:w w:val="93"/>
              </w:rPr>
              <w:t>(3)</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Earnings($)</w:t>
            </w:r>
            <w:r>
              <w:rPr>
                <w:rFonts w:ascii="Arial" w:cs="Arial" w:eastAsia="Arial" w:hAnsi="Arial"/>
                <w:sz w:val="9"/>
                <w:szCs w:val="9"/>
                <w:b w:val="1"/>
                <w:bCs w:val="1"/>
                <w:color w:val="auto"/>
                <w:w w:val="92"/>
              </w:rPr>
              <w:t>(4)</w:t>
            </w:r>
          </w:p>
        </w:tc>
        <w:tc>
          <w:tcPr>
            <w:tcW w:w="1080" w:type="dxa"/>
            <w:vAlign w:val="bottom"/>
          </w:tcPr>
          <w:p>
            <w:pPr>
              <w:jc w:val="center"/>
              <w:ind w:right="111"/>
              <w:spacing w:after="0" w:line="122" w:lineRule="exact"/>
              <w:rPr>
                <w:sz w:val="20"/>
                <w:szCs w:val="20"/>
                <w:color w:val="auto"/>
              </w:rPr>
            </w:pPr>
            <w:r>
              <w:rPr>
                <w:rFonts w:ascii="Arial" w:cs="Arial" w:eastAsia="Arial" w:hAnsi="Arial"/>
                <w:sz w:val="11"/>
                <w:szCs w:val="11"/>
                <w:b w:val="1"/>
                <w:bCs w:val="1"/>
                <w:color w:val="auto"/>
                <w:w w:val="89"/>
              </w:rPr>
              <w:t>Compensation($)</w:t>
            </w:r>
            <w:r>
              <w:rPr>
                <w:rFonts w:ascii="Arial" w:cs="Arial" w:eastAsia="Arial" w:hAnsi="Arial"/>
                <w:sz w:val="9"/>
                <w:szCs w:val="9"/>
                <w:b w:val="1"/>
                <w:bCs w:val="1"/>
                <w:color w:val="auto"/>
                <w:w w:val="89"/>
              </w:rPr>
              <w:t>(5)</w:t>
            </w:r>
          </w:p>
        </w:tc>
        <w:tc>
          <w:tcPr>
            <w:tcW w:w="840" w:type="dxa"/>
            <w:vAlign w:val="bottom"/>
          </w:tcPr>
          <w:p>
            <w:pPr>
              <w:jc w:val="right"/>
              <w:ind w:right="190"/>
              <w:spacing w:after="0" w:line="122" w:lineRule="exact"/>
              <w:rPr>
                <w:sz w:val="20"/>
                <w:szCs w:val="20"/>
                <w:color w:val="auto"/>
              </w:rPr>
            </w:pPr>
            <w:r>
              <w:rPr>
                <w:rFonts w:ascii="Arial" w:cs="Arial" w:eastAsia="Arial" w:hAnsi="Arial"/>
                <w:sz w:val="11"/>
                <w:szCs w:val="11"/>
                <w:b w:val="1"/>
                <w:bCs w:val="1"/>
                <w:color w:val="auto"/>
              </w:rPr>
              <w:t>Total ($)</w:t>
            </w:r>
          </w:p>
        </w:tc>
      </w:tr>
      <w:tr>
        <w:trPr>
          <w:trHeight w:val="181"/>
        </w:trPr>
        <w:tc>
          <w:tcPr>
            <w:tcW w:w="208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1"/>
                <w:szCs w:val="11"/>
                <w:b w:val="1"/>
                <w:bCs w:val="1"/>
                <w:color w:val="auto"/>
              </w:rPr>
              <w:t>(a)</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(b)</w:t>
            </w: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(c)</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(d)</w:t>
            </w: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1"/>
                <w:szCs w:val="11"/>
                <w:b w:val="1"/>
                <w:bCs w:val="1"/>
                <w:color w:val="auto"/>
                <w:w w:val="88"/>
              </w:rPr>
              <w:t>(e)</w:t>
            </w: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(g)</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(h)</w:t>
            </w:r>
          </w:p>
        </w:tc>
        <w:tc>
          <w:tcPr>
            <w:tcW w:w="108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95"/>
              </w:rPr>
              <w:t>(i)</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(j)</w:t>
            </w:r>
          </w:p>
        </w:tc>
      </w:tr>
      <w:tr>
        <w:trPr>
          <w:trHeight w:val="272"/>
        </w:trPr>
        <w:tc>
          <w:tcPr>
            <w:tcW w:w="2080" w:type="dxa"/>
            <w:vAlign w:val="bottom"/>
            <w:tcBorders>
              <w:top w:val="single" w:sz="8" w:color="CCEEFF"/>
              <w:left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Stephen P. Zelnak, Jr.</w:t>
            </w:r>
          </w:p>
        </w:tc>
        <w:tc>
          <w:tcPr>
            <w:tcW w:w="1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2008</w:t>
            </w:r>
          </w:p>
        </w:tc>
        <w:tc>
          <w:tcPr>
            <w:tcW w:w="8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1,100,625</w:t>
            </w:r>
          </w:p>
        </w:tc>
        <w:tc>
          <w:tcPr>
            <w:tcW w:w="78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429,244</w:t>
            </w:r>
          </w:p>
        </w:tc>
        <w:tc>
          <w:tcPr>
            <w:tcW w:w="860" w:type="dxa"/>
            <w:vAlign w:val="bottom"/>
            <w:tcBorders>
              <w:top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4,304,406</w:t>
            </w:r>
          </w:p>
        </w:tc>
        <w:tc>
          <w:tcPr>
            <w:tcW w:w="860" w:type="dxa"/>
            <w:vAlign w:val="bottom"/>
            <w:tcBorders>
              <w:top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1,890,320</w:t>
            </w:r>
          </w:p>
        </w:tc>
        <w:tc>
          <w:tcPr>
            <w:tcW w:w="9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689,310</w:t>
            </w:r>
          </w:p>
        </w:tc>
        <w:tc>
          <w:tcPr>
            <w:tcW w:w="1080" w:type="dxa"/>
            <w:vAlign w:val="bottom"/>
            <w:tcBorders>
              <w:top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389,381</w:t>
            </w:r>
          </w:p>
        </w:tc>
        <w:tc>
          <w:tcPr>
            <w:tcW w:w="8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8,803,286</w:t>
            </w:r>
          </w:p>
        </w:tc>
      </w:tr>
      <w:tr>
        <w:trPr>
          <w:trHeight w:val="149"/>
        </w:trPr>
        <w:tc>
          <w:tcPr>
            <w:tcW w:w="20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 CEO</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2007</w:t>
            </w:r>
          </w:p>
        </w:tc>
        <w:tc>
          <w:tcPr>
            <w:tcW w:w="8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1,036,782</w:t>
            </w:r>
          </w:p>
        </w:tc>
        <w:tc>
          <w:tcPr>
            <w:tcW w:w="78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715,000</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5,041,520</w:t>
            </w: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2,464,865</w:t>
            </w: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4"/>
                <w:szCs w:val="14"/>
                <w:color w:val="auto"/>
              </w:rPr>
              <w:t>2,934,507</w:t>
            </w:r>
          </w:p>
        </w:tc>
        <w:tc>
          <w:tcPr>
            <w:tcW w:w="10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403,559</w:t>
            </w: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12,596,233</w:t>
            </w:r>
          </w:p>
        </w:tc>
      </w:tr>
      <w:tr>
        <w:trPr>
          <w:trHeight w:val="167"/>
        </w:trPr>
        <w:tc>
          <w:tcPr>
            <w:tcW w:w="2080" w:type="dxa"/>
            <w:vAlign w:val="bottom"/>
            <w:tcBorders>
              <w:lef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2006</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968,333</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942,500</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3,146,597</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1,845,272</w:t>
            </w: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2,196,105</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375,730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9,474,537</w:t>
            </w:r>
          </w:p>
        </w:tc>
      </w:tr>
      <w:tr>
        <w:trPr>
          <w:trHeight w:val="130"/>
        </w:trPr>
        <w:tc>
          <w:tcPr>
            <w:tcW w:w="20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Anne H. Lloyd</w:t>
            </w:r>
          </w:p>
        </w:tc>
        <w:tc>
          <w:tcPr>
            <w:tcW w:w="16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4"/>
                <w:szCs w:val="14"/>
                <w:color w:val="auto"/>
              </w:rPr>
              <w:t>2008</w:t>
            </w:r>
          </w:p>
        </w:tc>
        <w:tc>
          <w:tcPr>
            <w:tcW w:w="86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430,000</w:t>
            </w:r>
          </w:p>
        </w:tc>
        <w:tc>
          <w:tcPr>
            <w:tcW w:w="78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165,120</w:t>
            </w:r>
          </w:p>
        </w:tc>
        <w:tc>
          <w:tcPr>
            <w:tcW w:w="860" w:type="dxa"/>
            <w:vAlign w:val="bottom"/>
          </w:tcPr>
          <w:p>
            <w:pPr>
              <w:jc w:val="right"/>
              <w:ind w:right="112"/>
              <w:spacing w:after="0" w:line="130" w:lineRule="exact"/>
              <w:rPr>
                <w:sz w:val="20"/>
                <w:szCs w:val="20"/>
                <w:color w:val="auto"/>
              </w:rPr>
            </w:pPr>
            <w:r>
              <w:rPr>
                <w:rFonts w:ascii="Arial" w:cs="Arial" w:eastAsia="Arial" w:hAnsi="Arial"/>
                <w:sz w:val="14"/>
                <w:szCs w:val="14"/>
                <w:color w:val="auto"/>
              </w:rPr>
              <w:t>678,066</w:t>
            </w:r>
          </w:p>
        </w:tc>
        <w:tc>
          <w:tcPr>
            <w:tcW w:w="86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356,448</w:t>
            </w:r>
          </w:p>
        </w:tc>
        <w:tc>
          <w:tcPr>
            <w:tcW w:w="900" w:type="dxa"/>
            <w:vAlign w:val="bottom"/>
          </w:tcPr>
          <w:p>
            <w:pPr>
              <w:spacing w:after="0"/>
              <w:rPr>
                <w:sz w:val="11"/>
                <w:szCs w:val="11"/>
                <w:color w:val="auto"/>
              </w:rPr>
            </w:pPr>
          </w:p>
        </w:tc>
        <w:tc>
          <w:tcPr>
            <w:tcW w:w="1260" w:type="dxa"/>
            <w:vAlign w:val="bottom"/>
          </w:tcPr>
          <w:p>
            <w:pPr>
              <w:jc w:val="right"/>
              <w:ind w:right="134"/>
              <w:spacing w:after="0" w:line="130" w:lineRule="exact"/>
              <w:rPr>
                <w:sz w:val="20"/>
                <w:szCs w:val="20"/>
                <w:color w:val="auto"/>
              </w:rPr>
            </w:pPr>
            <w:r>
              <w:rPr>
                <w:rFonts w:ascii="Arial" w:cs="Arial" w:eastAsia="Arial" w:hAnsi="Arial"/>
                <w:sz w:val="14"/>
                <w:szCs w:val="14"/>
                <w:color w:val="auto"/>
              </w:rPr>
              <w:t>153,819</w:t>
            </w:r>
          </w:p>
        </w:tc>
        <w:tc>
          <w:tcPr>
            <w:tcW w:w="108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81,802</w:t>
            </w:r>
          </w:p>
        </w:tc>
        <w:tc>
          <w:tcPr>
            <w:tcW w:w="840" w:type="dxa"/>
            <w:vAlign w:val="bottom"/>
          </w:tcPr>
          <w:p>
            <w:pPr>
              <w:jc w:val="right"/>
              <w:ind w:right="10"/>
              <w:spacing w:after="0" w:line="130" w:lineRule="exact"/>
              <w:rPr>
                <w:sz w:val="20"/>
                <w:szCs w:val="20"/>
                <w:color w:val="auto"/>
              </w:rPr>
            </w:pPr>
            <w:r>
              <w:rPr>
                <w:rFonts w:ascii="Arial" w:cs="Arial" w:eastAsia="Arial" w:hAnsi="Arial"/>
                <w:sz w:val="14"/>
                <w:szCs w:val="14"/>
                <w:color w:val="auto"/>
              </w:rPr>
              <w:t>1,865,255</w:t>
            </w:r>
          </w:p>
        </w:tc>
      </w:tr>
      <w:tr>
        <w:trPr>
          <w:trHeight w:val="149"/>
        </w:trPr>
        <w:tc>
          <w:tcPr>
            <w:tcW w:w="2080" w:type="dxa"/>
            <w:vAlign w:val="bottom"/>
          </w:tcPr>
          <w:p>
            <w:pPr>
              <w:ind w:left="160"/>
              <w:spacing w:after="0" w:line="149" w:lineRule="exact"/>
              <w:rPr>
                <w:sz w:val="20"/>
                <w:szCs w:val="20"/>
                <w:color w:val="auto"/>
              </w:rPr>
            </w:pPr>
            <w:r>
              <w:rPr>
                <w:rFonts w:ascii="Arial" w:cs="Arial" w:eastAsia="Arial" w:hAnsi="Arial"/>
                <w:sz w:val="14"/>
                <w:szCs w:val="14"/>
                <w:color w:val="auto"/>
              </w:rPr>
              <w:t>Senior Vice President,</w:t>
            </w: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2007</w:t>
            </w:r>
          </w:p>
        </w:tc>
        <w:tc>
          <w:tcPr>
            <w:tcW w:w="8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393,333</w:t>
            </w:r>
          </w:p>
        </w:tc>
        <w:tc>
          <w:tcPr>
            <w:tcW w:w="78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236,630</w:t>
            </w: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471,772</w:t>
            </w:r>
          </w:p>
        </w:tc>
        <w:tc>
          <w:tcPr>
            <w:tcW w:w="8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258,371</w:t>
            </w:r>
          </w:p>
        </w:tc>
        <w:tc>
          <w:tcPr>
            <w:tcW w:w="900" w:type="dxa"/>
            <w:vAlign w:val="bottom"/>
          </w:tcPr>
          <w:p>
            <w:pPr>
              <w:spacing w:after="0"/>
              <w:rPr>
                <w:sz w:val="12"/>
                <w:szCs w:val="12"/>
                <w:color w:val="auto"/>
              </w:rPr>
            </w:pPr>
          </w:p>
        </w:tc>
        <w:tc>
          <w:tcPr>
            <w:tcW w:w="126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100,870</w:t>
            </w:r>
          </w:p>
        </w:tc>
        <w:tc>
          <w:tcPr>
            <w:tcW w:w="108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65,184</w:t>
            </w:r>
          </w:p>
        </w:tc>
        <w:tc>
          <w:tcPr>
            <w:tcW w:w="840" w:type="dxa"/>
            <w:vAlign w:val="bottom"/>
          </w:tcPr>
          <w:p>
            <w:pPr>
              <w:jc w:val="right"/>
              <w:ind w:right="10"/>
              <w:spacing w:after="0" w:line="149" w:lineRule="exact"/>
              <w:rPr>
                <w:sz w:val="20"/>
                <w:szCs w:val="20"/>
                <w:color w:val="auto"/>
              </w:rPr>
            </w:pPr>
            <w:r>
              <w:rPr>
                <w:rFonts w:ascii="Arial" w:cs="Arial" w:eastAsia="Arial" w:hAnsi="Arial"/>
                <w:sz w:val="14"/>
                <w:szCs w:val="14"/>
                <w:color w:val="auto"/>
              </w:rPr>
              <w:t>1,526,160</w:t>
            </w:r>
          </w:p>
        </w:tc>
      </w:tr>
      <w:tr>
        <w:trPr>
          <w:trHeight w:val="167"/>
        </w:trPr>
        <w:tc>
          <w:tcPr>
            <w:tcW w:w="2080" w:type="dxa"/>
            <w:vAlign w:val="bottom"/>
          </w:tcPr>
          <w:p>
            <w:pPr>
              <w:ind w:left="160"/>
              <w:spacing w:after="0"/>
              <w:rPr>
                <w:sz w:val="20"/>
                <w:szCs w:val="20"/>
                <w:color w:val="auto"/>
              </w:rPr>
            </w:pPr>
            <w:r>
              <w:rPr>
                <w:rFonts w:ascii="Arial" w:cs="Arial" w:eastAsia="Arial" w:hAnsi="Arial"/>
                <w:sz w:val="14"/>
                <w:szCs w:val="14"/>
                <w:color w:val="auto"/>
              </w:rPr>
              <w:t>CFO and Treasurer</w:t>
            </w:r>
          </w:p>
        </w:tc>
        <w:tc>
          <w:tcPr>
            <w:tcW w:w="640" w:type="dxa"/>
            <w:vAlign w:val="bottom"/>
            <w:gridSpan w:val="2"/>
          </w:tcPr>
          <w:p>
            <w:pPr>
              <w:ind w:left="180"/>
              <w:spacing w:after="0"/>
              <w:rPr>
                <w:sz w:val="20"/>
                <w:szCs w:val="20"/>
                <w:color w:val="auto"/>
              </w:rPr>
            </w:pPr>
            <w:r>
              <w:rPr>
                <w:rFonts w:ascii="Arial" w:cs="Arial" w:eastAsia="Arial" w:hAnsi="Arial"/>
                <w:sz w:val="14"/>
                <w:szCs w:val="14"/>
                <w:color w:val="auto"/>
              </w:rPr>
              <w:t>2006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346,667</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288,000</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245,505</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131,262</w:t>
            </w:r>
          </w:p>
        </w:tc>
        <w:tc>
          <w:tcPr>
            <w:tcW w:w="900" w:type="dxa"/>
            <w:vAlign w:val="bottom"/>
          </w:tcPr>
          <w:p>
            <w:pPr>
              <w:spacing w:after="0"/>
              <w:rPr>
                <w:sz w:val="14"/>
                <w:szCs w:val="14"/>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color w:val="auto"/>
              </w:rPr>
              <w:t>83,690</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47,059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1,142,183</w:t>
            </w:r>
          </w:p>
        </w:tc>
      </w:tr>
      <w:tr>
        <w:trPr>
          <w:trHeight w:val="130"/>
        </w:trPr>
        <w:tc>
          <w:tcPr>
            <w:tcW w:w="20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C. Howard Nye</w:t>
            </w:r>
            <w:r>
              <w:rPr>
                <w:rFonts w:ascii="Arial" w:cs="Arial" w:eastAsia="Arial" w:hAnsi="Arial"/>
                <w:sz w:val="12"/>
                <w:szCs w:val="12"/>
                <w:b w:val="1"/>
                <w:bCs w:val="1"/>
                <w:color w:val="auto"/>
              </w:rPr>
              <w:t>(6)</w:t>
            </w:r>
          </w:p>
        </w:tc>
        <w:tc>
          <w:tcPr>
            <w:tcW w:w="6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2008</w:t>
            </w:r>
          </w:p>
        </w:tc>
        <w:tc>
          <w:tcPr>
            <w:tcW w:w="86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646,667</w:t>
            </w:r>
          </w:p>
        </w:tc>
        <w:tc>
          <w:tcPr>
            <w:tcW w:w="78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279,360</w:t>
            </w:r>
          </w:p>
        </w:tc>
        <w:tc>
          <w:tcPr>
            <w:tcW w:w="860" w:type="dxa"/>
            <w:vAlign w:val="bottom"/>
            <w:shd w:val="clear" w:color="auto" w:fill="CCEEFF"/>
          </w:tcPr>
          <w:p>
            <w:pPr>
              <w:jc w:val="right"/>
              <w:ind w:right="112"/>
              <w:spacing w:after="0" w:line="130" w:lineRule="exact"/>
              <w:rPr>
                <w:sz w:val="20"/>
                <w:szCs w:val="20"/>
                <w:color w:val="auto"/>
              </w:rPr>
            </w:pPr>
            <w:r>
              <w:rPr>
                <w:rFonts w:ascii="Arial" w:cs="Arial" w:eastAsia="Arial" w:hAnsi="Arial"/>
                <w:sz w:val="14"/>
                <w:szCs w:val="14"/>
                <w:color w:val="auto"/>
              </w:rPr>
              <w:t>965,414</w:t>
            </w:r>
          </w:p>
        </w:tc>
        <w:tc>
          <w:tcPr>
            <w:tcW w:w="86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467,550</w:t>
            </w:r>
          </w:p>
        </w:tc>
        <w:tc>
          <w:tcPr>
            <w:tcW w:w="90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34"/>
              <w:spacing w:after="0" w:line="130" w:lineRule="exact"/>
              <w:rPr>
                <w:sz w:val="20"/>
                <w:szCs w:val="20"/>
                <w:color w:val="auto"/>
              </w:rPr>
            </w:pPr>
            <w:r>
              <w:rPr>
                <w:rFonts w:ascii="Arial" w:cs="Arial" w:eastAsia="Arial" w:hAnsi="Arial"/>
                <w:sz w:val="14"/>
                <w:szCs w:val="14"/>
                <w:color w:val="auto"/>
              </w:rPr>
              <w:t>109,419</w:t>
            </w:r>
          </w:p>
        </w:tc>
        <w:tc>
          <w:tcPr>
            <w:tcW w:w="108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84,197</w:t>
            </w:r>
          </w:p>
        </w:tc>
        <w:tc>
          <w:tcPr>
            <w:tcW w:w="84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2,552,607</w:t>
            </w:r>
          </w:p>
        </w:tc>
      </w:tr>
      <w:tr>
        <w:trPr>
          <w:trHeight w:val="149"/>
        </w:trPr>
        <w:tc>
          <w:tcPr>
            <w:tcW w:w="20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COO</w:t>
            </w:r>
          </w:p>
        </w:tc>
        <w:tc>
          <w:tcPr>
            <w:tcW w:w="6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2007</w:t>
            </w:r>
          </w:p>
        </w:tc>
        <w:tc>
          <w:tcPr>
            <w:tcW w:w="8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611,667</w:t>
            </w:r>
          </w:p>
        </w:tc>
        <w:tc>
          <w:tcPr>
            <w:tcW w:w="78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405,168</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589,272</w:t>
            </w: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233,828</w:t>
            </w: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4"/>
                <w:szCs w:val="14"/>
                <w:color w:val="auto"/>
              </w:rPr>
              <w:t>60,472</w:t>
            </w:r>
          </w:p>
        </w:tc>
        <w:tc>
          <w:tcPr>
            <w:tcW w:w="10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113,834</w:t>
            </w: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2,014,241</w:t>
            </w:r>
          </w:p>
        </w:tc>
      </w:tr>
      <w:tr>
        <w:trPr>
          <w:trHeight w:val="167"/>
        </w:trPr>
        <w:tc>
          <w:tcPr>
            <w:tcW w:w="2080" w:type="dxa"/>
            <w:vAlign w:val="bottom"/>
            <w:tcBorders>
              <w:left w:val="single" w:sz="8" w:color="auto"/>
            </w:tcBorders>
            <w:shd w:val="clear" w:color="auto" w:fill="CCEEFF"/>
          </w:tcPr>
          <w:p>
            <w:pPr>
              <w:spacing w:after="0"/>
              <w:rPr>
                <w:sz w:val="14"/>
                <w:szCs w:val="1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2006</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N/A</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N/A</w:t>
            </w:r>
          </w:p>
        </w:tc>
      </w:tr>
      <w:tr>
        <w:trPr>
          <w:trHeight w:val="130"/>
        </w:trPr>
        <w:tc>
          <w:tcPr>
            <w:tcW w:w="20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Philip J. Sipling</w:t>
            </w:r>
          </w:p>
        </w:tc>
        <w:tc>
          <w:tcPr>
            <w:tcW w:w="64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2008</w:t>
            </w:r>
          </w:p>
        </w:tc>
        <w:tc>
          <w:tcPr>
            <w:tcW w:w="86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452,400</w:t>
            </w:r>
          </w:p>
        </w:tc>
        <w:tc>
          <w:tcPr>
            <w:tcW w:w="78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217,152</w:t>
            </w:r>
          </w:p>
        </w:tc>
        <w:tc>
          <w:tcPr>
            <w:tcW w:w="860" w:type="dxa"/>
            <w:vAlign w:val="bottom"/>
          </w:tcPr>
          <w:p>
            <w:pPr>
              <w:jc w:val="right"/>
              <w:ind w:right="112"/>
              <w:spacing w:after="0" w:line="130" w:lineRule="exact"/>
              <w:rPr>
                <w:sz w:val="20"/>
                <w:szCs w:val="20"/>
                <w:color w:val="auto"/>
              </w:rPr>
            </w:pPr>
            <w:r>
              <w:rPr>
                <w:rFonts w:ascii="Arial" w:cs="Arial" w:eastAsia="Arial" w:hAnsi="Arial"/>
                <w:sz w:val="14"/>
                <w:szCs w:val="14"/>
                <w:color w:val="auto"/>
              </w:rPr>
              <w:t>1,279,943</w:t>
            </w:r>
          </w:p>
        </w:tc>
        <w:tc>
          <w:tcPr>
            <w:tcW w:w="86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500,977</w:t>
            </w:r>
          </w:p>
        </w:tc>
        <w:tc>
          <w:tcPr>
            <w:tcW w:w="900" w:type="dxa"/>
            <w:vAlign w:val="bottom"/>
          </w:tcPr>
          <w:p>
            <w:pPr>
              <w:spacing w:after="0"/>
              <w:rPr>
                <w:sz w:val="11"/>
                <w:szCs w:val="11"/>
                <w:color w:val="auto"/>
              </w:rPr>
            </w:pPr>
          </w:p>
        </w:tc>
        <w:tc>
          <w:tcPr>
            <w:tcW w:w="1260" w:type="dxa"/>
            <w:vAlign w:val="bottom"/>
          </w:tcPr>
          <w:p>
            <w:pPr>
              <w:jc w:val="right"/>
              <w:ind w:right="134"/>
              <w:spacing w:after="0" w:line="130" w:lineRule="exact"/>
              <w:rPr>
                <w:sz w:val="20"/>
                <w:szCs w:val="20"/>
                <w:color w:val="auto"/>
              </w:rPr>
            </w:pPr>
            <w:r>
              <w:rPr>
                <w:rFonts w:ascii="Arial" w:cs="Arial" w:eastAsia="Arial" w:hAnsi="Arial"/>
                <w:sz w:val="14"/>
                <w:szCs w:val="14"/>
                <w:color w:val="auto"/>
              </w:rPr>
              <w:t>603,968</w:t>
            </w:r>
          </w:p>
        </w:tc>
        <w:tc>
          <w:tcPr>
            <w:tcW w:w="108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122,402</w:t>
            </w:r>
          </w:p>
        </w:tc>
        <w:tc>
          <w:tcPr>
            <w:tcW w:w="840" w:type="dxa"/>
            <w:vAlign w:val="bottom"/>
          </w:tcPr>
          <w:p>
            <w:pPr>
              <w:jc w:val="right"/>
              <w:ind w:right="10"/>
              <w:spacing w:after="0" w:line="130" w:lineRule="exact"/>
              <w:rPr>
                <w:sz w:val="20"/>
                <w:szCs w:val="20"/>
                <w:color w:val="auto"/>
              </w:rPr>
            </w:pPr>
            <w:r>
              <w:rPr>
                <w:rFonts w:ascii="Arial" w:cs="Arial" w:eastAsia="Arial" w:hAnsi="Arial"/>
                <w:sz w:val="14"/>
                <w:szCs w:val="14"/>
                <w:color w:val="auto"/>
              </w:rPr>
              <w:t>3,176,842</w:t>
            </w:r>
          </w:p>
        </w:tc>
      </w:tr>
      <w:tr>
        <w:trPr>
          <w:trHeight w:val="149"/>
        </w:trPr>
        <w:tc>
          <w:tcPr>
            <w:tcW w:w="2080" w:type="dxa"/>
            <w:vAlign w:val="bottom"/>
          </w:tcPr>
          <w:p>
            <w:pPr>
              <w:ind w:left="160"/>
              <w:spacing w:after="0" w:line="149" w:lineRule="exact"/>
              <w:rPr>
                <w:sz w:val="20"/>
                <w:szCs w:val="20"/>
                <w:color w:val="auto"/>
              </w:rPr>
            </w:pPr>
            <w:r>
              <w:rPr>
                <w:rFonts w:ascii="Arial" w:cs="Arial" w:eastAsia="Arial" w:hAnsi="Arial"/>
                <w:sz w:val="14"/>
                <w:szCs w:val="14"/>
                <w:color w:val="auto"/>
              </w:rPr>
              <w:t>Executive Vice</w:t>
            </w: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2007</w:t>
            </w:r>
          </w:p>
        </w:tc>
        <w:tc>
          <w:tcPr>
            <w:tcW w:w="8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438,015</w:t>
            </w:r>
          </w:p>
        </w:tc>
        <w:tc>
          <w:tcPr>
            <w:tcW w:w="78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246,626</w:t>
            </w: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662,708</w:t>
            </w:r>
          </w:p>
        </w:tc>
        <w:tc>
          <w:tcPr>
            <w:tcW w:w="8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345,941</w:t>
            </w:r>
          </w:p>
        </w:tc>
        <w:tc>
          <w:tcPr>
            <w:tcW w:w="900" w:type="dxa"/>
            <w:vAlign w:val="bottom"/>
          </w:tcPr>
          <w:p>
            <w:pPr>
              <w:spacing w:after="0"/>
              <w:rPr>
                <w:sz w:val="12"/>
                <w:szCs w:val="12"/>
                <w:color w:val="auto"/>
              </w:rPr>
            </w:pPr>
          </w:p>
        </w:tc>
        <w:tc>
          <w:tcPr>
            <w:tcW w:w="126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382,845</w:t>
            </w:r>
          </w:p>
        </w:tc>
        <w:tc>
          <w:tcPr>
            <w:tcW w:w="108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102,404</w:t>
            </w:r>
          </w:p>
        </w:tc>
        <w:tc>
          <w:tcPr>
            <w:tcW w:w="84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2,178,539</w:t>
            </w:r>
          </w:p>
        </w:tc>
      </w:tr>
      <w:tr>
        <w:trPr>
          <w:trHeight w:val="167"/>
        </w:trPr>
        <w:tc>
          <w:tcPr>
            <w:tcW w:w="2080" w:type="dxa"/>
            <w:vAlign w:val="bottom"/>
          </w:tcPr>
          <w:p>
            <w:pPr>
              <w:ind w:left="160"/>
              <w:spacing w:after="0"/>
              <w:rPr>
                <w:sz w:val="20"/>
                <w:szCs w:val="20"/>
                <w:color w:val="auto"/>
              </w:rPr>
            </w:pPr>
            <w:r>
              <w:rPr>
                <w:rFonts w:ascii="Arial" w:cs="Arial" w:eastAsia="Arial" w:hAnsi="Arial"/>
                <w:sz w:val="14"/>
                <w:szCs w:val="14"/>
                <w:color w:val="auto"/>
              </w:rPr>
              <w:t>President</w:t>
            </w:r>
          </w:p>
        </w:tc>
        <w:tc>
          <w:tcPr>
            <w:tcW w:w="640" w:type="dxa"/>
            <w:vAlign w:val="bottom"/>
            <w:gridSpan w:val="2"/>
          </w:tcPr>
          <w:p>
            <w:pPr>
              <w:ind w:left="180"/>
              <w:spacing w:after="0"/>
              <w:rPr>
                <w:sz w:val="20"/>
                <w:szCs w:val="20"/>
                <w:color w:val="auto"/>
              </w:rPr>
            </w:pPr>
            <w:r>
              <w:rPr>
                <w:rFonts w:ascii="Arial" w:cs="Arial" w:eastAsia="Arial" w:hAnsi="Arial"/>
                <w:sz w:val="14"/>
                <w:szCs w:val="14"/>
                <w:color w:val="auto"/>
              </w:rPr>
              <w:t>2006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420,833</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298,825</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405,846</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260,080</w:t>
            </w:r>
          </w:p>
        </w:tc>
        <w:tc>
          <w:tcPr>
            <w:tcW w:w="900" w:type="dxa"/>
            <w:vAlign w:val="bottom"/>
          </w:tcPr>
          <w:p>
            <w:pPr>
              <w:spacing w:after="0"/>
              <w:rPr>
                <w:sz w:val="14"/>
                <w:szCs w:val="14"/>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color w:val="auto"/>
              </w:rPr>
              <w:t>553,974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86,577</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2,026,135</w:t>
            </w:r>
          </w:p>
        </w:tc>
      </w:tr>
      <w:tr>
        <w:trPr>
          <w:trHeight w:val="130"/>
        </w:trPr>
        <w:tc>
          <w:tcPr>
            <w:tcW w:w="20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Daniel G. Shephard</w:t>
            </w:r>
          </w:p>
        </w:tc>
        <w:tc>
          <w:tcPr>
            <w:tcW w:w="6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2008</w:t>
            </w:r>
          </w:p>
        </w:tc>
        <w:tc>
          <w:tcPr>
            <w:tcW w:w="86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426,667</w:t>
            </w:r>
          </w:p>
        </w:tc>
        <w:tc>
          <w:tcPr>
            <w:tcW w:w="78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165,478</w:t>
            </w:r>
          </w:p>
        </w:tc>
        <w:tc>
          <w:tcPr>
            <w:tcW w:w="860" w:type="dxa"/>
            <w:vAlign w:val="bottom"/>
            <w:shd w:val="clear" w:color="auto" w:fill="CCEEFF"/>
          </w:tcPr>
          <w:p>
            <w:pPr>
              <w:jc w:val="right"/>
              <w:ind w:right="112"/>
              <w:spacing w:after="0" w:line="130" w:lineRule="exact"/>
              <w:rPr>
                <w:sz w:val="20"/>
                <w:szCs w:val="20"/>
                <w:color w:val="auto"/>
              </w:rPr>
            </w:pPr>
            <w:r>
              <w:rPr>
                <w:rFonts w:ascii="Arial" w:cs="Arial" w:eastAsia="Arial" w:hAnsi="Arial"/>
                <w:sz w:val="14"/>
                <w:szCs w:val="14"/>
                <w:color w:val="auto"/>
              </w:rPr>
              <w:t>715,201</w:t>
            </w:r>
          </w:p>
        </w:tc>
        <w:tc>
          <w:tcPr>
            <w:tcW w:w="86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370,754</w:t>
            </w:r>
          </w:p>
        </w:tc>
        <w:tc>
          <w:tcPr>
            <w:tcW w:w="90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34"/>
              <w:spacing w:after="0" w:line="130" w:lineRule="exact"/>
              <w:rPr>
                <w:sz w:val="20"/>
                <w:szCs w:val="20"/>
                <w:color w:val="auto"/>
              </w:rPr>
            </w:pPr>
            <w:r>
              <w:rPr>
                <w:rFonts w:ascii="Arial" w:cs="Arial" w:eastAsia="Arial" w:hAnsi="Arial"/>
                <w:sz w:val="14"/>
                <w:szCs w:val="14"/>
                <w:color w:val="auto"/>
              </w:rPr>
              <w:t>314,799</w:t>
            </w:r>
          </w:p>
        </w:tc>
        <w:tc>
          <w:tcPr>
            <w:tcW w:w="108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91,386</w:t>
            </w:r>
          </w:p>
        </w:tc>
        <w:tc>
          <w:tcPr>
            <w:tcW w:w="84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2,084,285</w:t>
            </w:r>
          </w:p>
        </w:tc>
      </w:tr>
      <w:tr>
        <w:trPr>
          <w:trHeight w:val="149"/>
        </w:trPr>
        <w:tc>
          <w:tcPr>
            <w:tcW w:w="20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6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2007</w:t>
            </w:r>
          </w:p>
        </w:tc>
        <w:tc>
          <w:tcPr>
            <w:tcW w:w="8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406,667</w:t>
            </w:r>
          </w:p>
        </w:tc>
        <w:tc>
          <w:tcPr>
            <w:tcW w:w="78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242,048</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478,938</w:t>
            </w: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287,347</w:t>
            </w: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4"/>
                <w:szCs w:val="14"/>
                <w:color w:val="auto"/>
              </w:rPr>
              <w:t>191,973</w:t>
            </w:r>
          </w:p>
        </w:tc>
        <w:tc>
          <w:tcPr>
            <w:tcW w:w="10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69,733</w:t>
            </w: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1,676,706</w:t>
            </w:r>
          </w:p>
        </w:tc>
      </w:tr>
      <w:tr>
        <w:trPr>
          <w:trHeight w:val="167"/>
        </w:trPr>
        <w:tc>
          <w:tcPr>
            <w:tcW w:w="2080" w:type="dxa"/>
            <w:vAlign w:val="bottom"/>
            <w:tcBorders>
              <w:left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President</w:t>
            </w:r>
          </w:p>
        </w:tc>
        <w:tc>
          <w:tcPr>
            <w:tcW w:w="6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4"/>
                <w:szCs w:val="14"/>
                <w:color w:val="auto"/>
              </w:rPr>
              <w:t>2006</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360,000</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288,000</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236,926</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164,991</w:t>
            </w:r>
          </w:p>
        </w:tc>
        <w:tc>
          <w:tcPr>
            <w:tcW w:w="9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190,117</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49,087</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1,289,121</w:t>
            </w:r>
          </w:p>
        </w:tc>
      </w:tr>
    </w:tbl>
    <w:p>
      <w:pPr>
        <w:spacing w:after="0" w:line="143" w:lineRule="exact"/>
        <w:rPr>
          <w:sz w:val="20"/>
          <w:szCs w:val="20"/>
          <w:color w:val="auto"/>
        </w:rPr>
      </w:pPr>
    </w:p>
    <w:p>
      <w:pPr>
        <w:ind w:left="1220" w:hanging="250"/>
        <w:spacing w:after="0" w:line="247" w:lineRule="auto"/>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amounts in column (d) reflect the cash bonuses to the named individuals earned in 2008 and paid in 2009 under the Executive Incentive Plan, which is discussed in further detail on page 25 under the heading “Annual Bonus Compensation.” The amounts in this column also include the amounts of bonus irrevocably deferred in common stock units at the election of each named executive officer pursuant to the Corporation’s Incentive Stock Plan, which is discussed in further detail on page 26 under the heading “Performance-Based Stock Purchase Awards.” The number of stock units and the related grant date fair value attributable to the amounts of bonus so deferred by the named executive officers appear in column (i) and (l), respectively, of the Grants of Plan-Based Awards Table on page 35. The amounts mandatorily deferred in 2008 are included in column (e). The amounts deferred in 2008 for each of the named executive officers at his or her election, which are included in column (d), are as follows: Mr. Zelnak, $99,056; Ms. Lloyd, $10,320; Mr. Nye, $17,460; Mr. Sipling, $0; and Mr. Shephard, $41,369.</w:t>
      </w:r>
    </w:p>
    <w:p>
      <w:pPr>
        <w:spacing w:after="0" w:line="16" w:lineRule="exact"/>
        <w:rPr>
          <w:rFonts w:ascii="Arial" w:cs="Arial" w:eastAsia="Arial" w:hAnsi="Arial"/>
          <w:sz w:val="13"/>
          <w:szCs w:val="13"/>
          <w:color w:val="auto"/>
        </w:rPr>
      </w:pPr>
    </w:p>
    <w:p>
      <w:pPr>
        <w:ind w:left="1220" w:right="20" w:hanging="250"/>
        <w:spacing w:after="0" w:line="243" w:lineRule="auto"/>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amounts in column (e) reflect the dollar amount recognized for financial statement reporting purposes for the fiscal year ended December 31, 2008, in accordance with FAS 123(R), of awards of restricted stock units (including performance-based restricted stock unit awards granted in 2008) and awards related to the amount of cash bonus irrevocably and mandatorily deferred in common stock units by each named executive officer pursuant to the Corporation’s Incentive Stock Plan, which is discussed in further detail on page 27 under the heading “Performance-Based Stock Purchase Awards,” and thus include amounts from awards granted in 2008 as well as awards granted prior to 2008 for which charges were taken in 2008. The amounts in column (e) do not include the 20% discount on the Incentive Stock Plan units, which is reported in column (i). Assumptions used in the calculation of these amounts are included in Note A to the Corporation’s audited financial statements for the fiscal year ended December 31, 2008, included in the Corporation’s Annual Report on Form 10-K filed with the Securities and Exchange Commission on February 17, 2009. The amounts of cash bonus deferred in 2008 at the election of each named executive officer are included in column (d). The amounts of cash bonus mandatorily deferred in 2008 for each of the named executive officers are as follows: Mr. Zelnak, $231,131; Ms. Lloyd, $41,280; Mr. Nye, $69,840; Mr. Sipling, $0; and Mr. Shephard, $41,370. The reported amounts also include for Messrs. Zelnak and Sipling the FAS 123(R) charges taken in 2008 for awards of restricted stock units granted in 2003 in connection with the Corporation’s executive succession planning in the amounts of 60,000 and 20,000, respectively, which are discussed in further detail on page 29 under the heading “Succession Planning Restricted Stock Awards.”</w:t>
      </w:r>
    </w:p>
    <w:p>
      <w:pPr>
        <w:spacing w:after="0" w:line="20" w:lineRule="exact"/>
        <w:rPr>
          <w:rFonts w:ascii="Arial" w:cs="Arial" w:eastAsia="Arial" w:hAnsi="Arial"/>
          <w:sz w:val="13"/>
          <w:szCs w:val="13"/>
          <w:color w:val="auto"/>
        </w:rPr>
      </w:pPr>
    </w:p>
    <w:p>
      <w:pPr>
        <w:ind w:left="1220" w:hanging="250"/>
        <w:spacing w:after="0" w:line="227" w:lineRule="auto"/>
        <w:tabs>
          <w:tab w:leader="none" w:pos="1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in column (f) reflect the dollar amount recognized for financial statement reporting purposes for each fiscal year ended December 31, 2008, 2007 and 2006, in accordance with FAS 123(R), of stock option awards and thus include amounts from awards granted in each of 2008, 2007 and 2006 as well as awards granted prior to 2008, 2007 and 2006 for which charges were taken in 2008, 2007 and 2006, respectively. Under FAS 123(R), an entity may elect either the accelerated expense recognition method or a straight-line recognition method for awards subject to graded vesting based on a service condition. The Corporation elected to use the accelerated expense recognition method for stock options issued to employees. The accelerated recognition method requires stock options that vest ratably to be divided into tranches. The expense for each tranche is allocated to its particular vesting period. Because of the varying ages of the executives, awards granted at the same time are expensed over different time periods. Assumptions used in the calculation of these amounts for fiscal years ended December 31, 2008, 2007, and 2006 are included in Note A to the Corporation’s audited financial statements for the fiscal year ended December 31, 2008, included in the Corporation’s Annual Report on Form 10-K filed with the Securities and Exchange Commission on February 17, 2009.</w:t>
      </w:r>
    </w:p>
    <w:p>
      <w:pPr>
        <w:spacing w:after="0" w:line="20" w:lineRule="exact"/>
        <w:rPr>
          <w:rFonts w:ascii="Arial" w:cs="Arial" w:eastAsia="Arial" w:hAnsi="Arial"/>
          <w:sz w:val="14"/>
          <w:szCs w:val="14"/>
          <w:color w:val="auto"/>
        </w:rPr>
      </w:pPr>
    </w:p>
    <w:p>
      <w:pPr>
        <w:ind w:left="1220" w:right="80" w:hanging="250"/>
        <w:spacing w:after="0" w:line="289" w:lineRule="auto"/>
        <w:tabs>
          <w:tab w:leader="none" w:pos="12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amounts in column (h) reflect the aggregate increase in the actuarial present value of the named executive officer’s accumulated benefits during 2008, 2007 and 2006, respectively, under all retirement plans established by the Corporation determined using interest rate and mortality rate assumptions consistent with those used in the Corporation’s financial statements and include amounts which the named executive officer may not currently be entitled to receive because such amounts are not vested.</w:t>
      </w:r>
    </w:p>
    <w:p>
      <w:pPr>
        <w:spacing w:after="0" w:line="1" w:lineRule="exact"/>
        <w:rPr>
          <w:rFonts w:ascii="Arial" w:cs="Arial" w:eastAsia="Arial" w:hAnsi="Arial"/>
          <w:sz w:val="12"/>
          <w:szCs w:val="12"/>
          <w:color w:val="auto"/>
        </w:rPr>
      </w:pPr>
    </w:p>
    <w:p>
      <w:pPr>
        <w:ind w:left="1220" w:right="240" w:hanging="250"/>
        <w:spacing w:after="0" w:line="238" w:lineRule="auto"/>
        <w:tabs>
          <w:tab w:leader="none" w:pos="1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shown in column (i) reflects for each named executive officer: matching contributions allocated by the Corporation to each of the named executive officers pursuant to the Performance Savings Plan, which is more fully described on page 30 under the heading “Retirement and Other Benefits,” the value attributable to life insurance benefits provided to the named executive officers, which is more fully described on page 30 under</w:t>
      </w:r>
    </w:p>
    <w:p>
      <w:pPr>
        <w:spacing w:after="0" w:line="19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1497330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20"/>
        <w:spacing w:after="0" w:line="245" w:lineRule="auto"/>
        <w:rPr>
          <w:sz w:val="20"/>
          <w:szCs w:val="20"/>
          <w:color w:val="auto"/>
        </w:rPr>
      </w:pPr>
      <w:r>
        <w:rPr>
          <w:rFonts w:ascii="Arial" w:cs="Arial" w:eastAsia="Arial" w:hAnsi="Arial"/>
          <w:sz w:val="13"/>
          <w:szCs w:val="13"/>
          <w:color w:val="auto"/>
        </w:rPr>
        <w:t>the heading “Retirement and Other Benefits”; and the value attributable to personal use of leased automobiles provided by the Corporation, country club dues and, for some executive officers, the Corporation’s plane. These values are included as compensation on the W-2 of named executive officers who receive such benefits. Each such named executive officer is responsible for paying income tax on such amount.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charges taken in each of 2008, 2007 and 2006 related to the 20% discount from the market price of the Corporation’s common stock pursuant to the elective deferrals under the Incentive Stock Plan, and the dollar value of dividend equivalents on units credited under the Incentive Stock Plan and on restricted stock units as computed for financial statement reporting purposes for each fiscal year ended December 31, 2008, 2007 and 2006 in accordance with FAS 123(R). No charges were recognized by the Corporation in 2008, 2007 or 2006 for the discount or dividend equivalents related to units credited under the Incentive Stock Plan for amounts earned in 2008, 2007 or 2006 and paid in 2009, 2008 or 2007, respectively.</w:t>
      </w:r>
    </w:p>
    <w:p>
      <w:pPr>
        <w:spacing w:after="0" w:line="18" w:lineRule="exact"/>
        <w:rPr>
          <w:sz w:val="20"/>
          <w:szCs w:val="20"/>
          <w:color w:val="auto"/>
        </w:rPr>
      </w:pPr>
    </w:p>
    <w:p>
      <w:pPr>
        <w:ind w:left="1220" w:right="280" w:hanging="250"/>
        <w:spacing w:after="0" w:line="253" w:lineRule="auto"/>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Nye was not a named executive officer for purposes of the Summary Compensation Table in 2006. The amount shown in column (i) includes a relocation bonus of $74,019 paid in connection with his moving allowance.</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Grants of Plan-Based Awards</w:t>
      </w:r>
    </w:p>
    <w:p>
      <w:pPr>
        <w:spacing w:after="0" w:line="121" w:lineRule="exact"/>
        <w:rPr>
          <w:sz w:val="20"/>
          <w:szCs w:val="20"/>
          <w:color w:val="auto"/>
        </w:rPr>
      </w:pPr>
    </w:p>
    <w:p>
      <w:pPr>
        <w:jc w:val="both"/>
        <w:ind w:left="980" w:right="40" w:firstLine="609"/>
        <w:spacing w:after="0" w:line="250" w:lineRule="auto"/>
        <w:rPr>
          <w:sz w:val="20"/>
          <w:szCs w:val="20"/>
          <w:color w:val="auto"/>
        </w:rPr>
      </w:pPr>
      <w:r>
        <w:rPr>
          <w:rFonts w:ascii="Arial" w:cs="Arial" w:eastAsia="Arial" w:hAnsi="Arial"/>
          <w:sz w:val="20"/>
          <w:szCs w:val="20"/>
          <w:color w:val="auto"/>
        </w:rPr>
        <w:t>The table below shows each grant of an award made to a named executive officer in the fiscal year ended December 31, 2008. This includes equity awards made to the named executive officers under the Corporation’s Stock-Based Award Plan and the Incentive Stock Plan.</w:t>
      </w:r>
    </w:p>
    <w:p>
      <w:pPr>
        <w:spacing w:after="0" w:line="302"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GRANTS OF PLAN-BASED AWARDS TABLE</w:t>
      </w:r>
    </w:p>
    <w:p>
      <w:pPr>
        <w:spacing w:after="0" w:line="138" w:lineRule="exact"/>
        <w:rPr>
          <w:sz w:val="20"/>
          <w:szCs w:val="20"/>
          <w:color w:val="auto"/>
        </w:rPr>
      </w:pPr>
    </w:p>
    <w:tbl>
      <w:tblPr>
        <w:tblLayout w:type="fixed"/>
        <w:tblInd w:w="960" w:type="dxa"/>
        <w:tblCellMar>
          <w:top w:w="0" w:type="dxa"/>
          <w:left w:w="0" w:type="dxa"/>
          <w:bottom w:w="0" w:type="dxa"/>
          <w:right w:w="0" w:type="dxa"/>
        </w:tblCellMar>
      </w:tblPr>
      <w:tr>
        <w:trPr>
          <w:trHeight w:val="121"/>
        </w:trPr>
        <w:tc>
          <w:tcPr>
            <w:tcW w:w="20" w:type="dxa"/>
            <w:vAlign w:val="bottom"/>
            <w:tcBorders>
              <w:top w:val="single" w:sz="8" w:color="auto"/>
            </w:tcBorders>
            <w:shd w:val="clear" w:color="auto" w:fill="000000"/>
          </w:tcPr>
          <w:p>
            <w:pPr>
              <w:spacing w:after="0"/>
              <w:rPr>
                <w:sz w:val="10"/>
                <w:szCs w:val="10"/>
                <w:color w:val="auto"/>
              </w:rPr>
            </w:pPr>
          </w:p>
        </w:tc>
        <w:tc>
          <w:tcPr>
            <w:tcW w:w="2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46"/>
              <w:spacing w:after="0" w:line="122" w:lineRule="exact"/>
              <w:rPr>
                <w:sz w:val="20"/>
                <w:szCs w:val="20"/>
                <w:color w:val="auto"/>
              </w:rPr>
            </w:pPr>
            <w:r>
              <w:rPr>
                <w:rFonts w:ascii="Arial" w:cs="Arial" w:eastAsia="Arial" w:hAnsi="Arial"/>
                <w:sz w:val="11"/>
                <w:szCs w:val="11"/>
                <w:b w:val="1"/>
                <w:bCs w:val="1"/>
                <w:color w:val="auto"/>
                <w:w w:val="94"/>
              </w:rPr>
              <w:t>All Other</w:t>
            </w:r>
          </w:p>
        </w:tc>
        <w:tc>
          <w:tcPr>
            <w:tcW w:w="8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4"/>
              </w:rPr>
              <w:t>All Other</w:t>
            </w:r>
          </w:p>
        </w:tc>
        <w:tc>
          <w:tcPr>
            <w:tcW w:w="7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5"/>
              </w:rPr>
              <w:t>Option</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6"/>
              </w:rPr>
              <w:t>Stock</w:t>
            </w:r>
          </w:p>
        </w:tc>
        <w:tc>
          <w:tcPr>
            <w:tcW w:w="7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7"/>
              </w:rPr>
              <w:t>Awards: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7"/>
              </w:rPr>
              <w:t>Awards:</w:t>
            </w:r>
          </w:p>
        </w:tc>
        <w:tc>
          <w:tcPr>
            <w:tcW w:w="7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0"/>
              </w:rPr>
              <w:t>Number of</w:t>
            </w:r>
          </w:p>
        </w:tc>
        <w:tc>
          <w:tcPr>
            <w:tcW w:w="820" w:type="dxa"/>
            <w:vAlign w:val="bottom"/>
          </w:tcPr>
          <w:p>
            <w:pPr>
              <w:spacing w:after="0"/>
              <w:rPr>
                <w:sz w:val="10"/>
                <w:szCs w:val="10"/>
                <w:color w:val="auto"/>
              </w:rPr>
            </w:pPr>
          </w:p>
        </w:tc>
        <w:tc>
          <w:tcPr>
            <w:tcW w:w="6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0"/>
              </w:rPr>
              <w:t>Number of</w:t>
            </w:r>
          </w:p>
        </w:tc>
        <w:tc>
          <w:tcPr>
            <w:tcW w:w="7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7"/>
              </w:rPr>
              <w:t>Securities</w:t>
            </w:r>
          </w:p>
        </w:tc>
        <w:tc>
          <w:tcPr>
            <w:tcW w:w="8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7"/>
              </w:rPr>
              <w:t>Exercise or</w:t>
            </w:r>
          </w:p>
        </w:tc>
        <w:tc>
          <w:tcPr>
            <w:tcW w:w="6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1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Estimated Possible Payouts Under</w:t>
            </w:r>
          </w:p>
        </w:tc>
        <w:tc>
          <w:tcPr>
            <w:tcW w:w="21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Estimated Future Payouts Under</w:t>
            </w: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3"/>
              </w:rPr>
              <w:t>Shares of</w:t>
            </w:r>
          </w:p>
        </w:tc>
        <w:tc>
          <w:tcPr>
            <w:tcW w:w="72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0"/>
              </w:rPr>
              <w:t>Underlying</w:t>
            </w:r>
          </w:p>
        </w:tc>
        <w:tc>
          <w:tcPr>
            <w:tcW w:w="82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5"/>
              </w:rPr>
              <w:t>Base Price</w:t>
            </w:r>
          </w:p>
        </w:tc>
        <w:tc>
          <w:tcPr>
            <w:tcW w:w="6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2"/>
              </w:rPr>
              <w:t>of Stock</w:t>
            </w: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shd w:val="clear" w:color="auto" w:fill="000000"/>
          </w:tcPr>
          <w:p>
            <w:pPr>
              <w:spacing w:after="0"/>
              <w:rPr>
                <w:sz w:val="11"/>
                <w:szCs w:val="11"/>
                <w:color w:val="auto"/>
              </w:rPr>
            </w:pPr>
          </w:p>
        </w:tc>
        <w:tc>
          <w:tcPr>
            <w:tcW w:w="2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Non-Equity Incentive Plan Awards</w:t>
            </w:r>
            <w:r>
              <w:rPr>
                <w:rFonts w:ascii="Arial" w:cs="Arial" w:eastAsia="Arial" w:hAnsi="Arial"/>
                <w:sz w:val="9"/>
                <w:szCs w:val="9"/>
                <w:b w:val="1"/>
                <w:bCs w:val="1"/>
                <w:color w:val="auto"/>
                <w:w w:val="90"/>
              </w:rPr>
              <w:t>(1)</w:t>
            </w:r>
          </w:p>
        </w:tc>
        <w:tc>
          <w:tcPr>
            <w:tcW w:w="160" w:type="dxa"/>
            <w:vAlign w:val="bottom"/>
          </w:tcPr>
          <w:p>
            <w:pPr>
              <w:spacing w:after="0"/>
              <w:rPr>
                <w:sz w:val="11"/>
                <w:szCs w:val="1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Equity Incentive Plan Awards</w:t>
            </w:r>
          </w:p>
        </w:tc>
        <w:tc>
          <w:tcPr>
            <w:tcW w:w="160" w:type="dxa"/>
            <w:vAlign w:val="bottom"/>
          </w:tcPr>
          <w:p>
            <w:pPr>
              <w:spacing w:after="0"/>
              <w:rPr>
                <w:sz w:val="11"/>
                <w:szCs w:val="11"/>
                <w:color w:val="auto"/>
              </w:rPr>
            </w:pPr>
          </w:p>
        </w:tc>
        <w:tc>
          <w:tcPr>
            <w:tcW w:w="660" w:type="dxa"/>
            <w:vAlign w:val="bottom"/>
          </w:tcPr>
          <w:p>
            <w:pPr>
              <w:jc w:val="center"/>
              <w:ind w:right="106"/>
              <w:spacing w:after="0"/>
              <w:rPr>
                <w:sz w:val="20"/>
                <w:szCs w:val="20"/>
                <w:color w:val="auto"/>
              </w:rPr>
            </w:pPr>
            <w:r>
              <w:rPr>
                <w:rFonts w:ascii="Arial" w:cs="Arial" w:eastAsia="Arial" w:hAnsi="Arial"/>
                <w:sz w:val="11"/>
                <w:szCs w:val="11"/>
                <w:b w:val="1"/>
                <w:bCs w:val="1"/>
                <w:color w:val="auto"/>
                <w:w w:val="86"/>
              </w:rPr>
              <w:t>Stock or</w:t>
            </w:r>
          </w:p>
        </w:tc>
        <w:tc>
          <w:tcPr>
            <w:tcW w:w="720" w:type="dxa"/>
            <w:vAlign w:val="bottom"/>
          </w:tcPr>
          <w:p>
            <w:pPr>
              <w:jc w:val="center"/>
              <w:ind w:right="126"/>
              <w:spacing w:after="0"/>
              <w:rPr>
                <w:sz w:val="20"/>
                <w:szCs w:val="20"/>
                <w:color w:val="auto"/>
              </w:rPr>
            </w:pPr>
            <w:r>
              <w:rPr>
                <w:rFonts w:ascii="Arial" w:cs="Arial" w:eastAsia="Arial" w:hAnsi="Arial"/>
                <w:sz w:val="11"/>
                <w:szCs w:val="11"/>
                <w:b w:val="1"/>
                <w:bCs w:val="1"/>
                <w:color w:val="auto"/>
                <w:w w:val="91"/>
              </w:rPr>
              <w:t>Options</w:t>
            </w: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89"/>
              </w:rPr>
              <w:t>of Option</w:t>
            </w:r>
          </w:p>
        </w:tc>
        <w:tc>
          <w:tcPr>
            <w:tcW w:w="6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and Option</w:t>
            </w:r>
          </w:p>
        </w:tc>
        <w:tc>
          <w:tcPr>
            <w:tcW w:w="0" w:type="dxa"/>
            <w:vAlign w:val="bottom"/>
          </w:tcPr>
          <w:p>
            <w:pPr>
              <w:spacing w:after="0"/>
              <w:rPr>
                <w:sz w:val="1"/>
                <w:szCs w:val="1"/>
                <w:color w:val="auto"/>
              </w:rPr>
            </w:pPr>
          </w:p>
        </w:tc>
      </w:tr>
      <w:tr>
        <w:trPr>
          <w:trHeight w:val="101"/>
        </w:trPr>
        <w:tc>
          <w:tcPr>
            <w:tcW w:w="20" w:type="dxa"/>
            <w:vAlign w:val="bottom"/>
            <w:shd w:val="clear" w:color="auto" w:fill="000000"/>
          </w:tcPr>
          <w:p>
            <w:pPr>
              <w:spacing w:after="0"/>
              <w:rPr>
                <w:sz w:val="8"/>
                <w:szCs w:val="8"/>
                <w:color w:val="auto"/>
              </w:rPr>
            </w:pPr>
          </w:p>
        </w:tc>
        <w:tc>
          <w:tcPr>
            <w:tcW w:w="2140" w:type="dxa"/>
            <w:vAlign w:val="bottom"/>
          </w:tcPr>
          <w:p>
            <w:pPr>
              <w:ind w:left="920"/>
              <w:spacing w:after="0" w:line="102" w:lineRule="exact"/>
              <w:rPr>
                <w:sz w:val="20"/>
                <w:szCs w:val="20"/>
                <w:color w:val="auto"/>
              </w:rPr>
            </w:pPr>
            <w:r>
              <w:rPr>
                <w:rFonts w:ascii="Arial" w:cs="Arial" w:eastAsia="Arial" w:hAnsi="Arial"/>
                <w:sz w:val="11"/>
                <w:szCs w:val="11"/>
                <w:b w:val="1"/>
                <w:bCs w:val="1"/>
                <w:color w:val="auto"/>
              </w:rPr>
              <w:t>Name</w:t>
            </w:r>
          </w:p>
        </w:tc>
        <w:tc>
          <w:tcPr>
            <w:tcW w:w="800" w:type="dxa"/>
            <w:vAlign w:val="bottom"/>
          </w:tcPr>
          <w:p>
            <w:pPr>
              <w:jc w:val="right"/>
              <w:ind w:right="226"/>
              <w:spacing w:after="0" w:line="102" w:lineRule="exact"/>
              <w:rPr>
                <w:sz w:val="20"/>
                <w:szCs w:val="20"/>
                <w:color w:val="auto"/>
              </w:rPr>
            </w:pPr>
            <w:r>
              <w:rPr>
                <w:rFonts w:ascii="Arial" w:cs="Arial" w:eastAsia="Arial" w:hAnsi="Arial"/>
                <w:sz w:val="11"/>
                <w:szCs w:val="11"/>
                <w:b w:val="1"/>
                <w:bCs w:val="1"/>
                <w:color w:val="auto"/>
                <w:w w:val="88"/>
              </w:rPr>
              <w:t>Grant Date</w:t>
            </w:r>
          </w:p>
        </w:tc>
        <w:tc>
          <w:tcPr>
            <w:tcW w:w="1400" w:type="dxa"/>
            <w:vAlign w:val="bottom"/>
            <w:gridSpan w:val="2"/>
          </w:tcPr>
          <w:p>
            <w:pPr>
              <w:jc w:val="right"/>
              <w:ind w:right="106"/>
              <w:spacing w:after="0" w:line="102" w:lineRule="exact"/>
              <w:rPr>
                <w:sz w:val="20"/>
                <w:szCs w:val="20"/>
                <w:color w:val="auto"/>
              </w:rPr>
            </w:pPr>
            <w:r>
              <w:rPr>
                <w:rFonts w:ascii="Arial" w:cs="Arial" w:eastAsia="Arial" w:hAnsi="Arial"/>
                <w:sz w:val="11"/>
                <w:szCs w:val="11"/>
                <w:b w:val="1"/>
                <w:bCs w:val="1"/>
                <w:color w:val="auto"/>
                <w:w w:val="94"/>
              </w:rPr>
              <w:t>Threshold ($)   Target ($)</w:t>
            </w:r>
          </w:p>
        </w:tc>
        <w:tc>
          <w:tcPr>
            <w:tcW w:w="780" w:type="dxa"/>
            <w:vAlign w:val="bottom"/>
            <w:gridSpan w:val="2"/>
          </w:tcPr>
          <w:p>
            <w:pPr>
              <w:jc w:val="right"/>
              <w:ind w:right="140"/>
              <w:spacing w:after="0" w:line="102" w:lineRule="exact"/>
              <w:rPr>
                <w:sz w:val="20"/>
                <w:szCs w:val="20"/>
                <w:color w:val="auto"/>
              </w:rPr>
            </w:pPr>
            <w:r>
              <w:rPr>
                <w:rFonts w:ascii="Arial" w:cs="Arial" w:eastAsia="Arial" w:hAnsi="Arial"/>
                <w:sz w:val="11"/>
                <w:szCs w:val="11"/>
                <w:b w:val="1"/>
                <w:bCs w:val="1"/>
                <w:color w:val="auto"/>
                <w:w w:val="92"/>
              </w:rPr>
              <w:t>Maximum ($)</w:t>
            </w:r>
          </w:p>
        </w:tc>
        <w:tc>
          <w:tcPr>
            <w:tcW w:w="780" w:type="dxa"/>
            <w:vAlign w:val="bottom"/>
          </w:tcPr>
          <w:p>
            <w:pPr>
              <w:jc w:val="center"/>
              <w:ind w:right="106"/>
              <w:spacing w:after="0" w:line="102" w:lineRule="exact"/>
              <w:rPr>
                <w:sz w:val="20"/>
                <w:szCs w:val="20"/>
                <w:color w:val="auto"/>
              </w:rPr>
            </w:pPr>
            <w:r>
              <w:rPr>
                <w:rFonts w:ascii="Arial" w:cs="Arial" w:eastAsia="Arial" w:hAnsi="Arial"/>
                <w:sz w:val="11"/>
                <w:szCs w:val="11"/>
                <w:b w:val="1"/>
                <w:bCs w:val="1"/>
                <w:color w:val="auto"/>
                <w:w w:val="88"/>
              </w:rPr>
              <w:t>Threshold (#)</w:t>
            </w:r>
          </w:p>
        </w:tc>
        <w:tc>
          <w:tcPr>
            <w:tcW w:w="600" w:type="dxa"/>
            <w:vAlign w:val="bottom"/>
          </w:tcPr>
          <w:p>
            <w:pPr>
              <w:jc w:val="center"/>
              <w:ind w:right="86"/>
              <w:spacing w:after="0" w:line="102" w:lineRule="exact"/>
              <w:rPr>
                <w:sz w:val="20"/>
                <w:szCs w:val="20"/>
                <w:color w:val="auto"/>
              </w:rPr>
            </w:pPr>
            <w:r>
              <w:rPr>
                <w:rFonts w:ascii="Arial" w:cs="Arial" w:eastAsia="Arial" w:hAnsi="Arial"/>
                <w:sz w:val="11"/>
                <w:szCs w:val="11"/>
                <w:b w:val="1"/>
                <w:bCs w:val="1"/>
                <w:color w:val="auto"/>
                <w:w w:val="91"/>
              </w:rPr>
              <w:t>Target (#)</w:t>
            </w: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Maximum (#)</w:t>
            </w:r>
          </w:p>
        </w:tc>
        <w:tc>
          <w:tcPr>
            <w:tcW w:w="160" w:type="dxa"/>
            <w:vAlign w:val="bottom"/>
          </w:tcPr>
          <w:p>
            <w:pPr>
              <w:spacing w:after="0"/>
              <w:rPr>
                <w:sz w:val="8"/>
                <w:szCs w:val="8"/>
                <w:color w:val="auto"/>
              </w:rPr>
            </w:pPr>
          </w:p>
        </w:tc>
        <w:tc>
          <w:tcPr>
            <w:tcW w:w="660" w:type="dxa"/>
            <w:vAlign w:val="bottom"/>
          </w:tcPr>
          <w:p>
            <w:pPr>
              <w:jc w:val="center"/>
              <w:ind w:right="126"/>
              <w:spacing w:after="0" w:line="102" w:lineRule="exact"/>
              <w:rPr>
                <w:sz w:val="20"/>
                <w:szCs w:val="20"/>
                <w:color w:val="auto"/>
              </w:rPr>
            </w:pPr>
            <w:r>
              <w:rPr>
                <w:rFonts w:ascii="Arial" w:cs="Arial" w:eastAsia="Arial" w:hAnsi="Arial"/>
                <w:sz w:val="11"/>
                <w:szCs w:val="11"/>
                <w:b w:val="1"/>
                <w:bCs w:val="1"/>
                <w:color w:val="auto"/>
                <w:w w:val="90"/>
              </w:rPr>
              <w:t>Units (#)</w:t>
            </w:r>
          </w:p>
        </w:tc>
        <w:tc>
          <w:tcPr>
            <w:tcW w:w="720" w:type="dxa"/>
            <w:vAlign w:val="bottom"/>
          </w:tcPr>
          <w:p>
            <w:pPr>
              <w:jc w:val="center"/>
              <w:ind w:right="126"/>
              <w:spacing w:after="0" w:line="102" w:lineRule="exact"/>
              <w:rPr>
                <w:sz w:val="20"/>
                <w:szCs w:val="20"/>
                <w:color w:val="auto"/>
              </w:rPr>
            </w:pPr>
            <w:r>
              <w:rPr>
                <w:rFonts w:ascii="Arial" w:cs="Arial" w:eastAsia="Arial" w:hAnsi="Arial"/>
                <w:sz w:val="11"/>
                <w:szCs w:val="11"/>
                <w:b w:val="1"/>
                <w:bCs w:val="1"/>
                <w:color w:val="auto"/>
              </w:rPr>
              <w:t>(#)</w:t>
            </w:r>
          </w:p>
        </w:tc>
        <w:tc>
          <w:tcPr>
            <w:tcW w:w="820" w:type="dxa"/>
            <w:vAlign w:val="bottom"/>
          </w:tcPr>
          <w:p>
            <w:pPr>
              <w:jc w:val="center"/>
              <w:ind w:right="126"/>
              <w:spacing w:after="0" w:line="102" w:lineRule="exact"/>
              <w:rPr>
                <w:sz w:val="20"/>
                <w:szCs w:val="20"/>
                <w:color w:val="auto"/>
              </w:rPr>
            </w:pPr>
            <w:r>
              <w:rPr>
                <w:rFonts w:ascii="Arial" w:cs="Arial" w:eastAsia="Arial" w:hAnsi="Arial"/>
                <w:sz w:val="11"/>
                <w:szCs w:val="11"/>
                <w:b w:val="1"/>
                <w:bCs w:val="1"/>
                <w:color w:val="auto"/>
                <w:w w:val="87"/>
              </w:rPr>
              <w:t>Awards ($/Sh)</w:t>
            </w:r>
          </w:p>
        </w:tc>
        <w:tc>
          <w:tcPr>
            <w:tcW w:w="64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90"/>
              </w:rPr>
              <w:t>Awards</w:t>
            </w:r>
            <w:r>
              <w:rPr>
                <w:rFonts w:ascii="Arial" w:cs="Arial" w:eastAsia="Arial" w:hAnsi="Arial"/>
                <w:sz w:val="9"/>
                <w:szCs w:val="9"/>
                <w:b w:val="1"/>
                <w:bCs w:val="1"/>
                <w:color w:val="auto"/>
                <w:w w:val="90"/>
              </w:rPr>
              <w:t>(6)</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shd w:val="clear" w:color="auto" w:fill="000000"/>
          </w:tcPr>
          <w:p>
            <w:pPr>
              <w:spacing w:after="0"/>
              <w:rPr>
                <w:sz w:val="13"/>
                <w:szCs w:val="13"/>
                <w:color w:val="auto"/>
              </w:rPr>
            </w:pPr>
          </w:p>
        </w:tc>
        <w:tc>
          <w:tcPr>
            <w:tcW w:w="214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(a)</w:t>
            </w:r>
          </w:p>
        </w:tc>
        <w:tc>
          <w:tcPr>
            <w:tcW w:w="8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(b)</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(d)</w:t>
            </w:r>
          </w:p>
        </w:tc>
        <w:tc>
          <w:tcPr>
            <w:tcW w:w="7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(e)</w:t>
            </w: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0"/>
              </w:rPr>
              <w:t>(f)</w:t>
            </w:r>
          </w:p>
        </w:tc>
        <w:tc>
          <w:tcPr>
            <w:tcW w:w="6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9"/>
              </w:rPr>
              <w:t>(g)</w:t>
            </w: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9"/>
              </w:rPr>
              <w:t>(h)</w:t>
            </w:r>
          </w:p>
        </w:tc>
        <w:tc>
          <w:tcPr>
            <w:tcW w:w="6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5"/>
              </w:rPr>
              <w:t>(i)</w:t>
            </w:r>
          </w:p>
        </w:tc>
        <w:tc>
          <w:tcPr>
            <w:tcW w:w="72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5"/>
              </w:rPr>
              <w:t>(j)</w:t>
            </w:r>
          </w:p>
        </w:tc>
        <w:tc>
          <w:tcPr>
            <w:tcW w:w="82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88"/>
              </w:rPr>
              <w:t>(k)</w:t>
            </w:r>
          </w:p>
        </w:tc>
        <w:tc>
          <w:tcPr>
            <w:tcW w:w="6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125"/>
        </w:trPr>
        <w:tc>
          <w:tcPr>
            <w:tcW w:w="20" w:type="dxa"/>
            <w:vAlign w:val="bottom"/>
            <w:shd w:val="clear" w:color="auto" w:fill="000000"/>
          </w:tcPr>
          <w:p>
            <w:pPr>
              <w:spacing w:after="0"/>
              <w:rPr>
                <w:sz w:val="10"/>
                <w:szCs w:val="10"/>
                <w:color w:val="auto"/>
              </w:rPr>
            </w:pPr>
          </w:p>
        </w:tc>
        <w:tc>
          <w:tcPr>
            <w:tcW w:w="21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Stephen P. Zelnak, Jr.</w:t>
            </w:r>
          </w:p>
        </w:tc>
        <w:tc>
          <w:tcPr>
            <w:tcW w:w="800" w:type="dxa"/>
            <w:vAlign w:val="bottom"/>
          </w:tcPr>
          <w:p>
            <w:pPr>
              <w:jc w:val="right"/>
              <w:ind w:right="46"/>
              <w:spacing w:after="0" w:line="125" w:lineRule="exact"/>
              <w:rPr>
                <w:sz w:val="20"/>
                <w:szCs w:val="20"/>
                <w:color w:val="auto"/>
              </w:rPr>
            </w:pPr>
            <w:r>
              <w:rPr>
                <w:rFonts w:ascii="Arial" w:cs="Arial" w:eastAsia="Arial" w:hAnsi="Arial"/>
                <w:sz w:val="11"/>
                <w:szCs w:val="11"/>
                <w:color w:val="auto"/>
              </w:rPr>
              <w:t>2/1/08</w:t>
            </w:r>
            <w:r>
              <w:rPr>
                <w:rFonts w:ascii="Arial" w:cs="Arial" w:eastAsia="Arial" w:hAnsi="Arial"/>
                <w:sz w:val="9"/>
                <w:szCs w:val="9"/>
                <w:color w:val="auto"/>
              </w:rPr>
              <w:t>(1, 2)</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5" w:lineRule="exact"/>
              <w:rPr>
                <w:sz w:val="20"/>
                <w:szCs w:val="20"/>
                <w:color w:val="auto"/>
              </w:rPr>
            </w:pPr>
            <w:r>
              <w:rPr>
                <w:rFonts w:ascii="Arial" w:cs="Arial" w:eastAsia="Arial" w:hAnsi="Arial"/>
                <w:sz w:val="11"/>
                <w:szCs w:val="11"/>
                <w:color w:val="auto"/>
              </w:rPr>
              <w:t>6,375</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5" w:lineRule="exact"/>
              <w:rPr>
                <w:sz w:val="20"/>
                <w:szCs w:val="20"/>
                <w:color w:val="auto"/>
              </w:rPr>
            </w:pPr>
            <w:r>
              <w:rPr>
                <w:rFonts w:ascii="Arial" w:cs="Arial" w:eastAsia="Arial" w:hAnsi="Arial"/>
                <w:sz w:val="11"/>
                <w:szCs w:val="11"/>
                <w:color w:val="auto"/>
              </w:rPr>
              <w:t>785,910</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ind w:left="140"/>
              <w:spacing w:after="0" w:line="122" w:lineRule="exact"/>
              <w:rPr>
                <w:sz w:val="20"/>
                <w:szCs w:val="20"/>
                <w:color w:val="auto"/>
              </w:rPr>
            </w:pPr>
            <w:r>
              <w:rPr>
                <w:rFonts w:ascii="Arial" w:cs="Arial" w:eastAsia="Arial" w:hAnsi="Arial"/>
                <w:sz w:val="11"/>
                <w:szCs w:val="11"/>
                <w:color w:val="auto"/>
              </w:rPr>
              <w:t>Chairman and CEO</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(3)</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5,051</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412,768</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(4)</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22,536</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2,654,065</w:t>
            </w:r>
          </w:p>
        </w:tc>
        <w:tc>
          <w:tcPr>
            <w:tcW w:w="0" w:type="dxa"/>
            <w:vAlign w:val="bottom"/>
          </w:tcPr>
          <w:p>
            <w:pPr>
              <w:spacing w:after="0"/>
              <w:rPr>
                <w:sz w:val="1"/>
                <w:szCs w:val="1"/>
                <w:color w:val="auto"/>
              </w:rPr>
            </w:pPr>
          </w:p>
        </w:tc>
      </w:tr>
      <w:tr>
        <w:trPr>
          <w:trHeight w:val="131"/>
        </w:trPr>
        <w:tc>
          <w:tcPr>
            <w:tcW w:w="20" w:type="dxa"/>
            <w:vAlign w:val="bottom"/>
            <w:shd w:val="clear" w:color="auto" w:fill="000000"/>
          </w:tcPr>
          <w:p>
            <w:pPr>
              <w:spacing w:after="0"/>
              <w:rPr>
                <w:sz w:val="11"/>
                <w:szCs w:val="11"/>
                <w:color w:val="auto"/>
              </w:rPr>
            </w:pPr>
          </w:p>
        </w:tc>
        <w:tc>
          <w:tcPr>
            <w:tcW w:w="2140" w:type="dxa"/>
            <w:vAlign w:val="bottom"/>
            <w:vMerge w:val="restart"/>
          </w:tcPr>
          <w:p>
            <w:pPr>
              <w:spacing w:after="0"/>
              <w:rPr>
                <w:sz w:val="20"/>
                <w:szCs w:val="20"/>
                <w:color w:val="auto"/>
              </w:rPr>
            </w:pPr>
            <w:r>
              <w:rPr>
                <w:rFonts w:ascii="Arial" w:cs="Arial" w:eastAsia="Arial" w:hAnsi="Arial"/>
                <w:sz w:val="11"/>
                <w:szCs w:val="11"/>
                <w:b w:val="1"/>
                <w:bCs w:val="1"/>
                <w:color w:val="auto"/>
              </w:rPr>
              <w:t>Anne H. Lloyd</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(5)</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45,072</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117.77</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1,819,557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800" w:type="dxa"/>
            <w:vAlign w:val="bottom"/>
          </w:tcPr>
          <w:p>
            <w:pPr>
              <w:jc w:val="right"/>
              <w:ind w:right="46"/>
              <w:spacing w:after="0" w:line="112" w:lineRule="exact"/>
              <w:rPr>
                <w:sz w:val="20"/>
                <w:szCs w:val="20"/>
                <w:color w:val="auto"/>
              </w:rPr>
            </w:pPr>
            <w:r>
              <w:rPr>
                <w:rFonts w:ascii="Arial" w:cs="Arial" w:eastAsia="Arial" w:hAnsi="Arial"/>
                <w:sz w:val="11"/>
                <w:szCs w:val="11"/>
                <w:color w:val="auto"/>
              </w:rPr>
              <w:t>2/1/08</w:t>
            </w:r>
            <w:r>
              <w:rPr>
                <w:rFonts w:ascii="Arial" w:cs="Arial" w:eastAsia="Arial" w:hAnsi="Arial"/>
                <w:sz w:val="9"/>
                <w:szCs w:val="9"/>
                <w:color w:val="auto"/>
              </w:rPr>
              <w:t>(1, 2)</w:t>
            </w:r>
          </w:p>
        </w:tc>
        <w:tc>
          <w:tcPr>
            <w:tcW w:w="620" w:type="dxa"/>
            <w:vAlign w:val="bottom"/>
          </w:tcPr>
          <w:p>
            <w:pPr>
              <w:spacing w:after="0"/>
              <w:rPr>
                <w:sz w:val="9"/>
                <w:szCs w:val="9"/>
                <w:color w:val="auto"/>
              </w:rPr>
            </w:pPr>
          </w:p>
        </w:tc>
        <w:tc>
          <w:tcPr>
            <w:tcW w:w="780" w:type="dxa"/>
            <w:vAlign w:val="bottom"/>
          </w:tcPr>
          <w:p>
            <w:pPr>
              <w:jc w:val="right"/>
              <w:ind w:right="106"/>
              <w:spacing w:after="0" w:line="112" w:lineRule="exact"/>
              <w:rPr>
                <w:sz w:val="20"/>
                <w:szCs w:val="20"/>
                <w:color w:val="auto"/>
              </w:rPr>
            </w:pPr>
            <w:r>
              <w:rPr>
                <w:rFonts w:ascii="Arial" w:cs="Arial" w:eastAsia="Arial" w:hAnsi="Arial"/>
                <w:sz w:val="11"/>
                <w:szCs w:val="11"/>
                <w:color w:val="auto"/>
              </w:rPr>
              <w:t>344,000</w:t>
            </w:r>
          </w:p>
        </w:tc>
        <w:tc>
          <w:tcPr>
            <w:tcW w:w="780" w:type="dxa"/>
            <w:vAlign w:val="bottom"/>
            <w:gridSpan w:val="2"/>
          </w:tcPr>
          <w:p>
            <w:pPr>
              <w:jc w:val="right"/>
              <w:ind w:right="160"/>
              <w:spacing w:after="0" w:line="112" w:lineRule="exact"/>
              <w:rPr>
                <w:sz w:val="20"/>
                <w:szCs w:val="20"/>
                <w:color w:val="auto"/>
              </w:rPr>
            </w:pPr>
            <w:r>
              <w:rPr>
                <w:rFonts w:ascii="Arial" w:cs="Arial" w:eastAsia="Arial" w:hAnsi="Arial"/>
                <w:sz w:val="11"/>
                <w:szCs w:val="11"/>
                <w:color w:val="auto"/>
              </w:rPr>
              <w:t>516,000</w:t>
            </w: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106"/>
              <w:spacing w:after="0" w:line="112" w:lineRule="exact"/>
              <w:rPr>
                <w:sz w:val="20"/>
                <w:szCs w:val="20"/>
                <w:color w:val="auto"/>
              </w:rPr>
            </w:pPr>
            <w:r>
              <w:rPr>
                <w:rFonts w:ascii="Arial" w:cs="Arial" w:eastAsia="Arial" w:hAnsi="Arial"/>
                <w:sz w:val="11"/>
                <w:szCs w:val="11"/>
                <w:color w:val="auto"/>
              </w:rPr>
              <w:t>2,526</w:t>
            </w: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jc w:val="right"/>
              <w:ind w:right="26"/>
              <w:spacing w:after="0" w:line="112" w:lineRule="exact"/>
              <w:rPr>
                <w:sz w:val="20"/>
                <w:szCs w:val="20"/>
                <w:color w:val="auto"/>
              </w:rPr>
            </w:pPr>
            <w:r>
              <w:rPr>
                <w:rFonts w:ascii="Arial" w:cs="Arial" w:eastAsia="Arial" w:hAnsi="Arial"/>
                <w:sz w:val="11"/>
                <w:szCs w:val="11"/>
                <w:color w:val="auto"/>
              </w:rPr>
              <w:t>311,405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Pr>
          <w:p>
            <w:pPr>
              <w:ind w:left="100"/>
              <w:spacing w:after="0" w:line="122" w:lineRule="exact"/>
              <w:rPr>
                <w:sz w:val="20"/>
                <w:szCs w:val="20"/>
                <w:color w:val="auto"/>
              </w:rPr>
            </w:pPr>
            <w:r>
              <w:rPr>
                <w:rFonts w:ascii="Arial" w:cs="Arial" w:eastAsia="Arial" w:hAnsi="Arial"/>
                <w:sz w:val="11"/>
                <w:szCs w:val="11"/>
                <w:color w:val="auto"/>
              </w:rPr>
              <w:t>Senior Vice President,</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(3)</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790</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64,559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Pr>
          <w:p>
            <w:pPr>
              <w:ind w:left="100"/>
              <w:spacing w:after="0" w:line="122" w:lineRule="exact"/>
              <w:rPr>
                <w:sz w:val="20"/>
                <w:szCs w:val="20"/>
                <w:color w:val="auto"/>
              </w:rPr>
            </w:pPr>
            <w:r>
              <w:rPr>
                <w:rFonts w:ascii="Arial" w:cs="Arial" w:eastAsia="Arial" w:hAnsi="Arial"/>
                <w:sz w:val="11"/>
                <w:szCs w:val="11"/>
                <w:color w:val="auto"/>
              </w:rPr>
              <w:t>CFO and Treasurer</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(4)</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5,131</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604,278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 Howard Nye</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(5)</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10,263</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117.77</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414,317</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vMerge w:val="continue"/>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2/1/08</w:t>
            </w:r>
            <w:r>
              <w:rPr>
                <w:rFonts w:ascii="Arial" w:cs="Arial" w:eastAsia="Arial" w:hAnsi="Arial"/>
                <w:sz w:val="9"/>
                <w:szCs w:val="9"/>
                <w:color w:val="auto"/>
              </w:rPr>
              <w:t>(1, 2)</w:t>
            </w:r>
          </w:p>
        </w:tc>
        <w:tc>
          <w:tcPr>
            <w:tcW w:w="620" w:type="dxa"/>
            <w:vAlign w:val="bottom"/>
          </w:tcPr>
          <w:p>
            <w:pPr>
              <w:spacing w:after="0"/>
              <w:rPr>
                <w:sz w:val="10"/>
                <w:szCs w:val="10"/>
                <w:color w:val="auto"/>
              </w:rPr>
            </w:pPr>
          </w:p>
        </w:tc>
        <w:tc>
          <w:tcPr>
            <w:tcW w:w="7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582,000</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873,000</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3,819</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470,806</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ind w:left="140"/>
              <w:spacing w:after="0" w:line="122" w:lineRule="exact"/>
              <w:rPr>
                <w:sz w:val="20"/>
                <w:szCs w:val="20"/>
                <w:color w:val="auto"/>
              </w:rPr>
            </w:pPr>
            <w:r>
              <w:rPr>
                <w:rFonts w:ascii="Arial" w:cs="Arial" w:eastAsia="Arial" w:hAnsi="Arial"/>
                <w:sz w:val="11"/>
                <w:szCs w:val="11"/>
                <w:color w:val="auto"/>
              </w:rPr>
              <w:t>President and COO</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(3)</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1,336</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109,178</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(4)</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7,854</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924,966</w:t>
            </w:r>
          </w:p>
        </w:tc>
        <w:tc>
          <w:tcPr>
            <w:tcW w:w="0" w:type="dxa"/>
            <w:vAlign w:val="bottom"/>
          </w:tcPr>
          <w:p>
            <w:pPr>
              <w:spacing w:after="0"/>
              <w:rPr>
                <w:sz w:val="1"/>
                <w:szCs w:val="1"/>
                <w:color w:val="auto"/>
              </w:rPr>
            </w:pPr>
          </w:p>
        </w:tc>
      </w:tr>
      <w:tr>
        <w:trPr>
          <w:trHeight w:val="131"/>
        </w:trPr>
        <w:tc>
          <w:tcPr>
            <w:tcW w:w="20" w:type="dxa"/>
            <w:vAlign w:val="bottom"/>
            <w:shd w:val="clear" w:color="auto" w:fill="000000"/>
          </w:tcPr>
          <w:p>
            <w:pPr>
              <w:spacing w:after="0"/>
              <w:rPr>
                <w:sz w:val="11"/>
                <w:szCs w:val="11"/>
                <w:color w:val="auto"/>
              </w:rPr>
            </w:pPr>
          </w:p>
        </w:tc>
        <w:tc>
          <w:tcPr>
            <w:tcW w:w="2140" w:type="dxa"/>
            <w:vAlign w:val="bottom"/>
            <w:vMerge w:val="restart"/>
          </w:tcPr>
          <w:p>
            <w:pPr>
              <w:spacing w:after="0"/>
              <w:rPr>
                <w:sz w:val="20"/>
                <w:szCs w:val="20"/>
                <w:color w:val="auto"/>
              </w:rPr>
            </w:pPr>
            <w:r>
              <w:rPr>
                <w:rFonts w:ascii="Arial" w:cs="Arial" w:eastAsia="Arial" w:hAnsi="Arial"/>
                <w:sz w:val="11"/>
                <w:szCs w:val="11"/>
                <w:b w:val="1"/>
                <w:bCs w:val="1"/>
                <w:color w:val="auto"/>
              </w:rPr>
              <w:t>Philip J. Sipling</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(5)</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15,707</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117.77</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634,092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800" w:type="dxa"/>
            <w:vAlign w:val="bottom"/>
          </w:tcPr>
          <w:p>
            <w:pPr>
              <w:jc w:val="right"/>
              <w:ind w:right="46"/>
              <w:spacing w:after="0" w:line="112" w:lineRule="exact"/>
              <w:rPr>
                <w:sz w:val="20"/>
                <w:szCs w:val="20"/>
                <w:color w:val="auto"/>
              </w:rPr>
            </w:pPr>
            <w:r>
              <w:rPr>
                <w:rFonts w:ascii="Arial" w:cs="Arial" w:eastAsia="Arial" w:hAnsi="Arial"/>
                <w:sz w:val="11"/>
                <w:szCs w:val="11"/>
                <w:color w:val="auto"/>
              </w:rPr>
              <w:t>2/1/08</w:t>
            </w:r>
            <w:r>
              <w:rPr>
                <w:rFonts w:ascii="Arial" w:cs="Arial" w:eastAsia="Arial" w:hAnsi="Arial"/>
                <w:sz w:val="9"/>
                <w:szCs w:val="9"/>
                <w:color w:val="auto"/>
              </w:rPr>
              <w:t>(1, 2)</w:t>
            </w:r>
          </w:p>
        </w:tc>
        <w:tc>
          <w:tcPr>
            <w:tcW w:w="620" w:type="dxa"/>
            <w:vAlign w:val="bottom"/>
          </w:tcPr>
          <w:p>
            <w:pPr>
              <w:spacing w:after="0"/>
              <w:rPr>
                <w:sz w:val="9"/>
                <w:szCs w:val="9"/>
                <w:color w:val="auto"/>
              </w:rPr>
            </w:pPr>
          </w:p>
        </w:tc>
        <w:tc>
          <w:tcPr>
            <w:tcW w:w="780" w:type="dxa"/>
            <w:vAlign w:val="bottom"/>
          </w:tcPr>
          <w:p>
            <w:pPr>
              <w:jc w:val="right"/>
              <w:ind w:right="106"/>
              <w:spacing w:after="0" w:line="112" w:lineRule="exact"/>
              <w:rPr>
                <w:sz w:val="20"/>
                <w:szCs w:val="20"/>
                <w:color w:val="auto"/>
              </w:rPr>
            </w:pPr>
            <w:r>
              <w:rPr>
                <w:rFonts w:ascii="Arial" w:cs="Arial" w:eastAsia="Arial" w:hAnsi="Arial"/>
                <w:sz w:val="11"/>
                <w:szCs w:val="11"/>
                <w:color w:val="auto"/>
              </w:rPr>
              <w:t>361,920</w:t>
            </w:r>
          </w:p>
        </w:tc>
        <w:tc>
          <w:tcPr>
            <w:tcW w:w="780" w:type="dxa"/>
            <w:vAlign w:val="bottom"/>
            <w:gridSpan w:val="2"/>
          </w:tcPr>
          <w:p>
            <w:pPr>
              <w:jc w:val="right"/>
              <w:ind w:right="160"/>
              <w:spacing w:after="0" w:line="112" w:lineRule="exact"/>
              <w:rPr>
                <w:sz w:val="20"/>
                <w:szCs w:val="20"/>
                <w:color w:val="auto"/>
              </w:rPr>
            </w:pPr>
            <w:r>
              <w:rPr>
                <w:rFonts w:ascii="Arial" w:cs="Arial" w:eastAsia="Arial" w:hAnsi="Arial"/>
                <w:sz w:val="11"/>
                <w:szCs w:val="11"/>
                <w:color w:val="auto"/>
              </w:rPr>
              <w:t>542,880</w:t>
            </w: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106"/>
              <w:spacing w:after="0" w:line="112" w:lineRule="exact"/>
              <w:rPr>
                <w:sz w:val="20"/>
                <w:szCs w:val="20"/>
                <w:color w:val="auto"/>
              </w:rPr>
            </w:pPr>
            <w:r>
              <w:rPr>
                <w:rFonts w:ascii="Arial" w:cs="Arial" w:eastAsia="Arial" w:hAnsi="Arial"/>
                <w:sz w:val="11"/>
                <w:szCs w:val="11"/>
                <w:color w:val="auto"/>
              </w:rPr>
              <w:t>2,721</w:t>
            </w: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jc w:val="right"/>
              <w:ind w:right="26"/>
              <w:spacing w:after="0" w:line="112" w:lineRule="exact"/>
              <w:rPr>
                <w:sz w:val="20"/>
                <w:szCs w:val="20"/>
                <w:color w:val="auto"/>
              </w:rPr>
            </w:pPr>
            <w:r>
              <w:rPr>
                <w:rFonts w:ascii="Arial" w:cs="Arial" w:eastAsia="Arial" w:hAnsi="Arial"/>
                <w:sz w:val="11"/>
                <w:szCs w:val="11"/>
                <w:color w:val="auto"/>
              </w:rPr>
              <w:t>335,445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Pr>
          <w:p>
            <w:pPr>
              <w:ind w:left="100"/>
              <w:spacing w:after="0" w:line="122" w:lineRule="exact"/>
              <w:rPr>
                <w:sz w:val="20"/>
                <w:szCs w:val="20"/>
                <w:color w:val="auto"/>
              </w:rPr>
            </w:pPr>
            <w:r>
              <w:rPr>
                <w:rFonts w:ascii="Arial" w:cs="Arial" w:eastAsia="Arial" w:hAnsi="Arial"/>
                <w:sz w:val="11"/>
                <w:szCs w:val="11"/>
                <w:color w:val="auto"/>
              </w:rPr>
              <w:t>Executive Vice</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(4)</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5,131</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604,278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40" w:type="dxa"/>
            <w:vAlign w:val="bottom"/>
          </w:tcPr>
          <w:p>
            <w:pPr>
              <w:ind w:left="100"/>
              <w:spacing w:after="0" w:line="118" w:lineRule="exact"/>
              <w:rPr>
                <w:sz w:val="20"/>
                <w:szCs w:val="20"/>
                <w:color w:val="auto"/>
              </w:rPr>
            </w:pPr>
            <w:r>
              <w:rPr>
                <w:rFonts w:ascii="Arial" w:cs="Arial" w:eastAsia="Arial" w:hAnsi="Arial"/>
                <w:sz w:val="11"/>
                <w:szCs w:val="11"/>
                <w:color w:val="auto"/>
              </w:rPr>
              <w:t>President</w:t>
            </w:r>
          </w:p>
        </w:tc>
        <w:tc>
          <w:tcPr>
            <w:tcW w:w="800" w:type="dxa"/>
            <w:vAlign w:val="bottom"/>
          </w:tcPr>
          <w:p>
            <w:pPr>
              <w:jc w:val="right"/>
              <w:ind w:right="126"/>
              <w:spacing w:after="0" w:line="118"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(5)</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right"/>
              <w:ind w:right="146"/>
              <w:spacing w:after="0" w:line="118" w:lineRule="exact"/>
              <w:rPr>
                <w:sz w:val="20"/>
                <w:szCs w:val="20"/>
                <w:color w:val="auto"/>
              </w:rPr>
            </w:pPr>
            <w:r>
              <w:rPr>
                <w:rFonts w:ascii="Arial" w:cs="Arial" w:eastAsia="Arial" w:hAnsi="Arial"/>
                <w:sz w:val="11"/>
                <w:szCs w:val="11"/>
                <w:color w:val="auto"/>
              </w:rPr>
              <w:t>10,263</w:t>
            </w:r>
          </w:p>
        </w:tc>
        <w:tc>
          <w:tcPr>
            <w:tcW w:w="820" w:type="dxa"/>
            <w:vAlign w:val="bottom"/>
          </w:tcPr>
          <w:p>
            <w:pPr>
              <w:jc w:val="right"/>
              <w:ind w:right="126"/>
              <w:spacing w:after="0" w:line="118" w:lineRule="exact"/>
              <w:rPr>
                <w:sz w:val="20"/>
                <w:szCs w:val="20"/>
                <w:color w:val="auto"/>
              </w:rPr>
            </w:pPr>
            <w:r>
              <w:rPr>
                <w:rFonts w:ascii="Arial" w:cs="Arial" w:eastAsia="Arial" w:hAnsi="Arial"/>
                <w:sz w:val="11"/>
                <w:szCs w:val="11"/>
                <w:color w:val="auto"/>
              </w:rPr>
              <w:t>117.77</w:t>
            </w:r>
          </w:p>
        </w:tc>
        <w:tc>
          <w:tcPr>
            <w:tcW w:w="640" w:type="dxa"/>
            <w:vAlign w:val="bottom"/>
          </w:tcPr>
          <w:p>
            <w:pPr>
              <w:jc w:val="right"/>
              <w:ind w:right="26"/>
              <w:spacing w:after="0" w:line="118" w:lineRule="exact"/>
              <w:rPr>
                <w:sz w:val="20"/>
                <w:szCs w:val="20"/>
                <w:color w:val="auto"/>
              </w:rPr>
            </w:pPr>
            <w:r>
              <w:rPr>
                <w:rFonts w:ascii="Arial" w:cs="Arial" w:eastAsia="Arial" w:hAnsi="Arial"/>
                <w:sz w:val="11"/>
                <w:szCs w:val="11"/>
                <w:color w:val="auto"/>
              </w:rPr>
              <w:t>414,317</w:t>
            </w:r>
          </w:p>
        </w:tc>
        <w:tc>
          <w:tcPr>
            <w:tcW w:w="0" w:type="dxa"/>
            <w:vAlign w:val="bottom"/>
          </w:tcPr>
          <w:p>
            <w:pPr>
              <w:spacing w:after="0"/>
              <w:rPr>
                <w:sz w:val="1"/>
                <w:szCs w:val="1"/>
                <w:color w:val="auto"/>
              </w:rPr>
            </w:pPr>
          </w:p>
        </w:tc>
      </w:tr>
      <w:tr>
        <w:trPr>
          <w:trHeight w:val="126"/>
        </w:trPr>
        <w:tc>
          <w:tcPr>
            <w:tcW w:w="20" w:type="dxa"/>
            <w:vAlign w:val="bottom"/>
            <w:shd w:val="clear" w:color="auto" w:fill="000000"/>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11"/>
                <w:szCs w:val="11"/>
                <w:b w:val="1"/>
                <w:bCs w:val="1"/>
                <w:color w:val="auto"/>
              </w:rPr>
              <w:t>Daniel G. Shephard</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2/1/08</w:t>
            </w:r>
            <w:r>
              <w:rPr>
                <w:rFonts w:ascii="Arial" w:cs="Arial" w:eastAsia="Arial" w:hAnsi="Arial"/>
                <w:sz w:val="9"/>
                <w:szCs w:val="9"/>
                <w:color w:val="auto"/>
              </w:rPr>
              <w:t>(1, 2)</w:t>
            </w:r>
          </w:p>
        </w:tc>
        <w:tc>
          <w:tcPr>
            <w:tcW w:w="620" w:type="dxa"/>
            <w:vAlign w:val="bottom"/>
          </w:tcPr>
          <w:p>
            <w:pPr>
              <w:spacing w:after="0"/>
              <w:rPr>
                <w:sz w:val="10"/>
                <w:szCs w:val="10"/>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341,334</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512,000</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2,526</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311,405</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ind w:left="140"/>
              <w:spacing w:after="0" w:line="122" w:lineRule="exact"/>
              <w:rPr>
                <w:sz w:val="20"/>
                <w:szCs w:val="20"/>
                <w:color w:val="auto"/>
              </w:rPr>
            </w:pPr>
            <w:r>
              <w:rPr>
                <w:rFonts w:ascii="Arial" w:cs="Arial" w:eastAsia="Arial" w:hAnsi="Arial"/>
                <w:sz w:val="11"/>
                <w:szCs w:val="11"/>
                <w:color w:val="auto"/>
              </w:rPr>
              <w:t>Executive Vice</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(3)</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1,266</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103,458</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140" w:type="dxa"/>
            <w:vAlign w:val="bottom"/>
          </w:tcPr>
          <w:p>
            <w:pPr>
              <w:ind w:left="140"/>
              <w:spacing w:after="0" w:line="122" w:lineRule="exact"/>
              <w:rPr>
                <w:sz w:val="20"/>
                <w:szCs w:val="20"/>
                <w:color w:val="auto"/>
              </w:rPr>
            </w:pPr>
            <w:r>
              <w:rPr>
                <w:rFonts w:ascii="Arial" w:cs="Arial" w:eastAsia="Arial" w:hAnsi="Arial"/>
                <w:sz w:val="11"/>
                <w:szCs w:val="11"/>
                <w:color w:val="auto"/>
              </w:rPr>
              <w:t>President</w:t>
            </w:r>
          </w:p>
        </w:tc>
        <w:tc>
          <w:tcPr>
            <w:tcW w:w="8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(4)</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5,131</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604,278</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shd w:val="clear" w:color="auto" w:fill="000000"/>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5/28/08</w:t>
            </w:r>
            <w:r>
              <w:rPr>
                <w:rFonts w:ascii="Arial" w:cs="Arial" w:eastAsia="Arial" w:hAnsi="Arial"/>
                <w:sz w:val="9"/>
                <w:szCs w:val="9"/>
                <w:color w:val="auto"/>
              </w:rPr>
              <w:t>(5)</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10,263</w:t>
            </w:r>
          </w:p>
        </w:tc>
        <w:tc>
          <w:tcPr>
            <w:tcW w:w="8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117.77</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414,317</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100" w:hanging="250"/>
        <w:spacing w:after="0" w:line="247" w:lineRule="auto"/>
        <w:tabs>
          <w:tab w:leader="none" w:pos="1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(d) reflect the target level of annual bonus that could have been earned in 2008 that was paid in 2009 pursuant to the Executive Incentive Plan. The amounts shown in column (e) reflect the maximum level of annual bonus that could have been earned in 2008. There is no threshold amount since no amount is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The dollar amount recognized for financial statement reporting purposes for the fiscal year ended December 31, 2008, in accordance with FAS 123(R), for mandatory deferrals under the Incentive Stock Plan is also included in column (e) of the Summary Compensation Table on page 34. Mr. Zelnak does not participate in the Executive Incentive Plan.</w:t>
      </w:r>
    </w:p>
    <w:p>
      <w:pPr>
        <w:spacing w:after="0" w:line="16" w:lineRule="exact"/>
        <w:rPr>
          <w:rFonts w:ascii="Arial" w:cs="Arial" w:eastAsia="Arial" w:hAnsi="Arial"/>
          <w:sz w:val="13"/>
          <w:szCs w:val="13"/>
          <w:color w:val="auto"/>
        </w:rPr>
      </w:pPr>
    </w:p>
    <w:p>
      <w:pPr>
        <w:ind w:left="1220" w:hanging="250"/>
        <w:spacing w:after="0" w:line="264" w:lineRule="auto"/>
        <w:tabs>
          <w:tab w:leader="none" w:pos="1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(i) reflect the restricted stock unit awards granted in 2008 pursuant to the Stock-Based Award Plan, which are based on the previous three-year performance cycle and are subject to vesting after an additional three years of continued employment. The awards are discussed under the heading Performance-Based Restricted Stock Unit Awards on page 28 and the dollar amount is included in column (e) of the Summary Compensation Table on page 34.</w:t>
      </w:r>
    </w:p>
    <w:p>
      <w:pPr>
        <w:spacing w:after="0" w:line="6" w:lineRule="exact"/>
        <w:rPr>
          <w:rFonts w:ascii="Arial" w:cs="Arial" w:eastAsia="Arial" w:hAnsi="Arial"/>
          <w:sz w:val="13"/>
          <w:szCs w:val="13"/>
          <w:color w:val="auto"/>
        </w:rPr>
      </w:pPr>
    </w:p>
    <w:p>
      <w:pPr>
        <w:ind w:left="1220" w:right="140" w:hanging="250"/>
        <w:spacing w:after="0" w:line="253" w:lineRule="auto"/>
        <w:tabs>
          <w:tab w:leader="none" w:pos="1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shown in column (i) reflect the amount of cash bonus earned in 2008 but paid in 2009 that was deferred in units of common stock under the Incentive Stock Plan. Participants in this program for 2008 were approved on May 28, 2008. These awards are discussed under the heading</w:t>
      </w:r>
    </w:p>
    <w:p>
      <w:pPr>
        <w:spacing w:after="0" w:line="1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1514475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20" w:right="340"/>
        <w:spacing w:after="0" w:line="253" w:lineRule="auto"/>
        <w:rPr>
          <w:sz w:val="20"/>
          <w:szCs w:val="20"/>
          <w:color w:val="auto"/>
        </w:rPr>
      </w:pPr>
      <w:r>
        <w:rPr>
          <w:rFonts w:ascii="Arial" w:cs="Arial" w:eastAsia="Arial" w:hAnsi="Arial"/>
          <w:sz w:val="14"/>
          <w:szCs w:val="14"/>
          <w:color w:val="auto"/>
        </w:rPr>
        <w:t>Performance-Based Stock Purchase Awards on page 27. These awards are also included in columns (d) and (e) of this table and the Summary Compensation Table on page 34.</w:t>
      </w:r>
    </w:p>
    <w:p>
      <w:pPr>
        <w:spacing w:after="0" w:line="12" w:lineRule="exact"/>
        <w:rPr>
          <w:sz w:val="20"/>
          <w:szCs w:val="20"/>
          <w:color w:val="auto"/>
        </w:rPr>
      </w:pPr>
    </w:p>
    <w:p>
      <w:pPr>
        <w:ind w:left="1220" w:right="40" w:hanging="250"/>
        <w:spacing w:after="0" w:line="238" w:lineRule="auto"/>
        <w:tabs>
          <w:tab w:leader="none" w:pos="1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column (i) reflect the number of shares of restricted stock units granted in 2008 to each of the named executive officers pursuant to the Stock-Based Award Plan. These awards are discussed under the heading LTIP Awards on page 27. These awards are also included in column (e) of the Summary Compensation Table on page 34.</w:t>
      </w:r>
    </w:p>
    <w:p>
      <w:pPr>
        <w:spacing w:after="0" w:line="20" w:lineRule="exact"/>
        <w:rPr>
          <w:rFonts w:ascii="Arial" w:cs="Arial" w:eastAsia="Arial" w:hAnsi="Arial"/>
          <w:sz w:val="14"/>
          <w:szCs w:val="14"/>
          <w:color w:val="auto"/>
        </w:rPr>
      </w:pPr>
    </w:p>
    <w:p>
      <w:pPr>
        <w:ind w:left="1220" w:right="80" w:hanging="250"/>
        <w:spacing w:after="0" w:line="238" w:lineRule="auto"/>
        <w:tabs>
          <w:tab w:leader="none" w:pos="1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column (j) reflect the number of options to purchase shares of the Corporation’s common stock granted in 2008 to each of the named executive officers pursuant to the Stock-Based Award Plan. These awards are discussed under the heading LTIP Awards on page 27. These awards are also included in column (f) of the Summary Compensation Table on page 34.</w:t>
      </w:r>
    </w:p>
    <w:p>
      <w:pPr>
        <w:spacing w:after="0" w:line="20" w:lineRule="exact"/>
        <w:rPr>
          <w:rFonts w:ascii="Arial" w:cs="Arial" w:eastAsia="Arial" w:hAnsi="Arial"/>
          <w:sz w:val="14"/>
          <w:szCs w:val="14"/>
          <w:color w:val="auto"/>
        </w:rPr>
      </w:pPr>
    </w:p>
    <w:p>
      <w:pPr>
        <w:ind w:left="1220" w:right="80" w:hanging="250"/>
        <w:spacing w:after="0" w:line="253" w:lineRule="auto"/>
        <w:tabs>
          <w:tab w:leader="none" w:pos="1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 123(R). These amounts are included in columns (e), (f) and (j) of the Summary Compensation Table on page 34.</w:t>
      </w:r>
    </w:p>
    <w:p>
      <w:pPr>
        <w:spacing w:after="0" w:line="81" w:lineRule="exact"/>
        <w:rPr>
          <w:sz w:val="20"/>
          <w:szCs w:val="20"/>
          <w:color w:val="auto"/>
        </w:rPr>
      </w:pPr>
    </w:p>
    <w:p>
      <w:pPr>
        <w:jc w:val="both"/>
        <w:ind w:left="980" w:right="160" w:firstLine="609"/>
        <w:spacing w:after="0" w:line="276" w:lineRule="auto"/>
        <w:rPr>
          <w:sz w:val="20"/>
          <w:szCs w:val="20"/>
          <w:color w:val="auto"/>
        </w:rPr>
      </w:pPr>
      <w:r>
        <w:rPr>
          <w:rFonts w:ascii="Arial" w:cs="Arial" w:eastAsia="Arial" w:hAnsi="Arial"/>
          <w:sz w:val="18"/>
          <w:szCs w:val="18"/>
          <w:color w:val="auto"/>
        </w:rPr>
        <w:t>Stock-based incentive awards have been a significant component of the Corporation’s management compensation. In 1998, the Board of Directors adopted and the Corporation’s shareholders approved the Stock-Based Award Plan. In 2008, the shareholders approved amendments to the plan increasing the number of shares of the Corporation’s common stock available for restricted stock awards. They also approved amendments to the plan designed to more directly tie long-term compensation incentives to the Corporation’s performance and enhance flexibility in structuring long-term incentive compensation packages by providing a mix of different types of long-term stock-based incentives.</w:t>
      </w:r>
    </w:p>
    <w:p>
      <w:pPr>
        <w:spacing w:after="0" w:line="7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As amended, the plan authorizes the Management Development and Compensation Committee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 Corporation on an annual basis, or as otherwise determined by the Board of Directors. Since 2005, the Corporation’s long-term compensation program consists of a mix of options and restricted stock units for senior level employees and restricted stock for other select employees. The awards granted are based on the achievement by the Corporation of specific goals related to the return on invested capital as compared to the Corporation’s weighted average cost of capital. Other restricted stock unit awards are granted based on the Corporation’s performance relative to peer groups.</w:t>
      </w:r>
    </w:p>
    <w:p>
      <w:pPr>
        <w:spacing w:after="0" w:line="90" w:lineRule="exact"/>
        <w:rPr>
          <w:sz w:val="20"/>
          <w:szCs w:val="20"/>
          <w:color w:val="auto"/>
        </w:rPr>
      </w:pPr>
    </w:p>
    <w:p>
      <w:pPr>
        <w:ind w:left="980" w:right="180" w:firstLine="609"/>
        <w:spacing w:after="0" w:line="260" w:lineRule="auto"/>
        <w:rPr>
          <w:sz w:val="20"/>
          <w:szCs w:val="20"/>
          <w:color w:val="auto"/>
        </w:rPr>
      </w:pPr>
      <w:r>
        <w:rPr>
          <w:rFonts w:ascii="Arial" w:cs="Arial" w:eastAsia="Arial" w:hAnsi="Arial"/>
          <w:sz w:val="19"/>
          <w:szCs w:val="19"/>
          <w:color w:val="auto"/>
        </w:rPr>
        <w:t>A maximum of 5,000,000 shares of the Corporation’s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86" w:lineRule="exact"/>
        <w:rPr>
          <w:sz w:val="20"/>
          <w:szCs w:val="20"/>
          <w:color w:val="auto"/>
        </w:rPr>
      </w:pPr>
    </w:p>
    <w:p>
      <w:pPr>
        <w:ind w:left="980" w:firstLine="609"/>
        <w:spacing w:after="0" w:line="308" w:lineRule="auto"/>
        <w:rPr>
          <w:sz w:val="20"/>
          <w:szCs w:val="20"/>
          <w:color w:val="auto"/>
        </w:rPr>
      </w:pPr>
      <w:r>
        <w:rPr>
          <w:rFonts w:ascii="Arial" w:cs="Arial" w:eastAsia="Arial" w:hAnsi="Arial"/>
          <w:sz w:val="16"/>
          <w:szCs w:val="16"/>
          <w:color w:val="auto"/>
        </w:rPr>
        <w:t>Restricted stock awards to the named executive officers represent the value of units that correspond to common stock awarded to participants under the plan based on the closing market price of the Corporation’s common stock on the date of grant. The number of units granted to the named executive officers in 2008 include awards based on the attainment of the following goals: (1) on the Corporation’s performance as measured by its specific return on shareholders investment determined by a total return to shareholders ranking that must be at least in the 30th percentile as compared to the Standard and Poor’s MidCap 400 Index and to the Standard and Poor’s Basic Materials Index (formerly named the Basic Materials Industrial Group) for the three year performance period ending on January 1 in the year the awards are granted; and (2) the Corporation’s return on invested capital as compared to the weighted average cost of capital. Such awards vest generally if the executive is continuously employed from the date of grant through December 1 of the year that is immediately preceding three years from the date of grant or the fourth anniversary of the date of the grant, respectively, at which time shares of common stock are issued to the participant. Dividend equivalents are paid on the units at the same rate as dividends are paid to all shareholders.</w:t>
      </w:r>
    </w:p>
    <w:p>
      <w:pPr>
        <w:spacing w:after="0" w:line="286" w:lineRule="exact"/>
        <w:rPr>
          <w:sz w:val="20"/>
          <w:szCs w:val="20"/>
          <w:color w:val="auto"/>
        </w:rPr>
      </w:pPr>
    </w:p>
    <w:p>
      <w:pPr>
        <w:ind w:left="980" w:right="780" w:firstLine="609"/>
        <w:spacing w:after="0" w:line="316" w:lineRule="auto"/>
        <w:rPr>
          <w:sz w:val="20"/>
          <w:szCs w:val="20"/>
          <w:color w:val="auto"/>
        </w:rPr>
      </w:pPr>
      <w:r>
        <w:rPr>
          <w:rFonts w:ascii="Arial" w:cs="Arial" w:eastAsia="Arial" w:hAnsi="Arial"/>
          <w:sz w:val="18"/>
          <w:szCs w:val="18"/>
          <w:color w:val="auto"/>
        </w:rPr>
        <w:t>Stock option awards to the named executive officers are made by the Committee, upon the recommendation of management of the Corporation, except for Mr. Zelnak, for whom the Committee formulates its</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70" w:lineRule="auto"/>
        <w:rPr>
          <w:sz w:val="20"/>
          <w:szCs w:val="20"/>
          <w:color w:val="auto"/>
        </w:rPr>
      </w:pPr>
      <w:r>
        <w:rPr>
          <w:rFonts w:ascii="Arial" w:cs="Arial" w:eastAsia="Arial" w:hAnsi="Arial"/>
          <w:sz w:val="18"/>
          <w:szCs w:val="18"/>
          <w:color w:val="auto"/>
        </w:rPr>
        <w:t>own decision, and may be awarded based on past performance or as incentive for future efforts. Under the applicable award agreements, the 2008 options will vest and become exercisable in four equal increments on May 28, 2009, 2010, 2011, and 2012, and expire 8 years from the date of grant. Options awarded in 2008 expire 90 days following termination of employment, except in instances following death, disability or retirement. In the event of death, all outstanding options vest immediately and will expire one year following the date of death. For options awarded in 2008,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the Corporation’s executive officers, the Committee, determines that all outstanding options will be unaffected by such retirement. In the event of a change in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5614035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Outstanding Equity Awards at Fiscal Year-End</w:t>
      </w:r>
    </w:p>
    <w:p>
      <w:pPr>
        <w:spacing w:after="0" w:line="67" w:lineRule="exact"/>
        <w:rPr>
          <w:sz w:val="20"/>
          <w:szCs w:val="20"/>
          <w:color w:val="auto"/>
        </w:rPr>
      </w:pPr>
    </w:p>
    <w:p>
      <w:pPr>
        <w:ind w:left="980" w:right="280" w:firstLine="609"/>
        <w:spacing w:after="0" w:line="260" w:lineRule="auto"/>
        <w:rPr>
          <w:sz w:val="20"/>
          <w:szCs w:val="20"/>
          <w:color w:val="auto"/>
        </w:rPr>
      </w:pPr>
      <w:r>
        <w:rPr>
          <w:rFonts w:ascii="Arial" w:cs="Arial" w:eastAsia="Arial" w:hAnsi="Arial"/>
          <w:sz w:val="20"/>
          <w:szCs w:val="20"/>
          <w:color w:val="auto"/>
        </w:rPr>
        <w:t>The table below shows for each of the named executive officers the unexercised stock options, stock unit awards that have not vested, and equity incentive plan awards outstanding on December 31, 2008.</w:t>
      </w:r>
    </w:p>
    <w:p>
      <w:pPr>
        <w:spacing w:after="0" w:line="130"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5"/>
        </w:trPr>
        <w:tc>
          <w:tcPr>
            <w:tcW w:w="2780" w:type="dxa"/>
            <w:vAlign w:val="bottom"/>
            <w:tcBorders>
              <w:top w:val="single" w:sz="8" w:color="auto"/>
              <w:left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9"/>
              </w:rPr>
              <w:t>OPTION AWARDS</w:t>
            </w:r>
          </w:p>
        </w:tc>
        <w:tc>
          <w:tcPr>
            <w:tcW w:w="5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STOCK AWARDS</w:t>
            </w:r>
          </w:p>
        </w:tc>
        <w:tc>
          <w:tcPr>
            <w:tcW w:w="6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780" w:type="dxa"/>
            <w:vAlign w:val="bottom"/>
            <w:tcBorders>
              <w:lef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Equity</w:t>
            </w: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Incentive</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rPr>
              <w:t>Market</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Equity</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or Payout</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Incentive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Value or</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Plan Awards: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Market</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Unearned</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Unearned</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Number of</w:t>
            </w:r>
          </w:p>
        </w:tc>
        <w:tc>
          <w:tcPr>
            <w:tcW w:w="88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90"/>
              </w:rPr>
              <w:t>Number of</w:t>
            </w: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Number</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83"/>
              </w:rPr>
              <w:t>of Shares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Value of</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Shares,</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0"/>
              </w:rPr>
              <w:t>Shares,</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Securities</w:t>
            </w:r>
          </w:p>
        </w:tc>
        <w:tc>
          <w:tcPr>
            <w:tcW w:w="88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87"/>
              </w:rPr>
              <w:t>Securities</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of Securities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91"/>
              </w:rPr>
              <w:t>or Units</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Shares or</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Units or</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Units or</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Underlying</w:t>
            </w:r>
          </w:p>
        </w:tc>
        <w:tc>
          <w:tcPr>
            <w:tcW w:w="880" w:type="dxa"/>
            <w:vAlign w:val="bottom"/>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90"/>
              </w:rPr>
              <w:t>Underlying</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Underlying</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87"/>
              </w:rPr>
              <w:t>of Stock</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Units of</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other</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80" w:type="dxa"/>
            <w:vAlign w:val="bottom"/>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85"/>
              </w:rPr>
              <w:t>Unexercised</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Option</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94"/>
              </w:rPr>
              <w:t>That</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Stock That</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Rights That</w:t>
            </w: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Rights</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Options</w:t>
            </w:r>
          </w:p>
        </w:tc>
        <w:tc>
          <w:tcPr>
            <w:tcW w:w="880" w:type="dxa"/>
            <w:vAlign w:val="bottom"/>
            <w:gridSpan w:val="2"/>
          </w:tcPr>
          <w:p>
            <w:pPr>
              <w:jc w:val="center"/>
              <w:ind w:right="166"/>
              <w:spacing w:after="0" w:line="122" w:lineRule="exact"/>
              <w:rPr>
                <w:sz w:val="20"/>
                <w:szCs w:val="20"/>
                <w:color w:val="auto"/>
              </w:rPr>
            </w:pPr>
            <w:r>
              <w:rPr>
                <w:rFonts w:ascii="Arial" w:cs="Arial" w:eastAsia="Arial" w:hAnsi="Arial"/>
                <w:sz w:val="11"/>
                <w:szCs w:val="11"/>
                <w:b w:val="1"/>
                <w:bCs w:val="1"/>
                <w:color w:val="auto"/>
                <w:w w:val="91"/>
              </w:rPr>
              <w:t>Options</w:t>
            </w: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Unearned</w:t>
            </w: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Exercise</w:t>
            </w: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Option</w:t>
            </w:r>
          </w:p>
        </w:tc>
        <w:tc>
          <w:tcPr>
            <w:tcW w:w="1060" w:type="dxa"/>
            <w:vAlign w:val="bottom"/>
            <w:gridSpan w:val="2"/>
          </w:tcPr>
          <w:p>
            <w:pPr>
              <w:jc w:val="center"/>
              <w:ind w:right="540"/>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Have Not</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Have Not</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That Have</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tcBorders>
            <w:vMerge w:val="restart"/>
          </w:tcPr>
          <w:p>
            <w:pPr>
              <w:ind w:left="1380"/>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Options</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Price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10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Vested</w:t>
            </w:r>
            <w:r>
              <w:rPr>
                <w:rFonts w:ascii="Arial" w:cs="Arial" w:eastAsia="Arial" w:hAnsi="Arial"/>
                <w:sz w:val="9"/>
                <w:szCs w:val="9"/>
                <w:b w:val="1"/>
                <w:bCs w:val="1"/>
                <w:color w:val="auto"/>
                <w:w w:val="89"/>
              </w:rPr>
              <w:t>(1)</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Vested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Not Vested</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tcBorders>
            <w:vMerge w:val="continue"/>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Exercisable</w:t>
            </w:r>
          </w:p>
        </w:tc>
        <w:tc>
          <w:tcPr>
            <w:tcW w:w="880" w:type="dxa"/>
            <w:vAlign w:val="bottom"/>
            <w:gridSpan w:val="2"/>
          </w:tcPr>
          <w:p>
            <w:pPr>
              <w:jc w:val="center"/>
              <w:ind w:right="166"/>
              <w:spacing w:after="0"/>
              <w:rPr>
                <w:sz w:val="20"/>
                <w:szCs w:val="20"/>
                <w:color w:val="auto"/>
              </w:rPr>
            </w:pPr>
            <w:r>
              <w:rPr>
                <w:rFonts w:ascii="Arial" w:cs="Arial" w:eastAsia="Arial" w:hAnsi="Arial"/>
                <w:sz w:val="11"/>
                <w:szCs w:val="11"/>
                <w:b w:val="1"/>
                <w:bCs w:val="1"/>
                <w:color w:val="auto"/>
                <w:w w:val="88"/>
              </w:rPr>
              <w:t>Unexercisable</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Date</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bottom w:val="single" w:sz="8" w:color="auto"/>
            </w:tcBorders>
          </w:tcPr>
          <w:p>
            <w:pPr>
              <w:ind w:left="1320"/>
              <w:spacing w:after="0" w:line="115" w:lineRule="exact"/>
              <w:rPr>
                <w:sz w:val="20"/>
                <w:szCs w:val="20"/>
                <w:color w:val="auto"/>
              </w:rPr>
            </w:pPr>
            <w:r>
              <w:rPr>
                <w:rFonts w:ascii="Arial" w:cs="Arial" w:eastAsia="Arial" w:hAnsi="Arial"/>
                <w:sz w:val="11"/>
                <w:szCs w:val="11"/>
                <w:b w:val="1"/>
                <w:bCs w:val="1"/>
                <w:color w:val="auto"/>
              </w:rPr>
              <w:t>(a)</w:t>
            </w:r>
          </w:p>
        </w:tc>
        <w:tc>
          <w:tcPr>
            <w:tcW w:w="5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(b)</w:t>
            </w:r>
          </w:p>
        </w:tc>
        <w:tc>
          <w:tcPr>
            <w:tcW w:w="160" w:type="dxa"/>
            <w:vAlign w:val="bottom"/>
            <w:tcBorders>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(c)</w:t>
            </w:r>
          </w:p>
        </w:tc>
        <w:tc>
          <w:tcPr>
            <w:tcW w:w="22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5"/>
              </w:rPr>
              <w:t>(d)</w:t>
            </w:r>
          </w:p>
        </w:tc>
        <w:tc>
          <w:tcPr>
            <w:tcW w:w="16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(e)</w:t>
            </w:r>
          </w:p>
        </w:tc>
        <w:tc>
          <w:tcPr>
            <w:tcW w:w="180" w:type="dxa"/>
            <w:vAlign w:val="bottom"/>
            <w:tcBorders>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0"/>
              </w:rPr>
              <w:t>(f)</w:t>
            </w:r>
          </w:p>
        </w:tc>
        <w:tc>
          <w:tcPr>
            <w:tcW w:w="20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(g)</w:t>
            </w:r>
          </w:p>
        </w:tc>
        <w:tc>
          <w:tcPr>
            <w:tcW w:w="56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center"/>
              <w:ind w:right="12"/>
              <w:spacing w:after="0" w:line="115" w:lineRule="exact"/>
              <w:rPr>
                <w:sz w:val="20"/>
                <w:szCs w:val="20"/>
                <w:color w:val="auto"/>
              </w:rPr>
            </w:pPr>
            <w:r>
              <w:rPr>
                <w:rFonts w:ascii="Arial" w:cs="Arial" w:eastAsia="Arial" w:hAnsi="Arial"/>
                <w:sz w:val="11"/>
                <w:szCs w:val="11"/>
                <w:b w:val="1"/>
                <w:bCs w:val="1"/>
                <w:color w:val="auto"/>
                <w:w w:val="99"/>
              </w:rPr>
              <w:t>(h)</w:t>
            </w:r>
          </w:p>
        </w:tc>
        <w:tc>
          <w:tcPr>
            <w:tcW w:w="20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5"/>
              </w:rPr>
              <w:t>(i)</w:t>
            </w:r>
          </w:p>
        </w:tc>
        <w:tc>
          <w:tcPr>
            <w:tcW w:w="18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(j)</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Stephen P. Zelnak, Jr</w:t>
            </w: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9,762</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9,763</w:t>
            </w:r>
            <w:r>
              <w:rPr>
                <w:rFonts w:ascii="Arial" w:cs="Arial" w:eastAsia="Arial" w:hAnsi="Arial"/>
                <w:sz w:val="12"/>
                <w:szCs w:val="12"/>
                <w:color w:val="auto"/>
              </w:rPr>
              <w:t>(2)</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19,525</w:t>
            </w:r>
            <w:r>
              <w:rPr>
                <w:rFonts w:ascii="Arial" w:cs="Arial" w:eastAsia="Arial" w:hAnsi="Arial"/>
                <w:sz w:val="12"/>
                <w:szCs w:val="12"/>
                <w:color w:val="auto"/>
              </w:rPr>
              <w:t>(6)</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$ 1,895,487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Chairman and CEO</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19,326</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19,327</w:t>
            </w:r>
            <w:r>
              <w:rPr>
                <w:rFonts w:ascii="Arial" w:cs="Arial" w:eastAsia="Arial" w:hAnsi="Arial"/>
                <w:sz w:val="12"/>
                <w:szCs w:val="12"/>
                <w:color w:val="auto"/>
              </w:rPr>
              <w:t>(3)</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19,327</w:t>
            </w:r>
            <w:r>
              <w:rPr>
                <w:rFonts w:ascii="Arial" w:cs="Arial" w:eastAsia="Arial" w:hAnsi="Arial"/>
                <w:sz w:val="12"/>
                <w:szCs w:val="12"/>
                <w:color w:val="auto"/>
              </w:rPr>
              <w:t>(7)</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9"/>
              </w:rPr>
              <w:t>$ 1,876,265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9,321</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27,963</w:t>
            </w:r>
            <w:r>
              <w:rPr>
                <w:rFonts w:ascii="Arial" w:cs="Arial" w:eastAsia="Arial" w:hAnsi="Arial"/>
                <w:sz w:val="12"/>
                <w:szCs w:val="12"/>
                <w:color w:val="auto"/>
              </w:rPr>
              <w:t>(4)</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18,642</w:t>
            </w:r>
            <w:r>
              <w:rPr>
                <w:rFonts w:ascii="Arial" w:cs="Arial" w:eastAsia="Arial" w:hAnsi="Arial"/>
                <w:sz w:val="12"/>
                <w:szCs w:val="12"/>
                <w:color w:val="auto"/>
              </w:rPr>
              <w:t>(8)</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$ 1,809,765</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45,072</w:t>
            </w:r>
            <w:r>
              <w:rPr>
                <w:rFonts w:ascii="Arial" w:cs="Arial" w:eastAsia="Arial" w:hAnsi="Arial"/>
                <w:sz w:val="12"/>
                <w:szCs w:val="12"/>
                <w:color w:val="auto"/>
              </w:rPr>
              <w:t>(5)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21,981</w:t>
            </w:r>
            <w:r>
              <w:rPr>
                <w:rFonts w:ascii="Arial" w:cs="Arial" w:eastAsia="Arial" w:hAnsi="Arial"/>
                <w:sz w:val="12"/>
                <w:szCs w:val="12"/>
                <w:color w:val="auto"/>
              </w:rPr>
              <w:t>(9)</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9"/>
              </w:rPr>
              <w:t>$ 2,133,915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60,000</w:t>
            </w:r>
            <w:r>
              <w:rPr>
                <w:rFonts w:ascii="Arial" w:cs="Arial" w:eastAsia="Arial" w:hAnsi="Arial"/>
                <w:sz w:val="12"/>
                <w:szCs w:val="12"/>
                <w:color w:val="auto"/>
              </w:rPr>
              <w:t>(10)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$ 5,824,800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7,742</w:t>
            </w:r>
            <w:r>
              <w:rPr>
                <w:rFonts w:ascii="Arial" w:cs="Arial" w:eastAsia="Arial" w:hAnsi="Arial"/>
                <w:sz w:val="12"/>
                <w:szCs w:val="12"/>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751,593</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6,217</w:t>
            </w:r>
            <w:r>
              <w:rPr>
                <w:rFonts w:ascii="Arial" w:cs="Arial" w:eastAsia="Arial" w:hAnsi="Arial"/>
                <w:sz w:val="12"/>
                <w:szCs w:val="12"/>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603,546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5,397</w:t>
            </w:r>
            <w:r>
              <w:rPr>
                <w:rFonts w:ascii="Arial" w:cs="Arial" w:eastAsia="Arial" w:hAnsi="Arial"/>
                <w:sz w:val="12"/>
                <w:szCs w:val="12"/>
                <w:color w:val="auto"/>
              </w:rPr>
              <w:t>(13)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523,941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3,904</w:t>
            </w:r>
            <w:r>
              <w:rPr>
                <w:rFonts w:ascii="Arial" w:cs="Arial" w:eastAsia="Arial" w:hAnsi="Arial"/>
                <w:sz w:val="12"/>
                <w:szCs w:val="12"/>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379,000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Anne H. Lloyd</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5,500</w:t>
            </w:r>
          </w:p>
        </w:tc>
        <w:tc>
          <w:tcPr>
            <w:tcW w:w="880" w:type="dxa"/>
            <w:vAlign w:val="bottom"/>
            <w:gridSpan w:val="2"/>
          </w:tcPr>
          <w:p>
            <w:pPr>
              <w:jc w:val="right"/>
              <w:ind w:right="166"/>
              <w:spacing w:after="0"/>
              <w:rPr>
                <w:sz w:val="20"/>
                <w:szCs w:val="20"/>
                <w:color w:val="auto"/>
              </w:rPr>
            </w:pPr>
            <w:r>
              <w:rPr>
                <w:rFonts w:ascii="Arial" w:cs="Arial" w:eastAsia="Arial" w:hAnsi="Arial"/>
                <w:sz w:val="14"/>
                <w:szCs w:val="14"/>
                <w:color w:val="auto"/>
              </w:rPr>
              <w:t>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36.55</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8/15/2012</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1,874</w:t>
            </w:r>
            <w:r>
              <w:rPr>
                <w:rFonts w:ascii="Arial" w:cs="Arial" w:eastAsia="Arial" w:hAnsi="Arial"/>
                <w:sz w:val="12"/>
                <w:szCs w:val="12"/>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181,928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Senior Vice President,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w:t>
            </w:r>
          </w:p>
        </w:tc>
        <w:tc>
          <w:tcPr>
            <w:tcW w:w="8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42.38</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8/17/2014</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3,407</w:t>
            </w:r>
            <w:r>
              <w:rPr>
                <w:rFonts w:ascii="Arial" w:cs="Arial" w:eastAsia="Arial" w:hAnsi="Arial"/>
                <w:sz w:val="12"/>
                <w:szCs w:val="12"/>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330,752</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60"/>
              <w:spacing w:after="0" w:line="149" w:lineRule="exact"/>
              <w:rPr>
                <w:sz w:val="20"/>
                <w:szCs w:val="20"/>
                <w:color w:val="auto"/>
              </w:rPr>
            </w:pPr>
            <w:r>
              <w:rPr>
                <w:rFonts w:ascii="Arial" w:cs="Arial" w:eastAsia="Arial" w:hAnsi="Arial"/>
                <w:sz w:val="14"/>
                <w:szCs w:val="14"/>
                <w:color w:val="auto"/>
              </w:rPr>
              <w:t>CFO and Treasurer</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1,874</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938</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417,541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3,407</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3,408</w:t>
            </w:r>
            <w:r>
              <w:rPr>
                <w:rFonts w:ascii="Arial" w:cs="Arial" w:eastAsia="Arial" w:hAnsi="Arial"/>
                <w:sz w:val="12"/>
                <w:szCs w:val="12"/>
                <w:color w:val="auto"/>
              </w:rPr>
              <w:t>(3)</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498,117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2,150</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6,452</w:t>
            </w:r>
            <w:r>
              <w:rPr>
                <w:rFonts w:ascii="Arial" w:cs="Arial" w:eastAsia="Arial" w:hAnsi="Arial"/>
                <w:sz w:val="12"/>
                <w:szCs w:val="12"/>
                <w:color w:val="auto"/>
              </w:rPr>
              <w:t>(4)</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2,972</w:t>
            </w:r>
            <w:r>
              <w:rPr>
                <w:rFonts w:ascii="Arial" w:cs="Arial" w:eastAsia="Arial" w:hAnsi="Arial"/>
                <w:sz w:val="12"/>
                <w:szCs w:val="12"/>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288,522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10,263</w:t>
            </w:r>
            <w:r>
              <w:rPr>
                <w:rFonts w:ascii="Arial" w:cs="Arial" w:eastAsia="Arial" w:hAnsi="Arial"/>
                <w:sz w:val="12"/>
                <w:szCs w:val="12"/>
                <w:color w:val="auto"/>
              </w:rPr>
              <w:t>(5)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2,526</w:t>
            </w:r>
            <w:r>
              <w:rPr>
                <w:rFonts w:ascii="Arial" w:cs="Arial" w:eastAsia="Arial" w:hAnsi="Arial"/>
                <w:sz w:val="12"/>
                <w:szCs w:val="12"/>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245,224</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957</w:t>
            </w:r>
            <w:r>
              <w:rPr>
                <w:rFonts w:ascii="Arial" w:cs="Arial" w:eastAsia="Arial" w:hAnsi="Arial"/>
                <w:sz w:val="12"/>
                <w:szCs w:val="12"/>
                <w:color w:val="auto"/>
              </w:rPr>
              <w:t>(13)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92,905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w:t>
            </w:r>
            <w:r>
              <w:rPr>
                <w:rFonts w:ascii="Arial" w:cs="Arial" w:eastAsia="Arial" w:hAnsi="Arial"/>
                <w:sz w:val="12"/>
                <w:szCs w:val="12"/>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72,810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ind w:left="60"/>
              <w:spacing w:after="0"/>
              <w:rPr>
                <w:sz w:val="20"/>
                <w:szCs w:val="20"/>
                <w:color w:val="auto"/>
              </w:rPr>
            </w:pPr>
            <w:r>
              <w:rPr>
                <w:rFonts w:ascii="Arial" w:cs="Arial" w:eastAsia="Arial" w:hAnsi="Arial"/>
                <w:sz w:val="14"/>
                <w:szCs w:val="14"/>
                <w:b w:val="1"/>
                <w:bCs w:val="1"/>
                <w:color w:val="auto"/>
              </w:rPr>
              <w:t>C. Howard Nye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3,291</w:t>
            </w:r>
          </w:p>
        </w:tc>
        <w:tc>
          <w:tcPr>
            <w:tcW w:w="880" w:type="dxa"/>
            <w:vAlign w:val="bottom"/>
            <w:gridSpan w:val="2"/>
          </w:tcPr>
          <w:p>
            <w:pPr>
              <w:jc w:val="right"/>
              <w:ind w:right="26"/>
              <w:spacing w:after="0"/>
              <w:rPr>
                <w:sz w:val="20"/>
                <w:szCs w:val="20"/>
                <w:color w:val="auto"/>
              </w:rPr>
            </w:pPr>
            <w:r>
              <w:rPr>
                <w:rFonts w:ascii="Arial" w:cs="Arial" w:eastAsia="Arial" w:hAnsi="Arial"/>
                <w:sz w:val="14"/>
                <w:szCs w:val="14"/>
                <w:color w:val="auto"/>
              </w:rPr>
              <w:t>9,874</w:t>
            </w:r>
            <w:r>
              <w:rPr>
                <w:rFonts w:ascii="Arial" w:cs="Arial" w:eastAsia="Arial" w:hAnsi="Arial"/>
                <w:sz w:val="12"/>
                <w:szCs w:val="12"/>
                <w:color w:val="auto"/>
              </w:rPr>
              <w:t>(4)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151.92</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5/22/2015</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6,582</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638,981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COO</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15,707</w:t>
            </w:r>
            <w:r>
              <w:rPr>
                <w:rFonts w:ascii="Arial" w:cs="Arial" w:eastAsia="Arial" w:hAnsi="Arial"/>
                <w:sz w:val="12"/>
                <w:szCs w:val="12"/>
                <w:color w:val="auto"/>
              </w:rPr>
              <w:t>(5)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7,854</w:t>
            </w:r>
            <w:r>
              <w:rPr>
                <w:rFonts w:ascii="Arial" w:cs="Arial" w:eastAsia="Arial" w:hAnsi="Arial"/>
                <w:sz w:val="12"/>
                <w:szCs w:val="12"/>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762,466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970,800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4,692</w:t>
            </w: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455,499</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3,819</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370,749</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1,798</w:t>
            </w:r>
            <w:r>
              <w:rPr>
                <w:rFonts w:ascii="Arial" w:cs="Arial" w:eastAsia="Arial" w:hAnsi="Arial"/>
                <w:sz w:val="12"/>
                <w:szCs w:val="12"/>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174,550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Philip J. Sipling</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30,000</w:t>
            </w:r>
          </w:p>
        </w:tc>
        <w:tc>
          <w:tcPr>
            <w:tcW w:w="880" w:type="dxa"/>
            <w:vAlign w:val="bottom"/>
            <w:gridSpan w:val="2"/>
          </w:tcPr>
          <w:p>
            <w:pPr>
              <w:jc w:val="right"/>
              <w:ind w:right="166"/>
              <w:spacing w:after="0"/>
              <w:rPr>
                <w:sz w:val="20"/>
                <w:szCs w:val="20"/>
                <w:color w:val="auto"/>
              </w:rPr>
            </w:pPr>
            <w:r>
              <w:rPr>
                <w:rFonts w:ascii="Arial" w:cs="Arial" w:eastAsia="Arial" w:hAnsi="Arial"/>
                <w:sz w:val="14"/>
                <w:szCs w:val="14"/>
                <w:color w:val="auto"/>
              </w:rPr>
              <w:t>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42.38</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8/17/2014</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4,686</w:t>
            </w:r>
            <w:r>
              <w:rPr>
                <w:rFonts w:ascii="Arial" w:cs="Arial" w:eastAsia="Arial" w:hAnsi="Arial"/>
                <w:sz w:val="12"/>
                <w:szCs w:val="12"/>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454,917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Executive Vice</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7,029</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2,343</w:t>
            </w:r>
            <w:r>
              <w:rPr>
                <w:rFonts w:ascii="Arial" w:cs="Arial" w:eastAsia="Arial" w:hAnsi="Arial"/>
                <w:sz w:val="12"/>
                <w:szCs w:val="12"/>
                <w:color w:val="auto"/>
              </w:rPr>
              <w:t>(2)</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425,307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60"/>
              <w:spacing w:after="0" w:line="149" w:lineRule="exact"/>
              <w:rPr>
                <w:sz w:val="20"/>
                <w:szCs w:val="20"/>
                <w:color w:val="auto"/>
              </w:rPr>
            </w:pPr>
            <w:r>
              <w:rPr>
                <w:rFonts w:ascii="Arial" w:cs="Arial" w:eastAsia="Arial" w:hAnsi="Arial"/>
                <w:sz w:val="14"/>
                <w:szCs w:val="14"/>
                <w:color w:val="auto"/>
              </w:rPr>
              <w:t>President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4,381</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(3)</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417,541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2,150</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6,452</w:t>
            </w:r>
            <w:r>
              <w:rPr>
                <w:rFonts w:ascii="Arial" w:cs="Arial" w:eastAsia="Arial" w:hAnsi="Arial"/>
                <w:sz w:val="12"/>
                <w:szCs w:val="12"/>
                <w:color w:val="auto"/>
              </w:rPr>
              <w:t>(4)</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498,117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10,263</w:t>
            </w:r>
            <w:r>
              <w:rPr>
                <w:rFonts w:ascii="Arial" w:cs="Arial" w:eastAsia="Arial" w:hAnsi="Arial"/>
                <w:sz w:val="12"/>
                <w:szCs w:val="12"/>
                <w:color w:val="auto"/>
              </w:rPr>
              <w:t>(5)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20,000</w:t>
            </w:r>
            <w:r>
              <w:rPr>
                <w:rFonts w:ascii="Arial" w:cs="Arial" w:eastAsia="Arial" w:hAnsi="Arial"/>
                <w:sz w:val="12"/>
                <w:szCs w:val="12"/>
                <w:color w:val="auto"/>
              </w:rPr>
              <w:t>(10)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9"/>
              </w:rPr>
              <w:t>$ 1,941,600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3,402</w:t>
            </w: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330,226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2,721</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264,155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795</w:t>
            </w:r>
            <w:r>
              <w:rPr>
                <w:rFonts w:ascii="Arial" w:cs="Arial" w:eastAsia="Arial" w:hAnsi="Arial"/>
                <w:sz w:val="12"/>
                <w:szCs w:val="12"/>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77,179</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626</w:t>
            </w:r>
            <w:r>
              <w:rPr>
                <w:rFonts w:ascii="Arial" w:cs="Arial" w:eastAsia="Arial" w:hAnsi="Arial"/>
                <w:sz w:val="12"/>
                <w:szCs w:val="12"/>
                <w:color w:val="auto"/>
              </w:rPr>
              <w:t>(14)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60,772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780" w:type="dxa"/>
            <w:vAlign w:val="bottom"/>
            <w:tcBorders>
              <w:lef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Daniel G. Shephard</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4,000</w:t>
            </w:r>
          </w:p>
        </w:tc>
        <w:tc>
          <w:tcPr>
            <w:tcW w:w="88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42.38</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8/17/2014</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2,343</w:t>
            </w: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227,458</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3,514</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1,172</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425,307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4,381</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(3)</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417,541</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2,150</w:t>
            </w:r>
          </w:p>
        </w:tc>
        <w:tc>
          <w:tcPr>
            <w:tcW w:w="88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6,452</w:t>
            </w:r>
            <w:r>
              <w:rPr>
                <w:rFonts w:ascii="Arial" w:cs="Arial" w:eastAsia="Arial" w:hAnsi="Arial"/>
                <w:sz w:val="12"/>
                <w:szCs w:val="12"/>
                <w:color w:val="auto"/>
              </w:rPr>
              <w:t>(4)</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498,117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10,263</w:t>
            </w:r>
            <w:r>
              <w:rPr>
                <w:rFonts w:ascii="Arial" w:cs="Arial" w:eastAsia="Arial" w:hAnsi="Arial"/>
                <w:sz w:val="12"/>
                <w:szCs w:val="12"/>
                <w:color w:val="auto"/>
              </w:rPr>
              <w:t>(5)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3,128</w:t>
            </w: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303,666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2,526</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245,224</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1,532</w:t>
            </w:r>
            <w:r>
              <w:rPr>
                <w:rFonts w:ascii="Arial" w:cs="Arial" w:eastAsia="Arial" w:hAnsi="Arial"/>
                <w:sz w:val="12"/>
                <w:szCs w:val="12"/>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148,727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1,228</w:t>
            </w:r>
            <w:r>
              <w:rPr>
                <w:rFonts w:ascii="Arial" w:cs="Arial" w:eastAsia="Arial" w:hAnsi="Arial"/>
                <w:sz w:val="12"/>
                <w:szCs w:val="12"/>
                <w:color w:val="auto"/>
              </w:rPr>
              <w:t>(14)</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119,214</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1283335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closing price of our common stock as of December 31, 2008 ($97.08)</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on May 24, 2009.</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22, 2009 and 2010.</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22, 2009, 2010 and 2011.</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22, 2009, 2010 and 2011 and 2012.</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24, 2009.</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22, 2010.</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22, 2011.</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28, 2012.</w:t>
      </w:r>
    </w:p>
    <w:p>
      <w:pPr>
        <w:spacing w:after="0" w:line="41" w:lineRule="exact"/>
        <w:rPr>
          <w:rFonts w:ascii="Arial" w:cs="Arial" w:eastAsia="Arial" w:hAnsi="Arial"/>
          <w:sz w:val="14"/>
          <w:szCs w:val="14"/>
          <w:color w:val="auto"/>
        </w:rPr>
      </w:pPr>
    </w:p>
    <w:p>
      <w:pPr>
        <w:ind w:left="1300" w:right="460" w:hanging="326"/>
        <w:spacing w:after="0" w:line="253" w:lineRule="auto"/>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Grants of restricted stock units were awarded in connection with the Corporation’s succession planning. Restrictions lapse on May 29, 2009 for Mr. Zelnak and on reaching age 62 for Mr. Sipling.</w:t>
      </w:r>
    </w:p>
    <w:p>
      <w:pPr>
        <w:spacing w:after="0" w:line="11" w:lineRule="exact"/>
        <w:rPr>
          <w:rFonts w:ascii="Arial" w:cs="Arial" w:eastAsia="Arial" w:hAnsi="Arial"/>
          <w:sz w:val="14"/>
          <w:szCs w:val="14"/>
          <w:color w:val="auto"/>
        </w:rPr>
      </w:pPr>
    </w:p>
    <w:p>
      <w:pPr>
        <w:ind w:left="1300" w:hanging="321"/>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2009.</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2010</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2009.</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2010.</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August 2, 2011.</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Option Exercises and Stock Vested</w:t>
      </w:r>
    </w:p>
    <w:p>
      <w:pPr>
        <w:spacing w:after="0" w:line="121" w:lineRule="exact"/>
        <w:rPr>
          <w:sz w:val="20"/>
          <w:szCs w:val="20"/>
          <w:color w:val="auto"/>
        </w:rPr>
      </w:pPr>
    </w:p>
    <w:p>
      <w:pPr>
        <w:jc w:val="both"/>
        <w:ind w:left="980" w:right="100" w:firstLine="609"/>
        <w:spacing w:after="0" w:line="246" w:lineRule="auto"/>
        <w:rPr>
          <w:sz w:val="20"/>
          <w:szCs w:val="20"/>
          <w:color w:val="auto"/>
        </w:rPr>
      </w:pPr>
      <w:r>
        <w:rPr>
          <w:rFonts w:ascii="Arial" w:cs="Arial" w:eastAsia="Arial" w:hAnsi="Arial"/>
          <w:sz w:val="20"/>
          <w:szCs w:val="20"/>
          <w:color w:val="auto"/>
        </w:rPr>
        <w:t>The table below shows on an aggregated basis for each of the named executive officers information on (1) the exercise of options for the purchase of the Corporation’s common stock and (2) the vesting of stock, including restricted stock units and Incentive Stock Plan units, during the last completed fiscal year. There are no awards of stock appreciation rights (“SARs”) for the Corporation’s common stock or other similar instruments.</w:t>
      </w:r>
    </w:p>
    <w:p>
      <w:pPr>
        <w:spacing w:after="0" w:line="307"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OPTION EXERCISES AND STOCK VESTED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62"/>
        </w:trPr>
        <w:tc>
          <w:tcPr>
            <w:tcW w:w="4180" w:type="dxa"/>
            <w:vAlign w:val="bottom"/>
            <w:tcBorders>
              <w:top w:val="single" w:sz="8" w:color="auto"/>
              <w:left w:val="single" w:sz="8" w:color="auto"/>
            </w:tcBorders>
          </w:tcPr>
          <w:p>
            <w:pPr>
              <w:spacing w:after="0"/>
              <w:rPr>
                <w:sz w:val="14"/>
                <w:szCs w:val="14"/>
                <w:color w:val="auto"/>
              </w:rPr>
            </w:pPr>
          </w:p>
        </w:tc>
        <w:tc>
          <w:tcPr>
            <w:tcW w:w="330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OPTION AWARDS</w:t>
            </w:r>
          </w:p>
        </w:tc>
        <w:tc>
          <w:tcPr>
            <w:tcW w:w="2680" w:type="dxa"/>
            <w:vAlign w:val="bottom"/>
            <w:tcBorders>
              <w:top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18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ind w:left="29"/>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620" w:type="dxa"/>
            <w:vAlign w:val="bottom"/>
          </w:tcPr>
          <w:p>
            <w:pPr>
              <w:spacing w:after="0"/>
              <w:rPr>
                <w:sz w:val="10"/>
                <w:szCs w:val="10"/>
                <w:color w:val="auto"/>
              </w:rPr>
            </w:pPr>
          </w:p>
        </w:tc>
        <w:tc>
          <w:tcPr>
            <w:tcW w:w="180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Borders>
              <w:left w:val="single" w:sz="8" w:color="auto"/>
            </w:tcBorders>
          </w:tcPr>
          <w:p>
            <w:pPr>
              <w:spacing w:after="0"/>
              <w:rPr>
                <w:sz w:val="12"/>
                <w:szCs w:val="12"/>
                <w:color w:val="auto"/>
              </w:rPr>
            </w:pPr>
          </w:p>
        </w:tc>
        <w:tc>
          <w:tcPr>
            <w:tcW w:w="114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Shares Acquired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62"/>
        </w:trPr>
        <w:tc>
          <w:tcPr>
            <w:tcW w:w="4180" w:type="dxa"/>
            <w:vAlign w:val="bottom"/>
            <w:tcBorders>
              <w:left w:val="single" w:sz="8" w:color="auto"/>
            </w:tcBorders>
            <w:vMerge w:val="restart"/>
          </w:tcPr>
          <w:p>
            <w:pPr>
              <w:ind w:left="184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on Exercise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on Vesting</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Vesting</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71"/>
        </w:trPr>
        <w:tc>
          <w:tcPr>
            <w:tcW w:w="4180" w:type="dxa"/>
            <w:vAlign w:val="bottom"/>
            <w:tcBorders>
              <w:left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Borders>
              <w:left w:val="single" w:sz="8" w:color="auto"/>
              <w:bottom w:val="single" w:sz="8" w:color="auto"/>
            </w:tcBorders>
          </w:tcPr>
          <w:p>
            <w:pPr>
              <w:ind w:left="1780"/>
              <w:spacing w:after="0" w:line="142" w:lineRule="exact"/>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tcBorders>
          </w:tcPr>
          <w:p>
            <w:pPr>
              <w:jc w:val="center"/>
              <w:ind w:left="29"/>
              <w:spacing w:after="0" w:line="142" w:lineRule="exact"/>
              <w:rPr>
                <w:sz w:val="20"/>
                <w:szCs w:val="20"/>
                <w:color w:val="auto"/>
              </w:rPr>
            </w:pPr>
            <w:r>
              <w:rPr>
                <w:rFonts w:ascii="Arial" w:cs="Arial" w:eastAsia="Arial" w:hAnsi="Arial"/>
                <w:sz w:val="14"/>
                <w:szCs w:val="14"/>
                <w:b w:val="1"/>
                <w:bCs w:val="1"/>
                <w:color w:val="auto"/>
                <w:w w:val="89"/>
              </w:rPr>
              <w:t>(b)</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6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6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180" w:type="dxa"/>
            <w:vAlign w:val="bottom"/>
            <w:tcBorders>
              <w:lef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b w:val="1"/>
                <w:bCs w:val="1"/>
                <w:color w:val="auto"/>
              </w:rPr>
              <w:t>Stephen P. Zelnak, Jr</w:t>
            </w: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w w:val="79"/>
              </w:rPr>
              <w:t>0</w:t>
            </w:r>
          </w:p>
        </w:tc>
        <w:tc>
          <w:tcPr>
            <w:tcW w:w="14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14,358</w:t>
            </w:r>
          </w:p>
        </w:tc>
        <w:tc>
          <w:tcPr>
            <w:tcW w:w="8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512,458</w:t>
            </w: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Chairman and CEO</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Anne H. Lloyd</w:t>
            </w:r>
          </w:p>
        </w:tc>
        <w:tc>
          <w:tcPr>
            <w:tcW w:w="1140" w:type="dxa"/>
            <w:vAlign w:val="bottom"/>
          </w:tcPr>
          <w:p>
            <w:pPr>
              <w:spacing w:after="0"/>
              <w:rPr>
                <w:sz w:val="17"/>
                <w:szCs w:val="17"/>
                <w:color w:val="auto"/>
              </w:rPr>
            </w:pPr>
          </w:p>
        </w:tc>
        <w:tc>
          <w:tcPr>
            <w:tcW w:w="72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w w:val="79"/>
              </w:rPr>
              <w:t>0</w:t>
            </w:r>
          </w:p>
        </w:tc>
        <w:tc>
          <w:tcPr>
            <w:tcW w:w="14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2,447</w:t>
            </w:r>
          </w:p>
        </w:tc>
        <w:tc>
          <w:tcPr>
            <w:tcW w:w="8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151,876</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Senior Vice President,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0"/>
              <w:spacing w:after="0"/>
              <w:rPr>
                <w:sz w:val="20"/>
                <w:szCs w:val="20"/>
                <w:color w:val="auto"/>
              </w:rPr>
            </w:pPr>
            <w:r>
              <w:rPr>
                <w:rFonts w:ascii="Arial" w:cs="Arial" w:eastAsia="Arial" w:hAnsi="Arial"/>
                <w:sz w:val="18"/>
                <w:szCs w:val="18"/>
                <w:color w:val="auto"/>
              </w:rPr>
              <w:t>CFO and Treasurer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80" w:type="dxa"/>
            <w:vAlign w:val="bottom"/>
            <w:tcBorders>
              <w:lef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b w:val="1"/>
                <w:bCs w:val="1"/>
                <w:color w:val="auto"/>
              </w:rPr>
              <w:t>C. Howard Nye</w:t>
            </w:r>
          </w:p>
        </w:tc>
        <w:tc>
          <w:tcPr>
            <w:tcW w:w="1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w w:val="79"/>
              </w:rPr>
              <w:t>0</w:t>
            </w:r>
          </w:p>
        </w:tc>
        <w:tc>
          <w:tcPr>
            <w:tcW w:w="14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President and COO</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Philip J. Sipling</w:t>
            </w:r>
          </w:p>
        </w:tc>
        <w:tc>
          <w:tcPr>
            <w:tcW w:w="1140" w:type="dxa"/>
            <w:vAlign w:val="bottom"/>
          </w:tcPr>
          <w:p>
            <w:pPr>
              <w:spacing w:after="0"/>
              <w:rPr>
                <w:sz w:val="17"/>
                <w:szCs w:val="17"/>
                <w:color w:val="auto"/>
              </w:rPr>
            </w:pPr>
          </w:p>
        </w:tc>
        <w:tc>
          <w:tcPr>
            <w:tcW w:w="72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w w:val="79"/>
              </w:rPr>
              <w:t>0</w:t>
            </w:r>
          </w:p>
        </w:tc>
        <w:tc>
          <w:tcPr>
            <w:tcW w:w="14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3,426</w:t>
            </w:r>
          </w:p>
        </w:tc>
        <w:tc>
          <w:tcPr>
            <w:tcW w:w="8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193,916</w:t>
            </w:r>
          </w:p>
        </w:tc>
        <w:tc>
          <w:tcPr>
            <w:tcW w:w="0" w:type="dxa"/>
            <w:vAlign w:val="bottom"/>
          </w:tcPr>
          <w:p>
            <w:pPr>
              <w:spacing w:after="0"/>
              <w:rPr>
                <w:sz w:val="1"/>
                <w:szCs w:val="1"/>
                <w:color w:val="auto"/>
              </w:rPr>
            </w:pPr>
          </w:p>
        </w:tc>
      </w:tr>
      <w:tr>
        <w:trPr>
          <w:trHeight w:val="230"/>
        </w:trPr>
        <w:tc>
          <w:tcPr>
            <w:tcW w:w="418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80" w:type="dxa"/>
            <w:vAlign w:val="bottom"/>
            <w:tcBorders>
              <w:lef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b w:val="1"/>
                <w:bCs w:val="1"/>
                <w:color w:val="auto"/>
              </w:rPr>
              <w:t>Daniel G. Shephard</w:t>
            </w:r>
          </w:p>
        </w:tc>
        <w:tc>
          <w:tcPr>
            <w:tcW w:w="1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w w:val="79"/>
              </w:rPr>
              <w:t>0</w:t>
            </w:r>
          </w:p>
        </w:tc>
        <w:tc>
          <w:tcPr>
            <w:tcW w:w="14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3,196</w:t>
            </w:r>
          </w:p>
        </w:tc>
        <w:tc>
          <w:tcPr>
            <w:tcW w:w="8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159,646</w:t>
            </w: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Executive Vice President</w:t>
            </w: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80" w:right="780" w:hanging="310"/>
        <w:spacing w:after="0" w:line="277"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column (e) include the value of restricted stock unit awards at the time of vesting and the appreciation of both mandatory and voluntary contributions under the Incentive Stock Plan.</w:t>
      </w:r>
    </w:p>
    <w:p>
      <w:pPr>
        <w:spacing w:after="0" w:line="17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1445895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Pension Benefits</w:t>
      </w:r>
    </w:p>
    <w:p>
      <w:pPr>
        <w:spacing w:after="0" w:line="121"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the Corporation’s financial statements.</w:t>
      </w:r>
    </w:p>
    <w:p>
      <w:pPr>
        <w:spacing w:after="0" w:line="307"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PENSION BENEFITS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580" w:type="dxa"/>
            <w:vAlign w:val="bottom"/>
            <w:tcBorders>
              <w:top w:val="single" w:sz="8" w:color="auto"/>
              <w:lef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515"/>
              <w:spacing w:after="0" w:line="139" w:lineRule="exact"/>
              <w:rPr>
                <w:sz w:val="20"/>
                <w:szCs w:val="20"/>
                <w:color w:val="auto"/>
              </w:rPr>
            </w:pPr>
            <w:r>
              <w:rPr>
                <w:rFonts w:ascii="Arial" w:cs="Arial" w:eastAsia="Arial" w:hAnsi="Arial"/>
                <w:sz w:val="14"/>
                <w:szCs w:val="14"/>
                <w:b w:val="1"/>
                <w:bCs w:val="1"/>
                <w:color w:val="auto"/>
                <w:w w:val="92"/>
              </w:rPr>
              <w:t>Numbers of</w:t>
            </w:r>
          </w:p>
        </w:tc>
        <w:tc>
          <w:tcPr>
            <w:tcW w:w="1700" w:type="dxa"/>
            <w:vAlign w:val="bottom"/>
            <w:tcBorders>
              <w:top w:val="single" w:sz="8" w:color="auto"/>
            </w:tcBorders>
          </w:tcPr>
          <w:p>
            <w:pPr>
              <w:jc w:val="center"/>
              <w:ind w:right="495"/>
              <w:spacing w:after="0" w:line="139" w:lineRule="exact"/>
              <w:rPr>
                <w:sz w:val="20"/>
                <w:szCs w:val="20"/>
                <w:color w:val="auto"/>
              </w:rPr>
            </w:pPr>
            <w:r>
              <w:rPr>
                <w:rFonts w:ascii="Arial" w:cs="Arial" w:eastAsia="Arial" w:hAnsi="Arial"/>
                <w:sz w:val="14"/>
                <w:szCs w:val="14"/>
                <w:b w:val="1"/>
                <w:bCs w:val="1"/>
                <w:color w:val="auto"/>
                <w:w w:val="90"/>
              </w:rPr>
              <w:t>Present Value</w:t>
            </w:r>
          </w:p>
        </w:tc>
        <w:tc>
          <w:tcPr>
            <w:tcW w:w="11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tcBorders>
            <w:vMerge w:val="restart"/>
          </w:tcPr>
          <w:p>
            <w:pPr>
              <w:ind w:left="164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1640" w:type="dxa"/>
            <w:vAlign w:val="bottom"/>
            <w:vMerge w:val="restart"/>
          </w:tcPr>
          <w:p>
            <w:pPr>
              <w:jc w:val="center"/>
              <w:ind w:right="413"/>
              <w:spacing w:after="0"/>
              <w:rPr>
                <w:sz w:val="20"/>
                <w:szCs w:val="20"/>
                <w:color w:val="auto"/>
              </w:rPr>
            </w:pPr>
            <w:r>
              <w:rPr>
                <w:rFonts w:ascii="Arial" w:cs="Arial" w:eastAsia="Arial" w:hAnsi="Arial"/>
                <w:sz w:val="14"/>
                <w:szCs w:val="14"/>
                <w:b w:val="1"/>
                <w:bCs w:val="1"/>
                <w:color w:val="auto"/>
                <w:w w:val="92"/>
              </w:rPr>
              <w:t>Plan Name</w:t>
            </w:r>
          </w:p>
        </w:tc>
        <w:tc>
          <w:tcPr>
            <w:tcW w:w="1640" w:type="dxa"/>
            <w:vAlign w:val="bottom"/>
          </w:tcPr>
          <w:p>
            <w:pPr>
              <w:jc w:val="center"/>
              <w:ind w:right="515"/>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1700" w:type="dxa"/>
            <w:vAlign w:val="bottom"/>
          </w:tcPr>
          <w:p>
            <w:pPr>
              <w:jc w:val="center"/>
              <w:ind w:right="495"/>
              <w:spacing w:after="0" w:line="149" w:lineRule="exact"/>
              <w:rPr>
                <w:sz w:val="20"/>
                <w:szCs w:val="20"/>
                <w:color w:val="auto"/>
              </w:rPr>
            </w:pPr>
            <w:r>
              <w:rPr>
                <w:rFonts w:ascii="Arial" w:cs="Arial" w:eastAsia="Arial" w:hAnsi="Arial"/>
                <w:sz w:val="14"/>
                <w:szCs w:val="14"/>
                <w:b w:val="1"/>
                <w:bCs w:val="1"/>
                <w:color w:val="auto"/>
                <w:w w:val="91"/>
              </w:rPr>
              <w:t>of Accumulated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640" w:type="dxa"/>
            <w:vAlign w:val="bottom"/>
          </w:tcPr>
          <w:p>
            <w:pPr>
              <w:jc w:val="center"/>
              <w:ind w:right="515"/>
              <w:spacing w:after="0" w:line="149" w:lineRule="exact"/>
              <w:rPr>
                <w:sz w:val="20"/>
                <w:szCs w:val="20"/>
                <w:color w:val="auto"/>
              </w:rPr>
            </w:pPr>
            <w:r>
              <w:rPr>
                <w:rFonts w:ascii="Arial" w:cs="Arial" w:eastAsia="Arial" w:hAnsi="Arial"/>
                <w:sz w:val="14"/>
                <w:szCs w:val="14"/>
                <w:b w:val="1"/>
                <w:bCs w:val="1"/>
                <w:color w:val="auto"/>
                <w:w w:val="90"/>
              </w:rPr>
              <w:t>Service (#)</w:t>
            </w:r>
          </w:p>
        </w:tc>
        <w:tc>
          <w:tcPr>
            <w:tcW w:w="1700" w:type="dxa"/>
            <w:vAlign w:val="bottom"/>
          </w:tcPr>
          <w:p>
            <w:pPr>
              <w:jc w:val="center"/>
              <w:ind w:right="475"/>
              <w:spacing w:after="0" w:line="149" w:lineRule="exact"/>
              <w:rPr>
                <w:sz w:val="20"/>
                <w:szCs w:val="20"/>
                <w:color w:val="auto"/>
              </w:rPr>
            </w:pPr>
            <w:r>
              <w:rPr>
                <w:rFonts w:ascii="Arial" w:cs="Arial" w:eastAsia="Arial" w:hAnsi="Arial"/>
                <w:sz w:val="14"/>
                <w:szCs w:val="14"/>
                <w:b w:val="1"/>
                <w:bCs w:val="1"/>
                <w:color w:val="auto"/>
                <w:w w:val="93"/>
              </w:rPr>
              <w:t>Benefit ($)</w:t>
            </w:r>
            <w:r>
              <w:rPr>
                <w:rFonts w:ascii="Arial" w:cs="Arial" w:eastAsia="Arial" w:hAnsi="Arial"/>
                <w:sz w:val="12"/>
                <w:szCs w:val="12"/>
                <w:b w:val="1"/>
                <w:bCs w:val="1"/>
                <w:color w:val="auto"/>
                <w:w w:val="93"/>
              </w:rPr>
              <w:t>(1)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Fiscal Year ($)</w:t>
            </w:r>
          </w:p>
        </w:tc>
        <w:tc>
          <w:tcPr>
            <w:tcW w:w="0" w:type="dxa"/>
            <w:vAlign w:val="bottom"/>
          </w:tcPr>
          <w:p>
            <w:pPr>
              <w:spacing w:after="0"/>
              <w:rPr>
                <w:sz w:val="1"/>
                <w:szCs w:val="1"/>
                <w:color w:val="auto"/>
              </w:rPr>
            </w:pPr>
          </w:p>
        </w:tc>
      </w:tr>
      <w:tr>
        <w:trPr>
          <w:trHeight w:val="199"/>
        </w:trPr>
        <w:tc>
          <w:tcPr>
            <w:tcW w:w="3580" w:type="dxa"/>
            <w:vAlign w:val="bottom"/>
            <w:tcBorders>
              <w:left w:val="single" w:sz="8" w:color="auto"/>
              <w:bottom w:val="single" w:sz="8" w:color="auto"/>
            </w:tcBorders>
          </w:tcPr>
          <w:p>
            <w:pPr>
              <w:ind w:left="1800"/>
              <w:spacing w:after="0"/>
              <w:rPr>
                <w:sz w:val="20"/>
                <w:szCs w:val="20"/>
                <w:color w:val="auto"/>
              </w:rPr>
            </w:pPr>
            <w:r>
              <w:rPr>
                <w:rFonts w:ascii="Arial" w:cs="Arial" w:eastAsia="Arial" w:hAnsi="Arial"/>
                <w:sz w:val="14"/>
                <w:szCs w:val="14"/>
                <w:b w:val="1"/>
                <w:bCs w:val="1"/>
                <w:color w:val="auto"/>
              </w:rPr>
              <w:t>(a)</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rPr>
              <w:t>(b)</w:t>
            </w:r>
          </w:p>
        </w:tc>
        <w:tc>
          <w:tcPr>
            <w:tcW w:w="1640" w:type="dxa"/>
            <w:vAlign w:val="bottom"/>
            <w:tcBorders>
              <w:bottom w:val="single" w:sz="8" w:color="auto"/>
            </w:tcBorders>
          </w:tcPr>
          <w:p>
            <w:pPr>
              <w:jc w:val="center"/>
              <w:ind w:right="515"/>
              <w:spacing w:after="0"/>
              <w:rPr>
                <w:sz w:val="20"/>
                <w:szCs w:val="20"/>
                <w:color w:val="auto"/>
              </w:rPr>
            </w:pPr>
            <w:r>
              <w:rPr>
                <w:rFonts w:ascii="Arial" w:cs="Arial" w:eastAsia="Arial" w:hAnsi="Arial"/>
                <w:sz w:val="14"/>
                <w:szCs w:val="14"/>
                <w:b w:val="1"/>
                <w:bCs w:val="1"/>
                <w:color w:val="auto"/>
                <w:w w:val="93"/>
              </w:rPr>
              <w:t>(c)</w:t>
            </w:r>
          </w:p>
        </w:tc>
        <w:tc>
          <w:tcPr>
            <w:tcW w:w="1700" w:type="dxa"/>
            <w:vAlign w:val="bottom"/>
            <w:tcBorders>
              <w:bottom w:val="single" w:sz="8" w:color="auto"/>
            </w:tcBorders>
          </w:tcPr>
          <w:p>
            <w:pPr>
              <w:jc w:val="center"/>
              <w:ind w:right="475"/>
              <w:spacing w:after="0"/>
              <w:rPr>
                <w:sz w:val="20"/>
                <w:szCs w:val="20"/>
                <w:color w:val="auto"/>
              </w:rPr>
            </w:pPr>
            <w:r>
              <w:rPr>
                <w:rFonts w:ascii="Arial" w:cs="Arial" w:eastAsia="Arial" w:hAnsi="Arial"/>
                <w:sz w:val="14"/>
                <w:szCs w:val="14"/>
                <w:b w:val="1"/>
                <w:bCs w:val="1"/>
                <w:color w:val="auto"/>
              </w:rPr>
              <w:t>(d)</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Stephen P. Zelnak, Jr</w:t>
            </w: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27.667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941,717</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Chairman and CEO</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27.667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10,254,891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Anne H. Lloyd</w:t>
            </w:r>
          </w:p>
        </w:tc>
        <w:tc>
          <w:tcPr>
            <w:tcW w:w="500" w:type="dxa"/>
            <w:vAlign w:val="bottom"/>
          </w:tcPr>
          <w:p>
            <w:pPr>
              <w:spacing w:after="0"/>
              <w:rPr>
                <w:sz w:val="17"/>
                <w:szCs w:val="17"/>
                <w:color w:val="auto"/>
              </w:rPr>
            </w:pPr>
          </w:p>
        </w:tc>
        <w:tc>
          <w:tcPr>
            <w:tcW w:w="1640" w:type="dxa"/>
            <w:vAlign w:val="bottom"/>
          </w:tcPr>
          <w:p>
            <w:pPr>
              <w:jc w:val="center"/>
              <w:ind w:right="413"/>
              <w:spacing w:after="0" w:line="201" w:lineRule="exact"/>
              <w:rPr>
                <w:sz w:val="20"/>
                <w:szCs w:val="20"/>
                <w:color w:val="auto"/>
              </w:rPr>
            </w:pPr>
            <w:r>
              <w:rPr>
                <w:rFonts w:ascii="Arial" w:cs="Arial" w:eastAsia="Arial" w:hAnsi="Arial"/>
                <w:sz w:val="18"/>
                <w:szCs w:val="18"/>
                <w:color w:val="auto"/>
                <w:w w:val="88"/>
              </w:rPr>
              <w:t>Pension Plan</w:t>
            </w:r>
          </w:p>
        </w:tc>
        <w:tc>
          <w:tcPr>
            <w:tcW w:w="1640" w:type="dxa"/>
            <w:vAlign w:val="bottom"/>
          </w:tcPr>
          <w:p>
            <w:pPr>
              <w:jc w:val="right"/>
              <w:ind w:right="535"/>
              <w:spacing w:after="0" w:line="201" w:lineRule="exact"/>
              <w:rPr>
                <w:sz w:val="20"/>
                <w:szCs w:val="20"/>
                <w:color w:val="auto"/>
              </w:rPr>
            </w:pPr>
            <w:r>
              <w:rPr>
                <w:rFonts w:ascii="Arial" w:cs="Arial" w:eastAsia="Arial" w:hAnsi="Arial"/>
                <w:sz w:val="18"/>
                <w:szCs w:val="18"/>
                <w:color w:val="auto"/>
              </w:rPr>
              <w:t>10.583</w:t>
            </w:r>
          </w:p>
        </w:tc>
        <w:tc>
          <w:tcPr>
            <w:tcW w:w="1700" w:type="dxa"/>
            <w:vAlign w:val="bottom"/>
          </w:tcPr>
          <w:p>
            <w:pPr>
              <w:jc w:val="right"/>
              <w:ind w:right="495"/>
              <w:spacing w:after="0" w:line="201" w:lineRule="exact"/>
              <w:rPr>
                <w:sz w:val="20"/>
                <w:szCs w:val="20"/>
                <w:color w:val="auto"/>
              </w:rPr>
            </w:pPr>
            <w:r>
              <w:rPr>
                <w:rFonts w:ascii="Arial" w:cs="Arial" w:eastAsia="Arial" w:hAnsi="Arial"/>
                <w:sz w:val="18"/>
                <w:szCs w:val="18"/>
                <w:color w:val="auto"/>
              </w:rPr>
              <w:t>159,960</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Senior Vice President,</w:t>
            </w:r>
          </w:p>
        </w:tc>
        <w:tc>
          <w:tcPr>
            <w:tcW w:w="500" w:type="dxa"/>
            <w:vAlign w:val="bottom"/>
          </w:tcPr>
          <w:p>
            <w:pPr>
              <w:spacing w:after="0"/>
              <w:rPr>
                <w:sz w:val="18"/>
                <w:szCs w:val="18"/>
                <w:color w:val="auto"/>
              </w:rPr>
            </w:pPr>
          </w:p>
        </w:tc>
        <w:tc>
          <w:tcPr>
            <w:tcW w:w="1640" w:type="dxa"/>
            <w:vAlign w:val="bottom"/>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10.583</w:t>
            </w:r>
          </w:p>
        </w:tc>
        <w:tc>
          <w:tcPr>
            <w:tcW w:w="1700" w:type="dxa"/>
            <w:vAlign w:val="bottom"/>
          </w:tcPr>
          <w:p>
            <w:pPr>
              <w:jc w:val="right"/>
              <w:ind w:right="495"/>
              <w:spacing w:after="0"/>
              <w:rPr>
                <w:sz w:val="20"/>
                <w:szCs w:val="20"/>
                <w:color w:val="auto"/>
              </w:rPr>
            </w:pPr>
            <w:r>
              <w:rPr>
                <w:rFonts w:ascii="Arial" w:cs="Arial" w:eastAsia="Arial" w:hAnsi="Arial"/>
                <w:sz w:val="18"/>
                <w:szCs w:val="18"/>
                <w:color w:val="auto"/>
              </w:rPr>
              <w:t>308,594</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Arial" w:cs="Arial" w:eastAsia="Arial" w:hAnsi="Arial"/>
                <w:sz w:val="18"/>
                <w:szCs w:val="18"/>
                <w:color w:val="auto"/>
              </w:rPr>
              <w:t>CFO and Treasurer</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 Howard Nye</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2.417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35,163</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President and COO</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2.417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149,179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Philip J. Sipling</w:t>
            </w:r>
          </w:p>
        </w:tc>
        <w:tc>
          <w:tcPr>
            <w:tcW w:w="500" w:type="dxa"/>
            <w:vAlign w:val="bottom"/>
          </w:tcPr>
          <w:p>
            <w:pPr>
              <w:spacing w:after="0"/>
              <w:rPr>
                <w:sz w:val="18"/>
                <w:szCs w:val="18"/>
                <w:color w:val="auto"/>
              </w:rPr>
            </w:pPr>
          </w:p>
        </w:tc>
        <w:tc>
          <w:tcPr>
            <w:tcW w:w="1640" w:type="dxa"/>
            <w:vAlign w:val="bottom"/>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24.000</w:t>
            </w:r>
          </w:p>
        </w:tc>
        <w:tc>
          <w:tcPr>
            <w:tcW w:w="1700" w:type="dxa"/>
            <w:vAlign w:val="bottom"/>
          </w:tcPr>
          <w:p>
            <w:pPr>
              <w:jc w:val="right"/>
              <w:ind w:right="495"/>
              <w:spacing w:after="0"/>
              <w:rPr>
                <w:sz w:val="20"/>
                <w:szCs w:val="20"/>
                <w:color w:val="auto"/>
              </w:rPr>
            </w:pPr>
            <w:r>
              <w:rPr>
                <w:rFonts w:ascii="Arial" w:cs="Arial" w:eastAsia="Arial" w:hAnsi="Arial"/>
                <w:sz w:val="18"/>
                <w:szCs w:val="18"/>
                <w:color w:val="auto"/>
              </w:rPr>
              <w:t>843,982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24.000</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2,527,235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Daniel G. Shephard</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19.917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354,231</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Executive Vice President</w:t>
            </w:r>
          </w:p>
        </w:tc>
        <w:tc>
          <w:tcPr>
            <w:tcW w:w="5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rPr>
              <w:t>19.917</w:t>
            </w:r>
          </w:p>
        </w:tc>
        <w:tc>
          <w:tcPr>
            <w:tcW w:w="170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755,631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220" w:right="240" w:hanging="242"/>
        <w:spacing w:after="0" w:line="238" w:lineRule="auto"/>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the Corporation’s audited financial statements for the fiscal year ended December 31, 2008, included in the Corporation’s Annual Report on Form 10-K filed with the Securities and Exchange Commission on February 17, 2009.</w:t>
      </w:r>
    </w:p>
    <w:p>
      <w:pPr>
        <w:spacing w:after="0" w:line="90"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The Pension Plan is a defined benefit plan sponsored by the Corporation and covers all of the Corporation’s executive officers, including the named executive officers, and substantially all of the salaried employees of the Corporation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up to 35 years and 1.50% of average compensation over social security covered compensation up to or over 35 years.) Benefits payable under the Pension Plan are subject to current Internal Revenue Code limitation, including a limitation on the amount of annual compensation for purposes of calculating eligible remuneration for a participant under a qualified retirement plan ($230,000 in 2008). The Corporation’s Supplemental Excess Retirement Plan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Certain of the named executive officers are eligible for early retirement, which allows for payment to employees who are age 55 with at least five years of service at a reduced benefit based on the number of years of service and the number of years prior to age 62 at which the benefits began. The present value of the pension plan and SERP benefit, respectively, for each of Messrs. Zelnak and Sipling, who are retirement eligible, if they had retired on</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931545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80"/>
        <w:spacing w:after="0" w:line="269" w:lineRule="auto"/>
        <w:rPr>
          <w:sz w:val="20"/>
          <w:szCs w:val="20"/>
          <w:color w:val="auto"/>
        </w:rPr>
      </w:pPr>
      <w:r>
        <w:rPr>
          <w:rFonts w:ascii="Arial" w:cs="Arial" w:eastAsia="Arial" w:hAnsi="Arial"/>
          <w:sz w:val="18"/>
          <w:szCs w:val="18"/>
          <w:color w:val="auto"/>
        </w:rPr>
        <w:t>December 31, 2008 would be as follows: Mr. Zelnak, $941,717 and $10,254,891, respectively; and Mr. Sipling, $835,497 and $2,617,917, respectively. The other named executive officers are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Ms. Lloyd, Mr. Nye and Mr. Shephard, who are not yet retirement eligible, if they had terminated on December 31, 2008 and began collecting benefits at age 55 would be as follows: Ms. Lloyd, $134,408 and $278,348, respectively; Mr. Nye, $0 and $0, respectively; and</w:t>
      </w:r>
    </w:p>
    <w:p>
      <w:pPr>
        <w:spacing w:after="0" w:line="2" w:lineRule="exact"/>
        <w:rPr>
          <w:sz w:val="20"/>
          <w:szCs w:val="20"/>
          <w:color w:val="auto"/>
        </w:rPr>
      </w:pPr>
    </w:p>
    <w:p>
      <w:pPr>
        <w:ind w:left="980" w:right="140"/>
        <w:spacing w:after="0" w:line="244" w:lineRule="auto"/>
        <w:rPr>
          <w:sz w:val="20"/>
          <w:szCs w:val="20"/>
          <w:color w:val="auto"/>
        </w:rPr>
      </w:pPr>
      <w:r>
        <w:rPr>
          <w:rFonts w:ascii="Arial" w:cs="Arial" w:eastAsia="Arial" w:hAnsi="Arial"/>
          <w:sz w:val="20"/>
          <w:szCs w:val="20"/>
          <w:color w:val="auto"/>
        </w:rPr>
        <w:t>Mr. Shephard, $361,825 and $828,579, respectively. The amounts listed in the foregoing table are not subject to any deduction for Social Security benefits or other offset amounts.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 cause termination, normal retirement, early retirement, in the event of disability or death of the executive, and termination following a change of control. The amounts assume that such termination was effective as of December 31, 2008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the Corporation.</w:t>
      </w:r>
    </w:p>
    <w:p>
      <w:pPr>
        <w:spacing w:after="0" w:line="75"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i w:val="1"/>
          <w:iCs w:val="1"/>
          <w:u w:val="single" w:color="auto"/>
          <w:color w:val="auto"/>
        </w:rPr>
        <w:t>Payments Upon Any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the manner in which the employment of a named executive officer</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terminates, he or she is entitled to receive the amounts earned during the term of employment, including cash compensation earned during the fiscal year, amounts contributed by the employee and the Corporation’s matching contributions to the Performance Sharing Plan, unused earned vacation pay and amounts accrued and vested through the Corporation’s Pension Plan and Supplemental Excess Retirement Plan.</w:t>
      </w:r>
    </w:p>
    <w:p>
      <w:pPr>
        <w:spacing w:after="0" w:line="100"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i w:val="1"/>
          <w:iCs w:val="1"/>
          <w:u w:val="single" w:color="auto"/>
          <w:color w:val="auto"/>
        </w:rPr>
        <w:t>Payments Upon Voluntary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In addition to the amounts described under the heading Payments Upon Any</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the Corporation’s common stock on the date of termination.</w:t>
      </w:r>
    </w:p>
    <w:p>
      <w:pPr>
        <w:spacing w:after="0" w:line="100" w:lineRule="exact"/>
        <w:rPr>
          <w:sz w:val="20"/>
          <w:szCs w:val="20"/>
          <w:color w:val="auto"/>
        </w:rPr>
      </w:pPr>
    </w:p>
    <w:p>
      <w:pPr>
        <w:ind w:left="980" w:right="60" w:firstLine="609"/>
        <w:spacing w:after="0" w:line="276" w:lineRule="auto"/>
        <w:rPr>
          <w:sz w:val="20"/>
          <w:szCs w:val="20"/>
          <w:color w:val="auto"/>
        </w:rPr>
      </w:pPr>
      <w:r>
        <w:rPr>
          <w:rFonts w:ascii="Arial" w:cs="Arial" w:eastAsia="Arial" w:hAnsi="Arial"/>
          <w:sz w:val="18"/>
          <w:szCs w:val="18"/>
          <w:i w:val="1"/>
          <w:iCs w:val="1"/>
          <w:u w:val="single" w:color="auto"/>
          <w:color w:val="auto"/>
        </w:rPr>
        <w:t>Payments Upon Involuntary Not-For-Cause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 For those named executive officers with restricted stock unit awards that were granted in connection with the Corporation’s succession planning, the terms of the outstanding awards would be unaffected by such termination.</w:t>
      </w:r>
    </w:p>
    <w:p>
      <w:pPr>
        <w:spacing w:after="0" w:line="71" w:lineRule="exact"/>
        <w:rPr>
          <w:sz w:val="20"/>
          <w:szCs w:val="20"/>
          <w:color w:val="auto"/>
        </w:rPr>
      </w:pPr>
    </w:p>
    <w:p>
      <w:pPr>
        <w:ind w:left="980" w:firstLine="609"/>
        <w:spacing w:after="0" w:line="269" w:lineRule="auto"/>
        <w:rPr>
          <w:sz w:val="20"/>
          <w:szCs w:val="20"/>
          <w:color w:val="auto"/>
        </w:rPr>
      </w:pPr>
      <w:r>
        <w:rPr>
          <w:rFonts w:ascii="Arial" w:cs="Arial" w:eastAsia="Arial" w:hAnsi="Arial"/>
          <w:sz w:val="19"/>
          <w:szCs w:val="19"/>
          <w:i w:val="1"/>
          <w:iCs w:val="1"/>
          <w:u w:val="single" w:color="auto"/>
          <w:color w:val="auto"/>
        </w:rPr>
        <w:t>Payments Upon Involuntary For-Cause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event of involuntary termination for cause, which is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Employment Protection Agreement and the Stock-Based Award Plan, the named executive officer would be entitled to receive the payments and benefits described under the heading Payments Upon Voluntary Termination.</w:t>
      </w:r>
    </w:p>
    <w:p>
      <w:pPr>
        <w:spacing w:after="0" w:line="76" w:lineRule="exact"/>
        <w:rPr>
          <w:sz w:val="20"/>
          <w:szCs w:val="20"/>
          <w:color w:val="auto"/>
        </w:rPr>
      </w:pPr>
    </w:p>
    <w:p>
      <w:pPr>
        <w:jc w:val="both"/>
        <w:ind w:left="980" w:right="100" w:firstLine="609"/>
        <w:spacing w:after="0" w:line="246" w:lineRule="auto"/>
        <w:rPr>
          <w:sz w:val="20"/>
          <w:szCs w:val="20"/>
          <w:color w:val="auto"/>
        </w:rPr>
      </w:pPr>
      <w:r>
        <w:rPr>
          <w:rFonts w:ascii="Arial" w:cs="Arial" w:eastAsia="Arial" w:hAnsi="Arial"/>
          <w:sz w:val="20"/>
          <w:szCs w:val="20"/>
          <w:i w:val="1"/>
          <w:iCs w:val="1"/>
          <w:u w:val="single" w:color="auto"/>
          <w:color w:val="auto"/>
        </w:rPr>
        <w:t>Payments Upon Retirement</w:t>
      </w:r>
      <w:r>
        <w:rPr>
          <w:rFonts w:ascii="Arial" w:cs="Arial" w:eastAsia="Arial" w:hAnsi="Arial"/>
          <w:sz w:val="20"/>
          <w:szCs w:val="20"/>
          <w:i w:val="1"/>
          <w:iCs w:val="1"/>
          <w:color w:val="auto"/>
        </w:rPr>
        <w:t xml:space="preserve">. </w:t>
      </w:r>
      <w:r>
        <w:rPr>
          <w:rFonts w:ascii="Arial" w:cs="Arial" w:eastAsia="Arial" w:hAnsi="Arial"/>
          <w:sz w:val="20"/>
          <w:szCs w:val="20"/>
          <w:color w:val="auto"/>
        </w:rPr>
        <w:t>In the event of the retirement at age 62 or above of a named executive officer, in addition</w:t>
      </w:r>
      <w:r>
        <w:rPr>
          <w:rFonts w:ascii="Arial" w:cs="Arial" w:eastAsia="Arial" w:hAnsi="Arial"/>
          <w:sz w:val="20"/>
          <w:szCs w:val="20"/>
          <w:i w:val="1"/>
          <w:iCs w:val="1"/>
          <w:color w:val="auto"/>
        </w:rPr>
        <w:t xml:space="preserve"> </w:t>
      </w:r>
      <w:r>
        <w:rPr>
          <w:rFonts w:ascii="Arial" w:cs="Arial" w:eastAsia="Arial" w:hAnsi="Arial"/>
          <w:sz w:val="20"/>
          <w:szCs w:val="20"/>
          <w:color w:val="auto"/>
        </w:rPr>
        <w:t>to the items described under the heading Payments Upon Any Termination, the executive will continue to hold all outstanding options unaffected by the retirement and retain such options for the remainder of the outstanding term; will continue to hold all awards of performance-based restricted stock unit</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1068705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00"/>
        <w:spacing w:after="0" w:line="243" w:lineRule="auto"/>
        <w:rPr>
          <w:sz w:val="20"/>
          <w:szCs w:val="20"/>
          <w:color w:val="auto"/>
        </w:rPr>
      </w:pPr>
      <w:r>
        <w:rPr>
          <w:rFonts w:ascii="Arial" w:cs="Arial" w:eastAsia="Arial" w:hAnsi="Arial"/>
          <w:sz w:val="20"/>
          <w:szCs w:val="20"/>
          <w:color w:val="auto"/>
        </w:rPr>
        <w:t>awards for the remainder of the outstanding term unaffected by the retirement; will vest in all outstanding awards of LTIP restricted stock units; for those named executive officers with restricted stock unit awards that were granted in connection with the Corporation’s executive succession planning, will vest in all outstanding awards (as to Mr. Zelnak, if such retirement is on or after May 29, 2009); will vest in all outstanding awards of common stock units under the Incentive Stock Plan; will be eligible to receive health and welfare benefits as described under the heading Retiree Medical; and will continue to receive life insurance coverage until his or her death.</w:t>
      </w:r>
    </w:p>
    <w:p>
      <w:pPr>
        <w:spacing w:after="0" w:line="102" w:lineRule="exact"/>
        <w:rPr>
          <w:sz w:val="20"/>
          <w:szCs w:val="20"/>
          <w:color w:val="auto"/>
        </w:rPr>
      </w:pPr>
    </w:p>
    <w:p>
      <w:pPr>
        <w:ind w:left="980" w:firstLine="609"/>
        <w:spacing w:after="0" w:line="282" w:lineRule="auto"/>
        <w:rPr>
          <w:sz w:val="20"/>
          <w:szCs w:val="20"/>
          <w:color w:val="auto"/>
        </w:rPr>
      </w:pPr>
      <w:r>
        <w:rPr>
          <w:rFonts w:ascii="Arial" w:cs="Arial" w:eastAsia="Arial" w:hAnsi="Arial"/>
          <w:sz w:val="18"/>
          <w:szCs w:val="18"/>
          <w:i w:val="1"/>
          <w:iCs w:val="1"/>
          <w:u w:val="single" w:color="auto"/>
          <w:color w:val="auto"/>
        </w:rPr>
        <w:t>Payments Made Upon Early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retirement prior to reaching age 62 but on or after reaching</w:t>
      </w:r>
      <w:r>
        <w:rPr>
          <w:rFonts w:ascii="Arial" w:cs="Arial" w:eastAsia="Arial" w:hAnsi="Arial"/>
          <w:sz w:val="18"/>
          <w:szCs w:val="18"/>
          <w:i w:val="1"/>
          <w:iCs w:val="1"/>
          <w:color w:val="auto"/>
        </w:rPr>
        <w:t xml:space="preserve"> </w:t>
      </w:r>
      <w:r>
        <w:rPr>
          <w:rFonts w:ascii="Arial" w:cs="Arial" w:eastAsia="Arial" w:hAnsi="Arial"/>
          <w:sz w:val="18"/>
          <w:szCs w:val="18"/>
          <w:color w:val="auto"/>
        </w:rPr>
        <w:t>age 55, the named executive officer will receive benefits as described under the heading Payments Upon Voluntary Termination. In addition, the named executive officer will receive reduced benefits of the type described under Pension Benefits on page 40 and may be eligible for benefits described under the heading Retiree Medical on page 31 at a higher cost.</w:t>
      </w:r>
    </w:p>
    <w:p>
      <w:pPr>
        <w:spacing w:after="0" w:line="67" w:lineRule="exact"/>
        <w:rPr>
          <w:sz w:val="20"/>
          <w:szCs w:val="20"/>
          <w:color w:val="auto"/>
        </w:rPr>
      </w:pPr>
    </w:p>
    <w:p>
      <w:pPr>
        <w:ind w:left="980" w:right="40" w:firstLine="609"/>
        <w:spacing w:after="0" w:line="278" w:lineRule="auto"/>
        <w:rPr>
          <w:sz w:val="20"/>
          <w:szCs w:val="20"/>
          <w:color w:val="auto"/>
        </w:rPr>
      </w:pPr>
      <w:r>
        <w:rPr>
          <w:rFonts w:ascii="Arial" w:cs="Arial" w:eastAsia="Arial" w:hAnsi="Arial"/>
          <w:sz w:val="18"/>
          <w:szCs w:val="18"/>
          <w:i w:val="1"/>
          <w:iCs w:val="1"/>
          <w:u w:val="single" w:color="auto"/>
          <w:color w:val="auto"/>
        </w:rPr>
        <w:t>Payments Upon Death or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death or disability of a named executive officer,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payments and benefits under the headings Payments Upon Any Termination, the named executive officer or their estate will receive benefits under the Corporation’s long-term disability plan or life insurance plan, as appropriate, and a death benefit payment equal to the then-current base salary of such employee paid under the Pension Plan. In addition, all awards of restricted stock units and options will vest and the executive or their estate will have one year to exercise the options.</w:t>
      </w:r>
    </w:p>
    <w:p>
      <w:pPr>
        <w:spacing w:after="0" w:line="71" w:lineRule="exact"/>
        <w:rPr>
          <w:sz w:val="20"/>
          <w:szCs w:val="20"/>
          <w:color w:val="auto"/>
        </w:rPr>
      </w:pPr>
    </w:p>
    <w:p>
      <w:pPr>
        <w:ind w:left="980" w:right="200" w:firstLine="609"/>
        <w:spacing w:after="0" w:line="272" w:lineRule="auto"/>
        <w:rPr>
          <w:sz w:val="20"/>
          <w:szCs w:val="20"/>
          <w:color w:val="auto"/>
        </w:rPr>
      </w:pPr>
      <w:r>
        <w:rPr>
          <w:rFonts w:ascii="Arial" w:cs="Arial" w:eastAsia="Arial" w:hAnsi="Arial"/>
          <w:sz w:val="18"/>
          <w:szCs w:val="18"/>
          <w:i w:val="1"/>
          <w:iCs w:val="1"/>
          <w:u w:val="single" w:color="auto"/>
          <w:color w:val="auto"/>
        </w:rPr>
        <w:t>Payments Upon a 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has entered into Employment Protection Agreements,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77"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annual bonus, perquisites and the Corporation’s match to the defined contribution plan; the payment of a pro-rata annual bonus in the year of termination; and a continuation of health, medical and other insurance benefits for a period of three years following termination. The rationale for selecting these triggers is to encourage the named executive officers to remain focused on the Corporation,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the Corporation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1223010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60"/>
        <w:spacing w:after="0" w:line="271" w:lineRule="auto"/>
        <w:rPr>
          <w:sz w:val="20"/>
          <w:szCs w:val="20"/>
          <w:color w:val="auto"/>
        </w:rPr>
      </w:pPr>
      <w:r>
        <w:rPr>
          <w:rFonts w:ascii="Arial" w:cs="Arial" w:eastAsia="Arial" w:hAnsi="Arial"/>
          <w:sz w:val="18"/>
          <w:szCs w:val="18"/>
          <w:color w:val="auto"/>
        </w:rPr>
        <w:t>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the Corporation.</w:t>
      </w:r>
    </w:p>
    <w:p>
      <w:pPr>
        <w:spacing w:after="0" w:line="80" w:lineRule="exact"/>
        <w:rPr>
          <w:sz w:val="20"/>
          <w:szCs w:val="20"/>
          <w:color w:val="auto"/>
        </w:rPr>
      </w:pPr>
    </w:p>
    <w:p>
      <w:pPr>
        <w:ind w:left="980" w:right="100" w:firstLine="609"/>
        <w:spacing w:after="0" w:line="244" w:lineRule="auto"/>
        <w:rPr>
          <w:sz w:val="20"/>
          <w:szCs w:val="20"/>
          <w:color w:val="auto"/>
        </w:rPr>
      </w:pPr>
      <w:r>
        <w:rPr>
          <w:rFonts w:ascii="Arial" w:cs="Arial" w:eastAsia="Arial" w:hAnsi="Arial"/>
          <w:sz w:val="20"/>
          <w:szCs w:val="20"/>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00" w:lineRule="exact"/>
        <w:rPr>
          <w:sz w:val="20"/>
          <w:szCs w:val="20"/>
          <w:color w:val="auto"/>
        </w:rPr>
      </w:pPr>
    </w:p>
    <w:p>
      <w:pPr>
        <w:ind w:left="980" w:right="120" w:firstLine="609"/>
        <w:spacing w:after="0" w:line="246" w:lineRule="auto"/>
        <w:rPr>
          <w:sz w:val="20"/>
          <w:szCs w:val="20"/>
          <w:color w:val="auto"/>
        </w:rPr>
      </w:pPr>
      <w:r>
        <w:rPr>
          <w:rFonts w:ascii="Arial" w:cs="Arial" w:eastAsia="Arial" w:hAnsi="Arial"/>
          <w:sz w:val="20"/>
          <w:szCs w:val="20"/>
          <w:i w:val="1"/>
          <w:iCs w:val="1"/>
          <w:u w:val="single" w:color="auto"/>
          <w:color w:val="auto"/>
        </w:rPr>
        <w:t>Value of Payments Upon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tables show the potential incremental payments to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named executive officers upon termination, including in the event of a change of control of the Corporation, assuming a December 31, 2008 termination date and, where applicable, using the New York Stock Exchange closing price of our common stock of $97.08.</w:t>
      </w:r>
    </w:p>
    <w:p>
      <w:pPr>
        <w:spacing w:after="0" w:line="199"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POTENTIAL PAYMENTS UPON TERMINATION — STEPHEN P. ZELNAK, JR.</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4460" w:type="dxa"/>
            <w:vAlign w:val="bottom"/>
            <w:tcBorders>
              <w:top w:val="single" w:sz="8" w:color="auto"/>
              <w:left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95"/>
              <w:spacing w:after="0" w:line="131" w:lineRule="exact"/>
              <w:rPr>
                <w:sz w:val="20"/>
                <w:szCs w:val="20"/>
                <w:color w:val="auto"/>
              </w:rPr>
            </w:pPr>
            <w:r>
              <w:rPr>
                <w:rFonts w:ascii="Arial" w:cs="Arial" w:eastAsia="Arial" w:hAnsi="Arial"/>
                <w:sz w:val="13"/>
                <w:szCs w:val="13"/>
                <w:b w:val="1"/>
                <w:bCs w:val="1"/>
                <w:color w:val="auto"/>
                <w:w w:val="91"/>
              </w:rPr>
              <w:t>Involuntary</w:t>
            </w:r>
          </w:p>
        </w:tc>
        <w:tc>
          <w:tcPr>
            <w:tcW w:w="7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
              <w:spacing w:after="0" w:line="131" w:lineRule="exact"/>
              <w:rPr>
                <w:sz w:val="20"/>
                <w:szCs w:val="20"/>
                <w:color w:val="auto"/>
              </w:rPr>
            </w:pPr>
            <w:r>
              <w:rPr>
                <w:rFonts w:ascii="Arial" w:cs="Arial" w:eastAsia="Arial" w:hAnsi="Arial"/>
                <w:sz w:val="13"/>
                <w:szCs w:val="13"/>
                <w:b w:val="1"/>
                <w:bCs w:val="1"/>
                <w:color w:val="auto"/>
                <w:w w:val="87"/>
              </w:rPr>
              <w:t>Termination or</w:t>
            </w:r>
          </w:p>
        </w:tc>
      </w:tr>
      <w:tr>
        <w:trPr>
          <w:trHeight w:val="135"/>
        </w:trPr>
        <w:tc>
          <w:tcPr>
            <w:tcW w:w="4460" w:type="dxa"/>
            <w:vAlign w:val="bottom"/>
            <w:tcBorders>
              <w:left w:val="single" w:sz="8" w:color="auto"/>
            </w:tcBorders>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Normal</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7"/>
              </w:rPr>
              <w:t>Not For Cause</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8"/>
              </w:rPr>
              <w:t>Resignation for</w:t>
            </w:r>
          </w:p>
        </w:tc>
      </w:tr>
      <w:tr>
        <w:trPr>
          <w:trHeight w:val="135"/>
        </w:trPr>
        <w:tc>
          <w:tcPr>
            <w:tcW w:w="4460" w:type="dxa"/>
            <w:vAlign w:val="bottom"/>
            <w:tcBorders>
              <w:left w:val="single" w:sz="8" w:color="auto"/>
            </w:tcBorders>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Retirement</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8"/>
              </w:rPr>
              <w:t>Termination</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5"/>
              </w:rPr>
              <w:t>Good Reason</w:t>
            </w:r>
          </w:p>
        </w:tc>
      </w:tr>
      <w:tr>
        <w:trPr>
          <w:trHeight w:val="135"/>
        </w:trPr>
        <w:tc>
          <w:tcPr>
            <w:tcW w:w="4460" w:type="dxa"/>
            <w:vAlign w:val="bottom"/>
            <w:tcBorders>
              <w:left w:val="single" w:sz="8" w:color="auto"/>
            </w:tcBorders>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(eligible</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3"/>
              </w:rPr>
              <w:t>Absent a</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6"/>
              </w:rPr>
              <w:t>Related to a</w:t>
            </w:r>
          </w:p>
        </w:tc>
      </w:tr>
      <w:tr>
        <w:trPr>
          <w:trHeight w:val="135"/>
        </w:trPr>
        <w:tc>
          <w:tcPr>
            <w:tcW w:w="4460" w:type="dxa"/>
            <w:vAlign w:val="bottom"/>
            <w:tcBorders>
              <w:left w:val="single" w:sz="8" w:color="auto"/>
            </w:tcBorders>
          </w:tcPr>
          <w:p>
            <w:pPr>
              <w:jc w:val="center"/>
              <w:ind w:left="3689"/>
              <w:spacing w:after="0" w:line="135" w:lineRule="exact"/>
              <w:rPr>
                <w:sz w:val="20"/>
                <w:szCs w:val="20"/>
                <w:color w:val="auto"/>
              </w:rPr>
            </w:pPr>
            <w:r>
              <w:rPr>
                <w:rFonts w:ascii="Arial" w:cs="Arial" w:eastAsia="Arial" w:hAnsi="Arial"/>
                <w:sz w:val="13"/>
                <w:szCs w:val="13"/>
                <w:b w:val="1"/>
                <w:bCs w:val="1"/>
                <w:color w:val="auto"/>
                <w:w w:val="89"/>
              </w:rPr>
              <w:t>Voluntary</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to retire at</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4"/>
              </w:rPr>
              <w:t>Change of</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Termination</w:t>
            </w: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7"/>
              </w:rPr>
              <w:t>Change-of-</w:t>
            </w:r>
          </w:p>
        </w:tc>
      </w:tr>
      <w:tr>
        <w:trPr>
          <w:trHeight w:val="135"/>
        </w:trPr>
        <w:tc>
          <w:tcPr>
            <w:tcW w:w="4460" w:type="dxa"/>
            <w:vAlign w:val="bottom"/>
            <w:tcBorders>
              <w:left w:val="single" w:sz="8" w:color="auto"/>
            </w:tcBorders>
          </w:tcPr>
          <w:p>
            <w:pPr>
              <w:jc w:val="center"/>
              <w:ind w:left="3669"/>
              <w:spacing w:after="0" w:line="135" w:lineRule="exact"/>
              <w:rPr>
                <w:sz w:val="20"/>
                <w:szCs w:val="20"/>
                <w:color w:val="auto"/>
              </w:rPr>
            </w:pPr>
            <w:r>
              <w:rPr>
                <w:rFonts w:ascii="Arial" w:cs="Arial" w:eastAsia="Arial" w:hAnsi="Arial"/>
                <w:sz w:val="13"/>
                <w:szCs w:val="13"/>
                <w:b w:val="1"/>
                <w:bCs w:val="1"/>
                <w:color w:val="auto"/>
                <w:w w:val="91"/>
              </w:rPr>
              <w:t>Termination</w:t>
            </w:r>
          </w:p>
        </w:tc>
        <w:tc>
          <w:tcPr>
            <w:tcW w:w="980" w:type="dxa"/>
            <w:vAlign w:val="bottom"/>
          </w:tcPr>
          <w:p>
            <w:pPr>
              <w:jc w:val="right"/>
              <w:ind w:right="114"/>
              <w:spacing w:after="0" w:line="135" w:lineRule="exact"/>
              <w:rPr>
                <w:sz w:val="20"/>
                <w:szCs w:val="20"/>
                <w:color w:val="auto"/>
              </w:rPr>
            </w:pPr>
            <w:r>
              <w:rPr>
                <w:rFonts w:ascii="Arial" w:cs="Arial" w:eastAsia="Arial" w:hAnsi="Arial"/>
                <w:sz w:val="13"/>
                <w:szCs w:val="13"/>
                <w:b w:val="1"/>
                <w:bCs w:val="1"/>
                <w:color w:val="auto"/>
              </w:rPr>
              <w:t>12/31/08)</w:t>
            </w:r>
            <w:r>
              <w:rPr>
                <w:rFonts w:ascii="Arial" w:cs="Arial" w:eastAsia="Arial" w:hAnsi="Arial"/>
                <w:sz w:val="10"/>
                <w:szCs w:val="10"/>
                <w:b w:val="1"/>
                <w:bCs w:val="1"/>
                <w:color w:val="auto"/>
              </w:rPr>
              <w:t>(9)</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0"/>
              </w:rPr>
              <w:t>Control</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for Cause</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Disability</w:t>
            </w:r>
          </w:p>
        </w:tc>
        <w:tc>
          <w:tcPr>
            <w:tcW w:w="1000" w:type="dxa"/>
            <w:vAlign w:val="bottom"/>
          </w:tcPr>
          <w:p>
            <w:pPr>
              <w:jc w:val="right"/>
              <w:ind w:right="366"/>
              <w:spacing w:after="0" w:line="135" w:lineRule="exact"/>
              <w:rPr>
                <w:sz w:val="20"/>
                <w:szCs w:val="20"/>
                <w:color w:val="auto"/>
              </w:rPr>
            </w:pPr>
            <w:r>
              <w:rPr>
                <w:rFonts w:ascii="Arial" w:cs="Arial" w:eastAsia="Arial" w:hAnsi="Arial"/>
                <w:sz w:val="13"/>
                <w:szCs w:val="13"/>
                <w:b w:val="1"/>
                <w:bCs w:val="1"/>
                <w:color w:val="auto"/>
              </w:rPr>
              <w:t>Death</w:t>
            </w:r>
          </w:p>
        </w:tc>
        <w:tc>
          <w:tcPr>
            <w:tcW w:w="10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6"/>
              </w:rPr>
              <w:t>Control</w:t>
            </w:r>
          </w:p>
        </w:tc>
      </w:tr>
      <w:tr>
        <w:trPr>
          <w:trHeight w:val="167"/>
        </w:trPr>
        <w:tc>
          <w:tcPr>
            <w:tcW w:w="4460" w:type="dxa"/>
            <w:vAlign w:val="bottom"/>
            <w:tcBorders>
              <w:left w:val="single" w:sz="8" w:color="auto"/>
              <w:bottom w:val="single" w:sz="8" w:color="auto"/>
            </w:tcBorders>
          </w:tcPr>
          <w:p>
            <w:pPr>
              <w:jc w:val="center"/>
              <w:ind w:left="3669"/>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7"/>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rPr>
              <w:t>($)</w:t>
            </w:r>
          </w:p>
        </w:tc>
      </w:tr>
      <w:tr>
        <w:trPr>
          <w:trHeight w:val="169"/>
        </w:trPr>
        <w:tc>
          <w:tcPr>
            <w:tcW w:w="446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44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Compensation</w:t>
            </w: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6"/>
                <w:szCs w:val="16"/>
                <w:color w:val="auto"/>
              </w:rPr>
              <w:t>7,789,081</w:t>
            </w:r>
          </w:p>
        </w:tc>
      </w:tr>
      <w:tr>
        <w:trPr>
          <w:trHeight w:val="203"/>
        </w:trPr>
        <w:tc>
          <w:tcPr>
            <w:tcW w:w="4460" w:type="dxa"/>
            <w:vAlign w:val="bottom"/>
            <w:tcBorders>
              <w:left w:val="single" w:sz="8" w:color="auto"/>
            </w:tcBorders>
            <w:shd w:val="clear" w:color="auto" w:fill="CCEEFF"/>
          </w:tcPr>
          <w:p>
            <w:pPr>
              <w:ind w:left="60"/>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jc w:val="right"/>
              <w:ind w:right="106"/>
              <w:spacing w:after="0"/>
              <w:rPr>
                <w:sz w:val="20"/>
                <w:szCs w:val="20"/>
                <w:color w:val="auto"/>
              </w:rPr>
            </w:pPr>
            <w:r>
              <w:rPr>
                <w:rFonts w:ascii="Arial" w:cs="Arial" w:eastAsia="Arial" w:hAnsi="Arial"/>
                <w:sz w:val="16"/>
                <w:szCs w:val="16"/>
                <w:color w:val="auto"/>
                <w:w w:val="99"/>
              </w:rPr>
              <w:t>14,895,371</w:t>
            </w:r>
          </w:p>
        </w:tc>
        <w:tc>
          <w:tcPr>
            <w:tcW w:w="1000" w:type="dxa"/>
            <w:vAlign w:val="bottom"/>
          </w:tcPr>
          <w:p>
            <w:pPr>
              <w:jc w:val="right"/>
              <w:ind w:right="9"/>
              <w:spacing w:after="0"/>
              <w:rPr>
                <w:sz w:val="20"/>
                <w:szCs w:val="20"/>
                <w:color w:val="auto"/>
              </w:rPr>
            </w:pPr>
            <w:r>
              <w:rPr>
                <w:rFonts w:ascii="Arial" w:cs="Arial" w:eastAsia="Arial" w:hAnsi="Arial"/>
                <w:sz w:val="16"/>
                <w:szCs w:val="16"/>
                <w:color w:val="auto"/>
              </w:rPr>
              <w:t>14,895,371</w:t>
            </w:r>
          </w:p>
        </w:tc>
      </w:tr>
      <w:tr>
        <w:trPr>
          <w:trHeight w:val="203"/>
        </w:trPr>
        <w:tc>
          <w:tcPr>
            <w:tcW w:w="4460" w:type="dxa"/>
            <w:vAlign w:val="bottom"/>
            <w:tcBorders>
              <w:left w:val="single" w:sz="8" w:color="auto"/>
            </w:tcBorders>
            <w:shd w:val="clear" w:color="auto" w:fill="CCEEFF"/>
          </w:tcPr>
          <w:p>
            <w:pPr>
              <w:ind w:left="60"/>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507,506</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507,506</w:t>
            </w: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23"/>
                <w:szCs w:val="23"/>
                <w:color w:val="auto"/>
                <w:vertAlign w:val="superscript"/>
              </w:rPr>
              <w:t>(5)</w:t>
            </w:r>
          </w:p>
        </w:tc>
        <w:tc>
          <w:tcPr>
            <w:tcW w:w="980" w:type="dxa"/>
            <w:vAlign w:val="bottom"/>
          </w:tcPr>
          <w:p>
            <w:pPr>
              <w:jc w:val="right"/>
              <w:ind w:right="114"/>
              <w:spacing w:after="0"/>
              <w:rPr>
                <w:sz w:val="20"/>
                <w:szCs w:val="20"/>
                <w:color w:val="auto"/>
              </w:rPr>
            </w:pPr>
            <w:r>
              <w:rPr>
                <w:rFonts w:ascii="Arial" w:cs="Arial" w:eastAsia="Arial" w:hAnsi="Arial"/>
                <w:sz w:val="16"/>
                <w:szCs w:val="16"/>
                <w:color w:val="auto"/>
              </w:rPr>
              <w:t>16,364</w:t>
            </w:r>
          </w:p>
        </w:tc>
        <w:tc>
          <w:tcPr>
            <w:tcW w:w="1080" w:type="dxa"/>
            <w:vAlign w:val="bottom"/>
          </w:tcPr>
          <w:p>
            <w:pPr>
              <w:jc w:val="right"/>
              <w:ind w:right="115"/>
              <w:spacing w:after="0"/>
              <w:rPr>
                <w:sz w:val="20"/>
                <w:szCs w:val="20"/>
                <w:color w:val="auto"/>
              </w:rPr>
            </w:pPr>
            <w:r>
              <w:rPr>
                <w:rFonts w:ascii="Arial" w:cs="Arial" w:eastAsia="Arial" w:hAnsi="Arial"/>
                <w:sz w:val="16"/>
                <w:szCs w:val="16"/>
                <w:color w:val="auto"/>
              </w:rPr>
              <w:t>10,909</w:t>
            </w:r>
          </w:p>
        </w:tc>
        <w:tc>
          <w:tcPr>
            <w:tcW w:w="720" w:type="dxa"/>
            <w:vAlign w:val="bottom"/>
          </w:tcPr>
          <w:p>
            <w:pPr>
              <w:spacing w:after="0"/>
              <w:rPr>
                <w:sz w:val="17"/>
                <w:szCs w:val="17"/>
                <w:color w:val="auto"/>
              </w:rPr>
            </w:pPr>
          </w:p>
        </w:tc>
        <w:tc>
          <w:tcPr>
            <w:tcW w:w="920" w:type="dxa"/>
            <w:vAlign w:val="bottom"/>
          </w:tcPr>
          <w:p>
            <w:pPr>
              <w:jc w:val="right"/>
              <w:ind w:right="131"/>
              <w:spacing w:after="0"/>
              <w:rPr>
                <w:sz w:val="20"/>
                <w:szCs w:val="20"/>
                <w:color w:val="auto"/>
              </w:rPr>
            </w:pPr>
            <w:r>
              <w:rPr>
                <w:rFonts w:ascii="Arial" w:cs="Arial" w:eastAsia="Arial" w:hAnsi="Arial"/>
                <w:sz w:val="16"/>
                <w:szCs w:val="16"/>
                <w:color w:val="auto"/>
              </w:rPr>
              <w:t>16,364</w:t>
            </w:r>
          </w:p>
        </w:tc>
        <w:tc>
          <w:tcPr>
            <w:tcW w:w="1000" w:type="dxa"/>
            <w:vAlign w:val="bottom"/>
          </w:tcPr>
          <w:p>
            <w:pPr>
              <w:jc w:val="right"/>
              <w:ind w:right="106"/>
              <w:spacing w:after="0"/>
              <w:rPr>
                <w:sz w:val="20"/>
                <w:szCs w:val="20"/>
                <w:color w:val="auto"/>
              </w:rPr>
            </w:pPr>
            <w:r>
              <w:rPr>
                <w:rFonts w:ascii="Arial" w:cs="Arial" w:eastAsia="Arial" w:hAnsi="Arial"/>
                <w:sz w:val="16"/>
                <w:szCs w:val="16"/>
                <w:color w:val="auto"/>
              </w:rPr>
              <w:t>16,364</w:t>
            </w:r>
          </w:p>
        </w:tc>
        <w:tc>
          <w:tcPr>
            <w:tcW w:w="1000" w:type="dxa"/>
            <w:vAlign w:val="bottom"/>
          </w:tcPr>
          <w:p>
            <w:pPr>
              <w:jc w:val="right"/>
              <w:ind w:right="9"/>
              <w:spacing w:after="0"/>
              <w:rPr>
                <w:sz w:val="20"/>
                <w:szCs w:val="20"/>
                <w:color w:val="auto"/>
              </w:rPr>
            </w:pPr>
            <w:r>
              <w:rPr>
                <w:rFonts w:ascii="Arial" w:cs="Arial" w:eastAsia="Arial" w:hAnsi="Arial"/>
                <w:sz w:val="16"/>
                <w:szCs w:val="16"/>
                <w:color w:val="auto"/>
              </w:rPr>
              <w:t>16,364</w:t>
            </w:r>
          </w:p>
        </w:tc>
      </w:tr>
      <w:tr>
        <w:trPr>
          <w:trHeight w:val="203"/>
        </w:trPr>
        <w:tc>
          <w:tcPr>
            <w:tcW w:w="4460" w:type="dxa"/>
            <w:vAlign w:val="bottom"/>
            <w:tcBorders>
              <w:left w:val="single" w:sz="8" w:color="auto"/>
            </w:tcBorders>
            <w:shd w:val="clear" w:color="auto" w:fill="CCEEFF"/>
          </w:tcPr>
          <w:p>
            <w:pPr>
              <w:ind w:left="60"/>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11,454,337</w:t>
            </w: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460" w:type="dxa"/>
            <w:vAlign w:val="bottom"/>
            <w:tcBorders>
              <w:left w:val="single" w:sz="8" w:color="auto"/>
            </w:tcBorders>
            <w:shd w:val="clear" w:color="auto" w:fill="CCEEFF"/>
          </w:tcPr>
          <w:p>
            <w:pPr>
              <w:ind w:left="60"/>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8,556</w:t>
            </w:r>
          </w:p>
        </w:tc>
      </w:tr>
      <w:tr>
        <w:trPr>
          <w:trHeight w:val="20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Excise Tax &amp; Gross-up</w:t>
            </w: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bl>
    <w:p>
      <w:pPr>
        <w:spacing w:after="0" w:line="143" w:lineRule="exact"/>
        <w:rPr>
          <w:sz w:val="20"/>
          <w:szCs w:val="20"/>
          <w:color w:val="auto"/>
        </w:rPr>
      </w:pPr>
    </w:p>
    <w:p>
      <w:pPr>
        <w:ind w:left="1220" w:hanging="242"/>
        <w:spacing w:after="0"/>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1220" w:right="140" w:hanging="242"/>
        <w:spacing w:after="0" w:line="221"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1220" w:right="40" w:hanging="242"/>
        <w:spacing w:after="0" w:line="221"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 that were granted at lower prices. Also includes 60,000 shares of restricted stock units received in connection with executive succession planning in 2003.</w:t>
      </w:r>
    </w:p>
    <w:p>
      <w:pPr>
        <w:ind w:left="1220" w:hanging="242"/>
        <w:spacing w:after="0" w:line="221"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1220" w:hanging="242"/>
        <w:spacing w:after="0" w:line="221"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share units at year-end and the amount of cash invested by the executive officer in the share units.</w:t>
      </w:r>
    </w:p>
    <w:p>
      <w:pPr>
        <w:ind w:left="1220" w:right="20" w:hanging="242"/>
        <w:spacing w:after="0" w:line="227"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40, or (ii) the Incentive Stock Plan, which is disclosed in the Outstanding Equity Awards at Fiscal Year-End Table on page 38.</w:t>
      </w:r>
    </w:p>
    <w:p>
      <w:pPr>
        <w:spacing w:after="0" w:line="19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20" w:right="160" w:hanging="242"/>
        <w:spacing w:after="0" w:line="230" w:lineRule="auto"/>
        <w:tabs>
          <w:tab w:leader="none" w:pos="1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Zelnak under the Corporation’s health and welfare plans, including long-term disability and life insurance.</w:t>
      </w:r>
    </w:p>
    <w:p>
      <w:pPr>
        <w:ind w:left="1220" w:right="140" w:hanging="242"/>
        <w:spacing w:after="0" w:line="221" w:lineRule="auto"/>
        <w:tabs>
          <w:tab w:leader="none" w:pos="1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Zelnak would be entitled payable on a Change of Control. Assumes postretirement medical coverage begins after 3 years of active welfare coverage but no earlier than age 55.</w:t>
      </w:r>
    </w:p>
    <w:p>
      <w:pPr>
        <w:ind w:left="1220" w:hanging="242"/>
        <w:spacing w:after="0"/>
        <w:tabs>
          <w:tab w:leader="none" w:pos="1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Eligible to retire with an unreduced retirement benefit.</w:t>
      </w:r>
    </w:p>
    <w:p>
      <w:pPr>
        <w:spacing w:after="0" w:line="309"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POTENTIAL PAYMENTS UPON TERMINATION — ANNE H. LLOYD</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4480" w:type="dxa"/>
            <w:vAlign w:val="bottom"/>
            <w:tcBorders>
              <w:top w:val="single" w:sz="8" w:color="auto"/>
              <w:left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16"/>
              <w:spacing w:after="0" w:line="131" w:lineRule="exact"/>
              <w:rPr>
                <w:sz w:val="20"/>
                <w:szCs w:val="20"/>
                <w:color w:val="auto"/>
              </w:rPr>
            </w:pPr>
            <w:r>
              <w:rPr>
                <w:rFonts w:ascii="Arial" w:cs="Arial" w:eastAsia="Arial" w:hAnsi="Arial"/>
                <w:sz w:val="13"/>
                <w:szCs w:val="13"/>
                <w:b w:val="1"/>
                <w:bCs w:val="1"/>
                <w:color w:val="auto"/>
                <w:w w:val="91"/>
              </w:rPr>
              <w:t>Involuntary</w:t>
            </w:r>
          </w:p>
        </w:tc>
        <w:tc>
          <w:tcPr>
            <w:tcW w:w="7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
              <w:spacing w:after="0" w:line="131" w:lineRule="exact"/>
              <w:rPr>
                <w:sz w:val="20"/>
                <w:szCs w:val="20"/>
                <w:color w:val="auto"/>
              </w:rPr>
            </w:pPr>
            <w:r>
              <w:rPr>
                <w:rFonts w:ascii="Arial" w:cs="Arial" w:eastAsia="Arial" w:hAnsi="Arial"/>
                <w:sz w:val="13"/>
                <w:szCs w:val="13"/>
                <w:b w:val="1"/>
                <w:bCs w:val="1"/>
                <w:color w:val="auto"/>
                <w:w w:val="87"/>
              </w:rPr>
              <w:t>Termination or</w:t>
            </w:r>
          </w:p>
        </w:tc>
      </w:tr>
      <w:tr>
        <w:trPr>
          <w:trHeight w:val="135"/>
        </w:trPr>
        <w:tc>
          <w:tcPr>
            <w:tcW w:w="448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Normal</w:t>
            </w:r>
          </w:p>
        </w:tc>
        <w:tc>
          <w:tcPr>
            <w:tcW w:w="1100" w:type="dxa"/>
            <w:vAlign w:val="bottom"/>
          </w:tcPr>
          <w:p>
            <w:pPr>
              <w:jc w:val="center"/>
              <w:ind w:right="136"/>
              <w:spacing w:after="0" w:line="135" w:lineRule="exact"/>
              <w:rPr>
                <w:sz w:val="20"/>
                <w:szCs w:val="20"/>
                <w:color w:val="auto"/>
              </w:rPr>
            </w:pPr>
            <w:r>
              <w:rPr>
                <w:rFonts w:ascii="Arial" w:cs="Arial" w:eastAsia="Arial" w:hAnsi="Arial"/>
                <w:sz w:val="13"/>
                <w:szCs w:val="13"/>
                <w:b w:val="1"/>
                <w:bCs w:val="1"/>
                <w:color w:val="auto"/>
                <w:w w:val="87"/>
              </w:rPr>
              <w:t>Not For Cause</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8"/>
              </w:rPr>
              <w:t>Resignation for</w:t>
            </w:r>
          </w:p>
        </w:tc>
      </w:tr>
      <w:tr>
        <w:trPr>
          <w:trHeight w:val="135"/>
        </w:trPr>
        <w:tc>
          <w:tcPr>
            <w:tcW w:w="448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Retirement</w:t>
            </w:r>
          </w:p>
        </w:tc>
        <w:tc>
          <w:tcPr>
            <w:tcW w:w="1100" w:type="dxa"/>
            <w:vAlign w:val="bottom"/>
          </w:tcPr>
          <w:p>
            <w:pPr>
              <w:jc w:val="center"/>
              <w:ind w:right="136"/>
              <w:spacing w:after="0" w:line="135" w:lineRule="exact"/>
              <w:rPr>
                <w:sz w:val="20"/>
                <w:szCs w:val="20"/>
                <w:color w:val="auto"/>
              </w:rPr>
            </w:pPr>
            <w:r>
              <w:rPr>
                <w:rFonts w:ascii="Arial" w:cs="Arial" w:eastAsia="Arial" w:hAnsi="Arial"/>
                <w:sz w:val="13"/>
                <w:szCs w:val="13"/>
                <w:b w:val="1"/>
                <w:bCs w:val="1"/>
                <w:color w:val="auto"/>
                <w:w w:val="88"/>
              </w:rPr>
              <w:t>Termination</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Good Reason</w:t>
            </w:r>
          </w:p>
        </w:tc>
      </w:tr>
      <w:tr>
        <w:trPr>
          <w:trHeight w:val="135"/>
        </w:trPr>
        <w:tc>
          <w:tcPr>
            <w:tcW w:w="448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(not eligible</w:t>
            </w:r>
          </w:p>
        </w:tc>
        <w:tc>
          <w:tcPr>
            <w:tcW w:w="1100" w:type="dxa"/>
            <w:vAlign w:val="bottom"/>
          </w:tcPr>
          <w:p>
            <w:pPr>
              <w:jc w:val="center"/>
              <w:ind w:right="136"/>
              <w:spacing w:after="0" w:line="135" w:lineRule="exact"/>
              <w:rPr>
                <w:sz w:val="20"/>
                <w:szCs w:val="20"/>
                <w:color w:val="auto"/>
              </w:rPr>
            </w:pPr>
            <w:r>
              <w:rPr>
                <w:rFonts w:ascii="Arial" w:cs="Arial" w:eastAsia="Arial" w:hAnsi="Arial"/>
                <w:sz w:val="13"/>
                <w:szCs w:val="13"/>
                <w:b w:val="1"/>
                <w:bCs w:val="1"/>
                <w:color w:val="auto"/>
                <w:w w:val="83"/>
              </w:rPr>
              <w:t>Absent 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6"/>
              </w:rPr>
              <w:t>Related to a</w:t>
            </w:r>
          </w:p>
        </w:tc>
      </w:tr>
      <w:tr>
        <w:trPr>
          <w:trHeight w:val="135"/>
        </w:trPr>
        <w:tc>
          <w:tcPr>
            <w:tcW w:w="4480" w:type="dxa"/>
            <w:vAlign w:val="bottom"/>
            <w:tcBorders>
              <w:left w:val="single" w:sz="8" w:color="auto"/>
            </w:tcBorders>
          </w:tcPr>
          <w:p>
            <w:pPr>
              <w:jc w:val="center"/>
              <w:ind w:left="3710"/>
              <w:spacing w:after="0" w:line="135" w:lineRule="exact"/>
              <w:rPr>
                <w:sz w:val="20"/>
                <w:szCs w:val="20"/>
                <w:color w:val="auto"/>
              </w:rPr>
            </w:pPr>
            <w:r>
              <w:rPr>
                <w:rFonts w:ascii="Arial" w:cs="Arial" w:eastAsia="Arial" w:hAnsi="Arial"/>
                <w:sz w:val="13"/>
                <w:szCs w:val="13"/>
                <w:b w:val="1"/>
                <w:bCs w:val="1"/>
                <w:color w:val="auto"/>
                <w:w w:val="89"/>
              </w:rPr>
              <w:t>Voluntary</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to retire at</w:t>
            </w:r>
          </w:p>
        </w:tc>
        <w:tc>
          <w:tcPr>
            <w:tcW w:w="1100" w:type="dxa"/>
            <w:vAlign w:val="bottom"/>
          </w:tcPr>
          <w:p>
            <w:pPr>
              <w:jc w:val="center"/>
              <w:ind w:right="136"/>
              <w:spacing w:after="0" w:line="135" w:lineRule="exact"/>
              <w:rPr>
                <w:sz w:val="20"/>
                <w:szCs w:val="20"/>
                <w:color w:val="auto"/>
              </w:rPr>
            </w:pPr>
            <w:r>
              <w:rPr>
                <w:rFonts w:ascii="Arial" w:cs="Arial" w:eastAsia="Arial" w:hAnsi="Arial"/>
                <w:sz w:val="13"/>
                <w:szCs w:val="13"/>
                <w:b w:val="1"/>
                <w:bCs w:val="1"/>
                <w:color w:val="auto"/>
                <w:w w:val="84"/>
              </w:rPr>
              <w:t>Change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Termination</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Change-of-</w:t>
            </w:r>
          </w:p>
        </w:tc>
      </w:tr>
      <w:tr>
        <w:trPr>
          <w:trHeight w:val="135"/>
        </w:trPr>
        <w:tc>
          <w:tcPr>
            <w:tcW w:w="4480" w:type="dxa"/>
            <w:vAlign w:val="bottom"/>
            <w:tcBorders>
              <w:left w:val="single" w:sz="8" w:color="auto"/>
            </w:tcBorders>
          </w:tcPr>
          <w:p>
            <w:pPr>
              <w:jc w:val="center"/>
              <w:ind w:left="3710"/>
              <w:spacing w:after="0" w:line="135" w:lineRule="exact"/>
              <w:rPr>
                <w:sz w:val="20"/>
                <w:szCs w:val="20"/>
                <w:color w:val="auto"/>
              </w:rPr>
            </w:pPr>
            <w:r>
              <w:rPr>
                <w:rFonts w:ascii="Arial" w:cs="Arial" w:eastAsia="Arial" w:hAnsi="Arial"/>
                <w:sz w:val="13"/>
                <w:szCs w:val="13"/>
                <w:b w:val="1"/>
                <w:bCs w:val="1"/>
                <w:color w:val="auto"/>
                <w:w w:val="88"/>
              </w:rPr>
              <w:t>Termination</w:t>
            </w:r>
          </w:p>
        </w:tc>
        <w:tc>
          <w:tcPr>
            <w:tcW w:w="1080" w:type="dxa"/>
            <w:vAlign w:val="bottom"/>
          </w:tcPr>
          <w:p>
            <w:pPr>
              <w:jc w:val="right"/>
              <w:ind w:right="236"/>
              <w:spacing w:after="0" w:line="135" w:lineRule="exact"/>
              <w:rPr>
                <w:sz w:val="20"/>
                <w:szCs w:val="20"/>
                <w:color w:val="auto"/>
              </w:rPr>
            </w:pPr>
            <w:r>
              <w:rPr>
                <w:rFonts w:ascii="Arial" w:cs="Arial" w:eastAsia="Arial" w:hAnsi="Arial"/>
                <w:sz w:val="13"/>
                <w:szCs w:val="13"/>
                <w:b w:val="1"/>
                <w:bCs w:val="1"/>
                <w:color w:val="auto"/>
              </w:rPr>
              <w:t>12/31/08)</w:t>
            </w:r>
          </w:p>
        </w:tc>
        <w:tc>
          <w:tcPr>
            <w:tcW w:w="1100" w:type="dxa"/>
            <w:vAlign w:val="bottom"/>
          </w:tcPr>
          <w:p>
            <w:pPr>
              <w:jc w:val="center"/>
              <w:ind w:right="136"/>
              <w:spacing w:after="0" w:line="135" w:lineRule="exact"/>
              <w:rPr>
                <w:sz w:val="20"/>
                <w:szCs w:val="20"/>
                <w:color w:val="auto"/>
              </w:rPr>
            </w:pPr>
            <w:r>
              <w:rPr>
                <w:rFonts w:ascii="Arial" w:cs="Arial" w:eastAsia="Arial" w:hAnsi="Arial"/>
                <w:sz w:val="13"/>
                <w:szCs w:val="13"/>
                <w:b w:val="1"/>
                <w:bCs w:val="1"/>
                <w:color w:val="auto"/>
                <w:w w:val="90"/>
              </w:rPr>
              <w:t>Control</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for Cause</w:t>
            </w:r>
          </w:p>
        </w:tc>
        <w:tc>
          <w:tcPr>
            <w:tcW w:w="94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auto"/>
              </w:rPr>
              <w:t>Disability</w:t>
            </w:r>
          </w:p>
        </w:tc>
        <w:tc>
          <w:tcPr>
            <w:tcW w:w="860" w:type="dxa"/>
            <w:vAlign w:val="bottom"/>
          </w:tcPr>
          <w:p>
            <w:pPr>
              <w:jc w:val="right"/>
              <w:ind w:right="291"/>
              <w:spacing w:after="0" w:line="135" w:lineRule="exact"/>
              <w:rPr>
                <w:sz w:val="20"/>
                <w:szCs w:val="20"/>
                <w:color w:val="auto"/>
              </w:rPr>
            </w:pPr>
            <w:r>
              <w:rPr>
                <w:rFonts w:ascii="Arial" w:cs="Arial" w:eastAsia="Arial" w:hAnsi="Arial"/>
                <w:sz w:val="13"/>
                <w:szCs w:val="13"/>
                <w:b w:val="1"/>
                <w:bCs w:val="1"/>
                <w:color w:val="auto"/>
              </w:rPr>
              <w:t>Death</w:t>
            </w: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6"/>
              </w:rPr>
              <w:t>Control</w:t>
            </w:r>
          </w:p>
        </w:tc>
      </w:tr>
      <w:tr>
        <w:trPr>
          <w:trHeight w:val="167"/>
        </w:trPr>
        <w:tc>
          <w:tcPr>
            <w:tcW w:w="4480" w:type="dxa"/>
            <w:vAlign w:val="bottom"/>
            <w:tcBorders>
              <w:left w:val="single" w:sz="8" w:color="auto"/>
              <w:bottom w:val="single" w:sz="8" w:color="auto"/>
            </w:tcBorders>
          </w:tcPr>
          <w:p>
            <w:pPr>
              <w:jc w:val="center"/>
              <w:ind w:left="3710"/>
              <w:spacing w:after="0"/>
              <w:rPr>
                <w:sz w:val="20"/>
                <w:szCs w:val="20"/>
                <w:color w:val="auto"/>
              </w:rPr>
            </w:pPr>
            <w:r>
              <w:rPr>
                <w:rFonts w:ascii="Arial" w:cs="Arial" w:eastAsia="Arial" w:hAnsi="Arial"/>
                <w:sz w:val="13"/>
                <w:szCs w:val="13"/>
                <w:b w:val="1"/>
                <w:bCs w:val="1"/>
                <w:color w:val="auto"/>
                <w:w w:val="87"/>
              </w:rPr>
              <w:t>($)</w:t>
            </w: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7"/>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w:t>
            </w:r>
          </w:p>
        </w:tc>
      </w:tr>
      <w:tr>
        <w:trPr>
          <w:trHeight w:val="155"/>
        </w:trPr>
        <w:tc>
          <w:tcPr>
            <w:tcW w:w="4480" w:type="dxa"/>
            <w:vAlign w:val="bottom"/>
            <w:tcBorders>
              <w:left w:val="single" w:sz="8" w:color="auto"/>
            </w:tcBorders>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49"/>
        </w:trPr>
        <w:tc>
          <w:tcPr>
            <w:tcW w:w="448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48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(1)</w:t>
            </w: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2,475,461</w:t>
            </w:r>
          </w:p>
        </w:tc>
      </w:tr>
      <w:tr>
        <w:trPr>
          <w:trHeight w:val="149"/>
        </w:trPr>
        <w:tc>
          <w:tcPr>
            <w:tcW w:w="448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12"/>
                <w:szCs w:val="12"/>
                <w:color w:val="auto"/>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48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1,962,084</w:t>
            </w:r>
          </w:p>
        </w:tc>
        <w:tc>
          <w:tcPr>
            <w:tcW w:w="10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1,962,084</w:t>
            </w:r>
          </w:p>
        </w:tc>
      </w:tr>
      <w:tr>
        <w:trPr>
          <w:trHeight w:val="149"/>
        </w:trPr>
        <w:tc>
          <w:tcPr>
            <w:tcW w:w="448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61,233</w:t>
            </w: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61,233</w:t>
            </w:r>
          </w:p>
        </w:tc>
      </w:tr>
      <w:tr>
        <w:trPr>
          <w:trHeight w:val="149"/>
        </w:trPr>
        <w:tc>
          <w:tcPr>
            <w:tcW w:w="448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1080" w:type="dxa"/>
            <w:vAlign w:val="bottom"/>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rPr>
              <w:t>2,902</w:t>
            </w:r>
          </w:p>
        </w:tc>
        <w:tc>
          <w:tcPr>
            <w:tcW w:w="11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4"/>
                <w:szCs w:val="14"/>
                <w:color w:val="auto"/>
              </w:rPr>
              <w:t>1,934</w:t>
            </w: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2,902</w:t>
            </w: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2,902</w:t>
            </w:r>
          </w:p>
        </w:tc>
        <w:tc>
          <w:tcPr>
            <w:tcW w:w="10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2,902</w:t>
            </w:r>
          </w:p>
        </w:tc>
      </w:tr>
      <w:tr>
        <w:trPr>
          <w:trHeight w:val="149"/>
        </w:trPr>
        <w:tc>
          <w:tcPr>
            <w:tcW w:w="448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352,209</w:t>
            </w:r>
          </w:p>
        </w:tc>
        <w:tc>
          <w:tcPr>
            <w:tcW w:w="8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214,541</w:t>
            </w: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3,188,650</w:t>
            </w:r>
          </w:p>
        </w:tc>
      </w:tr>
      <w:tr>
        <w:trPr>
          <w:trHeight w:val="149"/>
        </w:trPr>
        <w:tc>
          <w:tcPr>
            <w:tcW w:w="448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48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480" w:type="dxa"/>
            <w:vAlign w:val="bottom"/>
            <w:tcBorders>
              <w:left w:val="single" w:sz="8" w:color="CCEEFF"/>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Excise Tax &amp; Gross-up</w:t>
            </w:r>
          </w:p>
        </w:tc>
        <w:tc>
          <w:tcPr>
            <w:tcW w:w="10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2,937,728</w:t>
            </w:r>
          </w:p>
        </w:tc>
      </w:tr>
    </w:tbl>
    <w:p>
      <w:pPr>
        <w:spacing w:after="0" w:line="143" w:lineRule="exact"/>
        <w:rPr>
          <w:sz w:val="20"/>
          <w:szCs w:val="20"/>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41" w:lineRule="exact"/>
        <w:rPr>
          <w:rFonts w:ascii="Arial" w:cs="Arial" w:eastAsia="Arial" w:hAnsi="Arial"/>
          <w:sz w:val="14"/>
          <w:szCs w:val="14"/>
          <w:color w:val="auto"/>
        </w:rPr>
      </w:pPr>
    </w:p>
    <w:p>
      <w:pPr>
        <w:ind w:left="1220" w:right="140" w:hanging="242"/>
        <w:spacing w:after="0" w:line="253" w:lineRule="auto"/>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Arial" w:cs="Arial" w:eastAsia="Arial" w:hAnsi="Arial"/>
          <w:sz w:val="14"/>
          <w:szCs w:val="14"/>
          <w:color w:val="auto"/>
        </w:rPr>
      </w:pPr>
    </w:p>
    <w:p>
      <w:pPr>
        <w:ind w:left="1220" w:right="20" w:hanging="242"/>
        <w:spacing w:after="0" w:line="231" w:lineRule="auto"/>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40, or (ii) the Incentive Stock Plan, which is disclosed in the Outstanding Equity Awards at Fiscal Year-End Table on page 38.</w:t>
      </w:r>
    </w:p>
    <w:p>
      <w:pPr>
        <w:spacing w:after="0" w:line="22" w:lineRule="exact"/>
        <w:rPr>
          <w:rFonts w:ascii="Arial" w:cs="Arial" w:eastAsia="Arial" w:hAnsi="Arial"/>
          <w:sz w:val="14"/>
          <w:szCs w:val="14"/>
          <w:color w:val="auto"/>
        </w:rPr>
      </w:pPr>
    </w:p>
    <w:p>
      <w:pPr>
        <w:ind w:left="1220" w:right="180" w:hanging="242"/>
        <w:spacing w:after="0" w:line="253" w:lineRule="auto"/>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Ms. Lloyd under the Corporation’s health and welfare plans, including long-term disability and life insurance.</w:t>
      </w:r>
    </w:p>
    <w:p>
      <w:pPr>
        <w:spacing w:after="0" w:line="11" w:lineRule="exact"/>
        <w:rPr>
          <w:rFonts w:ascii="Arial" w:cs="Arial" w:eastAsia="Arial" w:hAnsi="Arial"/>
          <w:sz w:val="14"/>
          <w:szCs w:val="14"/>
          <w:color w:val="auto"/>
        </w:rPr>
      </w:pPr>
    </w:p>
    <w:p>
      <w:pPr>
        <w:ind w:left="1220" w:right="180" w:hanging="242"/>
        <w:spacing w:after="0" w:line="253" w:lineRule="auto"/>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Ms. Lloyd would be entitled payable on a Change of Control. Assumes postretirement medical coverage begins after 3 years of active welfare coverage but no earlier than age 55.</w:t>
      </w:r>
    </w:p>
    <w:p>
      <w:pPr>
        <w:spacing w:after="0" w:line="1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3006725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POTENTIAL PAYMENTS UPON TERMINATION — C. HOWARD NYE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460" w:type="dxa"/>
            <w:vAlign w:val="bottom"/>
            <w:tcBorders>
              <w:top w:val="single" w:sz="8" w:color="auto"/>
              <w:left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9"/>
              </w:rPr>
              <w:t>Normal</w:t>
            </w:r>
          </w:p>
        </w:tc>
        <w:tc>
          <w:tcPr>
            <w:tcW w:w="9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Involuntary</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8"/>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 For Cause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Retirement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tcPr>
          <w:p>
            <w:pPr>
              <w:spacing w:after="0"/>
              <w:rPr>
                <w:sz w:val="12"/>
                <w:szCs w:val="12"/>
                <w:color w:val="auto"/>
              </w:rPr>
            </w:pPr>
          </w:p>
        </w:tc>
        <w:tc>
          <w:tcPr>
            <w:tcW w:w="9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Voluntary</w:t>
            </w: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(not eligible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Absent a</w:t>
            </w:r>
          </w:p>
        </w:tc>
        <w:tc>
          <w:tcPr>
            <w:tcW w:w="200" w:type="dxa"/>
            <w:vAlign w:val="bottom"/>
          </w:tcPr>
          <w:p>
            <w:pPr>
              <w:spacing w:after="0"/>
              <w:rPr>
                <w:sz w:val="12"/>
                <w:szCs w:val="12"/>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Termination</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Change of</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Disability</w:t>
            </w:r>
          </w:p>
        </w:tc>
        <w:tc>
          <w:tcPr>
            <w:tcW w:w="8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2"/>
              </w:rPr>
              <w:t>Death</w:t>
            </w:r>
          </w:p>
        </w:tc>
        <w:tc>
          <w:tcPr>
            <w:tcW w:w="11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Change-of-</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12/31/08)</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20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for Cause</w:t>
            </w:r>
          </w:p>
        </w:tc>
        <w:tc>
          <w:tcPr>
            <w:tcW w:w="8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85"/>
        </w:trPr>
        <w:tc>
          <w:tcPr>
            <w:tcW w:w="4400" w:type="dxa"/>
            <w:vAlign w:val="bottom"/>
            <w:tcBorders>
              <w:left w:val="single" w:sz="8" w:color="auto"/>
              <w:bottom w:val="single" w:sz="8" w:color="auto"/>
            </w:tcBorders>
            <w:gridSpan w:val="2"/>
          </w:tcPr>
          <w:p>
            <w:pPr>
              <w:jc w:val="center"/>
              <w:ind w:left="31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460" w:type="dxa"/>
            <w:vAlign w:val="bottom"/>
            <w:tcBorders>
              <w:left w:val="single" w:sz="8" w:color="auto"/>
            </w:tcBorders>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3,568,613</w:t>
            </w: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12"/>
                <w:szCs w:val="12"/>
                <w:color w:val="auto"/>
              </w:rPr>
              <w:t>(2)</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3,198,495</w:t>
            </w:r>
          </w:p>
        </w:tc>
        <w:tc>
          <w:tcPr>
            <w:tcW w:w="11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3,198,495</w:t>
            </w: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1,012,909</w:t>
            </w:r>
          </w:p>
        </w:tc>
        <w:tc>
          <w:tcPr>
            <w:tcW w:w="8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2,092,995</w:t>
            </w:r>
          </w:p>
        </w:tc>
        <w:tc>
          <w:tcPr>
            <w:tcW w:w="0" w:type="dxa"/>
            <w:vAlign w:val="bottom"/>
          </w:tcPr>
          <w:p>
            <w:pPr>
              <w:spacing w:after="0"/>
              <w:rPr>
                <w:sz w:val="1"/>
                <w:szCs w:val="1"/>
                <w:color w:val="auto"/>
              </w:rPr>
            </w:pPr>
          </w:p>
        </w:tc>
      </w:tr>
      <w:tr>
        <w:trPr>
          <w:trHeight w:val="149"/>
        </w:trPr>
        <w:tc>
          <w:tcPr>
            <w:tcW w:w="44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33,894</w:t>
            </w: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Borders>
              <w:left w:val="single" w:sz="8" w:color="CCEEFF"/>
              <w:bottom w:val="single" w:sz="8" w:color="auto"/>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Excise Tax &amp; Gross-up</w:t>
            </w:r>
          </w:p>
        </w:tc>
        <w:tc>
          <w:tcPr>
            <w:tcW w:w="9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3,338,813</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hanging="242"/>
        <w:spacing w:after="0"/>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41" w:lineRule="exact"/>
        <w:rPr>
          <w:rFonts w:ascii="Arial" w:cs="Arial" w:eastAsia="Arial" w:hAnsi="Arial"/>
          <w:sz w:val="14"/>
          <w:szCs w:val="14"/>
          <w:color w:val="auto"/>
        </w:rPr>
      </w:pPr>
    </w:p>
    <w:p>
      <w:pPr>
        <w:ind w:left="1220" w:right="140" w:hanging="242"/>
        <w:spacing w:after="0" w:line="253"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Arial" w:cs="Arial" w:eastAsia="Arial" w:hAnsi="Arial"/>
          <w:sz w:val="14"/>
          <w:szCs w:val="14"/>
          <w:color w:val="auto"/>
        </w:rPr>
      </w:pPr>
    </w:p>
    <w:p>
      <w:pPr>
        <w:ind w:left="1220" w:right="20" w:hanging="242"/>
        <w:spacing w:after="0" w:line="231"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40, or (ii) the Incentive Stock Plan, which is disclosed in the Outstanding Equity Awards at Fiscal Year-End Table on page 38.</w:t>
      </w:r>
    </w:p>
    <w:p>
      <w:pPr>
        <w:spacing w:after="0" w:line="22" w:lineRule="exact"/>
        <w:rPr>
          <w:rFonts w:ascii="Arial" w:cs="Arial" w:eastAsia="Arial" w:hAnsi="Arial"/>
          <w:sz w:val="14"/>
          <w:szCs w:val="14"/>
          <w:color w:val="auto"/>
        </w:rPr>
      </w:pPr>
    </w:p>
    <w:p>
      <w:pPr>
        <w:ind w:left="1220" w:right="300" w:hanging="242"/>
        <w:spacing w:after="0" w:line="253"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Nye under the Corporation’s health and welfare plans, including long-term disability and life insurance.</w:t>
      </w:r>
    </w:p>
    <w:p>
      <w:pPr>
        <w:spacing w:after="0" w:line="11" w:lineRule="exact"/>
        <w:rPr>
          <w:rFonts w:ascii="Arial" w:cs="Arial" w:eastAsia="Arial" w:hAnsi="Arial"/>
          <w:sz w:val="14"/>
          <w:szCs w:val="14"/>
          <w:color w:val="auto"/>
        </w:rPr>
      </w:pPr>
    </w:p>
    <w:p>
      <w:pPr>
        <w:ind w:left="1220" w:right="440" w:hanging="242"/>
        <w:spacing w:after="0" w:line="253"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Nye would be entitled and the incremental value of the benefit payable on a Change of Control. Assumes postretirement medical coverage begins after 3 years of active welfare coverage but no earlier than age 55.</w:t>
      </w:r>
    </w:p>
    <w:p>
      <w:pPr>
        <w:spacing w:after="0" w:line="1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POTENTIAL PAYMENTS UPON TERMINATION — PHILIP J. SIPLING</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4740" w:type="dxa"/>
            <w:vAlign w:val="bottom"/>
            <w:tcBorders>
              <w:top w:val="single" w:sz="8" w:color="auto"/>
              <w:left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6"/>
              <w:spacing w:after="0" w:line="131" w:lineRule="exact"/>
              <w:rPr>
                <w:sz w:val="20"/>
                <w:szCs w:val="20"/>
                <w:color w:val="auto"/>
              </w:rPr>
            </w:pPr>
            <w:r>
              <w:rPr>
                <w:rFonts w:ascii="Arial" w:cs="Arial" w:eastAsia="Arial" w:hAnsi="Arial"/>
                <w:sz w:val="13"/>
                <w:szCs w:val="13"/>
                <w:b w:val="1"/>
                <w:bCs w:val="1"/>
                <w:color w:val="auto"/>
                <w:w w:val="91"/>
              </w:rPr>
              <w:t>Involuntary</w:t>
            </w:r>
          </w:p>
        </w:tc>
        <w:tc>
          <w:tcPr>
            <w:tcW w:w="7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
              <w:spacing w:after="0" w:line="131" w:lineRule="exact"/>
              <w:rPr>
                <w:sz w:val="20"/>
                <w:szCs w:val="20"/>
                <w:color w:val="auto"/>
              </w:rPr>
            </w:pPr>
            <w:r>
              <w:rPr>
                <w:rFonts w:ascii="Arial" w:cs="Arial" w:eastAsia="Arial" w:hAnsi="Arial"/>
                <w:sz w:val="13"/>
                <w:szCs w:val="13"/>
                <w:b w:val="1"/>
                <w:bCs w:val="1"/>
                <w:color w:val="auto"/>
                <w:w w:val="87"/>
              </w:rPr>
              <w:t>Termination or</w:t>
            </w:r>
          </w:p>
        </w:tc>
      </w:tr>
      <w:tr>
        <w:trPr>
          <w:trHeight w:val="135"/>
        </w:trPr>
        <w:tc>
          <w:tcPr>
            <w:tcW w:w="4740" w:type="dxa"/>
            <w:vAlign w:val="bottom"/>
            <w:tcBorders>
              <w:left w:val="single" w:sz="8" w:color="auto"/>
            </w:tcBorders>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Normal</w:t>
            </w:r>
          </w:p>
        </w:tc>
        <w:tc>
          <w:tcPr>
            <w:tcW w:w="98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w w:val="89"/>
              </w:rPr>
              <w:t>Not For Cause</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8"/>
              </w:rPr>
              <w:t>Resignation for</w:t>
            </w:r>
          </w:p>
        </w:tc>
      </w:tr>
      <w:tr>
        <w:trPr>
          <w:trHeight w:val="135"/>
        </w:trPr>
        <w:tc>
          <w:tcPr>
            <w:tcW w:w="4740" w:type="dxa"/>
            <w:vAlign w:val="bottom"/>
            <w:tcBorders>
              <w:left w:val="single" w:sz="8" w:color="auto"/>
            </w:tcBorders>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Retirement</w:t>
            </w:r>
          </w:p>
        </w:tc>
        <w:tc>
          <w:tcPr>
            <w:tcW w:w="98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w w:val="91"/>
              </w:rPr>
              <w:t>Termination</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Good Reason</w:t>
            </w:r>
          </w:p>
        </w:tc>
      </w:tr>
      <w:tr>
        <w:trPr>
          <w:trHeight w:val="135"/>
        </w:trPr>
        <w:tc>
          <w:tcPr>
            <w:tcW w:w="4740" w:type="dxa"/>
            <w:vAlign w:val="bottom"/>
            <w:tcBorders>
              <w:left w:val="single" w:sz="8" w:color="auto"/>
            </w:tcBorders>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(eligible</w:t>
            </w:r>
          </w:p>
        </w:tc>
        <w:tc>
          <w:tcPr>
            <w:tcW w:w="980" w:type="dxa"/>
            <w:vAlign w:val="bottom"/>
          </w:tcPr>
          <w:p>
            <w:pPr>
              <w:jc w:val="center"/>
              <w:ind w:right="96"/>
              <w:spacing w:after="0" w:line="135" w:lineRule="exact"/>
              <w:rPr>
                <w:sz w:val="20"/>
                <w:szCs w:val="20"/>
                <w:color w:val="auto"/>
              </w:rPr>
            </w:pPr>
            <w:r>
              <w:rPr>
                <w:rFonts w:ascii="Arial" w:cs="Arial" w:eastAsia="Arial" w:hAnsi="Arial"/>
                <w:sz w:val="13"/>
                <w:szCs w:val="13"/>
                <w:b w:val="1"/>
                <w:bCs w:val="1"/>
                <w:color w:val="auto"/>
                <w:w w:val="86"/>
              </w:rPr>
              <w:t>Absent</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6"/>
              </w:rPr>
              <w:t>Related to a</w:t>
            </w:r>
          </w:p>
        </w:tc>
      </w:tr>
      <w:tr>
        <w:trPr>
          <w:trHeight w:val="135"/>
        </w:trPr>
        <w:tc>
          <w:tcPr>
            <w:tcW w:w="4740" w:type="dxa"/>
            <w:vAlign w:val="bottom"/>
            <w:tcBorders>
              <w:left w:val="single" w:sz="8" w:color="auto"/>
            </w:tcBorders>
          </w:tcPr>
          <w:p>
            <w:pPr>
              <w:jc w:val="center"/>
              <w:ind w:left="3970"/>
              <w:spacing w:after="0" w:line="135" w:lineRule="exact"/>
              <w:rPr>
                <w:sz w:val="20"/>
                <w:szCs w:val="20"/>
                <w:color w:val="auto"/>
              </w:rPr>
            </w:pPr>
            <w:r>
              <w:rPr>
                <w:rFonts w:ascii="Arial" w:cs="Arial" w:eastAsia="Arial" w:hAnsi="Arial"/>
                <w:sz w:val="13"/>
                <w:szCs w:val="13"/>
                <w:b w:val="1"/>
                <w:bCs w:val="1"/>
                <w:color w:val="auto"/>
                <w:w w:val="89"/>
              </w:rPr>
              <w:t>Voluntary</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to retire at</w:t>
            </w:r>
          </w:p>
        </w:tc>
        <w:tc>
          <w:tcPr>
            <w:tcW w:w="98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w w:val="85"/>
              </w:rPr>
              <w:t>a Change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Termination</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Change-of-</w:t>
            </w:r>
          </w:p>
        </w:tc>
      </w:tr>
      <w:tr>
        <w:trPr>
          <w:trHeight w:val="135"/>
        </w:trPr>
        <w:tc>
          <w:tcPr>
            <w:tcW w:w="4740" w:type="dxa"/>
            <w:vAlign w:val="bottom"/>
            <w:tcBorders>
              <w:left w:val="single" w:sz="8" w:color="auto"/>
            </w:tcBorders>
          </w:tcPr>
          <w:p>
            <w:pPr>
              <w:jc w:val="center"/>
              <w:ind w:left="3970"/>
              <w:spacing w:after="0" w:line="135" w:lineRule="exact"/>
              <w:rPr>
                <w:sz w:val="20"/>
                <w:szCs w:val="20"/>
                <w:color w:val="auto"/>
              </w:rPr>
            </w:pPr>
            <w:r>
              <w:rPr>
                <w:rFonts w:ascii="Arial" w:cs="Arial" w:eastAsia="Arial" w:hAnsi="Arial"/>
                <w:sz w:val="13"/>
                <w:szCs w:val="13"/>
                <w:b w:val="1"/>
                <w:bCs w:val="1"/>
                <w:color w:val="auto"/>
                <w:w w:val="88"/>
              </w:rPr>
              <w:t>Termination</w:t>
            </w:r>
          </w:p>
        </w:tc>
        <w:tc>
          <w:tcPr>
            <w:tcW w:w="98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rPr>
              <w:t>12/31/08)</w:t>
            </w:r>
            <w:r>
              <w:rPr>
                <w:rFonts w:ascii="Arial" w:cs="Arial" w:eastAsia="Arial" w:hAnsi="Arial"/>
                <w:sz w:val="10"/>
                <w:szCs w:val="10"/>
                <w:b w:val="1"/>
                <w:bCs w:val="1"/>
                <w:color w:val="auto"/>
              </w:rPr>
              <w:t>(9)</w:t>
            </w:r>
          </w:p>
        </w:tc>
        <w:tc>
          <w:tcPr>
            <w:tcW w:w="980" w:type="dxa"/>
            <w:vAlign w:val="bottom"/>
          </w:tcPr>
          <w:p>
            <w:pPr>
              <w:jc w:val="center"/>
              <w:ind w:right="96"/>
              <w:spacing w:after="0" w:line="135" w:lineRule="exact"/>
              <w:rPr>
                <w:sz w:val="20"/>
                <w:szCs w:val="20"/>
                <w:color w:val="auto"/>
              </w:rPr>
            </w:pPr>
            <w:r>
              <w:rPr>
                <w:rFonts w:ascii="Arial" w:cs="Arial" w:eastAsia="Arial" w:hAnsi="Arial"/>
                <w:sz w:val="13"/>
                <w:szCs w:val="13"/>
                <w:b w:val="1"/>
                <w:bCs w:val="1"/>
                <w:color w:val="auto"/>
                <w:w w:val="90"/>
              </w:rPr>
              <w:t>Control</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for Cause</w:t>
            </w: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Disability</w:t>
            </w:r>
          </w:p>
        </w:tc>
        <w:tc>
          <w:tcPr>
            <w:tcW w:w="860" w:type="dxa"/>
            <w:vAlign w:val="bottom"/>
          </w:tcPr>
          <w:p>
            <w:pPr>
              <w:jc w:val="right"/>
              <w:ind w:right="292"/>
              <w:spacing w:after="0" w:line="135" w:lineRule="exact"/>
              <w:rPr>
                <w:sz w:val="20"/>
                <w:szCs w:val="20"/>
                <w:color w:val="auto"/>
              </w:rPr>
            </w:pPr>
            <w:r>
              <w:rPr>
                <w:rFonts w:ascii="Arial" w:cs="Arial" w:eastAsia="Arial" w:hAnsi="Arial"/>
                <w:sz w:val="13"/>
                <w:szCs w:val="13"/>
                <w:b w:val="1"/>
                <w:bCs w:val="1"/>
                <w:color w:val="auto"/>
              </w:rPr>
              <w:t>Death</w:t>
            </w:r>
          </w:p>
        </w:tc>
        <w:tc>
          <w:tcPr>
            <w:tcW w:w="10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6"/>
              </w:rPr>
              <w:t>Control</w:t>
            </w:r>
          </w:p>
        </w:tc>
      </w:tr>
      <w:tr>
        <w:trPr>
          <w:trHeight w:val="167"/>
        </w:trPr>
        <w:tc>
          <w:tcPr>
            <w:tcW w:w="4740" w:type="dxa"/>
            <w:vAlign w:val="bottom"/>
            <w:tcBorders>
              <w:left w:val="single" w:sz="8" w:color="auto"/>
              <w:bottom w:val="single" w:sz="8" w:color="auto"/>
            </w:tcBorders>
          </w:tcPr>
          <w:p>
            <w:pPr>
              <w:jc w:val="center"/>
              <w:ind w:left="3970"/>
              <w:spacing w:after="0"/>
              <w:rPr>
                <w:sz w:val="20"/>
                <w:szCs w:val="20"/>
                <w:color w:val="auto"/>
              </w:rPr>
            </w:pPr>
            <w:r>
              <w:rPr>
                <w:rFonts w:ascii="Arial" w:cs="Arial" w:eastAsia="Arial" w:hAnsi="Arial"/>
                <w:sz w:val="13"/>
                <w:szCs w:val="13"/>
                <w:b w:val="1"/>
                <w:bCs w:val="1"/>
                <w:color w:val="auto"/>
                <w:w w:val="87"/>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w:t>
            </w:r>
          </w:p>
        </w:tc>
      </w:tr>
      <w:tr>
        <w:trPr>
          <w:trHeight w:val="155"/>
        </w:trPr>
        <w:tc>
          <w:tcPr>
            <w:tcW w:w="4740" w:type="dxa"/>
            <w:vAlign w:val="bottom"/>
            <w:tcBorders>
              <w:left w:val="single" w:sz="8" w:color="auto"/>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49"/>
        </w:trPr>
        <w:tc>
          <w:tcPr>
            <w:tcW w:w="474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74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(1)</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2,510,453</w:t>
            </w:r>
          </w:p>
        </w:tc>
      </w:tr>
      <w:tr>
        <w:trPr>
          <w:trHeight w:val="149"/>
        </w:trPr>
        <w:tc>
          <w:tcPr>
            <w:tcW w:w="474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12"/>
                <w:szCs w:val="12"/>
                <w:color w:val="auto"/>
              </w:rPr>
              <w:t>(2)</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74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4,331,903</w:t>
            </w:r>
          </w:p>
        </w:tc>
        <w:tc>
          <w:tcPr>
            <w:tcW w:w="10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4,331,903</w:t>
            </w:r>
          </w:p>
        </w:tc>
      </w:tr>
      <w:tr>
        <w:trPr>
          <w:trHeight w:val="149"/>
        </w:trPr>
        <w:tc>
          <w:tcPr>
            <w:tcW w:w="474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119,729</w:t>
            </w: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119,729</w:t>
            </w:r>
          </w:p>
        </w:tc>
      </w:tr>
      <w:tr>
        <w:trPr>
          <w:trHeight w:val="149"/>
        </w:trPr>
        <w:tc>
          <w:tcPr>
            <w:tcW w:w="474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980" w:type="dxa"/>
            <w:vAlign w:val="bottom"/>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rPr>
              <w:t>2,410</w:t>
            </w:r>
          </w:p>
        </w:tc>
        <w:tc>
          <w:tcPr>
            <w:tcW w:w="980" w:type="dxa"/>
            <w:vAlign w:val="bottom"/>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rPr>
              <w:t>1,607</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2,410</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2,410</w:t>
            </w:r>
          </w:p>
        </w:tc>
        <w:tc>
          <w:tcPr>
            <w:tcW w:w="10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2,410</w:t>
            </w:r>
          </w:p>
        </w:tc>
      </w:tr>
      <w:tr>
        <w:trPr>
          <w:trHeight w:val="149"/>
        </w:trPr>
        <w:tc>
          <w:tcPr>
            <w:tcW w:w="474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3,096,634</w:t>
            </w:r>
          </w:p>
        </w:tc>
      </w:tr>
      <w:tr>
        <w:trPr>
          <w:trHeight w:val="149"/>
        </w:trPr>
        <w:tc>
          <w:tcPr>
            <w:tcW w:w="474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474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7,915</w:t>
            </w:r>
          </w:p>
        </w:tc>
      </w:tr>
      <w:tr>
        <w:trPr>
          <w:trHeight w:val="149"/>
        </w:trPr>
        <w:tc>
          <w:tcPr>
            <w:tcW w:w="4740" w:type="dxa"/>
            <w:vAlign w:val="bottom"/>
            <w:tcBorders>
              <w:left w:val="single" w:sz="8" w:color="CCEEFF"/>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Excise Tax &amp; Gross-up</w:t>
            </w:r>
          </w:p>
        </w:tc>
        <w:tc>
          <w:tcPr>
            <w:tcW w:w="9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r>
    </w:tbl>
    <w:p>
      <w:pPr>
        <w:spacing w:after="0" w:line="143" w:lineRule="exact"/>
        <w:rPr>
          <w:sz w:val="20"/>
          <w:szCs w:val="20"/>
          <w:color w:val="auto"/>
        </w:rPr>
      </w:pPr>
    </w:p>
    <w:p>
      <w:pPr>
        <w:ind w:left="1220" w:hanging="242"/>
        <w:spacing w:after="0"/>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41" w:lineRule="exact"/>
        <w:rPr>
          <w:rFonts w:ascii="Arial" w:cs="Arial" w:eastAsia="Arial" w:hAnsi="Arial"/>
          <w:sz w:val="14"/>
          <w:szCs w:val="14"/>
          <w:color w:val="auto"/>
        </w:rPr>
      </w:pPr>
    </w:p>
    <w:p>
      <w:pPr>
        <w:ind w:left="1220" w:right="140" w:hanging="242"/>
        <w:spacing w:after="0" w:line="253" w:lineRule="auto"/>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spacing w:after="0" w:line="11" w:lineRule="exact"/>
        <w:rPr>
          <w:rFonts w:ascii="Arial" w:cs="Arial" w:eastAsia="Arial" w:hAnsi="Arial"/>
          <w:sz w:val="14"/>
          <w:szCs w:val="14"/>
          <w:color w:val="auto"/>
        </w:rPr>
      </w:pPr>
    </w:p>
    <w:p>
      <w:pPr>
        <w:ind w:left="1220" w:right="240" w:hanging="242"/>
        <w:spacing w:after="0" w:line="253" w:lineRule="auto"/>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 Also includes 20,000 shares of restricted stock units received in connection with executive succession planning in 2003.</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Arial" w:cs="Arial" w:eastAsia="Arial" w:hAnsi="Arial"/>
          <w:sz w:val="14"/>
          <w:szCs w:val="14"/>
          <w:color w:val="auto"/>
        </w:rPr>
      </w:pPr>
    </w:p>
    <w:p>
      <w:pPr>
        <w:ind w:left="1220" w:right="100" w:hanging="242"/>
        <w:spacing w:after="0" w:line="231" w:lineRule="auto"/>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40, or (ii) the Incentive Stock Plan, which is disclosed in the Outstanding Equity Awards at Fiscal Year-End Table on page 38.</w:t>
      </w:r>
    </w:p>
    <w:p>
      <w:pPr>
        <w:spacing w:after="0" w:line="22" w:lineRule="exact"/>
        <w:rPr>
          <w:rFonts w:ascii="Arial" w:cs="Arial" w:eastAsia="Arial" w:hAnsi="Arial"/>
          <w:sz w:val="14"/>
          <w:szCs w:val="14"/>
          <w:color w:val="auto"/>
        </w:rPr>
      </w:pPr>
    </w:p>
    <w:p>
      <w:pPr>
        <w:ind w:left="1220" w:right="140" w:hanging="242"/>
        <w:spacing w:after="0" w:line="253" w:lineRule="auto"/>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Sipling under the Corporation’s health and welfare plans, including long-term disability and life insurance.</w:t>
      </w:r>
    </w:p>
    <w:p>
      <w:pPr>
        <w:spacing w:after="0" w:line="11" w:lineRule="exact"/>
        <w:rPr>
          <w:rFonts w:ascii="Arial" w:cs="Arial" w:eastAsia="Arial" w:hAnsi="Arial"/>
          <w:sz w:val="14"/>
          <w:szCs w:val="14"/>
          <w:color w:val="auto"/>
        </w:rPr>
      </w:pPr>
    </w:p>
    <w:p>
      <w:pPr>
        <w:ind w:left="1220" w:right="120" w:hanging="242"/>
        <w:spacing w:after="0" w:line="253" w:lineRule="auto"/>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Sipling would be entitled payable on a Change of Control. Assumes postretirement medical coverage begins after 3 years of active welfare coverage but no earlier than age 55.</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Eligible to retire with a reduced retirement benefit.</w:t>
      </w:r>
    </w:p>
    <w:p>
      <w:pPr>
        <w:spacing w:after="0" w:line="21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3392805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POTENTIAL PAYMENTS UPON TERMINATION — DANIEL G. SHEPHARD</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4360" w:type="dxa"/>
            <w:vAlign w:val="bottom"/>
            <w:tcBorders>
              <w:top w:val="single" w:sz="8" w:color="auto"/>
              <w:left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95"/>
              <w:spacing w:after="0" w:line="131" w:lineRule="exact"/>
              <w:rPr>
                <w:sz w:val="20"/>
                <w:szCs w:val="20"/>
                <w:color w:val="auto"/>
              </w:rPr>
            </w:pPr>
            <w:r>
              <w:rPr>
                <w:rFonts w:ascii="Arial" w:cs="Arial" w:eastAsia="Arial" w:hAnsi="Arial"/>
                <w:sz w:val="13"/>
                <w:szCs w:val="13"/>
                <w:b w:val="1"/>
                <w:bCs w:val="1"/>
                <w:color w:val="auto"/>
                <w:w w:val="91"/>
              </w:rPr>
              <w:t>Involuntary</w:t>
            </w:r>
          </w:p>
        </w:tc>
        <w:tc>
          <w:tcPr>
            <w:tcW w:w="7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7"/>
              <w:spacing w:after="0" w:line="131" w:lineRule="exact"/>
              <w:rPr>
                <w:sz w:val="20"/>
                <w:szCs w:val="20"/>
                <w:color w:val="auto"/>
              </w:rPr>
            </w:pPr>
            <w:r>
              <w:rPr>
                <w:rFonts w:ascii="Arial" w:cs="Arial" w:eastAsia="Arial" w:hAnsi="Arial"/>
                <w:sz w:val="13"/>
                <w:szCs w:val="13"/>
                <w:b w:val="1"/>
                <w:bCs w:val="1"/>
                <w:color w:val="auto"/>
                <w:w w:val="87"/>
              </w:rPr>
              <w:t>Termination or</w:t>
            </w:r>
          </w:p>
        </w:tc>
      </w:tr>
      <w:tr>
        <w:trPr>
          <w:trHeight w:val="135"/>
        </w:trPr>
        <w:tc>
          <w:tcPr>
            <w:tcW w:w="436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Normal</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7"/>
              </w:rPr>
              <w:t>Not For Cause</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8"/>
              </w:rPr>
              <w:t>Resignation for</w:t>
            </w:r>
          </w:p>
        </w:tc>
      </w:tr>
      <w:tr>
        <w:trPr>
          <w:trHeight w:val="135"/>
        </w:trPr>
        <w:tc>
          <w:tcPr>
            <w:tcW w:w="436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Retirement</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8"/>
              </w:rPr>
              <w:t>Termination</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5"/>
              </w:rPr>
              <w:t>Good Reason</w:t>
            </w:r>
          </w:p>
        </w:tc>
      </w:tr>
      <w:tr>
        <w:trPr>
          <w:trHeight w:val="135"/>
        </w:trPr>
        <w:tc>
          <w:tcPr>
            <w:tcW w:w="436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(not eligible</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3"/>
              </w:rPr>
              <w:t>Absent a</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6"/>
              </w:rPr>
              <w:t>Related to a</w:t>
            </w:r>
          </w:p>
        </w:tc>
      </w:tr>
      <w:tr>
        <w:trPr>
          <w:trHeight w:val="135"/>
        </w:trPr>
        <w:tc>
          <w:tcPr>
            <w:tcW w:w="4360" w:type="dxa"/>
            <w:vAlign w:val="bottom"/>
            <w:tcBorders>
              <w:left w:val="single" w:sz="8" w:color="auto"/>
            </w:tcBorders>
          </w:tcPr>
          <w:p>
            <w:pPr>
              <w:jc w:val="center"/>
              <w:ind w:left="3589"/>
              <w:spacing w:after="0" w:line="135" w:lineRule="exact"/>
              <w:rPr>
                <w:sz w:val="20"/>
                <w:szCs w:val="20"/>
                <w:color w:val="auto"/>
              </w:rPr>
            </w:pPr>
            <w:r>
              <w:rPr>
                <w:rFonts w:ascii="Arial" w:cs="Arial" w:eastAsia="Arial" w:hAnsi="Arial"/>
                <w:sz w:val="13"/>
                <w:szCs w:val="13"/>
                <w:b w:val="1"/>
                <w:bCs w:val="1"/>
                <w:color w:val="auto"/>
                <w:w w:val="89"/>
              </w:rPr>
              <w:t>Voluntary</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to retire at</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4"/>
              </w:rPr>
              <w:t>Change of</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Termination</w:t>
            </w: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7"/>
              </w:rPr>
              <w:t>Change-of-</w:t>
            </w:r>
          </w:p>
        </w:tc>
      </w:tr>
      <w:tr>
        <w:trPr>
          <w:trHeight w:val="135"/>
        </w:trPr>
        <w:tc>
          <w:tcPr>
            <w:tcW w:w="4360" w:type="dxa"/>
            <w:vAlign w:val="bottom"/>
            <w:tcBorders>
              <w:left w:val="single" w:sz="8" w:color="auto"/>
            </w:tcBorders>
          </w:tcPr>
          <w:p>
            <w:pPr>
              <w:jc w:val="center"/>
              <w:ind w:left="3589"/>
              <w:spacing w:after="0" w:line="135" w:lineRule="exact"/>
              <w:rPr>
                <w:sz w:val="20"/>
                <w:szCs w:val="20"/>
                <w:color w:val="auto"/>
              </w:rPr>
            </w:pPr>
            <w:r>
              <w:rPr>
                <w:rFonts w:ascii="Arial" w:cs="Arial" w:eastAsia="Arial" w:hAnsi="Arial"/>
                <w:sz w:val="13"/>
                <w:szCs w:val="13"/>
                <w:b w:val="1"/>
                <w:bCs w:val="1"/>
                <w:color w:val="auto"/>
                <w:w w:val="88"/>
              </w:rPr>
              <w:t>Termination</w:t>
            </w:r>
          </w:p>
        </w:tc>
        <w:tc>
          <w:tcPr>
            <w:tcW w:w="1080" w:type="dxa"/>
            <w:vAlign w:val="bottom"/>
          </w:tcPr>
          <w:p>
            <w:pPr>
              <w:jc w:val="right"/>
              <w:ind w:right="234"/>
              <w:spacing w:after="0" w:line="135" w:lineRule="exact"/>
              <w:rPr>
                <w:sz w:val="20"/>
                <w:szCs w:val="20"/>
                <w:color w:val="auto"/>
              </w:rPr>
            </w:pPr>
            <w:r>
              <w:rPr>
                <w:rFonts w:ascii="Arial" w:cs="Arial" w:eastAsia="Arial" w:hAnsi="Arial"/>
                <w:sz w:val="13"/>
                <w:szCs w:val="13"/>
                <w:b w:val="1"/>
                <w:bCs w:val="1"/>
                <w:color w:val="auto"/>
              </w:rPr>
              <w:t>12/31/08)</w:t>
            </w:r>
          </w:p>
        </w:tc>
        <w:tc>
          <w:tcPr>
            <w:tcW w:w="10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0"/>
              </w:rPr>
              <w:t>Control</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for Cause</w:t>
            </w:r>
          </w:p>
        </w:tc>
        <w:tc>
          <w:tcPr>
            <w:tcW w:w="1000" w:type="dxa"/>
            <w:vAlign w:val="bottom"/>
          </w:tcPr>
          <w:p>
            <w:pPr>
              <w:jc w:val="right"/>
              <w:ind w:right="168"/>
              <w:spacing w:after="0" w:line="135" w:lineRule="exact"/>
              <w:rPr>
                <w:sz w:val="20"/>
                <w:szCs w:val="20"/>
                <w:color w:val="auto"/>
              </w:rPr>
            </w:pPr>
            <w:r>
              <w:rPr>
                <w:rFonts w:ascii="Arial" w:cs="Arial" w:eastAsia="Arial" w:hAnsi="Arial"/>
                <w:sz w:val="13"/>
                <w:szCs w:val="13"/>
                <w:b w:val="1"/>
                <w:bCs w:val="1"/>
                <w:color w:val="auto"/>
              </w:rPr>
              <w:t>Disability</w:t>
            </w:r>
          </w:p>
        </w:tc>
        <w:tc>
          <w:tcPr>
            <w:tcW w:w="920" w:type="dxa"/>
            <w:vAlign w:val="bottom"/>
          </w:tcPr>
          <w:p>
            <w:pPr>
              <w:jc w:val="right"/>
              <w:ind w:right="325"/>
              <w:spacing w:after="0" w:line="135" w:lineRule="exact"/>
              <w:rPr>
                <w:sz w:val="20"/>
                <w:szCs w:val="20"/>
                <w:color w:val="auto"/>
              </w:rPr>
            </w:pPr>
            <w:r>
              <w:rPr>
                <w:rFonts w:ascii="Arial" w:cs="Arial" w:eastAsia="Arial" w:hAnsi="Arial"/>
                <w:sz w:val="13"/>
                <w:szCs w:val="13"/>
                <w:b w:val="1"/>
                <w:bCs w:val="1"/>
                <w:color w:val="auto"/>
              </w:rPr>
              <w:t>Death</w:t>
            </w:r>
          </w:p>
        </w:tc>
        <w:tc>
          <w:tcPr>
            <w:tcW w:w="100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6"/>
              </w:rPr>
              <w:t>Control</w:t>
            </w:r>
          </w:p>
        </w:tc>
      </w:tr>
      <w:tr>
        <w:trPr>
          <w:trHeight w:val="167"/>
        </w:trPr>
        <w:tc>
          <w:tcPr>
            <w:tcW w:w="4360" w:type="dxa"/>
            <w:vAlign w:val="bottom"/>
            <w:tcBorders>
              <w:left w:val="single" w:sz="8" w:color="auto"/>
              <w:bottom w:val="single" w:sz="8" w:color="auto"/>
            </w:tcBorders>
          </w:tcPr>
          <w:p>
            <w:pPr>
              <w:jc w:val="center"/>
              <w:ind w:left="3589"/>
              <w:spacing w:after="0"/>
              <w:rPr>
                <w:sz w:val="20"/>
                <w:szCs w:val="20"/>
                <w:color w:val="auto"/>
              </w:rPr>
            </w:pPr>
            <w:r>
              <w:rPr>
                <w:rFonts w:ascii="Arial" w:cs="Arial" w:eastAsia="Arial" w:hAnsi="Arial"/>
                <w:sz w:val="13"/>
                <w:szCs w:val="13"/>
                <w:b w:val="1"/>
                <w:bCs w:val="1"/>
                <w:color w:val="auto"/>
                <w:w w:val="87"/>
              </w:rPr>
              <w:t>($)</w:t>
            </w: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7"/>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rPr>
              <w:t>($)</w:t>
            </w:r>
          </w:p>
        </w:tc>
      </w:tr>
      <w:tr>
        <w:trPr>
          <w:trHeight w:val="209"/>
        </w:trPr>
        <w:tc>
          <w:tcPr>
            <w:tcW w:w="436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436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Compensation</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Borders>
              <w:left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2,434,215</w:t>
            </w:r>
          </w:p>
        </w:tc>
      </w:tr>
      <w:tr>
        <w:trPr>
          <w:trHeight w:val="203"/>
        </w:trPr>
        <w:tc>
          <w:tcPr>
            <w:tcW w:w="4360" w:type="dxa"/>
            <w:vAlign w:val="bottom"/>
            <w:tcBorders>
              <w:left w:val="single" w:sz="8" w:color="auto"/>
            </w:tcBorders>
          </w:tcPr>
          <w:p>
            <w:pPr>
              <w:ind w:left="60"/>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color w:val="auto"/>
                <w:vertAlign w:val="superscript"/>
              </w:rPr>
              <w:t>(2)</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Borders>
              <w:left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2,117,313</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2,117,313</w:t>
            </w:r>
          </w:p>
        </w:tc>
      </w:tr>
      <w:tr>
        <w:trPr>
          <w:trHeight w:val="203"/>
        </w:trPr>
        <w:tc>
          <w:tcPr>
            <w:tcW w:w="4360" w:type="dxa"/>
            <w:vAlign w:val="bottom"/>
            <w:tcBorders>
              <w:left w:val="single" w:sz="8" w:color="auto"/>
            </w:tcBorders>
          </w:tcPr>
          <w:p>
            <w:pPr>
              <w:ind w:left="60"/>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jc w:val="right"/>
              <w:ind w:right="105"/>
              <w:spacing w:after="0"/>
              <w:rPr>
                <w:sz w:val="20"/>
                <w:szCs w:val="20"/>
                <w:color w:val="auto"/>
              </w:rPr>
            </w:pPr>
            <w:r>
              <w:rPr>
                <w:rFonts w:ascii="Arial" w:cs="Arial" w:eastAsia="Arial" w:hAnsi="Arial"/>
                <w:sz w:val="16"/>
                <w:szCs w:val="16"/>
                <w:color w:val="auto"/>
              </w:rPr>
              <w:t>77,520</w:t>
            </w: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77,520</w:t>
            </w:r>
          </w:p>
        </w:tc>
      </w:tr>
      <w:tr>
        <w:trPr>
          <w:trHeight w:val="203"/>
        </w:trPr>
        <w:tc>
          <w:tcPr>
            <w:tcW w:w="4360" w:type="dxa"/>
            <w:vAlign w:val="bottom"/>
            <w:tcBorders>
              <w:left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23"/>
                <w:szCs w:val="23"/>
                <w:color w:val="auto"/>
                <w:vertAlign w:val="superscript"/>
              </w:rPr>
              <w:t>(5)</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6"/>
                <w:szCs w:val="16"/>
                <w:color w:val="auto"/>
              </w:rPr>
              <w:t>4,645</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6"/>
                <w:szCs w:val="16"/>
                <w:color w:val="auto"/>
              </w:rPr>
              <w:t>3,097</w:t>
            </w: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4,645</w:t>
            </w:r>
          </w:p>
        </w:tc>
        <w:tc>
          <w:tcPr>
            <w:tcW w:w="92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4,645</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4,645</w:t>
            </w:r>
          </w:p>
        </w:tc>
      </w:tr>
      <w:tr>
        <w:trPr>
          <w:trHeight w:val="203"/>
        </w:trPr>
        <w:tc>
          <w:tcPr>
            <w:tcW w:w="4360" w:type="dxa"/>
            <w:vAlign w:val="bottom"/>
            <w:tcBorders>
              <w:left w:val="single" w:sz="8" w:color="auto"/>
            </w:tcBorders>
          </w:tcPr>
          <w:p>
            <w:pPr>
              <w:ind w:left="60"/>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6"/>
                <w:szCs w:val="16"/>
                <w:color w:val="auto"/>
              </w:rPr>
              <w:t>181,179</w:t>
            </w:r>
          </w:p>
        </w:tc>
        <w:tc>
          <w:tcPr>
            <w:tcW w:w="920" w:type="dxa"/>
            <w:vAlign w:val="bottom"/>
          </w:tcPr>
          <w:p>
            <w:pPr>
              <w:jc w:val="right"/>
              <w:ind w:right="105"/>
              <w:spacing w:after="0"/>
              <w:rPr>
                <w:sz w:val="20"/>
                <w:szCs w:val="20"/>
                <w:color w:val="auto"/>
              </w:rPr>
            </w:pPr>
            <w:r>
              <w:rPr>
                <w:rFonts w:ascii="Arial" w:cs="Arial" w:eastAsia="Arial" w:hAnsi="Arial"/>
                <w:sz w:val="16"/>
                <w:szCs w:val="16"/>
                <w:color w:val="auto"/>
              </w:rPr>
              <w:t>71,163</w:t>
            </w: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4,817,271</w:t>
            </w:r>
          </w:p>
        </w:tc>
      </w:tr>
      <w:tr>
        <w:trPr>
          <w:trHeight w:val="203"/>
        </w:trPr>
        <w:tc>
          <w:tcPr>
            <w:tcW w:w="4360" w:type="dxa"/>
            <w:vAlign w:val="bottom"/>
            <w:tcBorders>
              <w:left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33,760</w:t>
            </w:r>
          </w:p>
        </w:tc>
      </w:tr>
      <w:tr>
        <w:trPr>
          <w:trHeight w:val="203"/>
        </w:trPr>
        <w:tc>
          <w:tcPr>
            <w:tcW w:w="4360" w:type="dxa"/>
            <w:vAlign w:val="bottom"/>
            <w:tcBorders>
              <w:left w:val="single" w:sz="8" w:color="auto"/>
            </w:tcBorders>
          </w:tcPr>
          <w:p>
            <w:pPr>
              <w:ind w:left="60"/>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36,630</w:t>
            </w:r>
          </w:p>
        </w:tc>
      </w:tr>
      <w:tr>
        <w:trPr>
          <w:trHeight w:val="203"/>
        </w:trPr>
        <w:tc>
          <w:tcPr>
            <w:tcW w:w="436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Excise Tax &amp; Gross-up</w:t>
            </w: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3,933,117</w:t>
            </w:r>
          </w:p>
        </w:tc>
      </w:tr>
    </w:tbl>
    <w:p>
      <w:pPr>
        <w:spacing w:after="0" w:line="143" w:lineRule="exact"/>
        <w:rPr>
          <w:sz w:val="20"/>
          <w:szCs w:val="20"/>
          <w:color w:val="auto"/>
        </w:rPr>
      </w:pPr>
    </w:p>
    <w:p>
      <w:pPr>
        <w:ind w:left="1220" w:hanging="242"/>
        <w:spacing w:after="0"/>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41" w:lineRule="exact"/>
        <w:rPr>
          <w:rFonts w:ascii="Arial" w:cs="Arial" w:eastAsia="Arial" w:hAnsi="Arial"/>
          <w:sz w:val="14"/>
          <w:szCs w:val="14"/>
          <w:color w:val="auto"/>
        </w:rPr>
      </w:pPr>
    </w:p>
    <w:p>
      <w:pPr>
        <w:ind w:left="1220" w:right="140" w:hanging="242"/>
        <w:spacing w:after="0" w:line="253" w:lineRule="auto"/>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share units at year-end and the amount of cash invested by the executive officer in the share units.</w:t>
      </w:r>
    </w:p>
    <w:p>
      <w:pPr>
        <w:spacing w:after="0" w:line="41" w:lineRule="exact"/>
        <w:rPr>
          <w:rFonts w:ascii="Arial" w:cs="Arial" w:eastAsia="Arial" w:hAnsi="Arial"/>
          <w:sz w:val="14"/>
          <w:szCs w:val="14"/>
          <w:color w:val="auto"/>
        </w:rPr>
      </w:pPr>
    </w:p>
    <w:p>
      <w:pPr>
        <w:ind w:left="1220" w:right="20" w:hanging="242"/>
        <w:spacing w:after="0" w:line="231" w:lineRule="auto"/>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40, or (ii) the Incentive Stock Plan, which is disclosed in the Outstanding Equity Awards at Fiscal Year-End Table on page 38.</w:t>
      </w:r>
    </w:p>
    <w:p>
      <w:pPr>
        <w:spacing w:after="0" w:line="22" w:lineRule="exact"/>
        <w:rPr>
          <w:rFonts w:ascii="Arial" w:cs="Arial" w:eastAsia="Arial" w:hAnsi="Arial"/>
          <w:sz w:val="14"/>
          <w:szCs w:val="14"/>
          <w:color w:val="auto"/>
        </w:rPr>
      </w:pPr>
    </w:p>
    <w:p>
      <w:pPr>
        <w:ind w:left="1220" w:hanging="242"/>
        <w:spacing w:after="0" w:line="253" w:lineRule="auto"/>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Shephard under the Corporation’s health and welfare plans, including long-term disability and life insurance.</w:t>
      </w:r>
    </w:p>
    <w:p>
      <w:pPr>
        <w:spacing w:after="0" w:line="11" w:lineRule="exact"/>
        <w:rPr>
          <w:rFonts w:ascii="Arial" w:cs="Arial" w:eastAsia="Arial" w:hAnsi="Arial"/>
          <w:sz w:val="14"/>
          <w:szCs w:val="14"/>
          <w:color w:val="auto"/>
        </w:rPr>
      </w:pPr>
    </w:p>
    <w:p>
      <w:pPr>
        <w:ind w:left="1220" w:right="540" w:hanging="242"/>
        <w:spacing w:after="0" w:line="253" w:lineRule="auto"/>
        <w:tabs>
          <w:tab w:leader="none" w:pos="1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Shephard would be entitled payable on a Change of Control. Assumes postretirement medical coverage begins after 3 years of active welfare coverage but no earlier than age 55.</w:t>
      </w:r>
    </w:p>
    <w:p>
      <w:pPr>
        <w:spacing w:after="0" w:line="1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Securities Authorized for Issuance Under Equity Compensation Plans</w:t>
      </w:r>
    </w:p>
    <w:p>
      <w:pPr>
        <w:spacing w:after="0" w:line="121" w:lineRule="exact"/>
        <w:rPr>
          <w:sz w:val="20"/>
          <w:szCs w:val="20"/>
          <w:color w:val="auto"/>
        </w:rPr>
      </w:pPr>
    </w:p>
    <w:p>
      <w:pPr>
        <w:ind w:left="980" w:right="220" w:firstLine="609"/>
        <w:spacing w:after="0" w:line="272" w:lineRule="auto"/>
        <w:rPr>
          <w:sz w:val="20"/>
          <w:szCs w:val="20"/>
          <w:color w:val="auto"/>
        </w:rPr>
      </w:pPr>
      <w:r>
        <w:rPr>
          <w:rFonts w:ascii="Arial" w:cs="Arial" w:eastAsia="Arial" w:hAnsi="Arial"/>
          <w:sz w:val="18"/>
          <w:szCs w:val="18"/>
          <w:color w:val="auto"/>
        </w:rPr>
        <w:t>The following table shows information as of December 31, 2008 regarding the Corporation’s compensation plans that allow the Corporation to issue its equity securities. The Corporation’s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Incentive Stock Plan (the “Incentive Stock Plan”) was adopted, the Martin Marietta Materials, Inc. Amended Omnibus Securities Award Plan (the “Omnibus Securities Award Plan”), and the Martin Marietta Materials, Inc. Shareholder Value Achievement Plan (the “Achievement Plan”). The Corporation’s shareholders have approved all of these plans. The Corporation has not entered into any individual compensation arrangements that would allow it to issue its equity securities to employees or non-employees in exchange for goods or services.</w:t>
      </w:r>
    </w:p>
    <w:p>
      <w:pPr>
        <w:spacing w:after="0" w:line="287"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280" w:type="dxa"/>
            <w:vAlign w:val="bottom"/>
            <w:tcBorders>
              <w:top w:val="single" w:sz="8" w:color="auto"/>
              <w:left w:val="single" w:sz="8" w:color="auto"/>
            </w:tcBorders>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Number of Securities to be</w:t>
            </w: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Weighted-Average Exercise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52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62"/>
        </w:trPr>
        <w:tc>
          <w:tcPr>
            <w:tcW w:w="328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Outstanding</w:t>
            </w:r>
          </w:p>
        </w:tc>
        <w:tc>
          <w:tcPr>
            <w:tcW w:w="2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Price of Outstanding 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71"/>
        </w:trPr>
        <w:tc>
          <w:tcPr>
            <w:tcW w:w="3280" w:type="dxa"/>
            <w:vAlign w:val="bottom"/>
            <w:tcBorders>
              <w:left w:val="single" w:sz="8" w:color="auto"/>
            </w:tcBorders>
            <w:vMerge w:val="continue"/>
          </w:tcPr>
          <w:p>
            <w:pPr>
              <w:spacing w:after="0"/>
              <w:rPr>
                <w:sz w:val="14"/>
                <w:szCs w:val="14"/>
                <w:color w:val="auto"/>
              </w:rPr>
            </w:pPr>
          </w:p>
        </w:tc>
        <w:tc>
          <w:tcPr>
            <w:tcW w:w="2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Options, Warrants, and Rights</w:t>
            </w: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 and Rights</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w:t>
            </w:r>
            <w:r>
              <w:rPr>
                <w:rFonts w:ascii="Arial" w:cs="Arial" w:eastAsia="Arial" w:hAnsi="Arial"/>
                <w:sz w:val="12"/>
                <w:szCs w:val="12"/>
                <w:b w:val="1"/>
                <w:bCs w:val="1"/>
                <w:color w:val="auto"/>
                <w:w w:val="94"/>
              </w:rPr>
              <w:t>(1)</w:t>
            </w:r>
          </w:p>
        </w:tc>
        <w:tc>
          <w:tcPr>
            <w:tcW w:w="420" w:type="dxa"/>
            <w:vAlign w:val="bottom"/>
            <w:tcBorders>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(b)</w:t>
            </w:r>
            <w:r>
              <w:rPr>
                <w:rFonts w:ascii="Arial" w:cs="Arial" w:eastAsia="Arial" w:hAnsi="Arial"/>
                <w:sz w:val="12"/>
                <w:szCs w:val="12"/>
                <w:b w:val="1"/>
                <w:bCs w:val="1"/>
                <w:color w:val="auto"/>
                <w:w w:val="98"/>
              </w:rPr>
              <w:t>(1)</w:t>
            </w:r>
          </w:p>
        </w:tc>
        <w:tc>
          <w:tcPr>
            <w:tcW w:w="400" w:type="dxa"/>
            <w:vAlign w:val="bottom"/>
            <w:tcBorders>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w:t>
            </w:r>
            <w:r>
              <w:rPr>
                <w:rFonts w:ascii="Arial" w:cs="Arial" w:eastAsia="Arial" w:hAnsi="Arial"/>
                <w:sz w:val="12"/>
                <w:szCs w:val="12"/>
                <w:b w:val="1"/>
                <w:bCs w:val="1"/>
                <w:color w:val="auto"/>
                <w:w w:val="94"/>
              </w:rPr>
              <w:t>(2)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80" w:type="dxa"/>
            <w:vAlign w:val="bottom"/>
            <w:tcBorders>
              <w:lef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rPr>
              <w:t>Equity compensation plans approved by</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shareholders</w:t>
            </w:r>
          </w:p>
        </w:tc>
        <w:tc>
          <w:tcPr>
            <w:tcW w:w="2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1,580,511</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58.60</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1,318,815</w:t>
            </w:r>
          </w:p>
        </w:tc>
        <w:tc>
          <w:tcPr>
            <w:tcW w:w="0" w:type="dxa"/>
            <w:vAlign w:val="bottom"/>
          </w:tcPr>
          <w:p>
            <w:pPr>
              <w:spacing w:after="0"/>
              <w:rPr>
                <w:sz w:val="1"/>
                <w:szCs w:val="1"/>
                <w:color w:val="auto"/>
              </w:rPr>
            </w:pPr>
          </w:p>
        </w:tc>
      </w:tr>
      <w:tr>
        <w:trPr>
          <w:trHeight w:val="202"/>
        </w:trPr>
        <w:tc>
          <w:tcPr>
            <w:tcW w:w="3280" w:type="dxa"/>
            <w:vAlign w:val="bottom"/>
          </w:tcPr>
          <w:p>
            <w:pPr>
              <w:ind w:left="20"/>
              <w:spacing w:after="0" w:line="201" w:lineRule="exact"/>
              <w:rPr>
                <w:sz w:val="20"/>
                <w:szCs w:val="20"/>
                <w:color w:val="auto"/>
              </w:rPr>
            </w:pPr>
            <w:r>
              <w:rPr>
                <w:rFonts w:ascii="Arial" w:cs="Arial" w:eastAsia="Arial" w:hAnsi="Arial"/>
                <w:sz w:val="18"/>
                <w:szCs w:val="18"/>
                <w:color w:val="auto"/>
                <w:w w:val="99"/>
              </w:rPr>
              <w:t>Equity compensation plans not approved</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by shareholders</w:t>
            </w:r>
          </w:p>
        </w:tc>
        <w:tc>
          <w:tcPr>
            <w:tcW w:w="2560" w:type="dxa"/>
            <w:vAlign w:val="bottom"/>
            <w:gridSpan w:val="2"/>
          </w:tcPr>
          <w:p>
            <w:pPr>
              <w:jc w:val="right"/>
              <w:ind w:right="420"/>
              <w:spacing w:after="0"/>
              <w:rPr>
                <w:sz w:val="20"/>
                <w:szCs w:val="20"/>
                <w:color w:val="auto"/>
              </w:rPr>
            </w:pPr>
            <w:r>
              <w:rPr>
                <w:rFonts w:ascii="Arial" w:cs="Arial" w:eastAsia="Arial" w:hAnsi="Arial"/>
                <w:sz w:val="18"/>
                <w:szCs w:val="18"/>
                <w:color w:val="auto"/>
              </w:rPr>
              <w:t>None</w:t>
            </w:r>
          </w:p>
        </w:tc>
        <w:tc>
          <w:tcPr>
            <w:tcW w:w="252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1,580,511</w:t>
            </w:r>
          </w:p>
        </w:tc>
        <w:tc>
          <w:tcPr>
            <w:tcW w:w="2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58.60</w:t>
            </w: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1,318,815</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40" w:hanging="242"/>
        <w:spacing w:after="0" w:line="234" w:lineRule="auto"/>
        <w:tabs>
          <w:tab w:leader="none" w:pos="1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1,045,398 stock options that have a weighted-average exercise price of $85.00; 495,121 restricted stock units that have a $0 exercise price; and 39,992 stock units granted in accordance with the Corporation’s Incentive Stock Plan that are credited to participants at an average weighted cost of $94.19.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spacing w:after="0" w:line="20" w:lineRule="exact"/>
        <w:rPr>
          <w:rFonts w:ascii="Arial" w:cs="Arial" w:eastAsia="Arial" w:hAnsi="Arial"/>
          <w:sz w:val="14"/>
          <w:szCs w:val="14"/>
          <w:color w:val="auto"/>
        </w:rPr>
      </w:pPr>
    </w:p>
    <w:p>
      <w:pPr>
        <w:ind w:left="1220" w:right="140" w:hanging="242"/>
        <w:spacing w:after="0" w:line="231" w:lineRule="auto"/>
        <w:tabs>
          <w:tab w:leader="none" w:pos="1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shares of the Corporation’s common stock available for issuance (other than upon the exercise of an option, warrant, or right) under the Corporation’s equity compensation plans as of December 31, 2008 in the following amounts: Directors’ Plan (199,375 shares), Stock-Based Award Plan (911,465 shares), and Achievement Plan (207,975 shares). The Directors’ Plan provides that nonemployee directors may elect to receive all or a portion of their fees in the form of common stock. Under the Achievement Plant, awards can be granted to key senior employees based on certain common stock performance over a long-term period. No awards have been granted under this plan since 2000.</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Where can I find voting results for the Annual Meeting?</w:t>
      </w:r>
    </w:p>
    <w:p>
      <w:pPr>
        <w:spacing w:after="0" w:line="121" w:lineRule="exact"/>
        <w:rPr>
          <w:sz w:val="20"/>
          <w:szCs w:val="20"/>
          <w:color w:val="auto"/>
        </w:rPr>
      </w:pPr>
    </w:p>
    <w:p>
      <w:pPr>
        <w:ind w:left="980" w:right="160" w:firstLine="609"/>
        <w:spacing w:after="0" w:line="316"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our Quarterly Report on Form 10-Q filed with the Securities and Exchange Commission for the second quarter of fiscal year 2009.</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Where can I find out more information about Martin Marietta Materials?</w:t>
      </w:r>
    </w:p>
    <w:p>
      <w:pPr>
        <w:spacing w:after="0" w:line="121" w:lineRule="exact"/>
        <w:rPr>
          <w:sz w:val="20"/>
          <w:szCs w:val="20"/>
          <w:color w:val="auto"/>
        </w:rPr>
      </w:pPr>
    </w:p>
    <w:p>
      <w:pPr>
        <w:ind w:left="980" w:right="160" w:firstLine="609"/>
        <w:spacing w:after="0" w:line="243" w:lineRule="auto"/>
        <w:rPr>
          <w:sz w:val="20"/>
          <w:szCs w:val="20"/>
          <w:color w:val="auto"/>
        </w:rPr>
      </w:pPr>
      <w:r>
        <w:rPr>
          <w:rFonts w:ascii="Arial" w:cs="Arial" w:eastAsia="Arial" w:hAnsi="Arial"/>
          <w:sz w:val="20"/>
          <w:szCs w:val="20"/>
          <w:color w:val="auto"/>
        </w:rPr>
        <w:t xml:space="preserve">The Corporation maintains a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 xml:space="preserve"> where you can find additional information about the Corporation. Visitors to the website can view and print copies of the Corporation’s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are all available</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991235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00"/>
        <w:spacing w:after="0" w:line="246" w:lineRule="auto"/>
        <w:rPr>
          <w:sz w:val="20"/>
          <w:szCs w:val="20"/>
          <w:color w:val="auto"/>
        </w:rPr>
      </w:pPr>
      <w:r>
        <w:rPr>
          <w:rFonts w:ascii="Arial" w:cs="Arial" w:eastAsia="Arial" w:hAnsi="Arial"/>
          <w:sz w:val="20"/>
          <w:szCs w:val="20"/>
          <w:color w:val="auto"/>
        </w:rPr>
        <w:t xml:space="preserve">through the website. Alternatively, </w:t>
      </w:r>
      <w:r>
        <w:rPr>
          <w:rFonts w:ascii="Arial" w:cs="Arial" w:eastAsia="Arial" w:hAnsi="Arial"/>
          <w:sz w:val="20"/>
          <w:szCs w:val="20"/>
          <w:b w:val="1"/>
          <w:bCs w:val="1"/>
          <w:i w:val="1"/>
          <w:iCs w:val="1"/>
          <w:color w:val="auto"/>
        </w:rPr>
        <w:t>our shareholders and other interested parties may obtain, without charge, copies of all of</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these documents by writing to the Corporate Secretary, Martin Marietta Materials, Inc., 2710 Wycliff Road, Raleigh, NC 27607</w:t>
      </w:r>
      <w:r>
        <w:rPr>
          <w:rFonts w:ascii="Arial" w:cs="Arial" w:eastAsia="Arial" w:hAnsi="Arial"/>
          <w:sz w:val="20"/>
          <w:szCs w:val="20"/>
          <w:color w:val="auto"/>
        </w:rPr>
        <w:t>. Please note that the information contained on the Corporation’s website is not incorporated by reference in,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considered to be a part of, this document.</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is paying for this proxy statement?</w:t>
      </w:r>
    </w:p>
    <w:p>
      <w:pPr>
        <w:spacing w:after="0" w:line="12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LLC, 470 West Avenue, Stamford, CT 06902, a professional soliciting organization, to assist in obtaining in person or by proxy the largest number of shareholder votes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any other matters be presented at the annual meeting?</w:t>
      </w:r>
    </w:p>
    <w:p>
      <w:pPr>
        <w:spacing w:after="0" w:line="121" w:lineRule="exact"/>
        <w:rPr>
          <w:sz w:val="20"/>
          <w:szCs w:val="20"/>
          <w:color w:val="auto"/>
        </w:rPr>
      </w:pPr>
    </w:p>
    <w:p>
      <w:pPr>
        <w:ind w:left="980" w:right="160" w:firstLine="609"/>
        <w:spacing w:after="0" w:line="321"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249"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INCORPORATION BY REFERENCE</w:t>
      </w:r>
    </w:p>
    <w:p>
      <w:pPr>
        <w:spacing w:after="0" w:line="127" w:lineRule="exact"/>
        <w:rPr>
          <w:sz w:val="20"/>
          <w:szCs w:val="20"/>
          <w:color w:val="auto"/>
        </w:rPr>
      </w:pPr>
    </w:p>
    <w:p>
      <w:pPr>
        <w:ind w:left="980" w:right="160" w:firstLine="609"/>
        <w:spacing w:after="0" w:line="321" w:lineRule="auto"/>
        <w:rPr>
          <w:sz w:val="20"/>
          <w:szCs w:val="20"/>
          <w:color w:val="auto"/>
        </w:rPr>
      </w:pPr>
      <w:r>
        <w:rPr>
          <w:rFonts w:ascii="Arial" w:cs="Arial" w:eastAsia="Arial" w:hAnsi="Arial"/>
          <w:sz w:val="16"/>
          <w:szCs w:val="16"/>
          <w:color w:val="auto"/>
        </w:rPr>
        <w:t>The Audit Committee Report beginning on page 20 and the Management Development and Compensation Committee Report beginning on page 33 do not constitute soliciting material and should not be deemed filed or incorporated by reference into any other filing by the Corporation under the Securities Act of 1933 or the Securities Exchange Act of 1934, or subject to Regulation 14A or to the liabilities of Section 18 of the Exchange Act, except to the extent that the Corporation specifically requests that the information be treated as soliciting material or specifically incorporates such information by reference.</w:t>
      </w:r>
    </w:p>
    <w:p>
      <w:pPr>
        <w:spacing w:after="0" w:line="249"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SHAREHOLDERS’ PROPOSALS FOR 2010 ANNUAL MEETING</w:t>
      </w:r>
    </w:p>
    <w:p>
      <w:pPr>
        <w:spacing w:after="0" w:line="127" w:lineRule="exact"/>
        <w:rPr>
          <w:sz w:val="20"/>
          <w:szCs w:val="20"/>
          <w:color w:val="auto"/>
        </w:rPr>
      </w:pPr>
    </w:p>
    <w:p>
      <w:pPr>
        <w:ind w:left="980" w:right="160" w:firstLine="609"/>
        <w:spacing w:after="0" w:line="271" w:lineRule="auto"/>
        <w:rPr>
          <w:sz w:val="20"/>
          <w:szCs w:val="20"/>
          <w:color w:val="auto"/>
        </w:rPr>
      </w:pPr>
      <w:r>
        <w:rPr>
          <w:rFonts w:ascii="Arial" w:cs="Arial" w:eastAsia="Arial" w:hAnsi="Arial"/>
          <w:sz w:val="18"/>
          <w:szCs w:val="18"/>
          <w:color w:val="auto"/>
        </w:rPr>
        <w:t>Proposals by shareholders for nominations for Directors or other matters intended to be presented at the 2010 Annual Meeting of Shareholders of the Corporation must be received by the Secretary of the Corporation no later than December 19, 2009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w:t>
      </w:r>
    </w:p>
    <w:p>
      <w:pPr>
        <w:spacing w:after="0" w:line="18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74" w:lineRule="auto"/>
        <w:rPr>
          <w:sz w:val="20"/>
          <w:szCs w:val="20"/>
          <w:color w:val="auto"/>
        </w:rPr>
      </w:pPr>
      <w:r>
        <w:rPr>
          <w:rFonts w:ascii="Arial" w:cs="Arial" w:eastAsia="Arial" w:hAnsi="Arial"/>
          <w:sz w:val="18"/>
          <w:szCs w:val="18"/>
          <w:color w:val="auto"/>
        </w:rPr>
        <w:t>proposing such a matter. Accordingly, to be considered at the 2010 Annual Meeting of Shareholders, proposals must be received by the Secretary of the Corporation no earlier than January 20, 2010 and no later than February 19, 2010.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393"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April 21, 2009</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5356860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4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21"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GUIDELINES FOR POTENTIAL NEW BOARD MEMBERS</w:t>
      </w:r>
    </w:p>
    <w:p>
      <w:pPr>
        <w:spacing w:after="0" w:line="105" w:lineRule="exact"/>
        <w:rPr>
          <w:sz w:val="20"/>
          <w:szCs w:val="20"/>
          <w:color w:val="auto"/>
        </w:rPr>
      </w:pPr>
    </w:p>
    <w:p>
      <w:pPr>
        <w:ind w:left="980" w:right="40" w:firstLine="609"/>
        <w:spacing w:after="0" w:line="272" w:lineRule="auto"/>
        <w:rPr>
          <w:sz w:val="20"/>
          <w:szCs w:val="20"/>
          <w:color w:val="auto"/>
        </w:rPr>
      </w:pPr>
      <w:r>
        <w:rPr>
          <w:rFonts w:ascii="Arial" w:cs="Arial" w:eastAsia="Arial" w:hAnsi="Arial"/>
          <w:sz w:val="18"/>
          <w:szCs w:val="18"/>
          <w:i w:val="1"/>
          <w:iCs w:val="1"/>
          <w:u w:val="single" w:color="auto"/>
          <w:color w:val="auto"/>
        </w:rPr>
        <w:t>Preamble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guidelines are one of the tools used to assist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the exercise of its responsibility to evaluate the suitability of new potential candidates for the Board of Directors, consistent with any criteria set out in the Corporation’s Corporate Governance Guidelines</w:t>
      </w:r>
      <w:r>
        <w:rPr>
          <w:rFonts w:ascii="Arial" w:cs="Arial" w:eastAsia="Arial" w:hAnsi="Arial"/>
          <w:sz w:val="18"/>
          <w:szCs w:val="18"/>
          <w:i w:val="1"/>
          <w:iCs w:val="1"/>
          <w:color w:val="auto"/>
        </w:rPr>
        <w:t>. In evaluating a new 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77" w:lineRule="exact"/>
        <w:rPr>
          <w:sz w:val="20"/>
          <w:szCs w:val="20"/>
          <w:color w:val="auto"/>
        </w:rPr>
      </w:pPr>
    </w:p>
    <w:p>
      <w:pPr>
        <w:ind w:left="980" w:right="40" w:firstLine="701"/>
        <w:spacing w:after="0" w:line="260"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should have a long-term history of the highest integrity and should ascribe fully to the ethics program of the Corporation.</w:t>
      </w:r>
    </w:p>
    <w:p>
      <w:pPr>
        <w:spacing w:after="0" w:line="82" w:lineRule="exact"/>
        <w:rPr>
          <w:rFonts w:ascii="Arial" w:cs="Arial" w:eastAsia="Arial" w:hAnsi="Arial"/>
          <w:sz w:val="20"/>
          <w:szCs w:val="20"/>
          <w:color w:val="auto"/>
        </w:rPr>
      </w:pPr>
    </w:p>
    <w:p>
      <w:pPr>
        <w:ind w:left="980" w:right="160" w:firstLine="701"/>
        <w:spacing w:after="0" w:line="260"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should be experienced and seasoned but still active in their careers. Ideally they should have five years or more expected in their full-time career before normal retirement.</w:t>
      </w:r>
    </w:p>
    <w:p>
      <w:pPr>
        <w:spacing w:after="0" w:line="82" w:lineRule="exact"/>
        <w:rPr>
          <w:rFonts w:ascii="Arial" w:cs="Arial" w:eastAsia="Arial" w:hAnsi="Arial"/>
          <w:sz w:val="20"/>
          <w:szCs w:val="20"/>
          <w:color w:val="auto"/>
        </w:rPr>
      </w:pPr>
    </w:p>
    <w:p>
      <w:pPr>
        <w:ind w:left="980" w:firstLine="701"/>
        <w:spacing w:after="0" w:line="260"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Consideration should be given to matching the geographic base of the candidate with the geographic coverage of the Corporation.</w:t>
      </w:r>
    </w:p>
    <w:p>
      <w:pPr>
        <w:spacing w:after="0" w:line="82" w:lineRule="exact"/>
        <w:rPr>
          <w:rFonts w:ascii="Arial" w:cs="Arial" w:eastAsia="Arial" w:hAnsi="Arial"/>
          <w:sz w:val="20"/>
          <w:szCs w:val="20"/>
          <w:color w:val="auto"/>
        </w:rPr>
      </w:pPr>
    </w:p>
    <w:p>
      <w:pPr>
        <w:ind w:left="980" w:right="340" w:firstLine="701"/>
        <w:spacing w:after="0" w:line="260"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Consideration should be given to diversity on the Board, including candidates that have ethnic backgrounds that reflect the constituencies of the Corporation.</w:t>
      </w:r>
    </w:p>
    <w:p>
      <w:pPr>
        <w:spacing w:after="0" w:line="82" w:lineRule="exact"/>
        <w:rPr>
          <w:rFonts w:ascii="Arial" w:cs="Arial" w:eastAsia="Arial" w:hAnsi="Arial"/>
          <w:sz w:val="20"/>
          <w:szCs w:val="20"/>
          <w:color w:val="auto"/>
        </w:rPr>
      </w:pPr>
    </w:p>
    <w:p>
      <w:pPr>
        <w:ind w:left="980" w:right="200" w:firstLine="701"/>
        <w:spacing w:after="0" w:line="260"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Generally, candidates should not come from firms or companies that are significant sellers or buyers of goods and services to or from the Corporation.</w:t>
      </w:r>
    </w:p>
    <w:p>
      <w:pPr>
        <w:spacing w:after="0" w:line="82" w:lineRule="exact"/>
        <w:rPr>
          <w:rFonts w:ascii="Arial" w:cs="Arial" w:eastAsia="Arial" w:hAnsi="Arial"/>
          <w:sz w:val="20"/>
          <w:szCs w:val="20"/>
          <w:color w:val="auto"/>
        </w:rPr>
      </w:pPr>
    </w:p>
    <w:p>
      <w:pPr>
        <w:ind w:left="980" w:right="100" w:firstLine="701"/>
        <w:spacing w:after="0" w:line="342" w:lineRule="auto"/>
        <w:tabs>
          <w:tab w:leader="none" w:pos="18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w:t>
      </w:r>
    </w:p>
    <w:p>
      <w:pPr>
        <w:spacing w:after="0" w:line="23" w:lineRule="exact"/>
        <w:rPr>
          <w:rFonts w:ascii="Arial" w:cs="Arial" w:eastAsia="Arial" w:hAnsi="Arial"/>
          <w:sz w:val="16"/>
          <w:szCs w:val="16"/>
          <w:color w:val="auto"/>
        </w:rPr>
      </w:pPr>
    </w:p>
    <w:p>
      <w:pPr>
        <w:jc w:val="both"/>
        <w:ind w:left="980" w:right="140" w:firstLine="701"/>
        <w:spacing w:after="0" w:line="246"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96" w:lineRule="exact"/>
        <w:rPr>
          <w:rFonts w:ascii="Arial" w:cs="Arial" w:eastAsia="Arial" w:hAnsi="Arial"/>
          <w:sz w:val="20"/>
          <w:szCs w:val="20"/>
          <w:color w:val="auto"/>
        </w:rPr>
      </w:pPr>
    </w:p>
    <w:p>
      <w:pPr>
        <w:ind w:left="980" w:right="20" w:firstLine="701"/>
        <w:spacing w:after="0" w:line="246" w:lineRule="auto"/>
        <w:tabs>
          <w:tab w:leader="none" w:pos="188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96" w:lineRule="exact"/>
        <w:rPr>
          <w:rFonts w:ascii="Arial" w:cs="Arial" w:eastAsia="Arial" w:hAnsi="Arial"/>
          <w:sz w:val="20"/>
          <w:szCs w:val="20"/>
          <w:color w:val="auto"/>
        </w:rPr>
      </w:pPr>
    </w:p>
    <w:p>
      <w:pPr>
        <w:ind w:left="1880" w:hanging="199"/>
        <w:spacing w:after="0"/>
        <w:tabs>
          <w:tab w:leader="none" w:pos="18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Public company experience is highly desirable.</w:t>
      </w:r>
    </w:p>
    <w:p>
      <w:pPr>
        <w:spacing w:after="0" w:line="121" w:lineRule="exact"/>
        <w:rPr>
          <w:rFonts w:ascii="Arial" w:cs="Arial" w:eastAsia="Arial" w:hAnsi="Arial"/>
          <w:sz w:val="20"/>
          <w:szCs w:val="20"/>
          <w:color w:val="auto"/>
        </w:rPr>
      </w:pPr>
    </w:p>
    <w:p>
      <w:pPr>
        <w:ind w:left="980" w:right="340" w:firstLine="701"/>
        <w:spacing w:after="0" w:line="260" w:lineRule="auto"/>
        <w:tabs>
          <w:tab w:leader="none" w:pos="1988"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from education or nonprofit organizations will be considered where there is a specific priority need identified by the Board and where such a candidate can add value.</w:t>
      </w:r>
    </w:p>
    <w:p>
      <w:pPr>
        <w:spacing w:after="0" w:line="82" w:lineRule="exact"/>
        <w:rPr>
          <w:rFonts w:ascii="Arial" w:cs="Arial" w:eastAsia="Arial" w:hAnsi="Arial"/>
          <w:sz w:val="20"/>
          <w:szCs w:val="20"/>
          <w:color w:val="auto"/>
        </w:rPr>
      </w:pPr>
    </w:p>
    <w:p>
      <w:pPr>
        <w:ind w:left="980" w:right="720" w:firstLine="701"/>
        <w:spacing w:after="0" w:line="260" w:lineRule="auto"/>
        <w:tabs>
          <w:tab w:leader="none" w:pos="1981" w:val="left"/>
        </w:tabs>
        <w:numPr>
          <w:ilvl w:val="0"/>
          <w:numId w:val="35"/>
        </w:numPr>
        <w:rPr>
          <w:rFonts w:ascii="Arial" w:cs="Arial" w:eastAsia="Arial" w:hAnsi="Arial"/>
          <w:sz w:val="20"/>
          <w:szCs w:val="20"/>
          <w:color w:val="auto"/>
        </w:rPr>
      </w:pPr>
      <w:r>
        <w:rPr>
          <w:rFonts w:ascii="Arial" w:cs="Arial" w:eastAsia="Arial" w:hAnsi="Arial"/>
          <w:sz w:val="20"/>
          <w:szCs w:val="20"/>
          <w:color w:val="auto"/>
        </w:rPr>
        <w:t>Board candidates ideally would serve on no more than three for-profit boards inclusive of Martin Marietta Materials to assure adequate time to discharge the duties of a Board member.</w:t>
      </w:r>
    </w:p>
    <w:p>
      <w:pPr>
        <w:spacing w:after="0" w:line="186"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to be held May 27, 2009</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hereby appoints Stephen P. Zelnak, Jr.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27, 2009, and at any adjournment thereof.</w:t>
      </w:r>
    </w:p>
    <w:p>
      <w:pPr>
        <w:spacing w:after="0" w:line="53" w:lineRule="exact"/>
        <w:rPr>
          <w:sz w:val="20"/>
          <w:szCs w:val="20"/>
          <w:color w:val="auto"/>
        </w:rPr>
      </w:pPr>
    </w:p>
    <w:p>
      <w:pPr>
        <w:ind w:left="260" w:hanging="252"/>
        <w:spacing w:after="0" w:line="282" w:lineRule="auto"/>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r>
        <w:rPr>
          <w:rFonts w:ascii="Arial" w:cs="Arial" w:eastAsia="Arial" w:hAnsi="Arial"/>
          <w:sz w:val="18"/>
          <w:szCs w:val="18"/>
          <w:color w:val="auto"/>
        </w:rPr>
        <w:t>: Nominees are David G. Maffucci, William E. McDonald, Frank H. Menaker, Jr. and Richard A. Vinroot, for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Martin Marietta Materials, Inc. Proxy Statement dated April 21, 2009.</w:t>
      </w:r>
    </w:p>
    <w:p>
      <w:pPr>
        <w:spacing w:after="0" w:line="5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197485</wp:posOffset>
            </wp:positionV>
            <wp:extent cx="4707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4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WITHHOLD AUTHORITY</w:t>
      </w:r>
      <w:r>
        <w:rPr>
          <w:rFonts w:ascii="Arial" w:cs="Arial" w:eastAsia="Arial" w:hAnsi="Arial"/>
          <w:sz w:val="18"/>
          <w:szCs w:val="18"/>
          <w:color w:val="auto"/>
        </w:rPr>
        <w:t xml:space="preserve"> to vote for the listed nominees</w:t>
      </w:r>
    </w:p>
    <w:p>
      <w:pPr>
        <w:spacing w:after="0" w:line="117"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2. RATIFICATION OF SELECTION OF ERNST &amp; YOUNG LLP AS INDEPENDENT AUDITORS</w:t>
      </w:r>
    </w:p>
    <w:p>
      <w:pPr>
        <w:spacing w:after="0" w:line="117" w:lineRule="exact"/>
        <w:rPr>
          <w:sz w:val="20"/>
          <w:szCs w:val="20"/>
          <w:color w:val="auto"/>
        </w:rPr>
      </w:pPr>
    </w:p>
    <w:p>
      <w:pPr>
        <w:ind w:left="3980"/>
        <w:spacing w:after="0"/>
        <w:tabs>
          <w:tab w:leader="none" w:pos="5020" w:val="left"/>
          <w:tab w:leader="none" w:pos="650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7"/>
          <w:szCs w:val="17"/>
          <w:b w:val="1"/>
          <w:bCs w:val="1"/>
          <w:color w:val="auto"/>
        </w:rPr>
        <w:t>ABSTAIN</w:t>
      </w:r>
    </w:p>
    <w:p>
      <w:pPr>
        <w:spacing w:after="0" w:line="117" w:lineRule="exact"/>
        <w:rPr>
          <w:sz w:val="20"/>
          <w:szCs w:val="20"/>
          <w:color w:val="auto"/>
        </w:rPr>
      </w:pPr>
    </w:p>
    <w:p>
      <w:pPr>
        <w:ind w:left="260" w:hanging="252"/>
        <w:spacing w:after="0" w:line="282" w:lineRule="auto"/>
        <w:tabs>
          <w:tab w:leader="none" w:pos="2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proxy is solicited by the Board of Directors and when properly executed will be voted as specified herein and, unless otherwise directed, will be voted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all nominees as Directors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the ratification of selection of Ernst &amp; Young LLP as independent auditors.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21"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Please date and sign exactly as printed below</w:t>
      </w:r>
    </w:p>
    <w:p>
      <w:pPr>
        <w:spacing w:after="0" w:line="50"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and return promptly in the enclosed postage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paid envelope</w:t>
      </w:r>
    </w:p>
    <w:p>
      <w:pPr>
        <w:spacing w:after="0" w:line="21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Dated: ________________________,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426720</wp:posOffset>
            </wp:positionV>
            <wp:extent cx="22383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289560</wp:posOffset>
            </wp:positionV>
            <wp:extent cx="22383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900"/>
        <w:spacing w:after="0"/>
        <w:rPr>
          <w:sz w:val="20"/>
          <w:szCs w:val="20"/>
          <w:color w:val="auto"/>
        </w:rPr>
      </w:pPr>
      <w:r>
        <w:rPr>
          <w:rFonts w:ascii="Arial" w:cs="Arial" w:eastAsia="Arial" w:hAnsi="Arial"/>
          <w:sz w:val="18"/>
          <w:szCs w:val="18"/>
          <w:color w:val="auto"/>
        </w:rPr>
        <w:t>Signature if held jointly</w:t>
      </w:r>
    </w:p>
    <w:p>
      <w:pPr>
        <w:spacing w:after="0" w:line="221" w:lineRule="exact"/>
        <w:rPr>
          <w:sz w:val="20"/>
          <w:szCs w:val="20"/>
          <w:color w:val="auto"/>
        </w:rPr>
      </w:pPr>
    </w:p>
    <w:p>
      <w:pPr>
        <w:ind w:left="7900"/>
        <w:spacing w:after="0"/>
        <w:tabs>
          <w:tab w:leader="none" w:pos="8620" w:val="left"/>
          <w:tab w:leader="none" w:pos="9400" w:val="left"/>
          <w:tab w:leader="none" w:pos="9780" w:val="left"/>
          <w:tab w:leader="none" w:pos="10700" w:val="left"/>
        </w:tabs>
        <w:rPr>
          <w:sz w:val="20"/>
          <w:szCs w:val="20"/>
          <w:color w:val="auto"/>
        </w:rPr>
      </w:pPr>
      <w:r>
        <w:rPr>
          <w:rFonts w:ascii="Arial" w:cs="Arial" w:eastAsia="Arial" w:hAnsi="Arial"/>
          <w:sz w:val="18"/>
          <w:szCs w:val="18"/>
          <w:b w:val="1"/>
          <w:bCs w:val="1"/>
          <w:color w:val="auto"/>
        </w:rPr>
        <w:t>(When</w:t>
        <w:tab/>
        <w:t>signing</w:t>
        <w:tab/>
        <w:t>as</w:t>
        <w:tab/>
        <w:t>attorney,</w:t>
      </w:r>
      <w:r>
        <w:rPr>
          <w:sz w:val="20"/>
          <w:szCs w:val="20"/>
          <w:color w:val="auto"/>
        </w:rPr>
        <w:tab/>
      </w:r>
      <w:r>
        <w:rPr>
          <w:rFonts w:ascii="Arial" w:cs="Arial" w:eastAsia="Arial" w:hAnsi="Arial"/>
          <w:sz w:val="15"/>
          <w:szCs w:val="15"/>
          <w:b w:val="1"/>
          <w:bCs w:val="1"/>
          <w:color w:val="auto"/>
        </w:rPr>
        <w:t>executor,</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7"/>
          <w:szCs w:val="17"/>
          <w:b w:val="1"/>
          <w:bCs w:val="1"/>
          <w:color w:val="auto"/>
        </w:rPr>
        <w:t>administrator, trustee, guardian, etc., give</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title as such. If joint account, each joint</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owner should sign. If a corporation or a</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7"/>
          <w:szCs w:val="17"/>
          <w:b w:val="1"/>
          <w:bCs w:val="1"/>
          <w:color w:val="auto"/>
        </w:rPr>
        <w:t>partnership,  sign  full  corporate  name  or</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partnership name, as the case may be, by an</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authorized person.)</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o"/>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upperLetter"/>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6"/>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4"/>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7"/>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2019-12-10T12:24:04Z</dcterms:created>
  <dcterms:modified xsi:type="dcterms:W3CDTF">2019-12-10T12:24:04Z</dcterms:modified>
</cp:coreProperties>
</file>