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WASHINGTON, DC 2054</w:t>
      </w:r>
      <w:r>
        <w:rPr>
          <w:rFonts w:ascii="Arial" w:cs="Arial" w:eastAsia="Arial" w:hAnsi="Arial"/>
          <w:sz w:val="20"/>
          <w:szCs w:val="20"/>
          <w:b w:val="1"/>
          <w:bCs w:val="1"/>
          <w:color w:val="auto"/>
        </w:rPr>
        <w:t>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64" w:lineRule="exact"/>
        <w:rPr>
          <w:rFonts w:ascii="MS PGothic" w:cs="MS PGothic" w:eastAsia="MS PGothic" w:hAnsi="MS PGothic"/>
          <w:sz w:val="19"/>
          <w:szCs w:val="19"/>
          <w:color w:val="auto"/>
          <w:highlight w:val="black"/>
        </w:rPr>
      </w:pPr>
    </w:p>
    <w:p>
      <w:pPr>
        <w:ind w:left="3240"/>
        <w:spacing w:after="0"/>
        <w:rPr>
          <w:rFonts w:ascii="MS PGothic" w:cs="MS PGothic" w:eastAsia="MS PGothic" w:hAnsi="MS PGothic"/>
          <w:sz w:val="19"/>
          <w:szCs w:val="19"/>
          <w:color w:val="auto"/>
          <w:highlight w:val="black"/>
        </w:rPr>
      </w:pPr>
      <w:r>
        <w:rPr>
          <w:rFonts w:ascii="Arial" w:cs="Arial" w:eastAsia="Arial" w:hAnsi="Arial"/>
          <w:sz w:val="20"/>
          <w:szCs w:val="20"/>
          <w:b w:val="1"/>
          <w:bCs w:val="1"/>
          <w:color w:val="auto"/>
        </w:rPr>
        <w:t>For the quarterly period ended September 30, 2025</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9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088" w:right="339" w:bottom="1440" w:gutter="0" w:footer="0" w:header="0"/>
        </w:sectPr>
      </w:pPr>
    </w:p>
    <w:p>
      <w:pPr>
        <w:spacing w:after="0" w:line="84" w:lineRule="exact"/>
        <w:rPr>
          <w:sz w:val="24"/>
          <w:szCs w:val="24"/>
          <w:color w:val="auto"/>
        </w:rPr>
      </w:pPr>
    </w:p>
    <w:p>
      <w:pPr>
        <w:ind w:left="288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86" w:lineRule="exact"/>
        <w:rPr>
          <w:sz w:val="24"/>
          <w:szCs w:val="24"/>
          <w:color w:val="auto"/>
        </w:rPr>
      </w:pPr>
    </w:p>
    <w:p>
      <w:pPr>
        <w:sectPr>
          <w:pgSz w:w="11900" w:h="16838" w:orient="portrait"/>
          <w:cols w:equalWidth="0" w:num="2">
            <w:col w:w="7360" w:space="720"/>
            <w:col w:w="3160"/>
          </w:cols>
          <w:pgMar w:left="320" w:top="1088"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980" w:type="dxa"/>
            <w:vAlign w:val="bottom"/>
          </w:tcPr>
          <w:p>
            <w:pPr>
              <w:jc w:val="center"/>
              <w:ind w:right="1319"/>
              <w:spacing w:after="0"/>
              <w:rPr>
                <w:sz w:val="20"/>
                <w:szCs w:val="20"/>
                <w:color w:val="auto"/>
              </w:rPr>
            </w:pPr>
            <w:r>
              <w:rPr>
                <w:rFonts w:ascii="Arial" w:cs="Arial" w:eastAsia="Arial" w:hAnsi="Arial"/>
                <w:sz w:val="20"/>
                <w:szCs w:val="20"/>
                <w:b w:val="1"/>
                <w:bCs w:val="1"/>
                <w:color w:val="auto"/>
                <w:w w:val="99"/>
              </w:rPr>
              <w:t>North Carolina</w:t>
            </w:r>
          </w:p>
        </w:tc>
        <w:tc>
          <w:tcPr>
            <w:tcW w:w="3460" w:type="dxa"/>
            <w:vAlign w:val="bottom"/>
          </w:tcPr>
          <w:p>
            <w:pPr>
              <w:jc w:val="right"/>
              <w:ind w:right="419"/>
              <w:spacing w:after="0"/>
              <w:rPr>
                <w:sz w:val="20"/>
                <w:szCs w:val="20"/>
                <w:color w:val="auto"/>
              </w:rPr>
            </w:pPr>
            <w:r>
              <w:rPr>
                <w:rFonts w:ascii="Arial" w:cs="Arial" w:eastAsia="Arial" w:hAnsi="Arial"/>
                <w:sz w:val="20"/>
                <w:szCs w:val="20"/>
                <w:b w:val="1"/>
                <w:bCs w:val="1"/>
                <w:color w:val="auto"/>
              </w:rPr>
              <w:t>56-1848578</w:t>
            </w:r>
          </w:p>
        </w:tc>
      </w:tr>
      <w:tr>
        <w:trPr>
          <w:trHeight w:val="129"/>
        </w:trPr>
        <w:tc>
          <w:tcPr>
            <w:tcW w:w="4980" w:type="dxa"/>
            <w:vAlign w:val="bottom"/>
          </w:tcPr>
          <w:p>
            <w:pPr>
              <w:jc w:val="center"/>
              <w:ind w:right="1319"/>
              <w:spacing w:after="0" w:line="129" w:lineRule="exact"/>
              <w:rPr>
                <w:sz w:val="20"/>
                <w:szCs w:val="20"/>
                <w:color w:val="auto"/>
              </w:rPr>
            </w:pPr>
            <w:r>
              <w:rPr>
                <w:rFonts w:ascii="Arial" w:cs="Arial" w:eastAsia="Arial" w:hAnsi="Arial"/>
                <w:sz w:val="13"/>
                <w:szCs w:val="13"/>
                <w:b w:val="1"/>
                <w:bCs w:val="1"/>
                <w:color w:val="auto"/>
                <w:w w:val="97"/>
              </w:rPr>
              <w:t>(State or other jurisdiction of incorporation or organization)</w:t>
            </w:r>
          </w:p>
        </w:tc>
        <w:tc>
          <w:tcPr>
            <w:tcW w:w="3460" w:type="dxa"/>
            <w:vAlign w:val="bottom"/>
          </w:tcPr>
          <w:p>
            <w:pPr>
              <w:jc w:val="center"/>
              <w:ind w:left="1319"/>
              <w:spacing w:after="0" w:line="129" w:lineRule="exact"/>
              <w:rPr>
                <w:sz w:val="20"/>
                <w:szCs w:val="20"/>
                <w:color w:val="auto"/>
              </w:rPr>
            </w:pPr>
            <w:r>
              <w:rPr>
                <w:rFonts w:ascii="Arial" w:cs="Arial" w:eastAsia="Arial" w:hAnsi="Arial"/>
                <w:sz w:val="13"/>
                <w:szCs w:val="13"/>
                <w:b w:val="1"/>
                <w:bCs w:val="1"/>
                <w:color w:val="auto"/>
                <w:w w:val="96"/>
              </w:rPr>
              <w:t>(I.R.S. Employer Identification No.)</w:t>
            </w:r>
          </w:p>
        </w:tc>
      </w:tr>
      <w:tr>
        <w:trPr>
          <w:trHeight w:val="235"/>
        </w:trPr>
        <w:tc>
          <w:tcPr>
            <w:tcW w:w="4980" w:type="dxa"/>
            <w:vAlign w:val="bottom"/>
          </w:tcPr>
          <w:p>
            <w:pPr>
              <w:jc w:val="center"/>
              <w:ind w:right="1319"/>
              <w:spacing w:after="0"/>
              <w:rPr>
                <w:sz w:val="20"/>
                <w:szCs w:val="20"/>
                <w:color w:val="auto"/>
              </w:rPr>
            </w:pPr>
            <w:r>
              <w:rPr>
                <w:rFonts w:ascii="Arial" w:cs="Arial" w:eastAsia="Arial" w:hAnsi="Arial"/>
                <w:sz w:val="20"/>
                <w:szCs w:val="20"/>
                <w:b w:val="1"/>
                <w:bCs w:val="1"/>
                <w:color w:val="auto"/>
                <w:w w:val="98"/>
              </w:rPr>
              <w:t>4123 Parklake Avenue, Raleigh, NC</w:t>
            </w:r>
          </w:p>
        </w:tc>
        <w:tc>
          <w:tcPr>
            <w:tcW w:w="3460" w:type="dxa"/>
            <w:vAlign w:val="bottom"/>
          </w:tcPr>
          <w:p>
            <w:pPr>
              <w:jc w:val="right"/>
              <w:ind w:right="679"/>
              <w:spacing w:after="0"/>
              <w:rPr>
                <w:sz w:val="20"/>
                <w:szCs w:val="20"/>
                <w:color w:val="auto"/>
              </w:rPr>
            </w:pPr>
            <w:r>
              <w:rPr>
                <w:rFonts w:ascii="Arial" w:cs="Arial" w:eastAsia="Arial" w:hAnsi="Arial"/>
                <w:sz w:val="20"/>
                <w:szCs w:val="20"/>
                <w:b w:val="1"/>
                <w:bCs w:val="1"/>
                <w:color w:val="auto"/>
              </w:rPr>
              <w:t>27612</w:t>
            </w:r>
          </w:p>
        </w:tc>
      </w:tr>
      <w:tr>
        <w:trPr>
          <w:trHeight w:val="172"/>
        </w:trPr>
        <w:tc>
          <w:tcPr>
            <w:tcW w:w="4980" w:type="dxa"/>
            <w:vAlign w:val="bottom"/>
          </w:tcPr>
          <w:p>
            <w:pPr>
              <w:jc w:val="center"/>
              <w:ind w:right="1319"/>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460" w:type="dxa"/>
            <w:vAlign w:val="bottom"/>
          </w:tcPr>
          <w:p>
            <w:pPr>
              <w:jc w:val="center"/>
              <w:ind w:left="1319"/>
              <w:spacing w:after="0"/>
              <w:rPr>
                <w:sz w:val="20"/>
                <w:szCs w:val="20"/>
                <w:color w:val="auto"/>
              </w:rPr>
            </w:pPr>
            <w:r>
              <w:rPr>
                <w:rFonts w:ascii="Arial" w:cs="Arial" w:eastAsia="Arial" w:hAnsi="Arial"/>
                <w:sz w:val="13"/>
                <w:szCs w:val="13"/>
                <w:b w:val="1"/>
                <w:bCs w:val="1"/>
                <w:color w:val="auto"/>
                <w:w w:val="96"/>
              </w:rPr>
              <w:t>(Zip Code)</w:t>
            </w:r>
          </w:p>
        </w:tc>
      </w:tr>
    </w:tbl>
    <w:p>
      <w:pPr>
        <w:spacing w:after="0" w:line="38" w:lineRule="exact"/>
        <w:rPr>
          <w:sz w:val="24"/>
          <w:szCs w:val="24"/>
          <w:color w:val="auto"/>
        </w:rPr>
      </w:pPr>
    </w:p>
    <w:p>
      <w:pPr>
        <w:ind w:left="2440"/>
        <w:spacing w:after="0"/>
        <w:rPr>
          <w:sz w:val="20"/>
          <w:szCs w:val="20"/>
          <w:color w:val="auto"/>
        </w:rPr>
      </w:pPr>
      <w:r>
        <w:rPr>
          <w:rFonts w:ascii="Arial" w:cs="Arial" w:eastAsia="Arial" w:hAnsi="Arial"/>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jc w:val="center"/>
              <w:spacing w:after="0"/>
              <w:rPr>
                <w:sz w:val="20"/>
                <w:szCs w:val="20"/>
                <w:color w:val="auto"/>
              </w:rPr>
            </w:pPr>
            <w:r>
              <w:rPr>
                <w:rFonts w:ascii="Arial" w:cs="Arial" w:eastAsia="Arial" w:hAnsi="Arial"/>
                <w:sz w:val="16"/>
                <w:szCs w:val="16"/>
                <w:color w:val="auto"/>
              </w:rPr>
              <w:t>Common Stock (Par Value $0.01)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MLM</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The New York Stock Exchange</w:t>
            </w:r>
          </w:p>
        </w:tc>
      </w:tr>
    </w:tbl>
    <w:p>
      <w:pPr>
        <w:spacing w:after="0" w:line="68"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33" w:lineRule="exact"/>
        <w:rPr>
          <w:sz w:val="24"/>
          <w:szCs w:val="24"/>
          <w:color w:val="auto"/>
        </w:rPr>
      </w:pPr>
    </w:p>
    <w:p>
      <w:pPr>
        <w:ind w:right="2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7"/>
                <w:szCs w:val="17"/>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as of October 31, 2025</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8"/>
                <w:szCs w:val="18"/>
                <w:color w:val="auto"/>
              </w:rPr>
            </w:pPr>
          </w:p>
        </w:tc>
        <w:tc>
          <w:tcPr>
            <w:tcW w:w="5500" w:type="dxa"/>
            <w:vAlign w:val="bottom"/>
          </w:tcPr>
          <w:p>
            <w:pPr>
              <w:jc w:val="right"/>
              <w:ind w:right="2264"/>
              <w:spacing w:after="0"/>
              <w:rPr>
                <w:sz w:val="20"/>
                <w:szCs w:val="20"/>
                <w:color w:val="auto"/>
              </w:rPr>
            </w:pPr>
            <w:r>
              <w:rPr>
                <w:rFonts w:ascii="Arial" w:cs="Arial" w:eastAsia="Arial" w:hAnsi="Arial"/>
                <w:sz w:val="16"/>
                <w:szCs w:val="16"/>
                <w:color w:val="auto"/>
              </w:rPr>
              <w:t>60,307,143</w:t>
            </w:r>
          </w:p>
        </w:tc>
      </w:tr>
      <w:tr>
        <w:trPr>
          <w:trHeight w:val="131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580" w:type="dxa"/>
            <w:vAlign w:val="bottom"/>
            <w:gridSpan w:val="10"/>
          </w:tcPr>
          <w:p>
            <w:pPr>
              <w:ind w:left="620"/>
              <w:spacing w:after="0"/>
              <w:rPr>
                <w:sz w:val="20"/>
                <w:szCs w:val="20"/>
                <w:color w:val="auto"/>
              </w:rPr>
            </w:pPr>
            <w:r>
              <w:rPr>
                <w:rFonts w:ascii="Arial" w:cs="Arial" w:eastAsia="Arial" w:hAnsi="Arial"/>
                <w:sz w:val="20"/>
                <w:szCs w:val="20"/>
                <w:color w:val="auto"/>
              </w:rPr>
              <w:t>For the Quarter Ended September 30, 2025</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0680" w:type="dxa"/>
            <w:vAlign w:val="bottom"/>
            <w:gridSpan w:val="23"/>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33"/>
        </w:trPr>
        <w:tc>
          <w:tcPr>
            <w:tcW w:w="10680" w:type="dxa"/>
            <w:vAlign w:val="bottom"/>
            <w:gridSpan w:val="23"/>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60" w:type="dxa"/>
            <w:vAlign w:val="bottom"/>
          </w:tcPr>
          <w:p>
            <w:pPr>
              <w:spacing w:after="0"/>
              <w:rPr>
                <w:sz w:val="24"/>
                <w:szCs w:val="24"/>
                <w:color w:val="auto"/>
              </w:rPr>
            </w:pPr>
          </w:p>
        </w:tc>
        <w:tc>
          <w:tcPr>
            <w:tcW w:w="250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97"/>
              </w:rPr>
              <w:t>Item 1. Financial Statements</w:t>
            </w:r>
          </w:p>
        </w:tc>
        <w:tc>
          <w:tcPr>
            <w:tcW w:w="20" w:type="dxa"/>
            <w:vAlign w:val="bottom"/>
            <w:tcBorders>
              <w:bottom w:val="single" w:sz="8" w:color="0000EE"/>
            </w:tcBorders>
          </w:tcPr>
          <w:p>
            <w:pPr>
              <w:spacing w:after="0"/>
              <w:rPr>
                <w:sz w:val="24"/>
                <w:szCs w:val="24"/>
                <w:color w:val="auto"/>
              </w:rPr>
            </w:pPr>
          </w:p>
        </w:tc>
        <w:tc>
          <w:tcPr>
            <w:tcW w:w="79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1"/>
          </w:tcPr>
          <w:p>
            <w:pPr>
              <w:spacing w:after="0"/>
              <w:rPr>
                <w:sz w:val="20"/>
                <w:szCs w:val="20"/>
                <w:color w:val="auto"/>
              </w:rPr>
            </w:pPr>
            <w:r>
              <w:rPr>
                <w:rFonts w:ascii="Arial" w:cs="Arial" w:eastAsia="Arial" w:hAnsi="Arial"/>
                <w:sz w:val="20"/>
                <w:szCs w:val="20"/>
                <w:color w:val="0000FF"/>
              </w:rPr>
              <w:t>Consolidated Balance Sheets – September 30, 2025 and December 31, 2024</w:t>
            </w: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1"/>
          </w:tcPr>
          <w:p>
            <w:pPr>
              <w:spacing w:after="0"/>
              <w:rPr>
                <w:sz w:val="20"/>
                <w:szCs w:val="20"/>
                <w:color w:val="auto"/>
              </w:rPr>
            </w:pPr>
            <w:r>
              <w:rPr>
                <w:rFonts w:ascii="Arial" w:cs="Arial" w:eastAsia="Arial" w:hAnsi="Arial"/>
                <w:sz w:val="20"/>
                <w:szCs w:val="20"/>
                <w:color w:val="0000FF"/>
              </w:rPr>
              <w:t>Consolidated Statements of Earnings and Comprehensive Earnings – Three and Nine Months Ended September</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966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20"/>
                <w:szCs w:val="20"/>
                <w:color w:val="0000FF"/>
              </w:rPr>
              <w:t>30, 2025 and 2024</w:t>
            </w:r>
          </w:p>
        </w:tc>
        <w:tc>
          <w:tcPr>
            <w:tcW w:w="2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60" w:type="dxa"/>
            <w:vAlign w:val="bottom"/>
            <w:tcBorders>
              <w:bottom w:val="single" w:sz="8" w:color="0000EE"/>
            </w:tcBorders>
            <w:gridSpan w:val="18"/>
          </w:tcPr>
          <w:p>
            <w:pPr>
              <w:spacing w:after="0"/>
              <w:rPr>
                <w:sz w:val="20"/>
                <w:szCs w:val="20"/>
                <w:color w:val="auto"/>
              </w:rPr>
            </w:pPr>
            <w:r>
              <w:rPr>
                <w:rFonts w:ascii="Arial" w:cs="Arial" w:eastAsia="Arial" w:hAnsi="Arial"/>
                <w:sz w:val="20"/>
                <w:szCs w:val="20"/>
                <w:color w:val="0000FF"/>
                <w:w w:val="99"/>
              </w:rPr>
              <w:t>Consolidated Statements of Cash Flows – Nine Months Ended September 30, 2025 and 2024</w:t>
            </w:r>
          </w:p>
        </w:tc>
        <w:tc>
          <w:tcPr>
            <w:tcW w:w="19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tcBorders>
              <w:bottom w:val="single" w:sz="8" w:color="0000FF"/>
            </w:tcBorders>
            <w:gridSpan w:val="19"/>
          </w:tcPr>
          <w:p>
            <w:pPr>
              <w:spacing w:after="0"/>
              <w:rPr>
                <w:sz w:val="20"/>
                <w:szCs w:val="20"/>
                <w:color w:val="auto"/>
              </w:rPr>
            </w:pPr>
            <w:r>
              <w:rPr>
                <w:rFonts w:ascii="Arial" w:cs="Arial" w:eastAsia="Arial" w:hAnsi="Arial"/>
                <w:sz w:val="20"/>
                <w:szCs w:val="20"/>
                <w:color w:val="0000FF"/>
                <w:w w:val="98"/>
              </w:rPr>
              <w:t>Consolidated Statements of Total Equity – Three and Nine Months Ended September 30, 2025 and 2024</w:t>
            </w:r>
          </w:p>
        </w:tc>
        <w:tc>
          <w:tcPr>
            <w:tcW w:w="10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98"/>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63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8440" w:type="dxa"/>
            <w:vAlign w:val="bottom"/>
            <w:tcBorders>
              <w:bottom w:val="single" w:sz="8" w:color="0000FF"/>
            </w:tcBorders>
            <w:gridSpan w:val="18"/>
          </w:tcPr>
          <w:p>
            <w:pPr>
              <w:spacing w:after="0"/>
              <w:rPr>
                <w:sz w:val="20"/>
                <w:szCs w:val="20"/>
                <w:color w:val="auto"/>
              </w:rPr>
            </w:pPr>
            <w:r>
              <w:rPr>
                <w:rFonts w:ascii="Arial" w:cs="Arial" w:eastAsia="Arial" w:hAnsi="Arial"/>
                <w:sz w:val="20"/>
                <w:szCs w:val="20"/>
                <w:color w:val="0000FF"/>
                <w:w w:val="98"/>
              </w:rPr>
              <w:t>Item 2. Management’s Discussion and Analysis of Financial Condition and Results of Operations</w:t>
            </w:r>
          </w:p>
        </w:tc>
        <w:tc>
          <w:tcPr>
            <w:tcW w:w="19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584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color w:val="0000FF"/>
                <w:w w:val="98"/>
              </w:rPr>
              <w:t>Item 3. Quantitative and Qualitative Disclosures About Market Risk</w:t>
            </w:r>
          </w:p>
        </w:tc>
        <w:tc>
          <w:tcPr>
            <w:tcW w:w="45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284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97"/>
              </w:rPr>
              <w:t>Item 4. Controls and Procedures</w:t>
            </w:r>
          </w:p>
        </w:tc>
        <w:tc>
          <w:tcPr>
            <w:tcW w:w="758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368"/>
        </w:trPr>
        <w:tc>
          <w:tcPr>
            <w:tcW w:w="10680" w:type="dxa"/>
            <w:vAlign w:val="bottom"/>
            <w:gridSpan w:val="23"/>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0" w:type="dxa"/>
            <w:vAlign w:val="bottom"/>
          </w:tcPr>
          <w:p>
            <w:pPr>
              <w:spacing w:after="0"/>
              <w:rPr>
                <w:sz w:val="24"/>
                <w:szCs w:val="24"/>
                <w:color w:val="auto"/>
              </w:rPr>
            </w:pPr>
          </w:p>
        </w:tc>
        <w:tc>
          <w:tcPr>
            <w:tcW w:w="10420" w:type="dxa"/>
            <w:vAlign w:val="bottom"/>
            <w:gridSpan w:val="22"/>
          </w:tcPr>
          <w:p>
            <w:pPr>
              <w:spacing w:after="0"/>
              <w:rPr>
                <w:sz w:val="20"/>
                <w:szCs w:val="20"/>
                <w:color w:val="auto"/>
              </w:rPr>
            </w:pPr>
            <w:r>
              <w:rPr>
                <w:rFonts w:ascii="Arial" w:cs="Arial" w:eastAsia="Arial" w:hAnsi="Arial"/>
                <w:sz w:val="20"/>
                <w:szCs w:val="20"/>
                <w:color w:val="0000FF"/>
              </w:rPr>
              <w:t>Item 1. Legal Proceedings</w:t>
            </w: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Item 1A. Risk Factors</w:t>
            </w:r>
          </w:p>
        </w:tc>
        <w:tc>
          <w:tcPr>
            <w:tcW w:w="81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420" w:type="dxa"/>
            <w:vAlign w:val="bottom"/>
            <w:gridSpan w:val="22"/>
          </w:tcPr>
          <w:p>
            <w:pPr>
              <w:spacing w:after="0"/>
              <w:rPr>
                <w:sz w:val="20"/>
                <w:szCs w:val="20"/>
                <w:color w:val="auto"/>
              </w:rPr>
            </w:pPr>
            <w:r>
              <w:rPr>
                <w:rFonts w:ascii="Arial" w:cs="Arial" w:eastAsia="Arial" w:hAnsi="Arial"/>
                <w:sz w:val="20"/>
                <w:szCs w:val="20"/>
                <w:color w:val="0000FF"/>
              </w:rPr>
              <w:t>Item 2. 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98"/>
              </w:rPr>
              <w:t>Item 4. Mine Safety Disclosures</w:t>
            </w:r>
          </w:p>
        </w:tc>
        <w:tc>
          <w:tcPr>
            <w:tcW w:w="3200" w:type="dxa"/>
            <w:vAlign w:val="bottom"/>
            <w:tcBorders>
              <w:top w:val="single" w:sz="8" w:color="0000FF"/>
            </w:tcBorders>
            <w:gridSpan w:val="5"/>
          </w:tcPr>
          <w:p>
            <w:pPr>
              <w:spacing w:after="0"/>
              <w:rPr>
                <w:sz w:val="24"/>
                <w:szCs w:val="24"/>
                <w:color w:val="auto"/>
              </w:rPr>
            </w:pPr>
          </w:p>
        </w:tc>
        <w:tc>
          <w:tcPr>
            <w:tcW w:w="44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8"/>
              </w:rPr>
              <w:t>Item 5. Other Information</w:t>
            </w:r>
          </w:p>
        </w:tc>
        <w:tc>
          <w:tcPr>
            <w:tcW w:w="82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0420" w:type="dxa"/>
            <w:vAlign w:val="bottom"/>
            <w:gridSpan w:val="22"/>
          </w:tcPr>
          <w:p>
            <w:pPr>
              <w:spacing w:after="0"/>
              <w:rPr>
                <w:sz w:val="20"/>
                <w:szCs w:val="20"/>
                <w:color w:val="auto"/>
              </w:rPr>
            </w:pPr>
            <w:r>
              <w:rPr>
                <w:rFonts w:ascii="Arial" w:cs="Arial" w:eastAsia="Arial" w:hAnsi="Arial"/>
                <w:sz w:val="20"/>
                <w:szCs w:val="20"/>
                <w:color w:val="0000FF"/>
              </w:rPr>
              <w:t>Item 6. Exhibits</w:t>
            </w:r>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8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80" w:type="dxa"/>
            <w:vAlign w:val="bottom"/>
            <w:gridSpan w:val="23"/>
          </w:tcPr>
          <w:p>
            <w:pPr>
              <w:spacing w:after="0"/>
              <w:rPr>
                <w:sz w:val="20"/>
                <w:szCs w:val="20"/>
                <w:color w:val="auto"/>
              </w:rPr>
            </w:pPr>
            <w:r>
              <w:rPr>
                <w:rFonts w:ascii="Arial" w:cs="Arial" w:eastAsia="Arial" w:hAnsi="Arial"/>
                <w:sz w:val="20"/>
                <w:szCs w:val="20"/>
                <w:color w:val="0000FF"/>
              </w:rPr>
              <w:t>Signatures</w:t>
            </w: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
        </w:trPr>
        <w:tc>
          <w:tcPr>
            <w:tcW w:w="2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0"/>
          <w:szCs w:val="20"/>
          <w:color w:val="auto"/>
        </w:rPr>
        <w:t>PART I.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jc w:val="center"/>
        <w:ind w:right="-219"/>
        <w:spacing w:after="0" w:line="234" w:lineRule="auto"/>
        <w:rPr>
          <w:sz w:val="20"/>
          <w:szCs w:val="20"/>
          <w:color w:val="auto"/>
        </w:rPr>
      </w:pPr>
      <w:r>
        <w:rPr>
          <w:rFonts w:ascii="Arial" w:cs="Arial" w:eastAsia="Arial" w:hAnsi="Arial"/>
          <w:sz w:val="18"/>
          <w:szCs w:val="18"/>
          <w:color w:val="auto"/>
        </w:rPr>
        <w:t>MARTIN MARIETTA MATERIALS, INC. AND CONSOLIDATED SUBSIDIARIES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 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gridSpan w:val="6"/>
          </w:tcPr>
          <w:p>
            <w:pPr>
              <w:jc w:val="right"/>
              <w:ind w:right="460"/>
              <w:spacing w:after="0" w:line="155" w:lineRule="exact"/>
              <w:rPr>
                <w:sz w:val="20"/>
                <w:szCs w:val="20"/>
                <w:color w:val="auto"/>
              </w:rPr>
            </w:pPr>
            <w:r>
              <w:rPr>
                <w:rFonts w:ascii="Arial" w:cs="Arial" w:eastAsia="Arial" w:hAnsi="Arial"/>
                <w:sz w:val="14"/>
                <w:szCs w:val="14"/>
                <w:i w:val="1"/>
                <w:iCs w:val="1"/>
                <w:color w:val="auto"/>
              </w:rPr>
              <w:t>(In Millions, Except Share and Par Value Data)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Restricted cash</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 net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Inventories, net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Current assets held for sale</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Property, plant and equipment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Allowances for depreciation, depletion and 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(4,916)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(4,977)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property, plant and equipment</w:t>
            </w:r>
          </w:p>
        </w:tc>
        <w:tc>
          <w:tcPr>
            <w:tcW w:w="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10,064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10,109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Other intangibles, net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Pr>
          <w:p>
            <w:pPr>
              <w:ind w:left="100"/>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LIABILITIES AND EQUITY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Accounts payable</w:t>
            </w:r>
          </w:p>
        </w:tc>
        <w:tc>
          <w:tcPr>
            <w:tcW w:w="200" w:type="dxa"/>
            <w:vAlign w:val="bottom"/>
            <w:gridSpan w:val="2"/>
          </w:tcPr>
          <w:p>
            <w:pPr>
              <w:jc w:val="right"/>
              <w:ind w:right="69"/>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349</w:t>
            </w:r>
          </w:p>
        </w:tc>
        <w:tc>
          <w:tcPr>
            <w:tcW w:w="160" w:type="dxa"/>
            <w:vAlign w:val="bottom"/>
          </w:tcPr>
          <w:p>
            <w:pPr>
              <w:spacing w:after="0"/>
              <w:rPr>
                <w:sz w:val="14"/>
                <w:szCs w:val="14"/>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Accrued salaries, benefits and payroll taxes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Accrued income taxes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Accrued other taxes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Accrued interest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Current maturities of long-term debt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Current operating lease liabilities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 held for sale</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Accrued investments in limited liability companies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Pr>
          <w:p>
            <w:pPr>
              <w:ind w:left="10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1,154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Long-term debt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 net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Noncurrent asset retirement obligations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Other noncurrent liabilities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8,915</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8,714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contingent liabilities - Note 9</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Equity:</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0" w:type="dxa"/>
            <w:vAlign w:val="bottom"/>
          </w:tcPr>
          <w:p>
            <w:pPr>
              <w:spacing w:after="0" w:line="153" w:lineRule="exact"/>
              <w:rPr>
                <w:sz w:val="20"/>
                <w:szCs w:val="20"/>
                <w:color w:val="auto"/>
              </w:rPr>
            </w:pPr>
            <w:r>
              <w:rPr>
                <w:rFonts w:ascii="Arial" w:cs="Arial" w:eastAsia="Arial" w:hAnsi="Arial"/>
                <w:sz w:val="14"/>
                <w:szCs w:val="14"/>
                <w:color w:val="auto"/>
              </w:rPr>
              <w:t>Common stock, par value $0.01 per share (60,307,143 shares and 61,126,646 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ind w:left="100"/>
              <w:spacing w:after="0"/>
              <w:rPr>
                <w:sz w:val="20"/>
                <w:szCs w:val="20"/>
                <w:color w:val="auto"/>
              </w:rPr>
            </w:pPr>
            <w:r>
              <w:rPr>
                <w:rFonts w:ascii="Arial" w:cs="Arial" w:eastAsia="Arial" w:hAnsi="Arial"/>
                <w:sz w:val="14"/>
                <w:szCs w:val="14"/>
                <w:color w:val="auto"/>
              </w:rPr>
              <w:t>outstanding at September 30, 2025 and December 31, 2024, respectively)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Preferred stock, par value $0.01 per share</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loss</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Shareholders' Equity</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9,735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Equity</w:t>
            </w: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9,738</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9,456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0" w:type="dxa"/>
            <w:vAlign w:val="bottom"/>
          </w:tcPr>
          <w:p>
            <w:pPr>
              <w:ind w:left="100"/>
              <w:spacing w:after="0" w:line="155" w:lineRule="exact"/>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gridSpan w:val="2"/>
          </w:tcPr>
          <w:p>
            <w:pPr>
              <w:jc w:val="right"/>
              <w:ind w:right="69"/>
              <w:spacing w:after="0" w:line="142"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-4653915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-4653915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-3813810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-3813810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-2339340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-2339340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-1499870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-1499870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-136525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-136525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25"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4"/>
          </w:tcPr>
          <w:p>
            <w:pPr>
              <w:jc w:val="center"/>
              <w:ind w:left="135"/>
              <w:spacing w:after="0"/>
              <w:rPr>
                <w:sz w:val="20"/>
                <w:szCs w:val="20"/>
                <w:color w:val="auto"/>
              </w:rPr>
            </w:pPr>
            <w:r>
              <w:rPr>
                <w:rFonts w:ascii="Arial" w:cs="Arial" w:eastAsia="Arial" w:hAnsi="Arial"/>
                <w:sz w:val="17"/>
                <w:szCs w:val="17"/>
                <w:color w:val="auto"/>
              </w:rPr>
              <w:t>Three Months Ended</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center"/>
              <w:ind w:left="135"/>
              <w:spacing w:after="0"/>
              <w:rPr>
                <w:sz w:val="20"/>
                <w:szCs w:val="20"/>
                <w:color w:val="auto"/>
              </w:rPr>
            </w:pPr>
            <w:r>
              <w:rPr>
                <w:rFonts w:ascii="Arial" w:cs="Arial" w:eastAsia="Arial" w:hAnsi="Arial"/>
                <w:sz w:val="17"/>
                <w:szCs w:val="17"/>
                <w:color w:val="auto"/>
              </w:rPr>
              <w:t>September 30,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7"/>
                <w:szCs w:val="17"/>
                <w:color w:val="auto"/>
              </w:rPr>
              <w:t>September 30,</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2025</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355"/>
              <w:spacing w:after="0" w:line="183" w:lineRule="exact"/>
              <w:rPr>
                <w:sz w:val="20"/>
                <w:szCs w:val="20"/>
                <w:color w:val="auto"/>
              </w:rPr>
            </w:pPr>
            <w:r>
              <w:rPr>
                <w:rFonts w:ascii="Arial" w:cs="Arial" w:eastAsia="Arial" w:hAnsi="Arial"/>
                <w:sz w:val="17"/>
                <w:szCs w:val="17"/>
                <w:color w:val="auto"/>
              </w:rPr>
              <w:t>2024</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rPr>
              <w:t>2025</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6"/>
          </w:tcPr>
          <w:p>
            <w:pPr>
              <w:spacing w:after="0" w:line="160" w:lineRule="exact"/>
              <w:rPr>
                <w:sz w:val="20"/>
                <w:szCs w:val="20"/>
                <w:color w:val="auto"/>
              </w:rPr>
            </w:pPr>
            <w:r>
              <w:rPr>
                <w:rFonts w:ascii="Arial" w:cs="Arial" w:eastAsia="Arial" w:hAnsi="Arial"/>
                <w:sz w:val="17"/>
                <w:szCs w:val="17"/>
                <w:i w:val="1"/>
                <w:iCs w:val="1"/>
                <w:color w:val="auto"/>
              </w:rPr>
              <w:t>(In Millions, Except Per Share Data)</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Arial" w:cs="Arial" w:eastAsia="Arial" w:hAnsi="Arial"/>
                <w:sz w:val="17"/>
                <w:szCs w:val="17"/>
                <w:color w:val="auto"/>
              </w:rPr>
              <w:t>Revenues</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1,846</w:t>
            </w:r>
          </w:p>
        </w:tc>
        <w:tc>
          <w:tcPr>
            <w:tcW w:w="1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1,642</w:t>
            </w:r>
          </w:p>
        </w:tc>
        <w:tc>
          <w:tcPr>
            <w:tcW w:w="2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4,617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Cost of revenues</w:t>
            </w:r>
          </w:p>
        </w:tc>
        <w:tc>
          <w:tcPr>
            <w:tcW w:w="4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1,235</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1,129</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3,195</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3,039</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Gross Profit</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611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513</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1,422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1,211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340</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328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Acquisition, divestiture and integration expenses</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 operating (income) expense, net</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183"/>
        </w:trPr>
        <w:tc>
          <w:tcPr>
            <w:tcW w:w="5040" w:type="dxa"/>
            <w:vAlign w:val="bottom"/>
            <w:tcBorders>
              <w:top w:val="single" w:sz="8" w:color="CFF0FC"/>
            </w:tcBorders>
          </w:tcPr>
          <w:p>
            <w:pPr>
              <w:ind w:left="60"/>
              <w:spacing w:after="0" w:line="183" w:lineRule="exact"/>
              <w:rPr>
                <w:sz w:val="20"/>
                <w:szCs w:val="20"/>
                <w:color w:val="auto"/>
              </w:rPr>
            </w:pPr>
            <w:r>
              <w:rPr>
                <w:rFonts w:ascii="Arial" w:cs="Arial" w:eastAsia="Arial" w:hAnsi="Arial"/>
                <w:sz w:val="17"/>
                <w:szCs w:val="17"/>
                <w:color w:val="auto"/>
              </w:rPr>
              <w:t>Earnings from Operations</w:t>
            </w:r>
          </w:p>
        </w:tc>
        <w:tc>
          <w:tcPr>
            <w:tcW w:w="4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505</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406</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1,096</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2,140</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 nonoperating income, net</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0"/>
        </w:trPr>
        <w:tc>
          <w:tcPr>
            <w:tcW w:w="5040" w:type="dxa"/>
            <w:vAlign w:val="bottom"/>
            <w:tcBorders>
              <w:top w:val="single" w:sz="8" w:color="CFF0FC"/>
            </w:tcBorders>
          </w:tcPr>
          <w:p>
            <w:pPr>
              <w:ind w:left="60"/>
              <w:spacing w:after="0" w:line="160" w:lineRule="exact"/>
              <w:rPr>
                <w:sz w:val="20"/>
                <w:szCs w:val="20"/>
                <w:color w:val="auto"/>
              </w:rPr>
            </w:pPr>
            <w:r>
              <w:rPr>
                <w:rFonts w:ascii="Arial" w:cs="Arial" w:eastAsia="Arial" w:hAnsi="Arial"/>
                <w:sz w:val="17"/>
                <w:szCs w:val="17"/>
                <w:color w:val="auto"/>
              </w:rPr>
              <w:t>Earnings from continuing operations before income tax</w:t>
            </w:r>
          </w:p>
        </w:tc>
        <w:tc>
          <w:tcPr>
            <w:tcW w:w="4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200"/>
              <w:spacing w:after="0"/>
              <w:rPr>
                <w:sz w:val="20"/>
                <w:szCs w:val="20"/>
                <w:color w:val="auto"/>
              </w:rPr>
            </w:pPr>
            <w:r>
              <w:rPr>
                <w:rFonts w:ascii="Arial" w:cs="Arial" w:eastAsia="Arial" w:hAnsi="Arial"/>
                <w:sz w:val="17"/>
                <w:szCs w:val="17"/>
                <w:color w:val="auto"/>
              </w:rPr>
              <w:t>expense</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Income tax expense</w:t>
            </w:r>
          </w:p>
        </w:tc>
        <w:tc>
          <w:tcPr>
            <w:tcW w:w="4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89</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77</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190</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504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Pr>
          <w:p>
            <w:pPr>
              <w:ind w:left="100"/>
              <w:spacing w:after="0" w:line="183" w:lineRule="exact"/>
              <w:rPr>
                <w:sz w:val="20"/>
                <w:szCs w:val="20"/>
                <w:color w:val="auto"/>
              </w:rPr>
            </w:pPr>
            <w:r>
              <w:rPr>
                <w:rFonts w:ascii="Arial" w:cs="Arial" w:eastAsia="Arial" w:hAnsi="Arial"/>
                <w:sz w:val="17"/>
                <w:szCs w:val="17"/>
                <w:color w:val="auto"/>
              </w:rPr>
              <w:t>Earnings from continuing operations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361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297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757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1,569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FF0FC"/>
          </w:tcPr>
          <w:p>
            <w:pPr>
              <w:spacing w:after="0" w:line="167" w:lineRule="exact"/>
              <w:rPr>
                <w:sz w:val="20"/>
                <w:szCs w:val="20"/>
                <w:color w:val="auto"/>
              </w:rPr>
            </w:pPr>
            <w:r>
              <w:rPr>
                <w:rFonts w:ascii="Arial" w:cs="Arial" w:eastAsia="Arial" w:hAnsi="Arial"/>
                <w:sz w:val="17"/>
                <w:szCs w:val="17"/>
                <w:color w:val="auto"/>
              </w:rPr>
              <w:t>Earnings from discontinued operations, net of income tax</w:t>
            </w: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7"/>
                <w:szCs w:val="17"/>
                <w:color w:val="auto"/>
              </w:rPr>
              <w:t>expense</w:t>
            </w:r>
          </w:p>
        </w:tc>
        <w:tc>
          <w:tcPr>
            <w:tcW w:w="4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line="183" w:lineRule="exact"/>
              <w:rPr>
                <w:sz w:val="20"/>
                <w:szCs w:val="20"/>
                <w:color w:val="auto"/>
              </w:rPr>
            </w:pPr>
            <w:r>
              <w:rPr>
                <w:rFonts w:ascii="Arial" w:cs="Arial" w:eastAsia="Arial" w:hAnsi="Arial"/>
                <w:sz w:val="17"/>
                <w:szCs w:val="17"/>
                <w:color w:val="auto"/>
              </w:rPr>
              <w:t>Consolidated net earnings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414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363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858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1,702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Less: Net earnings attributable to noncontrolling interests</w:t>
            </w:r>
          </w:p>
        </w:tc>
        <w:tc>
          <w:tcPr>
            <w:tcW w:w="4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line="169" w:lineRule="exact"/>
              <w:rPr>
                <w:sz w:val="20"/>
                <w:szCs w:val="20"/>
                <w:color w:val="auto"/>
              </w:rPr>
            </w:pPr>
            <w:r>
              <w:rPr>
                <w:rFonts w:ascii="Arial" w:cs="Arial" w:eastAsia="Arial" w:hAnsi="Arial"/>
                <w:sz w:val="17"/>
                <w:szCs w:val="17"/>
                <w:color w:val="auto"/>
              </w:rPr>
              <w:t>Net Earnings Attributable to Martin Marietta</w:t>
            </w:r>
          </w:p>
        </w:tc>
        <w:tc>
          <w:tcPr>
            <w:tcW w:w="70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7"/>
                <w:szCs w:val="17"/>
                <w:color w:val="auto"/>
              </w:rPr>
              <w:t>414</w:t>
            </w:r>
          </w:p>
        </w:tc>
        <w:tc>
          <w:tcPr>
            <w:tcW w:w="140" w:type="dxa"/>
            <w:vAlign w:val="bottom"/>
          </w:tcPr>
          <w:p>
            <w:pPr>
              <w:spacing w:after="0"/>
              <w:rPr>
                <w:sz w:val="15"/>
                <w:szCs w:val="15"/>
                <w:color w:val="auto"/>
              </w:rPr>
            </w:pPr>
          </w:p>
        </w:tc>
        <w:tc>
          <w:tcPr>
            <w:tcW w:w="840" w:type="dxa"/>
            <w:vAlign w:val="bottom"/>
            <w:gridSpan w:val="2"/>
          </w:tcPr>
          <w:p>
            <w:pPr>
              <w:ind w:left="100"/>
              <w:spacing w:after="0" w:line="16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7"/>
                <w:szCs w:val="17"/>
                <w:color w:val="auto"/>
              </w:rPr>
              <w:t>363</w:t>
            </w:r>
          </w:p>
        </w:tc>
        <w:tc>
          <w:tcPr>
            <w:tcW w:w="220" w:type="dxa"/>
            <w:vAlign w:val="bottom"/>
          </w:tcPr>
          <w:p>
            <w:pPr>
              <w:spacing w:after="0"/>
              <w:rPr>
                <w:sz w:val="15"/>
                <w:szCs w:val="15"/>
                <w:color w:val="auto"/>
              </w:rPr>
            </w:pPr>
          </w:p>
        </w:tc>
        <w:tc>
          <w:tcPr>
            <w:tcW w:w="260" w:type="dxa"/>
            <w:vAlign w:val="bottom"/>
          </w:tcPr>
          <w:p>
            <w:pPr>
              <w:jc w:val="right"/>
              <w:ind w:right="75"/>
              <w:spacing w:after="0" w:line="169"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858</w:t>
            </w:r>
          </w:p>
        </w:tc>
        <w:tc>
          <w:tcPr>
            <w:tcW w:w="160" w:type="dxa"/>
            <w:vAlign w:val="bottom"/>
          </w:tcPr>
          <w:p>
            <w:pPr>
              <w:spacing w:after="0"/>
              <w:rPr>
                <w:sz w:val="15"/>
                <w:szCs w:val="15"/>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1,701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Consolidated Comprehensive Earnings (See Note 1):</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FF0FC"/>
          </w:tcPr>
          <w:p>
            <w:pPr>
              <w:ind w:left="60"/>
              <w:spacing w:after="0" w:line="167" w:lineRule="exact"/>
              <w:rPr>
                <w:sz w:val="20"/>
                <w:szCs w:val="20"/>
                <w:color w:val="auto"/>
              </w:rPr>
            </w:pPr>
            <w:r>
              <w:rPr>
                <w:rFonts w:ascii="Arial" w:cs="Arial" w:eastAsia="Arial" w:hAnsi="Arial"/>
                <w:sz w:val="17"/>
                <w:szCs w:val="17"/>
                <w:color w:val="auto"/>
              </w:rPr>
              <w:t>Consolidated comprehensive earnings attributable to</w:t>
            </w: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Martin Marietta</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040" w:type="dxa"/>
            <w:vAlign w:val="bottom"/>
          </w:tcPr>
          <w:p>
            <w:pPr>
              <w:ind w:left="60"/>
              <w:spacing w:after="0" w:line="167" w:lineRule="exact"/>
              <w:rPr>
                <w:sz w:val="20"/>
                <w:szCs w:val="20"/>
                <w:color w:val="auto"/>
              </w:rPr>
            </w:pPr>
            <w:r>
              <w:rPr>
                <w:rFonts w:ascii="Arial" w:cs="Arial" w:eastAsia="Arial" w:hAnsi="Arial"/>
                <w:sz w:val="17"/>
                <w:szCs w:val="17"/>
                <w:color w:val="auto"/>
              </w:rPr>
              <w:t>Comprehensive earnings attributable to noncontrolling</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00"/>
              <w:spacing w:after="0"/>
              <w:rPr>
                <w:sz w:val="20"/>
                <w:szCs w:val="20"/>
                <w:color w:val="auto"/>
              </w:rPr>
            </w:pPr>
            <w:r>
              <w:rPr>
                <w:rFonts w:ascii="Arial" w:cs="Arial" w:eastAsia="Arial" w:hAnsi="Arial"/>
                <w:sz w:val="17"/>
                <w:szCs w:val="17"/>
                <w:color w:val="auto"/>
              </w:rPr>
              <w:t>interests</w:t>
            </w:r>
          </w:p>
        </w:tc>
        <w:tc>
          <w:tcPr>
            <w:tcW w:w="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418</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365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866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4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color w:val="auto"/>
              </w:rPr>
              <w:t>Net Earnings Attributable to Martin Marietta</w:t>
            </w:r>
          </w:p>
        </w:tc>
        <w:tc>
          <w:tcPr>
            <w:tcW w:w="4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FF0FC"/>
          </w:tcPr>
          <w:p>
            <w:pPr>
              <w:ind w:left="60"/>
              <w:spacing w:after="0" w:line="189" w:lineRule="exact"/>
              <w:rPr>
                <w:sz w:val="20"/>
                <w:szCs w:val="20"/>
                <w:color w:val="auto"/>
              </w:rPr>
            </w:pPr>
            <w:r>
              <w:rPr>
                <w:rFonts w:ascii="Arial" w:cs="Arial" w:eastAsia="Arial" w:hAnsi="Arial"/>
                <w:sz w:val="17"/>
                <w:szCs w:val="17"/>
                <w:color w:val="auto"/>
              </w:rPr>
              <w:t>Per Common Share:</w:t>
            </w: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line="167" w:lineRule="exact"/>
              <w:rPr>
                <w:sz w:val="20"/>
                <w:szCs w:val="20"/>
                <w:color w:val="auto"/>
              </w:rPr>
            </w:pPr>
            <w:r>
              <w:rPr>
                <w:rFonts w:ascii="Arial" w:cs="Arial" w:eastAsia="Arial" w:hAnsi="Arial"/>
                <w:sz w:val="17"/>
                <w:szCs w:val="17"/>
                <w:color w:val="auto"/>
              </w:rPr>
              <w:t>Basic from continuing operations attributable to common</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300"/>
              <w:spacing w:after="0"/>
              <w:rPr>
                <w:sz w:val="20"/>
                <w:szCs w:val="20"/>
                <w:color w:val="auto"/>
              </w:rPr>
            </w:pPr>
            <w:r>
              <w:rPr>
                <w:rFonts w:ascii="Arial" w:cs="Arial" w:eastAsia="Arial" w:hAnsi="Arial"/>
                <w:sz w:val="17"/>
                <w:szCs w:val="17"/>
                <w:color w:val="auto"/>
              </w:rPr>
              <w:t>shareholders</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5.98</w:t>
            </w:r>
          </w:p>
        </w:tc>
        <w:tc>
          <w:tcPr>
            <w:tcW w:w="1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4.86</w:t>
            </w:r>
          </w:p>
        </w:tc>
        <w:tc>
          <w:tcPr>
            <w:tcW w:w="2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12.51</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FF0FC"/>
          </w:tcPr>
          <w:p>
            <w:pPr>
              <w:ind w:left="160"/>
              <w:spacing w:after="0" w:line="167" w:lineRule="exact"/>
              <w:rPr>
                <w:sz w:val="20"/>
                <w:szCs w:val="20"/>
                <w:color w:val="auto"/>
              </w:rPr>
            </w:pPr>
            <w:r>
              <w:rPr>
                <w:rFonts w:ascii="Arial" w:cs="Arial" w:eastAsia="Arial" w:hAnsi="Arial"/>
                <w:sz w:val="17"/>
                <w:szCs w:val="17"/>
                <w:color w:val="auto"/>
              </w:rPr>
              <w:t>Basic from discontinued operations attributable to common</w:t>
            </w: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shareholders</w:t>
            </w:r>
          </w:p>
        </w:tc>
        <w:tc>
          <w:tcPr>
            <w:tcW w:w="4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40" w:type="dxa"/>
            <w:vAlign w:val="bottom"/>
          </w:tcPr>
          <w:p>
            <w:pPr>
              <w:ind w:left="200"/>
              <w:spacing w:after="0" w:line="169" w:lineRule="exact"/>
              <w:rPr>
                <w:sz w:val="20"/>
                <w:szCs w:val="20"/>
                <w:color w:val="auto"/>
              </w:rPr>
            </w:pPr>
            <w:r>
              <w:rPr>
                <w:rFonts w:ascii="Arial" w:cs="Arial" w:eastAsia="Arial" w:hAnsi="Arial"/>
                <w:sz w:val="17"/>
                <w:szCs w:val="17"/>
                <w:color w:val="auto"/>
              </w:rPr>
              <w:t>Total basic attributable to common shareholders</w:t>
            </w:r>
          </w:p>
        </w:tc>
        <w:tc>
          <w:tcPr>
            <w:tcW w:w="70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7"/>
                <w:szCs w:val="17"/>
                <w:color w:val="auto"/>
              </w:rPr>
              <w:t>6.86</w:t>
            </w:r>
          </w:p>
        </w:tc>
        <w:tc>
          <w:tcPr>
            <w:tcW w:w="140" w:type="dxa"/>
            <w:vAlign w:val="bottom"/>
          </w:tcPr>
          <w:p>
            <w:pPr>
              <w:spacing w:after="0"/>
              <w:rPr>
                <w:sz w:val="15"/>
                <w:szCs w:val="15"/>
                <w:color w:val="auto"/>
              </w:rPr>
            </w:pPr>
          </w:p>
        </w:tc>
        <w:tc>
          <w:tcPr>
            <w:tcW w:w="840" w:type="dxa"/>
            <w:vAlign w:val="bottom"/>
            <w:gridSpan w:val="2"/>
          </w:tcPr>
          <w:p>
            <w:pPr>
              <w:ind w:left="100"/>
              <w:spacing w:after="0" w:line="16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7"/>
                <w:szCs w:val="17"/>
                <w:color w:val="auto"/>
              </w:rPr>
              <w:t>5.93</w:t>
            </w:r>
          </w:p>
        </w:tc>
        <w:tc>
          <w:tcPr>
            <w:tcW w:w="220" w:type="dxa"/>
            <w:vAlign w:val="bottom"/>
          </w:tcPr>
          <w:p>
            <w:pPr>
              <w:spacing w:after="0"/>
              <w:rPr>
                <w:sz w:val="15"/>
                <w:szCs w:val="15"/>
                <w:color w:val="auto"/>
              </w:rPr>
            </w:pPr>
          </w:p>
        </w:tc>
        <w:tc>
          <w:tcPr>
            <w:tcW w:w="260" w:type="dxa"/>
            <w:vAlign w:val="bottom"/>
          </w:tcPr>
          <w:p>
            <w:pPr>
              <w:jc w:val="right"/>
              <w:ind w:right="75"/>
              <w:spacing w:after="0" w:line="169"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14.18</w:t>
            </w:r>
          </w:p>
        </w:tc>
        <w:tc>
          <w:tcPr>
            <w:tcW w:w="160" w:type="dxa"/>
            <w:vAlign w:val="bottom"/>
          </w:tcPr>
          <w:p>
            <w:pPr>
              <w:spacing w:after="0"/>
              <w:rPr>
                <w:sz w:val="15"/>
                <w:szCs w:val="15"/>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27.68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40" w:type="dxa"/>
            <w:vAlign w:val="bottom"/>
          </w:tcPr>
          <w:p>
            <w:pPr>
              <w:ind w:left="160"/>
              <w:spacing w:after="0" w:line="167" w:lineRule="exact"/>
              <w:rPr>
                <w:sz w:val="20"/>
                <w:szCs w:val="20"/>
                <w:color w:val="auto"/>
              </w:rPr>
            </w:pPr>
            <w:r>
              <w:rPr>
                <w:rFonts w:ascii="Arial" w:cs="Arial" w:eastAsia="Arial" w:hAnsi="Arial"/>
                <w:sz w:val="17"/>
                <w:szCs w:val="17"/>
                <w:color w:val="auto"/>
              </w:rPr>
              <w:t>Diluted from continuing operations attributable to</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300"/>
              <w:spacing w:after="0"/>
              <w:rPr>
                <w:sz w:val="20"/>
                <w:szCs w:val="20"/>
                <w:color w:val="auto"/>
              </w:rPr>
            </w:pPr>
            <w:r>
              <w:rPr>
                <w:rFonts w:ascii="Arial" w:cs="Arial" w:eastAsia="Arial" w:hAnsi="Arial"/>
                <w:sz w:val="17"/>
                <w:szCs w:val="17"/>
                <w:color w:val="auto"/>
              </w:rPr>
              <w:t>common shareholders</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4.84</w:t>
            </w:r>
          </w:p>
        </w:tc>
        <w:tc>
          <w:tcPr>
            <w:tcW w:w="2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12.49</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FF0FC"/>
          </w:tcPr>
          <w:p>
            <w:pPr>
              <w:ind w:left="160"/>
              <w:spacing w:after="0" w:line="167" w:lineRule="exact"/>
              <w:rPr>
                <w:sz w:val="20"/>
                <w:szCs w:val="20"/>
                <w:color w:val="auto"/>
              </w:rPr>
            </w:pPr>
            <w:r>
              <w:rPr>
                <w:rFonts w:ascii="Arial" w:cs="Arial" w:eastAsia="Arial" w:hAnsi="Arial"/>
                <w:sz w:val="17"/>
                <w:szCs w:val="17"/>
                <w:color w:val="auto"/>
              </w:rPr>
              <w:t>Diluted from discontinued operations attributable to</w:t>
            </w: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common shareholders</w:t>
            </w:r>
          </w:p>
        </w:tc>
        <w:tc>
          <w:tcPr>
            <w:tcW w:w="4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40" w:type="dxa"/>
            <w:vAlign w:val="bottom"/>
          </w:tcPr>
          <w:p>
            <w:pPr>
              <w:ind w:left="200"/>
              <w:spacing w:after="0" w:line="169" w:lineRule="exact"/>
              <w:rPr>
                <w:sz w:val="20"/>
                <w:szCs w:val="20"/>
                <w:color w:val="auto"/>
              </w:rPr>
            </w:pPr>
            <w:r>
              <w:rPr>
                <w:rFonts w:ascii="Arial" w:cs="Arial" w:eastAsia="Arial" w:hAnsi="Arial"/>
                <w:sz w:val="17"/>
                <w:szCs w:val="17"/>
                <w:color w:val="auto"/>
              </w:rPr>
              <w:t>Total diluted attributable to common shareholders</w:t>
            </w:r>
          </w:p>
        </w:tc>
        <w:tc>
          <w:tcPr>
            <w:tcW w:w="70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7"/>
                <w:szCs w:val="17"/>
                <w:color w:val="auto"/>
              </w:rPr>
              <w:t>6.85</w:t>
            </w:r>
          </w:p>
        </w:tc>
        <w:tc>
          <w:tcPr>
            <w:tcW w:w="140" w:type="dxa"/>
            <w:vAlign w:val="bottom"/>
          </w:tcPr>
          <w:p>
            <w:pPr>
              <w:spacing w:after="0"/>
              <w:rPr>
                <w:sz w:val="15"/>
                <w:szCs w:val="15"/>
                <w:color w:val="auto"/>
              </w:rPr>
            </w:pPr>
          </w:p>
        </w:tc>
        <w:tc>
          <w:tcPr>
            <w:tcW w:w="840" w:type="dxa"/>
            <w:vAlign w:val="bottom"/>
            <w:gridSpan w:val="2"/>
          </w:tcPr>
          <w:p>
            <w:pPr>
              <w:ind w:left="100"/>
              <w:spacing w:after="0" w:line="16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7"/>
                <w:szCs w:val="17"/>
                <w:color w:val="auto"/>
              </w:rPr>
              <w:t>5.91</w:t>
            </w:r>
          </w:p>
        </w:tc>
        <w:tc>
          <w:tcPr>
            <w:tcW w:w="220" w:type="dxa"/>
            <w:vAlign w:val="bottom"/>
          </w:tcPr>
          <w:p>
            <w:pPr>
              <w:spacing w:after="0"/>
              <w:rPr>
                <w:sz w:val="15"/>
                <w:szCs w:val="15"/>
                <w:color w:val="auto"/>
              </w:rPr>
            </w:pPr>
          </w:p>
        </w:tc>
        <w:tc>
          <w:tcPr>
            <w:tcW w:w="260" w:type="dxa"/>
            <w:vAlign w:val="bottom"/>
          </w:tcPr>
          <w:p>
            <w:pPr>
              <w:jc w:val="right"/>
              <w:ind w:right="75"/>
              <w:spacing w:after="0" w:line="169"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14.15</w:t>
            </w:r>
          </w:p>
        </w:tc>
        <w:tc>
          <w:tcPr>
            <w:tcW w:w="160" w:type="dxa"/>
            <w:vAlign w:val="bottom"/>
          </w:tcPr>
          <w:p>
            <w:pPr>
              <w:spacing w:after="0"/>
              <w:rPr>
                <w:sz w:val="15"/>
                <w:szCs w:val="15"/>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7"/>
                <w:szCs w:val="17"/>
                <w:color w:val="auto"/>
              </w:rPr>
              <w:t>27.60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7"/>
                <w:szCs w:val="17"/>
                <w:color w:val="auto"/>
              </w:rPr>
              <w:t>Basic</w:t>
            </w: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60.3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61.1</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60.5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00"/>
              <w:spacing w:after="0" w:line="169" w:lineRule="exact"/>
              <w:rPr>
                <w:sz w:val="20"/>
                <w:szCs w:val="20"/>
                <w:color w:val="auto"/>
              </w:rPr>
            </w:pPr>
            <w:r>
              <w:rPr>
                <w:rFonts w:ascii="Arial" w:cs="Arial" w:eastAsia="Arial" w:hAnsi="Arial"/>
                <w:sz w:val="17"/>
                <w:szCs w:val="17"/>
                <w:color w:val="auto"/>
              </w:rPr>
              <w:t>Diluted</w:t>
            </w: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61.3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-5356860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-5356860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-5356860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-5356860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-4628515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-4628515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-4628515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-4628515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-4139565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-4139565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-4139565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-4139565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-3771265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-3771265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-3771265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-3771265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-3411220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-3411220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-3411220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-3162300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-3162300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-3162300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-2167890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-2150745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-2167890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-2150745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-2167890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-2150745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-1430655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-1430655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-1430655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-685165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-685165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-685165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-685165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-153670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-153670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9"/>
              </w:rPr>
              <w:t>Nine Months Ended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September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2025</w:t>
            </w:r>
          </w:p>
        </w:tc>
        <w:tc>
          <w:tcPr>
            <w:tcW w:w="680" w:type="dxa"/>
            <w:vAlign w:val="bottom"/>
            <w:tcBorders>
              <w:bottom w:val="single" w:sz="8" w:color="auto"/>
            </w:tcBorders>
          </w:tcPr>
          <w:p>
            <w:pPr>
              <w:spacing w:after="0"/>
              <w:rPr>
                <w:sz w:val="17"/>
                <w:szCs w:val="17"/>
                <w:color w:val="auto"/>
              </w:rPr>
            </w:pPr>
          </w:p>
        </w:tc>
        <w:tc>
          <w:tcPr>
            <w:tcW w:w="2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in</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94"/>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(Dollars</w:t>
            </w:r>
          </w:p>
        </w:tc>
        <w:tc>
          <w:tcPr>
            <w:tcW w:w="260" w:type="dxa"/>
            <w:vAlign w:val="bottom"/>
            <w:vMerge w:val="continue"/>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i w:val="1"/>
                <w:iCs w:val="1"/>
                <w:color w:val="auto"/>
                <w:w w:val="96"/>
              </w:rPr>
              <w:t>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Consolidated net earnings</w:t>
            </w:r>
          </w:p>
        </w:tc>
        <w:tc>
          <w:tcPr>
            <w:tcW w:w="1060" w:type="dxa"/>
            <w:vAlign w:val="bottom"/>
          </w:tcPr>
          <w:p>
            <w:pPr>
              <w:jc w:val="right"/>
              <w:ind w:right="8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858</w:t>
            </w:r>
          </w:p>
        </w:tc>
        <w:tc>
          <w:tcPr>
            <w:tcW w:w="260" w:type="dxa"/>
            <w:vAlign w:val="bottom"/>
          </w:tcPr>
          <w:p>
            <w:pPr>
              <w:spacing w:after="0"/>
              <w:rPr>
                <w:sz w:val="17"/>
                <w:szCs w:val="17"/>
                <w:color w:val="auto"/>
              </w:rPr>
            </w:pPr>
          </w:p>
        </w:tc>
        <w:tc>
          <w:tcPr>
            <w:tcW w:w="6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Adjustments to reconcile consolidated net earnings to net cash</w:t>
            </w:r>
          </w:p>
        </w:tc>
        <w:tc>
          <w:tcPr>
            <w:tcW w:w="10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provided by operating activities:</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Depreciation, depletion and amortization</w:t>
            </w:r>
          </w:p>
        </w:tc>
        <w:tc>
          <w:tcPr>
            <w:tcW w:w="10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Gain on divestitures and sales of assets</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(24)</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Deferred income taxes, net</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Noncash asset and portfolio rationalization charge</w:t>
            </w:r>
          </w:p>
        </w:tc>
        <w:tc>
          <w:tcPr>
            <w:tcW w:w="1060" w:type="dxa"/>
            <w:vAlign w:val="bottom"/>
          </w:tcPr>
          <w:p>
            <w:pPr>
              <w:spacing w:after="0"/>
              <w:rPr>
                <w:sz w:val="17"/>
                <w:szCs w:val="17"/>
                <w:color w:val="auto"/>
              </w:rPr>
            </w:pPr>
          </w:p>
        </w:tc>
        <w:tc>
          <w:tcPr>
            <w:tcW w:w="9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items, net</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4"/>
        </w:trPr>
        <w:tc>
          <w:tcPr>
            <w:tcW w:w="7400" w:type="dxa"/>
            <w:vAlign w:val="bottom"/>
          </w:tcPr>
          <w:p>
            <w:pPr>
              <w:ind w:left="140"/>
              <w:spacing w:after="0" w:line="183" w:lineRule="exact"/>
              <w:rPr>
                <w:sz w:val="20"/>
                <w:szCs w:val="20"/>
                <w:color w:val="auto"/>
              </w:rPr>
            </w:pPr>
            <w:r>
              <w:rPr>
                <w:rFonts w:ascii="Arial" w:cs="Arial" w:eastAsia="Arial" w:hAnsi="Arial"/>
                <w:sz w:val="18"/>
                <w:szCs w:val="18"/>
                <w:color w:val="auto"/>
              </w:rPr>
              <w:t>Changes in operating assets and liabilities, net of effects of</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00" w:type="dxa"/>
            <w:vAlign w:val="bottom"/>
          </w:tcPr>
          <w:p>
            <w:pPr>
              <w:ind w:left="300"/>
              <w:spacing w:after="0"/>
              <w:rPr>
                <w:sz w:val="20"/>
                <w:szCs w:val="20"/>
                <w:color w:val="auto"/>
              </w:rPr>
            </w:pPr>
            <w:r>
              <w:rPr>
                <w:rFonts w:ascii="Arial" w:cs="Arial" w:eastAsia="Arial" w:hAnsi="Arial"/>
                <w:sz w:val="18"/>
                <w:szCs w:val="18"/>
                <w:color w:val="auto"/>
              </w:rPr>
              <w:t>acquisitions and divestitures: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(309)</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Inventories, net</w:t>
            </w:r>
          </w:p>
        </w:tc>
        <w:tc>
          <w:tcPr>
            <w:tcW w:w="10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Other assets and liabilities, net</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(33)</w:t>
            </w: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1,156</w:t>
            </w:r>
          </w:p>
        </w:tc>
        <w:tc>
          <w:tcPr>
            <w:tcW w:w="2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(602)</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Acquisitions, net of cash acquired</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(577)</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Proceeds from divestitures and sales of assets</w:t>
            </w:r>
          </w:p>
        </w:tc>
        <w:tc>
          <w:tcPr>
            <w:tcW w:w="10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Investments in limited liability company</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(54)</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Other investing activities, net</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(9)</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(1,213)</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196"/>
        </w:trPr>
        <w:tc>
          <w:tcPr>
            <w:tcW w:w="74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Proceeds from borrowings</w:t>
            </w:r>
          </w:p>
        </w:tc>
        <w:tc>
          <w:tcPr>
            <w:tcW w:w="10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Repayments of debt</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(405)</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Payments on finance lease obligations</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(17)</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Dividends paid</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(147)</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(450)</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Shares withheld for employees’ income tax obligations</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(29)</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Other financing activities, net</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10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(543)</w:t>
            </w:r>
          </w:p>
        </w:tc>
        <w:tc>
          <w:tcPr>
            <w:tcW w:w="6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060" w:type="dxa"/>
            <w:vAlign w:val="bottom"/>
          </w:tcPr>
          <w:p>
            <w:pPr>
              <w:spacing w:after="0"/>
              <w:rPr>
                <w:sz w:val="17"/>
                <w:szCs w:val="17"/>
                <w:color w:val="auto"/>
              </w:rPr>
            </w:pPr>
          </w:p>
        </w:tc>
        <w:tc>
          <w:tcPr>
            <w:tcW w:w="9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(600)</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670</w:t>
            </w:r>
          </w:p>
        </w:tc>
        <w:tc>
          <w:tcPr>
            <w:tcW w:w="2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Borders>
              <w:bottom w:val="single" w:sz="8" w:color="auto"/>
            </w:tcBorders>
          </w:tcPr>
          <w:p>
            <w:pPr>
              <w:jc w:val="right"/>
              <w:ind w:right="87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w:t>
            </w:r>
          </w:p>
        </w:tc>
        <w:tc>
          <w:tcPr>
            <w:tcW w:w="260" w:type="dxa"/>
            <w:vAlign w:val="bottom"/>
          </w:tcPr>
          <w:p>
            <w:pPr>
              <w:spacing w:after="0"/>
              <w:rPr>
                <w:sz w:val="17"/>
                <w:szCs w:val="17"/>
                <w:color w:val="auto"/>
              </w:rPr>
            </w:pPr>
          </w:p>
        </w:tc>
        <w:tc>
          <w:tcPr>
            <w:tcW w:w="6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-2776855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-1731010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-427990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color w:val="auto"/>
                <w:w w:val="95"/>
              </w:rPr>
              <w:t>Accumulated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6"/>
              </w:rPr>
              <w:t>Shares 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8"/>
              </w:rPr>
              <w:t>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Total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4"/>
              </w:rPr>
              <w:t>Common</w:t>
            </w:r>
          </w:p>
        </w:tc>
        <w:tc>
          <w:tcPr>
            <w:tcW w:w="100" w:type="dxa"/>
            <w:vAlign w:val="bottom"/>
          </w:tcPr>
          <w:p>
            <w:pPr>
              <w:spacing w:after="0"/>
              <w:rPr>
                <w:sz w:val="11"/>
                <w:szCs w:val="11"/>
                <w:color w:val="auto"/>
              </w:rPr>
            </w:pPr>
          </w:p>
        </w:tc>
        <w:tc>
          <w:tcPr>
            <w:tcW w:w="7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4"/>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98"/>
              </w:rPr>
              <w:t>Additional</w:t>
            </w:r>
          </w:p>
        </w:tc>
        <w:tc>
          <w:tcPr>
            <w:tcW w:w="100" w:type="dxa"/>
            <w:vAlign w:val="bottom"/>
          </w:tcPr>
          <w:p>
            <w:pPr>
              <w:spacing w:after="0"/>
              <w:rPr>
                <w:sz w:val="11"/>
                <w:szCs w:val="11"/>
                <w:color w:val="auto"/>
              </w:rPr>
            </w:pPr>
          </w:p>
        </w:tc>
        <w:tc>
          <w:tcPr>
            <w:tcW w:w="1220" w:type="dxa"/>
            <w:vAlign w:val="bottom"/>
            <w:gridSpan w:val="3"/>
          </w:tcPr>
          <w:p>
            <w:pPr>
              <w:jc w:val="center"/>
              <w:ind w:right="260"/>
              <w:spacing w:after="0" w:line="135" w:lineRule="exact"/>
              <w:rPr>
                <w:sz w:val="20"/>
                <w:szCs w:val="20"/>
                <w:color w:val="auto"/>
              </w:rPr>
            </w:pPr>
            <w:r>
              <w:rPr>
                <w:rFonts w:ascii="Arial" w:cs="Arial" w:eastAsia="Arial" w:hAnsi="Arial"/>
                <w:sz w:val="13"/>
                <w:szCs w:val="13"/>
                <w:color w:val="auto"/>
                <w:w w:val="96"/>
              </w:rPr>
              <w:t>Comprehensive</w:t>
            </w: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6"/>
              </w:rPr>
              <w:t>Retained</w:t>
            </w:r>
          </w:p>
        </w:tc>
        <w:tc>
          <w:tcPr>
            <w:tcW w:w="10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3"/>
                <w:szCs w:val="13"/>
                <w:color w:val="auto"/>
              </w:rPr>
              <w:t>Shareholders'</w:t>
            </w:r>
          </w:p>
        </w:tc>
        <w:tc>
          <w:tcPr>
            <w:tcW w:w="80" w:type="dxa"/>
            <w:vAlign w:val="bottom"/>
          </w:tcPr>
          <w:p>
            <w:pPr>
              <w:spacing w:after="0"/>
              <w:rPr>
                <w:sz w:val="11"/>
                <w:szCs w:val="11"/>
                <w:color w:val="auto"/>
              </w:rPr>
            </w:pPr>
          </w:p>
        </w:tc>
        <w:tc>
          <w:tcPr>
            <w:tcW w:w="1080" w:type="dxa"/>
            <w:vAlign w:val="bottom"/>
            <w:gridSpan w:val="3"/>
          </w:tcPr>
          <w:p>
            <w:pPr>
              <w:jc w:val="center"/>
              <w:ind w:right="160"/>
              <w:spacing w:after="0" w:line="135" w:lineRule="exact"/>
              <w:rPr>
                <w:sz w:val="20"/>
                <w:szCs w:val="20"/>
                <w:color w:val="auto"/>
              </w:rPr>
            </w:pPr>
            <w:r>
              <w:rPr>
                <w:rFonts w:ascii="Arial" w:cs="Arial" w:eastAsia="Arial" w:hAnsi="Arial"/>
                <w:sz w:val="13"/>
                <w:szCs w:val="13"/>
                <w:color w:val="auto"/>
                <w:w w:val="96"/>
              </w:rPr>
              <w:t>Noncontrolling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7"/>
              </w:rPr>
              <w:t>(In Millions, Except Share and Per Share Data)</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Stock</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8"/>
              </w:rPr>
              <w:t>Stock</w:t>
            </w:r>
          </w:p>
        </w:tc>
        <w:tc>
          <w:tcPr>
            <w:tcW w:w="220" w:type="dxa"/>
            <w:vAlign w:val="bottom"/>
          </w:tcPr>
          <w:p>
            <w:pPr>
              <w:spacing w:after="0"/>
              <w:rPr>
                <w:sz w:val="13"/>
                <w:szCs w:val="13"/>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6"/>
              </w:rPr>
              <w:t>Paid-in 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4"/>
              </w:rPr>
              <w:t>Loss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7"/>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Equity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6"/>
              </w:rPr>
              <w:t>Interests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6"/>
              </w:rPr>
              <w:t>Total 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Balance at June 30, 2025</w:t>
            </w:r>
          </w:p>
        </w:tc>
        <w:tc>
          <w:tcPr>
            <w:tcW w:w="8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60,305,739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w:t>
            </w:r>
          </w:p>
        </w:tc>
        <w:tc>
          <w:tcPr>
            <w:tcW w:w="320" w:type="dxa"/>
            <w:vAlign w:val="bottom"/>
            <w:gridSpan w:val="2"/>
            <w:shd w:val="clear" w:color="auto" w:fill="CFF0FC"/>
          </w:tcPr>
          <w:p>
            <w:pPr>
              <w:ind w:left="220"/>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3,562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5,809</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9,363</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Other comprehensive earnings,</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Dividends declared ($0.83 per common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60"/>
              <w:spacing w:after="0"/>
              <w:rPr>
                <w:sz w:val="20"/>
                <w:szCs w:val="20"/>
                <w:color w:val="auto"/>
              </w:rPr>
            </w:pPr>
            <w:r>
              <w:rPr>
                <w:rFonts w:ascii="Arial" w:cs="Arial" w:eastAsia="Arial" w:hAnsi="Arial"/>
                <w:sz w:val="13"/>
                <w:szCs w:val="13"/>
                <w:color w:val="auto"/>
              </w:rPr>
              <w:t>share)</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Issuances of common stock for</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award plans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1,404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CFF0FC"/>
            </w:tcBorders>
          </w:tcPr>
          <w:p>
            <w:pPr>
              <w:ind w:left="160"/>
              <w:spacing w:after="0"/>
              <w:rPr>
                <w:sz w:val="20"/>
                <w:szCs w:val="20"/>
                <w:color w:val="auto"/>
              </w:rPr>
            </w:pPr>
            <w:r>
              <w:rPr>
                <w:rFonts w:ascii="Arial" w:cs="Arial" w:eastAsia="Arial" w:hAnsi="Arial"/>
                <w:sz w:val="13"/>
                <w:szCs w:val="13"/>
                <w:color w:val="auto"/>
              </w:rPr>
              <w:t>expense</w:t>
            </w:r>
          </w:p>
        </w:tc>
        <w:tc>
          <w:tcPr>
            <w:tcW w:w="1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Balance at September 30, 2025</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60,307,143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3,567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6,172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9,735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9,738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Balance at December 31, 2024</w:t>
            </w:r>
          </w:p>
        </w:tc>
        <w:tc>
          <w:tcPr>
            <w:tcW w:w="8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61,126,646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320" w:type="dxa"/>
            <w:vAlign w:val="bottom"/>
            <w:gridSpan w:val="2"/>
            <w:shd w:val="clear" w:color="auto" w:fill="CFF0FC"/>
          </w:tcPr>
          <w:p>
            <w:pPr>
              <w:ind w:left="2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3,550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5,915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9,453</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9,456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Other comprehensive earnings,</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Dividends declared ($2.41 per common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60"/>
              <w:spacing w:after="0"/>
              <w:rPr>
                <w:sz w:val="20"/>
                <w:szCs w:val="20"/>
                <w:color w:val="auto"/>
              </w:rPr>
            </w:pPr>
            <w:r>
              <w:rPr>
                <w:rFonts w:ascii="Arial" w:cs="Arial" w:eastAsia="Arial" w:hAnsi="Arial"/>
                <w:sz w:val="13"/>
                <w:szCs w:val="13"/>
                <w:color w:val="auto"/>
              </w:rPr>
              <w:t>share)</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Issuances of common stock for</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award plans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91,328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Shares withheld for employees'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income tax obligations</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Repurchases of common stock</w:t>
            </w:r>
          </w:p>
        </w:tc>
        <w:tc>
          <w:tcPr>
            <w:tcW w:w="1100" w:type="dxa"/>
            <w:vAlign w:val="bottom"/>
            <w:gridSpan w:val="3"/>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(910,831)</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160"/>
              <w:spacing w:after="0" w:line="139" w:lineRule="exact"/>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Balance at September 30, 2025</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60,307,143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3,567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80"/>
              <w:spacing w:after="0" w:line="115" w:lineRule="exact"/>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6,172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9,735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line="115" w:lineRule="exact"/>
              <w:rPr>
                <w:sz w:val="20"/>
                <w:szCs w:val="20"/>
                <w:color w:val="auto"/>
              </w:rPr>
            </w:pPr>
            <w:r>
              <w:rPr>
                <w:rFonts w:ascii="Arial" w:cs="Arial" w:eastAsia="Arial" w:hAnsi="Arial"/>
                <w:sz w:val="13"/>
                <w:szCs w:val="13"/>
                <w:color w:val="auto"/>
              </w:rPr>
              <w:t>9,738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6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color w:val="auto"/>
                <w:w w:val="95"/>
              </w:rPr>
              <w:t>Accumulated</w:t>
            </w: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6"/>
              </w:rPr>
              <w:t>Shares 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8"/>
              </w:rPr>
              <w:t>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Total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4"/>
              </w:rPr>
              <w:t>Common</w:t>
            </w:r>
          </w:p>
        </w:tc>
        <w:tc>
          <w:tcPr>
            <w:tcW w:w="100" w:type="dxa"/>
            <w:vAlign w:val="bottom"/>
          </w:tcPr>
          <w:p>
            <w:pPr>
              <w:spacing w:after="0"/>
              <w:rPr>
                <w:sz w:val="11"/>
                <w:szCs w:val="11"/>
                <w:color w:val="auto"/>
              </w:rPr>
            </w:pPr>
          </w:p>
        </w:tc>
        <w:tc>
          <w:tcPr>
            <w:tcW w:w="72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4"/>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98"/>
              </w:rPr>
              <w:t>Additional</w:t>
            </w:r>
          </w:p>
        </w:tc>
        <w:tc>
          <w:tcPr>
            <w:tcW w:w="100" w:type="dxa"/>
            <w:vAlign w:val="bottom"/>
          </w:tcPr>
          <w:p>
            <w:pPr>
              <w:spacing w:after="0"/>
              <w:rPr>
                <w:sz w:val="11"/>
                <w:szCs w:val="11"/>
                <w:color w:val="auto"/>
              </w:rPr>
            </w:pPr>
          </w:p>
        </w:tc>
        <w:tc>
          <w:tcPr>
            <w:tcW w:w="1220" w:type="dxa"/>
            <w:vAlign w:val="bottom"/>
            <w:gridSpan w:val="3"/>
          </w:tcPr>
          <w:p>
            <w:pPr>
              <w:jc w:val="center"/>
              <w:ind w:right="260"/>
              <w:spacing w:after="0" w:line="135" w:lineRule="exact"/>
              <w:rPr>
                <w:sz w:val="20"/>
                <w:szCs w:val="20"/>
                <w:color w:val="auto"/>
              </w:rPr>
            </w:pPr>
            <w:r>
              <w:rPr>
                <w:rFonts w:ascii="Arial" w:cs="Arial" w:eastAsia="Arial" w:hAnsi="Arial"/>
                <w:sz w:val="13"/>
                <w:szCs w:val="13"/>
                <w:color w:val="auto"/>
                <w:w w:val="96"/>
              </w:rPr>
              <w:t>Comprehensive</w:t>
            </w: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6"/>
              </w:rPr>
              <w:t>Retained</w:t>
            </w:r>
          </w:p>
        </w:tc>
        <w:tc>
          <w:tcPr>
            <w:tcW w:w="10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3"/>
                <w:szCs w:val="13"/>
                <w:color w:val="auto"/>
              </w:rPr>
              <w:t>Shareholders'</w:t>
            </w:r>
          </w:p>
        </w:tc>
        <w:tc>
          <w:tcPr>
            <w:tcW w:w="80" w:type="dxa"/>
            <w:vAlign w:val="bottom"/>
          </w:tcPr>
          <w:p>
            <w:pPr>
              <w:spacing w:after="0"/>
              <w:rPr>
                <w:sz w:val="11"/>
                <w:szCs w:val="11"/>
                <w:color w:val="auto"/>
              </w:rPr>
            </w:pPr>
          </w:p>
        </w:tc>
        <w:tc>
          <w:tcPr>
            <w:tcW w:w="1080" w:type="dxa"/>
            <w:vAlign w:val="bottom"/>
            <w:gridSpan w:val="3"/>
          </w:tcPr>
          <w:p>
            <w:pPr>
              <w:jc w:val="center"/>
              <w:ind w:right="160"/>
              <w:spacing w:after="0" w:line="135" w:lineRule="exact"/>
              <w:rPr>
                <w:sz w:val="20"/>
                <w:szCs w:val="20"/>
                <w:color w:val="auto"/>
              </w:rPr>
            </w:pPr>
            <w:r>
              <w:rPr>
                <w:rFonts w:ascii="Arial" w:cs="Arial" w:eastAsia="Arial" w:hAnsi="Arial"/>
                <w:sz w:val="13"/>
                <w:szCs w:val="13"/>
                <w:color w:val="auto"/>
                <w:w w:val="96"/>
              </w:rPr>
              <w:t>Noncontrolling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Arial" w:cs="Arial" w:eastAsia="Arial" w:hAnsi="Arial"/>
                <w:sz w:val="13"/>
                <w:szCs w:val="13"/>
                <w:i w:val="1"/>
                <w:iCs w:val="1"/>
                <w:color w:val="auto"/>
                <w:w w:val="97"/>
              </w:rPr>
              <w:t>(In Millions, Except Share and Per Share Data)</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Stock</w:t>
            </w:r>
          </w:p>
        </w:tc>
        <w:tc>
          <w:tcPr>
            <w:tcW w:w="10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color w:val="auto"/>
                <w:w w:val="98"/>
              </w:rPr>
              <w:t>Stock</w:t>
            </w:r>
          </w:p>
        </w:tc>
        <w:tc>
          <w:tcPr>
            <w:tcW w:w="2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rPr>
              <w:t>Paid-in 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color w:val="auto"/>
                <w:w w:val="94"/>
              </w:rPr>
              <w:t>Loss</w:t>
            </w:r>
          </w:p>
        </w:tc>
        <w:tc>
          <w:tcPr>
            <w:tcW w:w="8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Earnings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Equity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Interests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w w:val="96"/>
              </w:rPr>
              <w:t>Total Equity</w:t>
            </w:r>
          </w:p>
        </w:tc>
        <w:tc>
          <w:tcPr>
            <w:tcW w:w="0" w:type="dxa"/>
            <w:vAlign w:val="bottom"/>
          </w:tcPr>
          <w:p>
            <w:pPr>
              <w:spacing w:after="0"/>
              <w:rPr>
                <w:sz w:val="1"/>
                <w:szCs w:val="1"/>
                <w:color w:val="auto"/>
              </w:rPr>
            </w:pPr>
          </w:p>
        </w:tc>
      </w:tr>
      <w:tr>
        <w:trPr>
          <w:trHeight w:val="128"/>
        </w:trPr>
        <w:tc>
          <w:tcPr>
            <w:tcW w:w="2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Balance at June 30, 2024</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61,117,053</w:t>
            </w:r>
          </w:p>
        </w:tc>
        <w:tc>
          <w:tcPr>
            <w:tcW w:w="22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(48)</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8,838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8,840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Other comprehensive earnings,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Dividends declared ($0.79 per common</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60"/>
              <w:spacing w:after="0"/>
              <w:rPr>
                <w:sz w:val="20"/>
                <w:szCs w:val="20"/>
                <w:color w:val="auto"/>
              </w:rPr>
            </w:pPr>
            <w:r>
              <w:rPr>
                <w:rFonts w:ascii="Arial" w:cs="Arial" w:eastAsia="Arial" w:hAnsi="Arial"/>
                <w:sz w:val="13"/>
                <w:szCs w:val="13"/>
                <w:color w:val="auto"/>
              </w:rPr>
              <w:t>share)</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Issuances of common stock for stock</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award plans</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bottom w:val="single" w:sz="8" w:color="CFF0FC"/>
            </w:tcBorders>
          </w:tcPr>
          <w:p>
            <w:pPr>
              <w:spacing w:after="0" w:line="129" w:lineRule="exact"/>
              <w:rPr>
                <w:sz w:val="20"/>
                <w:szCs w:val="20"/>
                <w:color w:val="auto"/>
              </w:rPr>
            </w:pPr>
            <w:r>
              <w:rPr>
                <w:rFonts w:ascii="Arial" w:cs="Arial" w:eastAsia="Arial" w:hAnsi="Arial"/>
                <w:sz w:val="13"/>
                <w:szCs w:val="13"/>
                <w:color w:val="auto"/>
              </w:rPr>
              <w:t>Balance at September 30, 2024</w:t>
            </w:r>
          </w:p>
        </w:tc>
        <w:tc>
          <w:tcPr>
            <w:tcW w:w="100" w:type="dxa"/>
            <w:vAlign w:val="bottom"/>
            <w:tcBorders>
              <w:top w:val="single" w:sz="8" w:color="CFF0FC"/>
              <w:bottom w:val="single" w:sz="8" w:color="CFF0F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61,118,057</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3,544</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(46)</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5,670</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9,169</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9,171</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20" w:type="dxa"/>
            <w:vAlign w:val="bottom"/>
            <w:gridSpan w:val="2"/>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spacing w:after="0"/>
              <w:rPr>
                <w:sz w:val="10"/>
                <w:szCs w:val="10"/>
                <w:color w:val="auto"/>
              </w:rPr>
            </w:pPr>
          </w:p>
        </w:tc>
        <w:tc>
          <w:tcPr>
            <w:tcW w:w="1140" w:type="dxa"/>
            <w:vAlign w:val="bottom"/>
            <w:gridSpan w:val="2"/>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color w:val="auto"/>
              </w:rPr>
              <w:t>Balance at December 31, 2023</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61,821,421</w:t>
            </w:r>
          </w:p>
        </w:tc>
        <w:tc>
          <w:tcPr>
            <w:tcW w:w="22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3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3,519</w:t>
            </w:r>
          </w:p>
        </w:tc>
        <w:tc>
          <w:tcPr>
            <w:tcW w:w="12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4,563</w:t>
            </w:r>
          </w:p>
        </w:tc>
        <w:tc>
          <w:tcPr>
            <w:tcW w:w="120" w:type="dxa"/>
            <w:vAlign w:val="bottom"/>
          </w:tcPr>
          <w:p>
            <w:pPr>
              <w:spacing w:after="0"/>
              <w:rPr>
                <w:sz w:val="11"/>
                <w:szCs w:val="11"/>
                <w:color w:val="auto"/>
              </w:rPr>
            </w:pPr>
          </w:p>
        </w:tc>
        <w:tc>
          <w:tcPr>
            <w:tcW w:w="2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8,034</w:t>
            </w:r>
          </w:p>
        </w:tc>
        <w:tc>
          <w:tcPr>
            <w:tcW w:w="120" w:type="dxa"/>
            <w:vAlign w:val="bottom"/>
          </w:tcPr>
          <w:p>
            <w:pPr>
              <w:spacing w:after="0"/>
              <w:rPr>
                <w:sz w:val="11"/>
                <w:szCs w:val="11"/>
                <w:color w:val="auto"/>
              </w:rPr>
            </w:pPr>
          </w:p>
        </w:tc>
        <w:tc>
          <w:tcPr>
            <w:tcW w:w="2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1,701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1,702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Other comprehensive earnings,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Dividends declared ($2.27 per common</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60"/>
              <w:spacing w:after="0"/>
              <w:rPr>
                <w:sz w:val="20"/>
                <w:szCs w:val="20"/>
                <w:color w:val="auto"/>
              </w:rPr>
            </w:pPr>
            <w:r>
              <w:rPr>
                <w:rFonts w:ascii="Arial" w:cs="Arial" w:eastAsia="Arial" w:hAnsi="Arial"/>
                <w:sz w:val="13"/>
                <w:szCs w:val="13"/>
                <w:color w:val="auto"/>
              </w:rPr>
              <w:t>share)</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Issuances of common stock for stock</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award plans</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82,394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Shares withheld for employees'</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income tax obligations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660" w:type="dxa"/>
            <w:vAlign w:val="bottom"/>
          </w:tcPr>
          <w:p>
            <w:pPr>
              <w:ind w:left="60"/>
              <w:spacing w:after="0" w:line="135" w:lineRule="exact"/>
              <w:rPr>
                <w:sz w:val="20"/>
                <w:szCs w:val="20"/>
                <w:color w:val="auto"/>
              </w:rPr>
            </w:pPr>
            <w:r>
              <w:rPr>
                <w:rFonts w:ascii="Arial" w:cs="Arial" w:eastAsia="Arial" w:hAnsi="Arial"/>
                <w:sz w:val="13"/>
                <w:szCs w:val="13"/>
                <w:color w:val="auto"/>
              </w:rPr>
              <w:t>Repurchases of common stock</w:t>
            </w:r>
          </w:p>
        </w:tc>
        <w:tc>
          <w:tcPr>
            <w:tcW w:w="11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(785,758)</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Distributions to owners of</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9"/>
        </w:trPr>
        <w:tc>
          <w:tcPr>
            <w:tcW w:w="2660" w:type="dxa"/>
            <w:vAlign w:val="bottom"/>
          </w:tcPr>
          <w:p>
            <w:pPr>
              <w:ind w:left="160"/>
              <w:spacing w:after="0" w:line="139" w:lineRule="exact"/>
              <w:rPr>
                <w:sz w:val="20"/>
                <w:szCs w:val="20"/>
                <w:color w:val="auto"/>
              </w:rPr>
            </w:pPr>
            <w:r>
              <w:rPr>
                <w:rFonts w:ascii="Arial" w:cs="Arial" w:eastAsia="Arial" w:hAnsi="Arial"/>
                <w:sz w:val="13"/>
                <w:szCs w:val="13"/>
                <w:color w:val="auto"/>
              </w:rPr>
              <w:t>noncontrolling interest</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Balance at September 30, 2024</w:t>
            </w: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61,118,057</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3,544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(46)</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5,670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9,169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9,171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-4131310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-4114165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-4225290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-4131310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-4114165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-4225290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-4131310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-4114165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-4225290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-4131310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-4114165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-4225290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-4131310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-4114165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-4225290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-4131310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-4114165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-4225290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-4131310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-4114165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-4225290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-4131310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-4114165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-4225290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-2819400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-2802890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-2819400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-2802890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-2819400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-2802890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-2819400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-2802890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-2819400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-2802890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-2819400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-2802890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-2819400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-2802890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-2802890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-1517015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-1517015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-1517015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-1517015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-1517015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-1517015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-1517015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-1517015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308" w:lineRule="exact"/>
        <w:rPr>
          <w:sz w:val="20"/>
          <w:szCs w:val="20"/>
          <w:color w:val="auto"/>
        </w:rPr>
      </w:pPr>
    </w:p>
    <w:p>
      <w:pPr>
        <w:ind w:left="380" w:hanging="372"/>
        <w:spacing w:after="0"/>
        <w:tabs>
          <w:tab w:leader="none" w:pos="380" w:val="left"/>
        </w:tabs>
        <w:numPr>
          <w:ilvl w:val="0"/>
          <w:numId w:val="3"/>
        </w:numPr>
        <w:rPr>
          <w:rFonts w:ascii="Calibri" w:cs="Calibri" w:eastAsia="Calibri" w:hAnsi="Calibri"/>
          <w:sz w:val="20"/>
          <w:szCs w:val="20"/>
          <w:b w:val="1"/>
          <w:bCs w:val="1"/>
          <w:color w:val="auto"/>
        </w:rPr>
      </w:pPr>
      <w:r>
        <w:rPr>
          <w:rFonts w:ascii="Arial" w:cs="Arial" w:eastAsia="Arial" w:hAnsi="Arial"/>
          <w:sz w:val="20"/>
          <w:szCs w:val="20"/>
          <w:b w:val="1"/>
          <w:bCs w:val="1"/>
          <w:color w:val="auto"/>
        </w:rPr>
        <w:t>Significant Accounting Policies</w:t>
      </w:r>
    </w:p>
    <w:p>
      <w:pPr>
        <w:spacing w:after="0" w:line="228"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Organization</w:t>
      </w:r>
    </w:p>
    <w:p>
      <w:pPr>
        <w:spacing w:after="0" w:line="96"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As of September 30, 2025, the Company supplies aggregates (crushed stone, sand and gravel) through its network of approximately 390 quarries, mines and distribution yards in 28 states, Canada and The Bahamas. Martin Marietta also provides other building materials, namely, cement, ready mixed concrete, asphalt and paving services, in vertically-integrated structured markets where the Company also has a leading aggregates position. The Company's Midlothian cement plant, related cement terminals and Texas ready mixed concrete plants are classified as assets held for sale as of September 30, 2025, and their associated financial results are reported as discontinued operations for all periods presented (see Note 2).</w:t>
      </w:r>
    </w:p>
    <w:p>
      <w:pPr>
        <w:spacing w:after="0" w:line="65"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Company’s Building Materials business includes two reportable segments: East Group and West Group.</w:t>
      </w:r>
    </w:p>
    <w:p>
      <w:pPr>
        <w:spacing w:after="0" w:line="79"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BUILDING MATERIALS BUSINESS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Reportable Segments</w:t>
            </w:r>
          </w:p>
        </w:tc>
        <w:tc>
          <w:tcPr>
            <w:tcW w:w="180" w:type="dxa"/>
            <w:vAlign w:val="bottom"/>
            <w:tcBorders>
              <w:top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ind w:left="1360"/>
              <w:spacing w:after="0" w:line="223" w:lineRule="exact"/>
              <w:rPr>
                <w:sz w:val="20"/>
                <w:szCs w:val="20"/>
                <w:color w:val="auto"/>
              </w:rPr>
            </w:pPr>
            <w:r>
              <w:rPr>
                <w:rFonts w:ascii="Arial" w:cs="Arial" w:eastAsia="Arial" w:hAnsi="Arial"/>
                <w:sz w:val="20"/>
                <w:szCs w:val="20"/>
                <w:color w:val="auto"/>
              </w:rPr>
              <w:t>East Group</w:t>
            </w:r>
          </w:p>
        </w:tc>
        <w:tc>
          <w:tcPr>
            <w:tcW w:w="180" w:type="dxa"/>
            <w:vAlign w:val="bottom"/>
            <w:tcBorders>
              <w:top w:val="single" w:sz="8" w:color="auto"/>
            </w:tcBorders>
          </w:tcPr>
          <w:p>
            <w:pPr>
              <w:spacing w:after="0"/>
              <w:rPr>
                <w:sz w:val="19"/>
                <w:szCs w:val="19"/>
                <w:color w:val="auto"/>
              </w:rPr>
            </w:pPr>
          </w:p>
        </w:tc>
        <w:tc>
          <w:tcPr>
            <w:tcW w:w="4000" w:type="dxa"/>
            <w:vAlign w:val="bottom"/>
            <w:tcBorders>
              <w:top w:val="single" w:sz="8" w:color="auto"/>
              <w:bottom w:val="single" w:sz="8" w:color="auto"/>
            </w:tcBorders>
          </w:tcPr>
          <w:p>
            <w:pPr>
              <w:ind w:left="1480"/>
              <w:spacing w:after="0" w:line="223" w:lineRule="exact"/>
              <w:rPr>
                <w:sz w:val="20"/>
                <w:szCs w:val="20"/>
                <w:color w:val="auto"/>
              </w:rPr>
            </w:pPr>
            <w:r>
              <w:rPr>
                <w:rFonts w:ascii="Arial" w:cs="Arial" w:eastAsia="Arial" w:hAnsi="Arial"/>
                <w:sz w:val="20"/>
                <w:szCs w:val="20"/>
                <w:color w:val="auto"/>
              </w:rPr>
              <w:t>West Group</w:t>
            </w:r>
          </w:p>
        </w:tc>
      </w:tr>
      <w:tr>
        <w:trPr>
          <w:trHeight w:val="188"/>
        </w:trPr>
        <w:tc>
          <w:tcPr>
            <w:tcW w:w="3160" w:type="dxa"/>
            <w:vAlign w:val="bottom"/>
          </w:tcPr>
          <w:p>
            <w:pPr>
              <w:jc w:val="center"/>
              <w:spacing w:after="0" w:line="188" w:lineRule="exact"/>
              <w:rPr>
                <w:sz w:val="20"/>
                <w:szCs w:val="20"/>
                <w:color w:val="auto"/>
              </w:rPr>
            </w:pPr>
            <w:r>
              <w:rPr>
                <w:rFonts w:ascii="Arial" w:cs="Arial" w:eastAsia="Arial" w:hAnsi="Arial"/>
                <w:sz w:val="20"/>
                <w:szCs w:val="20"/>
                <w:color w:val="auto"/>
                <w:w w:val="99"/>
              </w:rPr>
              <w:t>Operating Locations</w:t>
            </w:r>
          </w:p>
        </w:tc>
        <w:tc>
          <w:tcPr>
            <w:tcW w:w="180" w:type="dxa"/>
            <w:vAlign w:val="bottom"/>
          </w:tcPr>
          <w:p>
            <w:pPr>
              <w:spacing w:after="0"/>
              <w:rPr>
                <w:sz w:val="16"/>
                <w:szCs w:val="16"/>
                <w:color w:val="auto"/>
              </w:rPr>
            </w:pPr>
          </w:p>
        </w:tc>
        <w:tc>
          <w:tcPr>
            <w:tcW w:w="3720" w:type="dxa"/>
            <w:vAlign w:val="bottom"/>
          </w:tcPr>
          <w:p>
            <w:pPr>
              <w:jc w:val="center"/>
              <w:spacing w:after="0" w:line="188" w:lineRule="exact"/>
              <w:rPr>
                <w:sz w:val="20"/>
                <w:szCs w:val="20"/>
                <w:color w:val="auto"/>
              </w:rPr>
            </w:pPr>
            <w:r>
              <w:rPr>
                <w:rFonts w:ascii="Arial" w:cs="Arial" w:eastAsia="Arial" w:hAnsi="Arial"/>
                <w:sz w:val="20"/>
                <w:szCs w:val="20"/>
                <w:color w:val="auto"/>
                <w:w w:val="99"/>
              </w:rPr>
              <w:t>Alabama, Florida, Georgia, Indiana,</w:t>
            </w:r>
          </w:p>
        </w:tc>
        <w:tc>
          <w:tcPr>
            <w:tcW w:w="180" w:type="dxa"/>
            <w:vAlign w:val="bottom"/>
          </w:tcPr>
          <w:p>
            <w:pPr>
              <w:spacing w:after="0"/>
              <w:rPr>
                <w:sz w:val="16"/>
                <w:szCs w:val="16"/>
                <w:color w:val="auto"/>
              </w:rPr>
            </w:pPr>
          </w:p>
        </w:tc>
        <w:tc>
          <w:tcPr>
            <w:tcW w:w="4000" w:type="dxa"/>
            <w:vAlign w:val="bottom"/>
          </w:tcPr>
          <w:p>
            <w:pPr>
              <w:jc w:val="center"/>
              <w:spacing w:after="0" w:line="188" w:lineRule="exact"/>
              <w:rPr>
                <w:sz w:val="20"/>
                <w:szCs w:val="20"/>
                <w:color w:val="auto"/>
              </w:rPr>
            </w:pPr>
            <w:r>
              <w:rPr>
                <w:rFonts w:ascii="Arial" w:cs="Arial" w:eastAsia="Arial" w:hAnsi="Arial"/>
                <w:sz w:val="20"/>
                <w:szCs w:val="20"/>
                <w:color w:val="auto"/>
                <w:w w:val="98"/>
              </w:rPr>
              <w:t>Arizona, Arkansas, California, Colorado,</w:t>
            </w: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Arial" w:cs="Arial" w:eastAsia="Arial" w:hAnsi="Arial"/>
                <w:sz w:val="20"/>
                <w:szCs w:val="20"/>
                <w:color w:val="auto"/>
                <w:w w:val="99"/>
              </w:rPr>
              <w:t>Iowa, Kansas, Kentucky, Maryland,</w:t>
            </w:r>
          </w:p>
        </w:tc>
        <w:tc>
          <w:tcPr>
            <w:tcW w:w="180" w:type="dxa"/>
            <w:vAlign w:val="bottom"/>
          </w:tcPr>
          <w:p>
            <w:pPr>
              <w:spacing w:after="0"/>
              <w:rPr>
                <w:sz w:val="18"/>
                <w:szCs w:val="18"/>
                <w:color w:val="auto"/>
              </w:rPr>
            </w:pPr>
          </w:p>
        </w:tc>
        <w:tc>
          <w:tcPr>
            <w:tcW w:w="4000" w:type="dxa"/>
            <w:vAlign w:val="bottom"/>
          </w:tcPr>
          <w:p>
            <w:pPr>
              <w:jc w:val="center"/>
              <w:spacing w:after="0" w:line="216" w:lineRule="exact"/>
              <w:rPr>
                <w:sz w:val="20"/>
                <w:szCs w:val="20"/>
                <w:color w:val="auto"/>
              </w:rPr>
            </w:pPr>
            <w:r>
              <w:rPr>
                <w:rFonts w:ascii="Arial" w:cs="Arial" w:eastAsia="Arial" w:hAnsi="Arial"/>
                <w:sz w:val="20"/>
                <w:szCs w:val="20"/>
                <w:color w:val="auto"/>
                <w:w w:val="98"/>
              </w:rPr>
              <w:t>Louisiana, Oklahoma, Texas, Utah,</w:t>
            </w: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ind w:left="900"/>
              <w:spacing w:after="0" w:line="216" w:lineRule="exact"/>
              <w:rPr>
                <w:sz w:val="20"/>
                <w:szCs w:val="20"/>
                <w:color w:val="auto"/>
              </w:rPr>
            </w:pPr>
            <w:r>
              <w:rPr>
                <w:rFonts w:ascii="Arial" w:cs="Arial" w:eastAsia="Arial" w:hAnsi="Arial"/>
                <w:sz w:val="20"/>
                <w:szCs w:val="20"/>
                <w:color w:val="auto"/>
              </w:rPr>
              <w:t>Minnesota, Missouri,</w:t>
            </w:r>
          </w:p>
        </w:tc>
        <w:tc>
          <w:tcPr>
            <w:tcW w:w="180" w:type="dxa"/>
            <w:vAlign w:val="bottom"/>
          </w:tcPr>
          <w:p>
            <w:pPr>
              <w:spacing w:after="0"/>
              <w:rPr>
                <w:sz w:val="18"/>
                <w:szCs w:val="18"/>
                <w:color w:val="auto"/>
              </w:rPr>
            </w:pPr>
          </w:p>
        </w:tc>
        <w:tc>
          <w:tcPr>
            <w:tcW w:w="4000" w:type="dxa"/>
            <w:vAlign w:val="bottom"/>
          </w:tcPr>
          <w:p>
            <w:pPr>
              <w:jc w:val="center"/>
              <w:ind w:right="21"/>
              <w:spacing w:after="0" w:line="216" w:lineRule="exact"/>
              <w:rPr>
                <w:sz w:val="20"/>
                <w:szCs w:val="20"/>
                <w:color w:val="auto"/>
              </w:rPr>
            </w:pPr>
            <w:r>
              <w:rPr>
                <w:rFonts w:ascii="Arial" w:cs="Arial" w:eastAsia="Arial" w:hAnsi="Arial"/>
                <w:sz w:val="20"/>
                <w:szCs w:val="20"/>
                <w:color w:val="auto"/>
                <w:w w:val="99"/>
              </w:rPr>
              <w:t>Washington and Wyoming</w:t>
            </w: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Arial" w:cs="Arial" w:eastAsia="Arial" w:hAnsi="Arial"/>
                <w:sz w:val="20"/>
                <w:szCs w:val="20"/>
                <w:color w:val="auto"/>
                <w:w w:val="98"/>
              </w:rPr>
              <w:t>Nebraska, North Carolina, Ohio,</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Arial" w:cs="Arial" w:eastAsia="Arial" w:hAnsi="Arial"/>
                <w:sz w:val="20"/>
                <w:szCs w:val="20"/>
                <w:color w:val="auto"/>
                <w:w w:val="99"/>
              </w:rPr>
              <w:t>Pennsylvania, South Carolina,</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Arial" w:cs="Arial" w:eastAsia="Arial" w:hAnsi="Arial"/>
                <w:sz w:val="20"/>
                <w:szCs w:val="20"/>
                <w:color w:val="auto"/>
                <w:w w:val="98"/>
              </w:rPr>
              <w:t>Tennessee, Virginia, West Virginia,</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61"/>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98"/>
              </w:rPr>
              <w:t>Nova Scotia and The Bahamas</w:t>
            </w:r>
          </w:p>
        </w:tc>
        <w:tc>
          <w:tcPr>
            <w:tcW w:w="18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387"/>
        </w:trPr>
        <w:tc>
          <w:tcPr>
            <w:tcW w:w="3160" w:type="dxa"/>
            <w:vAlign w:val="bottom"/>
          </w:tcPr>
          <w:p>
            <w:pPr>
              <w:jc w:val="center"/>
              <w:spacing w:after="0"/>
              <w:rPr>
                <w:sz w:val="20"/>
                <w:szCs w:val="20"/>
                <w:color w:val="auto"/>
              </w:rPr>
            </w:pPr>
            <w:r>
              <w:rPr>
                <w:rFonts w:ascii="Arial" w:cs="Arial" w:eastAsia="Arial" w:hAnsi="Arial"/>
                <w:sz w:val="20"/>
                <w:szCs w:val="20"/>
                <w:color w:val="auto"/>
                <w:w w:val="98"/>
              </w:rPr>
              <w:t>Products and Services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20"/>
                <w:szCs w:val="20"/>
                <w:color w:val="auto"/>
                <w:w w:val="99"/>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8"/>
              </w:rPr>
              <w:t>Aggregates, Cement, Ready Mixed</w:t>
            </w:r>
          </w:p>
        </w:tc>
      </w:tr>
      <w:tr>
        <w:trPr>
          <w:trHeight w:val="261"/>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9"/>
              </w:rPr>
              <w:t>Concrete, Asphalt and Paving Services</w:t>
            </w:r>
          </w:p>
        </w:tc>
      </w:tr>
    </w:tbl>
    <w:p>
      <w:pPr>
        <w:spacing w:after="0" w:line="144"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Company’s Specialties business (formerly known as the Magnesia Specialties business), which represents a separate reportable segment, has manufacturing facilities in Michigan, Ohio, Nevada, North Carolina, Indiana and Pennsylvania. The Specialties business produces high-purity magnesia-based products used in a wide range of environmental, industrial, agricultural and specialty applications, as well as dolomitic lime, which is primarily used as a fluxing agent in domestic steel production and as a key raw material in the Company's magnesia-based products. Dolomitic lime is also used in various other end use applications including soil stabilization.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 and Use of Estimates</w:t>
      </w:r>
    </w:p>
    <w:p>
      <w:pPr>
        <w:spacing w:after="0" w:line="96" w:lineRule="exact"/>
        <w:rPr>
          <w:sz w:val="20"/>
          <w:szCs w:val="20"/>
          <w:color w:val="auto"/>
        </w:rPr>
      </w:pPr>
    </w:p>
    <w:p>
      <w:pPr>
        <w:jc w:val="both"/>
        <w:ind w:left="380"/>
        <w:spacing w:after="0" w:line="228" w:lineRule="auto"/>
        <w:rPr>
          <w:sz w:val="20"/>
          <w:szCs w:val="20"/>
          <w:color w:val="auto"/>
        </w:rPr>
      </w:pPr>
      <w:r>
        <w:rPr>
          <w:rFonts w:ascii="Arial" w:cs="Arial" w:eastAsia="Arial" w:hAnsi="Arial"/>
          <w:sz w:val="20"/>
          <w:szCs w:val="20"/>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2024. In the opinion of management, the interim consolidated financial information provided herein reflects all adjustments, consisting of normal recurring accruals, necessary for a fair statement of the results of operations,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and cash flows for the interim periods. The consolidated results of operations for the three and nine months ended September 30, 2025 are not necessarily indicative of the results expected for other interim periods or the full year. The consolidated balance sheet at December 31, 2024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2024.</w:t>
      </w:r>
    </w:p>
    <w:p>
      <w:pPr>
        <w:spacing w:after="0" w:line="64"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Restricted Cash</w:t>
      </w:r>
    </w:p>
    <w:p>
      <w:pPr>
        <w:spacing w:after="0" w:line="96"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At September 30, 2025, the Company had restricted cash of $13 million. Of this amount, $9 million is invested in an account designated for the purchase of like-kind exchange replacement assets under Section 1031 of the Internal Revenue Code and related IRS procedures (Section 1031). The Company is restricted from utilizing the cash for purposes other than the purchase of qualified assets for a designated period from receipt of the proceeds from the sale of the exchanged assets. Any unused cash at the end of the 180 days is transferred to unrestricted accounts of the Company and used for general corporate purposes. The remaining $4 million represents a deposit held in a designated bank account to secure a letter of credit agreement. There was no restricted cash at December 31, 2024.</w:t>
      </w:r>
    </w:p>
    <w:p>
      <w:pPr>
        <w:spacing w:after="0" w:line="64"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The statements of cash flows reflect cash flow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September 30,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center"/>
              <w:ind w:left="261"/>
              <w:spacing w:after="0"/>
              <w:rPr>
                <w:sz w:val="20"/>
                <w:szCs w:val="20"/>
                <w:color w:val="auto"/>
              </w:rPr>
            </w:pPr>
            <w:r>
              <w:rPr>
                <w:rFonts w:ascii="Arial" w:cs="Arial" w:eastAsia="Arial" w:hAnsi="Arial"/>
                <w:sz w:val="20"/>
                <w:szCs w:val="20"/>
                <w:color w:val="auto"/>
                <w:w w:val="98"/>
              </w:rPr>
              <w:t>December 31,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20" w:type="dxa"/>
            <w:vAlign w:val="bottom"/>
          </w:tcPr>
          <w:p>
            <w:pPr>
              <w:spacing w:after="0"/>
              <w:rPr>
                <w:sz w:val="20"/>
                <w:szCs w:val="20"/>
                <w:color w:val="auto"/>
              </w:rPr>
            </w:pPr>
          </w:p>
        </w:tc>
        <w:tc>
          <w:tcPr>
            <w:tcW w:w="1680" w:type="dxa"/>
            <w:vAlign w:val="bottom"/>
          </w:tcPr>
          <w:p>
            <w:pPr>
              <w:jc w:val="right"/>
              <w:ind w:right="381"/>
              <w:spacing w:after="0"/>
              <w:rPr>
                <w:sz w:val="20"/>
                <w:szCs w:val="20"/>
                <w:color w:val="auto"/>
              </w:rPr>
            </w:pPr>
            <w:r>
              <w:rPr>
                <w:rFonts w:ascii="Arial" w:cs="Arial" w:eastAsia="Arial" w:hAnsi="Arial"/>
                <w:sz w:val="20"/>
                <w:szCs w:val="20"/>
                <w:color w:val="auto"/>
              </w:rPr>
              <w:t>2025</w:t>
            </w:r>
          </w:p>
        </w:tc>
        <w:tc>
          <w:tcPr>
            <w:tcW w:w="300" w:type="dxa"/>
            <w:vAlign w:val="bottom"/>
          </w:tcPr>
          <w:p>
            <w:pPr>
              <w:spacing w:after="0"/>
              <w:rPr>
                <w:sz w:val="20"/>
                <w:szCs w:val="20"/>
                <w:color w:val="auto"/>
              </w:rPr>
            </w:pPr>
          </w:p>
        </w:tc>
        <w:tc>
          <w:tcPr>
            <w:tcW w:w="1980" w:type="dxa"/>
            <w:vAlign w:val="bottom"/>
            <w:gridSpan w:val="2"/>
          </w:tcPr>
          <w:p>
            <w:pPr>
              <w:jc w:val="right"/>
              <w:ind w:right="321"/>
              <w:spacing w:after="0"/>
              <w:rPr>
                <w:sz w:val="20"/>
                <w:szCs w:val="20"/>
                <w:color w:val="auto"/>
              </w:rPr>
            </w:pPr>
            <w:r>
              <w:rPr>
                <w:rFonts w:ascii="Arial" w:cs="Arial" w:eastAsia="Arial" w:hAnsi="Arial"/>
                <w:sz w:val="20"/>
                <w:szCs w:val="20"/>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98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40" w:type="dxa"/>
            <w:vAlign w:val="bottom"/>
          </w:tcPr>
          <w:p>
            <w:pPr>
              <w:ind w:left="60"/>
              <w:spacing w:after="0" w:line="209" w:lineRule="exact"/>
              <w:rPr>
                <w:sz w:val="20"/>
                <w:szCs w:val="20"/>
                <w:color w:val="auto"/>
              </w:rPr>
            </w:pPr>
            <w:r>
              <w:rPr>
                <w:rFonts w:ascii="Arial" w:cs="Arial" w:eastAsia="Arial" w:hAnsi="Arial"/>
                <w:sz w:val="20"/>
                <w:szCs w:val="20"/>
                <w:i w:val="1"/>
                <w:iCs w:val="1"/>
                <w:color w:val="auto"/>
              </w:rPr>
              <w:t>in</w:t>
            </w:r>
          </w:p>
        </w:tc>
        <w:tc>
          <w:tcPr>
            <w:tcW w:w="164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Cash and cash equivalents</w:t>
            </w:r>
          </w:p>
        </w:tc>
        <w:tc>
          <w:tcPr>
            <w:tcW w:w="1680" w:type="dxa"/>
            <w:vAlign w:val="bottom"/>
            <w:shd w:val="clear" w:color="auto" w:fill="CFF0FC"/>
          </w:tcPr>
          <w:p>
            <w:pPr>
              <w:jc w:val="right"/>
              <w:ind w:right="1481"/>
              <w:spacing w:after="0" w:line="216" w:lineRule="exact"/>
              <w:rPr>
                <w:sz w:val="20"/>
                <w:szCs w:val="20"/>
                <w:color w:val="auto"/>
              </w:rPr>
            </w:pPr>
            <w:r>
              <w:rPr>
                <w:rFonts w:ascii="Arial" w:cs="Arial" w:eastAsia="Arial" w:hAnsi="Arial"/>
                <w:sz w:val="20"/>
                <w:szCs w:val="20"/>
                <w:color w:val="auto"/>
                <w:w w:val="71"/>
              </w:rPr>
              <w:t>$</w:t>
            </w:r>
          </w:p>
        </w:tc>
        <w:tc>
          <w:tcPr>
            <w:tcW w:w="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57</w:t>
            </w:r>
          </w:p>
        </w:tc>
        <w:tc>
          <w:tcPr>
            <w:tcW w:w="1980" w:type="dxa"/>
            <w:vAlign w:val="bottom"/>
            <w:gridSpan w:val="2"/>
            <w:shd w:val="clear" w:color="auto" w:fill="CFF0FC"/>
          </w:tcPr>
          <w:p>
            <w:pPr>
              <w:ind w:left="340"/>
              <w:spacing w:after="0" w:line="216" w:lineRule="exact"/>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95"/>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20"/>
                <w:szCs w:val="20"/>
                <w:color w:val="auto"/>
              </w:rPr>
              <w:t>Restricted cash</w:t>
            </w:r>
          </w:p>
        </w:tc>
        <w:tc>
          <w:tcPr>
            <w:tcW w:w="1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w:t>
            </w:r>
          </w:p>
        </w:tc>
        <w:tc>
          <w:tcPr>
            <w:tcW w:w="34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shd w:val="clear" w:color="auto" w:fill="CFF0FC"/>
          </w:tcPr>
          <w:p>
            <w:pPr>
              <w:spacing w:after="0" w:line="188" w:lineRule="exact"/>
              <w:rPr>
                <w:sz w:val="20"/>
                <w:szCs w:val="20"/>
                <w:color w:val="auto"/>
              </w:rPr>
            </w:pPr>
            <w:r>
              <w:rPr>
                <w:rFonts w:ascii="Arial" w:cs="Arial" w:eastAsia="Arial" w:hAnsi="Arial"/>
                <w:sz w:val="20"/>
                <w:szCs w:val="20"/>
                <w:color w:val="auto"/>
              </w:rPr>
              <w:t>Total cash, cash equivalents and restricted cash</w:t>
            </w:r>
          </w:p>
        </w:tc>
        <w:tc>
          <w:tcPr>
            <w:tcW w:w="1680" w:type="dxa"/>
            <w:vAlign w:val="bottom"/>
            <w:vMerge w:val="restart"/>
            <w:shd w:val="clear" w:color="auto" w:fill="CFF0FC"/>
          </w:tcPr>
          <w:p>
            <w:pPr>
              <w:jc w:val="right"/>
              <w:ind w:right="1481"/>
              <w:spacing w:after="0"/>
              <w:rPr>
                <w:sz w:val="20"/>
                <w:szCs w:val="20"/>
                <w:color w:val="auto"/>
              </w:rPr>
            </w:pPr>
            <w:r>
              <w:rPr>
                <w:rFonts w:ascii="Arial" w:cs="Arial" w:eastAsia="Arial" w:hAnsi="Arial"/>
                <w:sz w:val="20"/>
                <w:szCs w:val="20"/>
                <w:color w:val="auto"/>
                <w:w w:val="71"/>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70</w:t>
            </w:r>
          </w:p>
        </w:tc>
        <w:tc>
          <w:tcPr>
            <w:tcW w:w="340" w:type="dxa"/>
            <w:vAlign w:val="bottom"/>
            <w:vMerge w:val="restart"/>
            <w:shd w:val="clear" w:color="auto" w:fill="CFF0FC"/>
          </w:tcPr>
          <w:p>
            <w:pPr>
              <w:spacing w:after="0"/>
              <w:rPr>
                <w:sz w:val="16"/>
                <w:szCs w:val="16"/>
                <w:color w:val="auto"/>
              </w:rPr>
            </w:pPr>
          </w:p>
        </w:tc>
        <w:tc>
          <w:tcPr>
            <w:tcW w:w="164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95"/>
              </w:rPr>
              <w:t>670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CFF0FC"/>
            </w:tcBorders>
            <w:shd w:val="clear" w:color="auto" w:fill="CFF0FC"/>
          </w:tcPr>
          <w:p>
            <w:pPr>
              <w:ind w:left="180"/>
              <w:spacing w:after="0" w:line="177" w:lineRule="exact"/>
              <w:rPr>
                <w:sz w:val="20"/>
                <w:szCs w:val="20"/>
                <w:color w:val="auto"/>
              </w:rPr>
            </w:pPr>
            <w:r>
              <w:rPr>
                <w:rFonts w:ascii="Arial" w:cs="Arial" w:eastAsia="Arial" w:hAnsi="Arial"/>
                <w:sz w:val="20"/>
                <w:szCs w:val="20"/>
                <w:color w:val="auto"/>
              </w:rPr>
              <w:t>presented in the consolidated statements of cash flows</w:t>
            </w:r>
          </w:p>
        </w:tc>
        <w:tc>
          <w:tcPr>
            <w:tcW w:w="16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CFF0FC"/>
            </w:tcBorders>
            <w:vMerge w:val="continue"/>
            <w:shd w:val="clear" w:color="auto" w:fill="CFF0FC"/>
          </w:tcPr>
          <w:p>
            <w:pPr>
              <w:spacing w:after="0"/>
              <w:rPr>
                <w:sz w:val="20"/>
                <w:szCs w:val="20"/>
                <w:color w:val="auto"/>
              </w:rPr>
            </w:pPr>
          </w:p>
        </w:tc>
        <w:tc>
          <w:tcPr>
            <w:tcW w:w="164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 and Accumulated Other Comprehensive Loss</w:t>
      </w:r>
    </w:p>
    <w:p>
      <w:pPr>
        <w:spacing w:after="0" w:line="96"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Consolidated comprehensive earnings consist of consolidated net earnings, adjustments for the funded status of pension and postretirement benefit plans and foreign currency translation adjustments and are presented in the Company’s consolidated statements of earnings and comprehensive earnings.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Consolidated comprehensive earnings attributable to Martin Marietta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440" w:type="dxa"/>
            <w:vAlign w:val="bottom"/>
            <w:gridSpan w:val="4"/>
          </w:tcPr>
          <w:p>
            <w:pPr>
              <w:jc w:val="right"/>
              <w:ind w:right="1"/>
              <w:spacing w:after="0"/>
              <w:rPr>
                <w:sz w:val="20"/>
                <w:szCs w:val="20"/>
                <w:color w:val="auto"/>
              </w:rPr>
            </w:pPr>
            <w:r>
              <w:rPr>
                <w:rFonts w:ascii="Arial" w:cs="Arial" w:eastAsia="Arial" w:hAnsi="Arial"/>
                <w:sz w:val="20"/>
                <w:szCs w:val="20"/>
                <w:color w:val="auto"/>
              </w:rPr>
              <w:t>Three Months Ended</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20"/>
                <w:szCs w:val="20"/>
                <w:color w:val="auto"/>
                <w:w w:val="99"/>
              </w:rPr>
              <w:t>Nine Months Ended</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2440" w:type="dxa"/>
            <w:vAlign w:val="bottom"/>
            <w:gridSpan w:val="4"/>
          </w:tcPr>
          <w:p>
            <w:pPr>
              <w:jc w:val="right"/>
              <w:ind w:right="281"/>
              <w:spacing w:after="0"/>
              <w:rPr>
                <w:sz w:val="20"/>
                <w:szCs w:val="20"/>
                <w:color w:val="auto"/>
              </w:rPr>
            </w:pPr>
            <w:r>
              <w:rPr>
                <w:rFonts w:ascii="Arial" w:cs="Arial" w:eastAsia="Arial" w:hAnsi="Arial"/>
                <w:sz w:val="20"/>
                <w:szCs w:val="20"/>
                <w:color w:val="auto"/>
              </w:rPr>
              <w:t>September 30,</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20"/>
                <w:szCs w:val="20"/>
                <w:color w:val="auto"/>
                <w:w w:val="99"/>
              </w:rPr>
              <w:t>September 30,</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9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color w:val="auto"/>
              </w:rPr>
              <w:t>2024</w:t>
            </w:r>
          </w:p>
        </w:tc>
        <w:tc>
          <w:tcPr>
            <w:tcW w:w="400" w:type="dxa"/>
            <w:vAlign w:val="bottom"/>
            <w:tcBorders>
              <w:top w:val="single" w:sz="8" w:color="auto"/>
            </w:tcBorders>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41"/>
              <w:spacing w:after="0" w:line="209" w:lineRule="exact"/>
              <w:rPr>
                <w:sz w:val="20"/>
                <w:szCs w:val="20"/>
                <w:color w:val="auto"/>
              </w:rPr>
            </w:pPr>
            <w:r>
              <w:rPr>
                <w:rFonts w:ascii="Arial" w:cs="Arial" w:eastAsia="Arial" w:hAnsi="Arial"/>
                <w:sz w:val="20"/>
                <w:szCs w:val="20"/>
                <w:color w:val="auto"/>
              </w:rPr>
              <w:t>2025</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4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8"/>
                <w:szCs w:val="18"/>
                <w:color w:val="auto"/>
              </w:rPr>
            </w:pPr>
          </w:p>
        </w:tc>
        <w:tc>
          <w:tcPr>
            <w:tcW w:w="130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Net earnings attributable to Martin Marietta</w:t>
            </w:r>
          </w:p>
        </w:tc>
        <w:tc>
          <w:tcPr>
            <w:tcW w:w="900" w:type="dxa"/>
            <w:vAlign w:val="bottom"/>
            <w:shd w:val="clear" w:color="auto" w:fill="CFF0FC"/>
          </w:tcPr>
          <w:p>
            <w:pPr>
              <w:jc w:val="right"/>
              <w:ind w:right="701"/>
              <w:spacing w:after="0" w:line="216" w:lineRule="exact"/>
              <w:rPr>
                <w:sz w:val="20"/>
                <w:szCs w:val="20"/>
                <w:color w:val="auto"/>
              </w:rPr>
            </w:pPr>
            <w:r>
              <w:rPr>
                <w:rFonts w:ascii="Arial" w:cs="Arial" w:eastAsia="Arial" w:hAnsi="Arial"/>
                <w:sz w:val="20"/>
                <w:szCs w:val="20"/>
                <w:color w:val="auto"/>
                <w:w w:val="71"/>
              </w:rPr>
              <w:t>$</w:t>
            </w:r>
          </w:p>
        </w:tc>
        <w:tc>
          <w:tcPr>
            <w:tcW w:w="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414</w:t>
            </w:r>
          </w:p>
        </w:tc>
        <w:tc>
          <w:tcPr>
            <w:tcW w:w="1140" w:type="dxa"/>
            <w:vAlign w:val="bottom"/>
            <w:gridSpan w:val="2"/>
            <w:shd w:val="clear" w:color="auto" w:fill="CFF0FC"/>
          </w:tcPr>
          <w:p>
            <w:pPr>
              <w:jc w:val="right"/>
              <w:ind w:right="701"/>
              <w:spacing w:after="0" w:line="216" w:lineRule="exact"/>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363</w:t>
            </w:r>
          </w:p>
        </w:tc>
        <w:tc>
          <w:tcPr>
            <w:tcW w:w="500" w:type="dxa"/>
            <w:vAlign w:val="bottom"/>
            <w:gridSpan w:val="2"/>
            <w:shd w:val="clear" w:color="auto" w:fill="CFF0FC"/>
          </w:tcPr>
          <w:p>
            <w:pPr>
              <w:ind w:left="240"/>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858</w:t>
            </w:r>
          </w:p>
        </w:tc>
        <w:tc>
          <w:tcPr>
            <w:tcW w:w="500" w:type="dxa"/>
            <w:vAlign w:val="bottom"/>
            <w:gridSpan w:val="2"/>
            <w:shd w:val="clear" w:color="auto" w:fill="CFF0FC"/>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Arial" w:cs="Arial" w:eastAsia="Arial" w:hAnsi="Arial"/>
                <w:sz w:val="20"/>
                <w:szCs w:val="20"/>
                <w:color w:val="auto"/>
              </w:rPr>
              <w:t>Other comprehensive earnings, net of tax</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20" w:type="dxa"/>
            <w:vAlign w:val="bottom"/>
            <w:shd w:val="clear" w:color="auto" w:fill="CFF0FC"/>
          </w:tcPr>
          <w:p>
            <w:pPr>
              <w:spacing w:after="0" w:line="188" w:lineRule="exact"/>
              <w:rPr>
                <w:sz w:val="20"/>
                <w:szCs w:val="20"/>
                <w:color w:val="auto"/>
              </w:rPr>
            </w:pPr>
            <w:r>
              <w:rPr>
                <w:rFonts w:ascii="Arial" w:cs="Arial" w:eastAsia="Arial" w:hAnsi="Arial"/>
                <w:sz w:val="20"/>
                <w:szCs w:val="20"/>
                <w:color w:val="auto"/>
              </w:rPr>
              <w:t>Consolidated comprehensive earnings</w:t>
            </w:r>
          </w:p>
        </w:tc>
        <w:tc>
          <w:tcPr>
            <w:tcW w:w="900" w:type="dxa"/>
            <w:vAlign w:val="bottom"/>
            <w:vMerge w:val="restart"/>
            <w:shd w:val="clear" w:color="auto" w:fill="CFF0FC"/>
          </w:tcPr>
          <w:p>
            <w:pPr>
              <w:jc w:val="right"/>
              <w:ind w:right="701"/>
              <w:spacing w:after="0"/>
              <w:rPr>
                <w:sz w:val="20"/>
                <w:szCs w:val="20"/>
                <w:color w:val="auto"/>
              </w:rPr>
            </w:pPr>
            <w:r>
              <w:rPr>
                <w:rFonts w:ascii="Arial" w:cs="Arial" w:eastAsia="Arial" w:hAnsi="Arial"/>
                <w:sz w:val="20"/>
                <w:szCs w:val="20"/>
                <w:color w:val="auto"/>
                <w:w w:val="71"/>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418</w:t>
            </w:r>
          </w:p>
        </w:tc>
        <w:tc>
          <w:tcPr>
            <w:tcW w:w="1140" w:type="dxa"/>
            <w:vAlign w:val="bottom"/>
            <w:gridSpan w:val="2"/>
            <w:vMerge w:val="restart"/>
            <w:shd w:val="clear" w:color="auto" w:fill="CFF0FC"/>
          </w:tcPr>
          <w:p>
            <w:pPr>
              <w:jc w:val="right"/>
              <w:ind w:right="701"/>
              <w:spacing w:after="0"/>
              <w:rPr>
                <w:sz w:val="20"/>
                <w:szCs w:val="20"/>
                <w:color w:val="auto"/>
              </w:rPr>
            </w:pPr>
            <w:r>
              <w:rPr>
                <w:rFonts w:ascii="Arial" w:cs="Arial" w:eastAsia="Arial" w:hAnsi="Arial"/>
                <w:sz w:val="20"/>
                <w:szCs w:val="20"/>
                <w:color w:val="auto"/>
              </w:rPr>
              <w:t>$</w:t>
            </w: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365</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866</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1,704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FF0FC"/>
          </w:tcPr>
          <w:p>
            <w:pPr>
              <w:ind w:left="180"/>
              <w:spacing w:after="0" w:line="177" w:lineRule="exact"/>
              <w:rPr>
                <w:sz w:val="20"/>
                <w:szCs w:val="20"/>
                <w:color w:val="auto"/>
              </w:rPr>
            </w:pPr>
            <w:r>
              <w:rPr>
                <w:rFonts w:ascii="Arial" w:cs="Arial" w:eastAsia="Arial" w:hAnsi="Arial"/>
                <w:sz w:val="20"/>
                <w:szCs w:val="20"/>
                <w:color w:val="auto"/>
              </w:rPr>
              <w:t>attributable to Martin Marietta</w:t>
            </w:r>
          </w:p>
        </w:tc>
        <w:tc>
          <w:tcPr>
            <w:tcW w:w="900" w:type="dxa"/>
            <w:vAlign w:val="bottom"/>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Accumulated other comprehensive loss consists of unrecognized gains and losses related to the funded status of the pension and postretirement benefit plans and foreign currency translation adjustments and is presented on the Company’s consolidated balance sheets.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components of the changes in accumulated other comprehensive loss, net of tax,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9"/>
                <w:szCs w:val="19"/>
                <w:i w:val="1"/>
                <w:iCs w:val="1"/>
                <w:color w:val="auto"/>
                <w:w w:val="99"/>
              </w:rPr>
              <w:t>(Dollars in Millions)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spacing w:after="0" w:line="196" w:lineRule="exact"/>
              <w:rPr>
                <w:sz w:val="20"/>
                <w:szCs w:val="20"/>
                <w:color w:val="auto"/>
              </w:rPr>
            </w:pPr>
            <w:r>
              <w:rPr>
                <w:rFonts w:ascii="Arial" w:cs="Arial" w:eastAsia="Arial" w:hAnsi="Arial"/>
                <w:sz w:val="19"/>
                <w:szCs w:val="19"/>
                <w:color w:val="auto"/>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rPr>
              <w:t>Pension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left="246"/>
              <w:spacing w:after="0" w:line="216" w:lineRule="exact"/>
              <w:rPr>
                <w:sz w:val="20"/>
                <w:szCs w:val="20"/>
                <w:color w:val="auto"/>
              </w:rPr>
            </w:pPr>
            <w:r>
              <w:rPr>
                <w:rFonts w:ascii="Arial" w:cs="Arial" w:eastAsia="Arial" w:hAnsi="Arial"/>
                <w:sz w:val="19"/>
                <w:szCs w:val="19"/>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rPr>
              <w:t>Postretirement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center"/>
              <w:ind w:right="120"/>
              <w:spacing w:after="0" w:line="216" w:lineRule="exact"/>
              <w:rPr>
                <w:sz w:val="20"/>
                <w:szCs w:val="20"/>
                <w:color w:val="auto"/>
              </w:rPr>
            </w:pPr>
            <w:r>
              <w:rPr>
                <w:rFonts w:ascii="Arial" w:cs="Arial" w:eastAsia="Arial" w:hAnsi="Arial"/>
                <w:sz w:val="19"/>
                <w:szCs w:val="19"/>
                <w:color w:val="auto"/>
              </w:rPr>
              <w:t>Comprehensive</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6"/>
              <w:spacing w:after="0"/>
              <w:rPr>
                <w:sz w:val="20"/>
                <w:szCs w:val="20"/>
                <w:color w:val="auto"/>
              </w:rPr>
            </w:pPr>
            <w:r>
              <w:rPr>
                <w:rFonts w:ascii="Arial" w:cs="Arial" w:eastAsia="Arial" w:hAnsi="Arial"/>
                <w:sz w:val="19"/>
                <w:szCs w:val="19"/>
                <w:color w:val="auto"/>
              </w:rPr>
              <w:t>Benefit Plans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w w:val="99"/>
              </w:rPr>
              <w:t>Foreign Currency</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center"/>
              <w:ind w:left="306"/>
              <w:spacing w:after="0"/>
              <w:rPr>
                <w:sz w:val="20"/>
                <w:szCs w:val="20"/>
                <w:color w:val="auto"/>
              </w:rPr>
            </w:pPr>
            <w:r>
              <w:rPr>
                <w:rFonts w:ascii="Arial" w:cs="Arial" w:eastAsia="Arial" w:hAnsi="Arial"/>
                <w:sz w:val="19"/>
                <w:szCs w:val="19"/>
                <w:color w:val="auto"/>
                <w:w w:val="94"/>
              </w:rPr>
              <w:t>Loss</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7"/>
          </w:tcPr>
          <w:p>
            <w:pPr>
              <w:jc w:val="center"/>
              <w:ind w:left="206"/>
              <w:spacing w:after="0" w:line="210" w:lineRule="exact"/>
              <w:rPr>
                <w:sz w:val="20"/>
                <w:szCs w:val="20"/>
                <w:color w:val="auto"/>
              </w:rPr>
            </w:pPr>
            <w:r>
              <w:rPr>
                <w:rFonts w:ascii="Arial" w:cs="Arial" w:eastAsia="Arial" w:hAnsi="Arial"/>
                <w:sz w:val="19"/>
                <w:szCs w:val="19"/>
                <w:color w:val="auto"/>
                <w:w w:val="99"/>
              </w:rPr>
              <w:t>Three Months Ended September 30, 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ind w:right="80"/>
              <w:spacing w:after="0" w:line="210" w:lineRule="exact"/>
              <w:rPr>
                <w:sz w:val="20"/>
                <w:szCs w:val="20"/>
                <w:color w:val="auto"/>
              </w:rPr>
            </w:pPr>
            <w:r>
              <w:rPr>
                <w:rFonts w:ascii="Arial" w:cs="Arial" w:eastAsia="Arial" w:hAnsi="Arial"/>
                <w:sz w:val="19"/>
                <w:szCs w:val="19"/>
                <w:color w:val="auto"/>
              </w:rPr>
              <w:t>(7)</w:t>
            </w:r>
          </w:p>
        </w:tc>
        <w:tc>
          <w:tcPr>
            <w:tcW w:w="82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9"/>
                <w:szCs w:val="19"/>
                <w:color w:val="auto"/>
              </w:rPr>
              <w:t>$</w:t>
            </w:r>
          </w:p>
        </w:tc>
        <w:tc>
          <w:tcPr>
            <w:tcW w:w="1080" w:type="dxa"/>
            <w:vAlign w:val="bottom"/>
            <w:gridSpan w:val="2"/>
            <w:shd w:val="clear" w:color="auto" w:fill="CFF0FC"/>
          </w:tcPr>
          <w:p>
            <w:pPr>
              <w:jc w:val="right"/>
              <w:ind w:right="200"/>
              <w:spacing w:after="0" w:line="210" w:lineRule="exact"/>
              <w:rPr>
                <w:sz w:val="20"/>
                <w:szCs w:val="20"/>
                <w:color w:val="auto"/>
              </w:rPr>
            </w:pPr>
            <w:r>
              <w:rPr>
                <w:rFonts w:ascii="Arial" w:cs="Arial" w:eastAsia="Arial" w:hAnsi="Arial"/>
                <w:sz w:val="19"/>
                <w:szCs w:val="19"/>
                <w:color w:val="auto"/>
              </w:rPr>
              <w:t>(2)</w:t>
            </w:r>
          </w:p>
        </w:tc>
        <w:tc>
          <w:tcPr>
            <w:tcW w:w="1100" w:type="dxa"/>
            <w:vAlign w:val="bottom"/>
            <w:shd w:val="clear" w:color="auto" w:fill="CFF0FC"/>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210" w:lineRule="exact"/>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9"/>
                <w:szCs w:val="19"/>
                <w:color w:val="auto"/>
              </w:rPr>
              <w:t>Other comprehensive loss before reclassifications,</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19"/>
                <w:szCs w:val="19"/>
                <w:color w:val="auto"/>
              </w:rPr>
              <w:t>net of tax</w:t>
            </w: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9"/>
                <w:szCs w:val="19"/>
                <w:color w:val="auto"/>
              </w:rPr>
              <w:t>(1)</w:t>
            </w:r>
          </w:p>
        </w:tc>
        <w:tc>
          <w:tcPr>
            <w:tcW w:w="1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2"/>
        </w:trPr>
        <w:tc>
          <w:tcPr>
            <w:tcW w:w="6060" w:type="dxa"/>
            <w:vAlign w:val="bottom"/>
            <w:shd w:val="clear" w:color="auto" w:fill="CFF0FC"/>
          </w:tcPr>
          <w:p>
            <w:pPr>
              <w:spacing w:after="0" w:line="203"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vMerge w:val="restart"/>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tcBorders>
            <w:shd w:val="clear" w:color="auto" w:fill="CFF0FC"/>
          </w:tcPr>
          <w:p>
            <w:pPr>
              <w:ind w:left="160"/>
              <w:spacing w:after="0" w:line="216" w:lineRule="exact"/>
              <w:rPr>
                <w:sz w:val="20"/>
                <w:szCs w:val="20"/>
                <w:color w:val="auto"/>
              </w:rPr>
            </w:pPr>
            <w:r>
              <w:rPr>
                <w:rFonts w:ascii="Arial" w:cs="Arial" w:eastAsia="Arial" w:hAnsi="Arial"/>
                <w:sz w:val="19"/>
                <w:szCs w:val="19"/>
                <w:color w:val="auto"/>
              </w:rPr>
              <w:t>comprehensive loss, net of tax</w:t>
            </w: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vMerge w:val="continue"/>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210" w:lineRule="exact"/>
              <w:rPr>
                <w:sz w:val="20"/>
                <w:szCs w:val="20"/>
                <w:color w:val="auto"/>
              </w:rPr>
            </w:pPr>
            <w:r>
              <w:rPr>
                <w:rFonts w:ascii="Arial" w:cs="Arial" w:eastAsia="Arial" w:hAnsi="Arial"/>
                <w:sz w:val="19"/>
                <w:szCs w:val="19"/>
                <w:color w:val="auto"/>
              </w:rPr>
              <w:t>Other comprehensive earnings (loss), net of tax</w:t>
            </w:r>
          </w:p>
        </w:tc>
        <w:tc>
          <w:tcPr>
            <w:tcW w:w="10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Arial" w:cs="Arial" w:eastAsia="Arial" w:hAnsi="Arial"/>
                <w:sz w:val="19"/>
                <w:szCs w:val="19"/>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gridSpan w:val="2"/>
          </w:tcPr>
          <w:p>
            <w:pPr>
              <w:jc w:val="right"/>
              <w:ind w:right="200"/>
              <w:spacing w:after="0" w:line="210" w:lineRule="exact"/>
              <w:rPr>
                <w:sz w:val="20"/>
                <w:szCs w:val="20"/>
                <w:color w:val="auto"/>
              </w:rPr>
            </w:pPr>
            <w:r>
              <w:rPr>
                <w:rFonts w:ascii="Arial" w:cs="Arial" w:eastAsia="Arial" w:hAnsi="Arial"/>
                <w:sz w:val="19"/>
                <w:szCs w:val="19"/>
                <w:color w:val="auto"/>
              </w:rPr>
              <w:t>(1)</w:t>
            </w:r>
          </w:p>
        </w:tc>
        <w:tc>
          <w:tcPr>
            <w:tcW w:w="1100" w:type="dxa"/>
            <w:vAlign w:val="bottom"/>
          </w:tcPr>
          <w:p>
            <w:pPr>
              <w:spacing w:after="0"/>
              <w:rPr>
                <w:sz w:val="18"/>
                <w:szCs w:val="18"/>
                <w:color w:val="auto"/>
              </w:rPr>
            </w:pPr>
          </w:p>
        </w:tc>
        <w:tc>
          <w:tcPr>
            <w:tcW w:w="420" w:type="dxa"/>
            <w:vAlign w:val="bottom"/>
          </w:tcPr>
          <w:p>
            <w:pPr>
              <w:jc w:val="right"/>
              <w:spacing w:after="0" w:line="210" w:lineRule="exact"/>
              <w:rPr>
                <w:sz w:val="20"/>
                <w:szCs w:val="20"/>
                <w:color w:val="auto"/>
              </w:rPr>
            </w:pPr>
            <w:r>
              <w:rPr>
                <w:rFonts w:ascii="Arial" w:cs="Arial" w:eastAsia="Arial" w:hAnsi="Arial"/>
                <w:sz w:val="19"/>
                <w:szCs w:val="19"/>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9"/>
                <w:szCs w:val="19"/>
                <w:color w:val="auto"/>
              </w:rPr>
              <w:t>(2)</w:t>
            </w:r>
          </w:p>
        </w:tc>
        <w:tc>
          <w:tcPr>
            <w:tcW w:w="8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9"/>
                <w:szCs w:val="19"/>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9"/>
                <w:szCs w:val="19"/>
                <w:color w:val="auto"/>
              </w:rPr>
              <w:t>(3)</w:t>
            </w:r>
          </w:p>
        </w:tc>
        <w:tc>
          <w:tcPr>
            <w:tcW w:w="1100" w:type="dxa"/>
            <w:vAlign w:val="bottom"/>
            <w:shd w:val="clear" w:color="auto" w:fill="CFF0FC"/>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center"/>
              <w:ind w:left="206"/>
              <w:spacing w:after="0"/>
              <w:rPr>
                <w:sz w:val="20"/>
                <w:szCs w:val="20"/>
                <w:color w:val="auto"/>
              </w:rPr>
            </w:pPr>
            <w:r>
              <w:rPr>
                <w:rFonts w:ascii="Arial" w:cs="Arial" w:eastAsia="Arial" w:hAnsi="Arial"/>
                <w:sz w:val="19"/>
                <w:szCs w:val="19"/>
                <w:color w:val="auto"/>
                <w:w w:val="99"/>
              </w:rPr>
              <w:t>Three Months Ended September 30, 2024</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ind w:right="80"/>
              <w:spacing w:after="0" w:line="210" w:lineRule="exact"/>
              <w:rPr>
                <w:sz w:val="20"/>
                <w:szCs w:val="20"/>
                <w:color w:val="auto"/>
              </w:rPr>
            </w:pPr>
            <w:r>
              <w:rPr>
                <w:rFonts w:ascii="Arial" w:cs="Arial" w:eastAsia="Arial" w:hAnsi="Arial"/>
                <w:sz w:val="19"/>
                <w:szCs w:val="19"/>
                <w:color w:val="auto"/>
              </w:rPr>
              <w:t>(46)</w:t>
            </w:r>
          </w:p>
        </w:tc>
        <w:tc>
          <w:tcPr>
            <w:tcW w:w="82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9"/>
                <w:szCs w:val="19"/>
                <w:color w:val="auto"/>
              </w:rPr>
              <w:t>$</w:t>
            </w:r>
          </w:p>
        </w:tc>
        <w:tc>
          <w:tcPr>
            <w:tcW w:w="1080" w:type="dxa"/>
            <w:vAlign w:val="bottom"/>
            <w:gridSpan w:val="2"/>
            <w:shd w:val="clear" w:color="auto" w:fill="CFF0FC"/>
          </w:tcPr>
          <w:p>
            <w:pPr>
              <w:jc w:val="right"/>
              <w:ind w:right="200"/>
              <w:spacing w:after="0" w:line="210" w:lineRule="exact"/>
              <w:rPr>
                <w:sz w:val="20"/>
                <w:szCs w:val="20"/>
                <w:color w:val="auto"/>
              </w:rPr>
            </w:pPr>
            <w:r>
              <w:rPr>
                <w:rFonts w:ascii="Arial" w:cs="Arial" w:eastAsia="Arial" w:hAnsi="Arial"/>
                <w:sz w:val="19"/>
                <w:szCs w:val="19"/>
                <w:color w:val="auto"/>
              </w:rPr>
              <w:t>(2)</w:t>
            </w:r>
          </w:p>
        </w:tc>
        <w:tc>
          <w:tcPr>
            <w:tcW w:w="1100" w:type="dxa"/>
            <w:vAlign w:val="bottom"/>
            <w:shd w:val="clear" w:color="auto" w:fill="CFF0FC"/>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210"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2</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top w:val="single" w:sz="8" w:color="CFF0FC"/>
            </w:tcBorders>
            <w:vMerge w:val="restart"/>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line="216" w:lineRule="exact"/>
              <w:rPr>
                <w:sz w:val="20"/>
                <w:szCs w:val="20"/>
                <w:color w:val="auto"/>
              </w:rPr>
            </w:pPr>
            <w:r>
              <w:rPr>
                <w:rFonts w:ascii="Arial" w:cs="Arial" w:eastAsia="Arial" w:hAnsi="Arial"/>
                <w:sz w:val="19"/>
                <w:szCs w:val="19"/>
                <w:color w:val="auto"/>
              </w:rPr>
              <w:t>comprehensive loss, net of tax</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shd w:val="clear" w:color="auto" w:fill="CFF0FC"/>
          </w:tcPr>
          <w:p>
            <w:pPr>
              <w:spacing w:after="0" w:line="210" w:lineRule="exact"/>
              <w:rPr>
                <w:sz w:val="20"/>
                <w:szCs w:val="20"/>
                <w:color w:val="auto"/>
              </w:rPr>
            </w:pPr>
            <w:r>
              <w:rPr>
                <w:rFonts w:ascii="Arial" w:cs="Arial" w:eastAsia="Arial" w:hAnsi="Arial"/>
                <w:sz w:val="19"/>
                <w:szCs w:val="19"/>
                <w:color w:val="auto"/>
              </w:rPr>
              <w:t>Other comprehensive earnings, net of tax</w:t>
            </w: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tcPr>
          <w:p>
            <w:pPr>
              <w:jc w:val="right"/>
              <w:spacing w:after="0" w:line="196" w:lineRule="exact"/>
              <w:rPr>
                <w:sz w:val="20"/>
                <w:szCs w:val="20"/>
                <w:color w:val="auto"/>
              </w:rPr>
            </w:pPr>
            <w:r>
              <w:rPr>
                <w:rFonts w:ascii="Arial" w:cs="Arial" w:eastAsia="Arial" w:hAnsi="Arial"/>
                <w:sz w:val="19"/>
                <w:szCs w:val="19"/>
                <w:color w:val="auto"/>
                <w:w w:val="75"/>
              </w:rPr>
              <w:t>$</w:t>
            </w:r>
          </w:p>
        </w:tc>
        <w:tc>
          <w:tcPr>
            <w:tcW w:w="1560" w:type="dxa"/>
            <w:vAlign w:val="bottom"/>
            <w:gridSpan w:val="2"/>
          </w:tcPr>
          <w:p>
            <w:pPr>
              <w:jc w:val="right"/>
              <w:ind w:right="80"/>
              <w:spacing w:after="0" w:line="196" w:lineRule="exact"/>
              <w:rPr>
                <w:sz w:val="20"/>
                <w:szCs w:val="20"/>
                <w:color w:val="auto"/>
              </w:rPr>
            </w:pPr>
            <w:r>
              <w:rPr>
                <w:rFonts w:ascii="Arial" w:cs="Arial" w:eastAsia="Arial" w:hAnsi="Arial"/>
                <w:sz w:val="19"/>
                <w:szCs w:val="19"/>
                <w:color w:val="auto"/>
              </w:rPr>
              <w:t>(44)</w:t>
            </w:r>
          </w:p>
        </w:tc>
        <w:tc>
          <w:tcPr>
            <w:tcW w:w="820" w:type="dxa"/>
            <w:vAlign w:val="bottom"/>
            <w:gridSpan w:val="2"/>
          </w:tcPr>
          <w:p>
            <w:pPr>
              <w:ind w:left="120"/>
              <w:spacing w:after="0" w:line="196" w:lineRule="exact"/>
              <w:rPr>
                <w:sz w:val="20"/>
                <w:szCs w:val="20"/>
                <w:color w:val="auto"/>
              </w:rPr>
            </w:pPr>
            <w:r>
              <w:rPr>
                <w:rFonts w:ascii="Arial" w:cs="Arial" w:eastAsia="Arial" w:hAnsi="Arial"/>
                <w:sz w:val="19"/>
                <w:szCs w:val="19"/>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9"/>
                <w:szCs w:val="19"/>
                <w:color w:val="auto"/>
              </w:rPr>
              <w:t>(2)</w:t>
            </w:r>
          </w:p>
        </w:tc>
        <w:tc>
          <w:tcPr>
            <w:tcW w:w="1100" w:type="dxa"/>
            <w:vAlign w:val="bottom"/>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520" w:type="dxa"/>
            <w:vAlign w:val="bottom"/>
            <w:gridSpan w:val="2"/>
          </w:tcPr>
          <w:p>
            <w:pPr>
              <w:jc w:val="right"/>
              <w:ind w:right="40"/>
              <w:spacing w:after="0" w:line="196" w:lineRule="exact"/>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-1876425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-1876425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-1328420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-1328420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-1036320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-1019175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-1036320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-1019175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-591185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-591185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9"/>
                <w:szCs w:val="19"/>
                <w:i w:val="1"/>
                <w:iCs w:val="1"/>
                <w:color w:val="auto"/>
                <w:w w:val="99"/>
              </w:rPr>
              <w:t>(Dollars in Millions)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spacing w:after="0" w:line="196" w:lineRule="exact"/>
              <w:rPr>
                <w:sz w:val="20"/>
                <w:szCs w:val="20"/>
                <w:color w:val="auto"/>
              </w:rPr>
            </w:pPr>
            <w:r>
              <w:rPr>
                <w:rFonts w:ascii="Arial" w:cs="Arial" w:eastAsia="Arial" w:hAnsi="Arial"/>
                <w:sz w:val="19"/>
                <w:szCs w:val="19"/>
                <w:color w:val="auto"/>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rPr>
              <w:t>Pension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left="246"/>
              <w:spacing w:after="0" w:line="216" w:lineRule="exact"/>
              <w:rPr>
                <w:sz w:val="20"/>
                <w:szCs w:val="20"/>
                <w:color w:val="auto"/>
              </w:rPr>
            </w:pPr>
            <w:r>
              <w:rPr>
                <w:rFonts w:ascii="Arial" w:cs="Arial" w:eastAsia="Arial" w:hAnsi="Arial"/>
                <w:sz w:val="19"/>
                <w:szCs w:val="19"/>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rPr>
              <w:t>Postretirement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center"/>
              <w:ind w:right="120"/>
              <w:spacing w:after="0" w:line="216" w:lineRule="exact"/>
              <w:rPr>
                <w:sz w:val="20"/>
                <w:szCs w:val="20"/>
                <w:color w:val="auto"/>
              </w:rPr>
            </w:pPr>
            <w:r>
              <w:rPr>
                <w:rFonts w:ascii="Arial" w:cs="Arial" w:eastAsia="Arial" w:hAnsi="Arial"/>
                <w:sz w:val="19"/>
                <w:szCs w:val="19"/>
                <w:color w:val="auto"/>
              </w:rPr>
              <w:t>Comprehensive</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6"/>
              <w:spacing w:after="0"/>
              <w:rPr>
                <w:sz w:val="20"/>
                <w:szCs w:val="20"/>
                <w:color w:val="auto"/>
              </w:rPr>
            </w:pPr>
            <w:r>
              <w:rPr>
                <w:rFonts w:ascii="Arial" w:cs="Arial" w:eastAsia="Arial" w:hAnsi="Arial"/>
                <w:sz w:val="19"/>
                <w:szCs w:val="19"/>
                <w:color w:val="auto"/>
              </w:rPr>
              <w:t>Benefit Plans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w w:val="99"/>
              </w:rPr>
              <w:t>Foreign Currency</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center"/>
              <w:ind w:left="306"/>
              <w:spacing w:after="0"/>
              <w:rPr>
                <w:sz w:val="20"/>
                <w:szCs w:val="20"/>
                <w:color w:val="auto"/>
              </w:rPr>
            </w:pPr>
            <w:r>
              <w:rPr>
                <w:rFonts w:ascii="Arial" w:cs="Arial" w:eastAsia="Arial" w:hAnsi="Arial"/>
                <w:sz w:val="19"/>
                <w:szCs w:val="19"/>
                <w:color w:val="auto"/>
                <w:w w:val="94"/>
              </w:rPr>
              <w:t>Loss</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7"/>
          </w:tcPr>
          <w:p>
            <w:pPr>
              <w:jc w:val="center"/>
              <w:ind w:left="206"/>
              <w:spacing w:after="0" w:line="210" w:lineRule="exact"/>
              <w:rPr>
                <w:sz w:val="20"/>
                <w:szCs w:val="20"/>
                <w:color w:val="auto"/>
              </w:rPr>
            </w:pPr>
            <w:r>
              <w:rPr>
                <w:rFonts w:ascii="Arial" w:cs="Arial" w:eastAsia="Arial" w:hAnsi="Arial"/>
                <w:sz w:val="19"/>
                <w:szCs w:val="19"/>
                <w:color w:val="auto"/>
                <w:w w:val="99"/>
              </w:rPr>
              <w:t>Nine Months Ended September 30, 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ind w:right="80"/>
              <w:spacing w:after="0" w:line="210" w:lineRule="exact"/>
              <w:rPr>
                <w:sz w:val="20"/>
                <w:szCs w:val="20"/>
                <w:color w:val="auto"/>
              </w:rPr>
            </w:pPr>
            <w:r>
              <w:rPr>
                <w:rFonts w:ascii="Arial" w:cs="Arial" w:eastAsia="Arial" w:hAnsi="Arial"/>
                <w:sz w:val="19"/>
                <w:szCs w:val="19"/>
                <w:color w:val="auto"/>
              </w:rPr>
              <w:t>(9)</w:t>
            </w:r>
          </w:p>
        </w:tc>
        <w:tc>
          <w:tcPr>
            <w:tcW w:w="82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9"/>
                <w:szCs w:val="19"/>
                <w:color w:val="auto"/>
              </w:rPr>
              <w:t>$</w:t>
            </w:r>
          </w:p>
        </w:tc>
        <w:tc>
          <w:tcPr>
            <w:tcW w:w="1080" w:type="dxa"/>
            <w:vAlign w:val="bottom"/>
            <w:gridSpan w:val="2"/>
            <w:shd w:val="clear" w:color="auto" w:fill="CFF0FC"/>
          </w:tcPr>
          <w:p>
            <w:pPr>
              <w:jc w:val="right"/>
              <w:ind w:right="200"/>
              <w:spacing w:after="0" w:line="210" w:lineRule="exact"/>
              <w:rPr>
                <w:sz w:val="20"/>
                <w:szCs w:val="20"/>
                <w:color w:val="auto"/>
              </w:rPr>
            </w:pPr>
            <w:r>
              <w:rPr>
                <w:rFonts w:ascii="Arial" w:cs="Arial" w:eastAsia="Arial" w:hAnsi="Arial"/>
                <w:sz w:val="19"/>
                <w:szCs w:val="19"/>
                <w:color w:val="auto"/>
              </w:rPr>
              <w:t>(4)</w:t>
            </w:r>
          </w:p>
        </w:tc>
        <w:tc>
          <w:tcPr>
            <w:tcW w:w="1100" w:type="dxa"/>
            <w:vAlign w:val="bottom"/>
            <w:shd w:val="clear" w:color="auto" w:fill="CFF0FC"/>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210" w:lineRule="exact"/>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9"/>
                <w:szCs w:val="19"/>
                <w:color w:val="auto"/>
              </w:rPr>
              <w:t>Other comprehensive earnings before reclassifications,</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19"/>
                <w:szCs w:val="19"/>
                <w:color w:val="auto"/>
              </w:rPr>
              <w:t>net of tax</w:t>
            </w: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FF0FC"/>
          </w:tcPr>
          <w:p>
            <w:pPr>
              <w:spacing w:after="0" w:line="203"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9"/>
                <w:szCs w:val="19"/>
                <w:color w:val="auto"/>
              </w:rPr>
              <w:t>—</w:t>
            </w:r>
          </w:p>
        </w:tc>
        <w:tc>
          <w:tcPr>
            <w:tcW w:w="110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60"/>
              <w:spacing w:after="0" w:line="216" w:lineRule="exact"/>
              <w:rPr>
                <w:sz w:val="20"/>
                <w:szCs w:val="20"/>
                <w:color w:val="auto"/>
              </w:rPr>
            </w:pPr>
            <w:r>
              <w:rPr>
                <w:rFonts w:ascii="Arial" w:cs="Arial" w:eastAsia="Arial" w:hAnsi="Arial"/>
                <w:sz w:val="19"/>
                <w:szCs w:val="19"/>
                <w:color w:val="auto"/>
              </w:rPr>
              <w:t>comprehensive loss, net of tax</w:t>
            </w:r>
          </w:p>
        </w:tc>
        <w:tc>
          <w:tcPr>
            <w:tcW w:w="10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FF0FC"/>
            </w:tcBorders>
          </w:tcPr>
          <w:p>
            <w:pPr>
              <w:spacing w:after="0" w:line="210" w:lineRule="exact"/>
              <w:rPr>
                <w:sz w:val="20"/>
                <w:szCs w:val="20"/>
                <w:color w:val="auto"/>
              </w:rPr>
            </w:pPr>
            <w:r>
              <w:rPr>
                <w:rFonts w:ascii="Arial" w:cs="Arial" w:eastAsia="Arial" w:hAnsi="Arial"/>
                <w:sz w:val="19"/>
                <w:szCs w:val="19"/>
                <w:color w:val="auto"/>
              </w:rPr>
              <w:t>Other comprehensive earnings, net of tax</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w:t>
            </w:r>
          </w:p>
        </w:tc>
        <w:tc>
          <w:tcPr>
            <w:tcW w:w="28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9"/>
                <w:szCs w:val="19"/>
                <w:color w:val="auto"/>
              </w:rPr>
              <w:t>(2)</w:t>
            </w:r>
          </w:p>
        </w:tc>
        <w:tc>
          <w:tcPr>
            <w:tcW w:w="8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9"/>
                <w:szCs w:val="19"/>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9"/>
                <w:szCs w:val="19"/>
                <w:color w:val="auto"/>
              </w:rPr>
              <w:t>(3)</w:t>
            </w:r>
          </w:p>
        </w:tc>
        <w:tc>
          <w:tcPr>
            <w:tcW w:w="1100" w:type="dxa"/>
            <w:vAlign w:val="bottom"/>
            <w:shd w:val="clear" w:color="auto" w:fill="CFF0FC"/>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restart"/>
          </w:tcPr>
          <w:p>
            <w:pPr>
              <w:spacing w:after="0"/>
              <w:rPr>
                <w:sz w:val="20"/>
                <w:szCs w:val="20"/>
                <w:color w:val="auto"/>
              </w:rPr>
            </w:pPr>
            <w:r>
              <w:rPr>
                <w:rFonts w:ascii="Arial" w:cs="Arial" w:eastAsia="Arial" w:hAnsi="Arial"/>
                <w:sz w:val="19"/>
                <w:szCs w:val="19"/>
                <w:color w:val="auto"/>
              </w:rPr>
              <w:t>Balance at beginning of period</w:t>
            </w: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center"/>
              <w:ind w:left="206"/>
              <w:spacing w:after="0"/>
              <w:rPr>
                <w:sz w:val="20"/>
                <w:szCs w:val="20"/>
                <w:color w:val="auto"/>
              </w:rPr>
            </w:pPr>
            <w:r>
              <w:rPr>
                <w:rFonts w:ascii="Arial" w:cs="Arial" w:eastAsia="Arial" w:hAnsi="Arial"/>
                <w:sz w:val="19"/>
                <w:szCs w:val="19"/>
                <w:color w:val="auto"/>
                <w:w w:val="99"/>
              </w:rPr>
              <w:t>Nine Months Ended September 30, 2024</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Arial" w:cs="Arial" w:eastAsia="Arial" w:hAnsi="Arial"/>
                <w:sz w:val="19"/>
                <w:szCs w:val="19"/>
                <w:color w:val="auto"/>
                <w:w w:val="75"/>
              </w:rPr>
              <w:t>$</w:t>
            </w:r>
          </w:p>
        </w:tc>
        <w:tc>
          <w:tcPr>
            <w:tcW w:w="1560" w:type="dxa"/>
            <w:vAlign w:val="bottom"/>
            <w:gridSpan w:val="2"/>
          </w:tcPr>
          <w:p>
            <w:pPr>
              <w:jc w:val="right"/>
              <w:ind w:right="80"/>
              <w:spacing w:after="0" w:line="210" w:lineRule="exact"/>
              <w:rPr>
                <w:sz w:val="20"/>
                <w:szCs w:val="20"/>
                <w:color w:val="auto"/>
              </w:rPr>
            </w:pPr>
            <w:r>
              <w:rPr>
                <w:rFonts w:ascii="Arial" w:cs="Arial" w:eastAsia="Arial" w:hAnsi="Arial"/>
                <w:sz w:val="19"/>
                <w:szCs w:val="19"/>
                <w:color w:val="auto"/>
              </w:rPr>
              <w:t>(48)</w:t>
            </w:r>
          </w:p>
        </w:tc>
        <w:tc>
          <w:tcPr>
            <w:tcW w:w="820" w:type="dxa"/>
            <w:vAlign w:val="bottom"/>
            <w:gridSpan w:val="2"/>
          </w:tcPr>
          <w:p>
            <w:pPr>
              <w:ind w:left="120"/>
              <w:spacing w:after="0" w:line="210" w:lineRule="exact"/>
              <w:rPr>
                <w:sz w:val="20"/>
                <w:szCs w:val="20"/>
                <w:color w:val="auto"/>
              </w:rPr>
            </w:pPr>
            <w:r>
              <w:rPr>
                <w:rFonts w:ascii="Arial" w:cs="Arial" w:eastAsia="Arial" w:hAnsi="Arial"/>
                <w:sz w:val="19"/>
                <w:szCs w:val="19"/>
                <w:color w:val="auto"/>
              </w:rPr>
              <w:t>$</w:t>
            </w:r>
          </w:p>
        </w:tc>
        <w:tc>
          <w:tcPr>
            <w:tcW w:w="1080" w:type="dxa"/>
            <w:vAlign w:val="bottom"/>
            <w:gridSpan w:val="2"/>
          </w:tcPr>
          <w:p>
            <w:pPr>
              <w:jc w:val="right"/>
              <w:ind w:right="200"/>
              <w:spacing w:after="0" w:line="210" w:lineRule="exact"/>
              <w:rPr>
                <w:sz w:val="20"/>
                <w:szCs w:val="20"/>
                <w:color w:val="auto"/>
              </w:rPr>
            </w:pPr>
            <w:r>
              <w:rPr>
                <w:rFonts w:ascii="Arial" w:cs="Arial" w:eastAsia="Arial" w:hAnsi="Arial"/>
                <w:sz w:val="19"/>
                <w:szCs w:val="19"/>
                <w:color w:val="auto"/>
              </w:rPr>
              <w:t>(1)</w:t>
            </w:r>
          </w:p>
        </w:tc>
        <w:tc>
          <w:tcPr>
            <w:tcW w:w="1100" w:type="dxa"/>
            <w:vAlign w:val="bottom"/>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420" w:type="dxa"/>
            <w:vAlign w:val="bottom"/>
          </w:tcPr>
          <w:p>
            <w:pPr>
              <w:jc w:val="right"/>
              <w:spacing w:after="0" w:line="210" w:lineRule="exact"/>
              <w:rPr>
                <w:sz w:val="20"/>
                <w:szCs w:val="20"/>
                <w:color w:val="auto"/>
              </w:rPr>
            </w:pPr>
            <w:r>
              <w:rPr>
                <w:rFonts w:ascii="Arial" w:cs="Arial" w:eastAsia="Arial" w:hAnsi="Arial"/>
                <w:sz w:val="19"/>
                <w:szCs w:val="19"/>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9"/>
                <w:szCs w:val="19"/>
                <w:color w:val="auto"/>
              </w:rPr>
              <w:t>Other comprehensive loss before reclassifications,</w:t>
            </w:r>
          </w:p>
        </w:tc>
        <w:tc>
          <w:tcPr>
            <w:tcW w:w="1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160"/>
              <w:spacing w:after="0"/>
              <w:rPr>
                <w:sz w:val="20"/>
                <w:szCs w:val="20"/>
                <w:color w:val="auto"/>
              </w:rPr>
            </w:pPr>
            <w:r>
              <w:rPr>
                <w:rFonts w:ascii="Arial" w:cs="Arial" w:eastAsia="Arial" w:hAnsi="Arial"/>
                <w:sz w:val="19"/>
                <w:szCs w:val="19"/>
                <w:color w:val="auto"/>
              </w:rPr>
              <w:t>net of tax</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9"/>
                <w:szCs w:val="19"/>
                <w:color w:val="auto"/>
              </w:rPr>
              <w:t>(1)</w:t>
            </w:r>
          </w:p>
        </w:tc>
        <w:tc>
          <w:tcPr>
            <w:tcW w:w="1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2"/>
        </w:trPr>
        <w:tc>
          <w:tcPr>
            <w:tcW w:w="6060" w:type="dxa"/>
            <w:vAlign w:val="bottom"/>
          </w:tcPr>
          <w:p>
            <w:pPr>
              <w:spacing w:after="0" w:line="203"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Arial" w:cs="Arial" w:eastAsia="Arial" w:hAnsi="Arial"/>
                <w:sz w:val="19"/>
                <w:szCs w:val="19"/>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280" w:type="dxa"/>
            <w:vAlign w:val="bottom"/>
            <w:vMerge w:val="restart"/>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9"/>
                <w:szCs w:val="19"/>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line="216" w:lineRule="exact"/>
              <w:rPr>
                <w:sz w:val="20"/>
                <w:szCs w:val="20"/>
                <w:color w:val="auto"/>
              </w:rPr>
            </w:pPr>
            <w:r>
              <w:rPr>
                <w:rFonts w:ascii="Arial" w:cs="Arial" w:eastAsia="Arial" w:hAnsi="Arial"/>
                <w:sz w:val="19"/>
                <w:szCs w:val="19"/>
                <w:color w:val="auto"/>
              </w:rPr>
              <w:t>comprehensive loss, net of tax</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Other comprehensive earnings (loss), net of tax</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line="210" w:lineRule="exact"/>
              <w:rPr>
                <w:sz w:val="20"/>
                <w:szCs w:val="20"/>
                <w:color w:val="auto"/>
              </w:rPr>
            </w:pPr>
            <w:r>
              <w:rPr>
                <w:rFonts w:ascii="Arial" w:cs="Arial" w:eastAsia="Arial" w:hAnsi="Arial"/>
                <w:sz w:val="19"/>
                <w:szCs w:val="19"/>
                <w:color w:val="auto"/>
              </w:rPr>
              <w:t>(1)</w:t>
            </w: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tcPr>
          <w:p>
            <w:pPr>
              <w:jc w:val="right"/>
              <w:spacing w:after="0" w:line="196" w:lineRule="exact"/>
              <w:rPr>
                <w:sz w:val="20"/>
                <w:szCs w:val="20"/>
                <w:color w:val="auto"/>
              </w:rPr>
            </w:pPr>
            <w:r>
              <w:rPr>
                <w:rFonts w:ascii="Arial" w:cs="Arial" w:eastAsia="Arial" w:hAnsi="Arial"/>
                <w:sz w:val="19"/>
                <w:szCs w:val="19"/>
                <w:color w:val="auto"/>
                <w:w w:val="75"/>
              </w:rPr>
              <w:t>$</w:t>
            </w:r>
          </w:p>
        </w:tc>
        <w:tc>
          <w:tcPr>
            <w:tcW w:w="1560" w:type="dxa"/>
            <w:vAlign w:val="bottom"/>
            <w:gridSpan w:val="2"/>
          </w:tcPr>
          <w:p>
            <w:pPr>
              <w:jc w:val="right"/>
              <w:ind w:right="80"/>
              <w:spacing w:after="0" w:line="196" w:lineRule="exact"/>
              <w:rPr>
                <w:sz w:val="20"/>
                <w:szCs w:val="20"/>
                <w:color w:val="auto"/>
              </w:rPr>
            </w:pPr>
            <w:r>
              <w:rPr>
                <w:rFonts w:ascii="Arial" w:cs="Arial" w:eastAsia="Arial" w:hAnsi="Arial"/>
                <w:sz w:val="19"/>
                <w:szCs w:val="19"/>
                <w:color w:val="auto"/>
              </w:rPr>
              <w:t>(44)</w:t>
            </w:r>
          </w:p>
        </w:tc>
        <w:tc>
          <w:tcPr>
            <w:tcW w:w="820" w:type="dxa"/>
            <w:vAlign w:val="bottom"/>
            <w:gridSpan w:val="2"/>
          </w:tcPr>
          <w:p>
            <w:pPr>
              <w:ind w:left="120"/>
              <w:spacing w:after="0" w:line="196" w:lineRule="exact"/>
              <w:rPr>
                <w:sz w:val="20"/>
                <w:szCs w:val="20"/>
                <w:color w:val="auto"/>
              </w:rPr>
            </w:pPr>
            <w:r>
              <w:rPr>
                <w:rFonts w:ascii="Arial" w:cs="Arial" w:eastAsia="Arial" w:hAnsi="Arial"/>
                <w:sz w:val="19"/>
                <w:szCs w:val="19"/>
                <w:color w:val="auto"/>
              </w:rPr>
              <w:t>$</w:t>
            </w: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9"/>
                <w:szCs w:val="19"/>
                <w:color w:val="auto"/>
              </w:rPr>
              <w:t>(2)</w:t>
            </w:r>
          </w:p>
        </w:tc>
        <w:tc>
          <w:tcPr>
            <w:tcW w:w="1100" w:type="dxa"/>
            <w:vAlign w:val="bottom"/>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520" w:type="dxa"/>
            <w:vAlign w:val="bottom"/>
            <w:gridSpan w:val="2"/>
          </w:tcPr>
          <w:p>
            <w:pPr>
              <w:jc w:val="right"/>
              <w:ind w:right="40"/>
              <w:spacing w:after="0" w:line="196" w:lineRule="exact"/>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-2150745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-2150745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-1602105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-1602105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-1310640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-1293495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-1310640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-1293495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2"/>
          </w:tcPr>
          <w:p>
            <w:pPr>
              <w:jc w:val="center"/>
              <w:spacing w:after="0"/>
              <w:rPr>
                <w:sz w:val="20"/>
                <w:szCs w:val="20"/>
                <w:color w:val="auto"/>
              </w:rPr>
            </w:pPr>
            <w:r>
              <w:rPr>
                <w:rFonts w:ascii="Arial" w:cs="Arial" w:eastAsia="Arial" w:hAnsi="Arial"/>
                <w:sz w:val="20"/>
                <w:szCs w:val="20"/>
                <w:color w:val="auto"/>
                <w:w w:val="99"/>
              </w:rPr>
              <w:t>Pension and Postretirement Benefit Plans</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gridSpan w:val="5"/>
          </w:tcPr>
          <w:p>
            <w:pPr>
              <w:jc w:val="right"/>
              <w:ind w:right="141"/>
              <w:spacing w:after="0" w:line="188" w:lineRule="exact"/>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right"/>
              <w:ind w:right="561"/>
              <w:spacing w:after="0" w:line="188" w:lineRule="exact"/>
              <w:rPr>
                <w:sz w:val="20"/>
                <w:szCs w:val="20"/>
                <w:color w:val="auto"/>
              </w:rPr>
            </w:pPr>
            <w:r>
              <w:rPr>
                <w:rFonts w:ascii="Arial" w:cs="Arial" w:eastAsia="Arial" w:hAnsi="Arial"/>
                <w:sz w:val="20"/>
                <w:szCs w:val="20"/>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gridSpan w:val="5"/>
          </w:tcPr>
          <w:p>
            <w:pPr>
              <w:jc w:val="right"/>
              <w:ind w:right="421"/>
              <w:spacing w:after="0"/>
              <w:rPr>
                <w:sz w:val="20"/>
                <w:szCs w:val="20"/>
                <w:color w:val="auto"/>
              </w:rPr>
            </w:pPr>
            <w:r>
              <w:rPr>
                <w:rFonts w:ascii="Arial" w:cs="Arial" w:eastAsia="Arial" w:hAnsi="Arial"/>
                <w:sz w:val="20"/>
                <w:szCs w:val="20"/>
                <w:color w:val="auto"/>
              </w:rPr>
              <w:t>September 30,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top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2025</w:t>
            </w:r>
          </w:p>
        </w:tc>
        <w:tc>
          <w:tcPr>
            <w:tcW w:w="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1"/>
              <w:spacing w:after="0" w:line="209" w:lineRule="exact"/>
              <w:rPr>
                <w:sz w:val="20"/>
                <w:szCs w:val="20"/>
                <w:color w:val="auto"/>
              </w:rPr>
            </w:pPr>
            <w:r>
              <w:rPr>
                <w:rFonts w:ascii="Arial" w:cs="Arial" w:eastAsia="Arial" w:hAnsi="Arial"/>
                <w:sz w:val="20"/>
                <w:szCs w:val="20"/>
                <w:color w:val="auto"/>
              </w:rPr>
              <w:t>2024</w:t>
            </w:r>
          </w:p>
        </w:tc>
        <w:tc>
          <w:tcPr>
            <w:tcW w:w="360" w:type="dxa"/>
            <w:vAlign w:val="bottom"/>
            <w:tcBorders>
              <w:top w:val="single" w:sz="8" w:color="auto"/>
            </w:tcBorders>
          </w:tcPr>
          <w:p>
            <w:pPr>
              <w:spacing w:after="0"/>
              <w:rPr>
                <w:sz w:val="18"/>
                <w:szCs w:val="18"/>
                <w:color w:val="auto"/>
              </w:rPr>
            </w:pPr>
          </w:p>
        </w:tc>
        <w:tc>
          <w:tcPr>
            <w:tcW w:w="260" w:type="dxa"/>
            <w:vAlign w:val="bottom"/>
            <w:gridSpan w:val="2"/>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60" w:type="dxa"/>
            <w:vAlign w:val="bottom"/>
            <w:gridSpan w:val="2"/>
            <w:vMerge w:val="continue"/>
          </w:tcPr>
          <w:p>
            <w:pPr>
              <w:spacing w:after="0"/>
              <w:rPr>
                <w:sz w:val="18"/>
                <w:szCs w:val="18"/>
                <w:color w:val="auto"/>
              </w:rPr>
            </w:pPr>
          </w:p>
        </w:tc>
        <w:tc>
          <w:tcPr>
            <w:tcW w:w="138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Balance at beginning of period</w:t>
            </w:r>
          </w:p>
        </w:tc>
        <w:tc>
          <w:tcPr>
            <w:tcW w:w="1540" w:type="dxa"/>
            <w:vAlign w:val="bottom"/>
            <w:gridSpan w:val="2"/>
            <w:shd w:val="clear" w:color="auto" w:fill="CFF0FC"/>
          </w:tcPr>
          <w:p>
            <w:pPr>
              <w:jc w:val="right"/>
              <w:ind w:right="821"/>
              <w:spacing w:after="0" w:line="216" w:lineRule="exact"/>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40</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21"/>
              <w:spacing w:after="0" w:line="216" w:lineRule="exact"/>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53</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line="216"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20"/>
                <w:szCs w:val="20"/>
                <w:color w:val="auto"/>
              </w:rPr>
              <w:t>Tax effect of other comprehensive earnings</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Balance at end of period</w:t>
            </w: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2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2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line="209"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39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line="209"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ind w:left="580"/>
              <w:spacing w:after="0"/>
              <w:rPr>
                <w:sz w:val="20"/>
                <w:szCs w:val="20"/>
                <w:color w:val="auto"/>
              </w:rPr>
            </w:pPr>
            <w:r>
              <w:rPr>
                <w:rFonts w:ascii="Arial" w:cs="Arial" w:eastAsia="Arial" w:hAnsi="Arial"/>
                <w:sz w:val="20"/>
                <w:szCs w:val="20"/>
                <w:color w:val="auto"/>
              </w:rPr>
              <w:t>Affected line items in the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5"/>
          </w:tcPr>
          <w:p>
            <w:pPr>
              <w:jc w:val="right"/>
              <w:ind w:right="181"/>
              <w:spacing w:after="0" w:line="216" w:lineRule="exact"/>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right"/>
              <w:ind w:right="60"/>
              <w:spacing w:after="0" w:line="216" w:lineRule="exact"/>
              <w:rPr>
                <w:sz w:val="20"/>
                <w:szCs w:val="20"/>
                <w:color w:val="auto"/>
              </w:rPr>
            </w:pPr>
            <w:r>
              <w:rPr>
                <w:rFonts w:ascii="Arial" w:cs="Arial" w:eastAsia="Arial" w:hAnsi="Arial"/>
                <w:sz w:val="20"/>
                <w:szCs w:val="20"/>
                <w:color w:val="auto"/>
              </w:rPr>
              <w:t>Nine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jc w:val="center"/>
              <w:ind w:left="21"/>
              <w:spacing w:after="0" w:line="216" w:lineRule="exact"/>
              <w:rPr>
                <w:sz w:val="20"/>
                <w:szCs w:val="20"/>
                <w:color w:val="auto"/>
              </w:rPr>
            </w:pPr>
            <w:r>
              <w:rPr>
                <w:rFonts w:ascii="Arial" w:cs="Arial" w:eastAsia="Arial" w:hAnsi="Arial"/>
                <w:sz w:val="20"/>
                <w:szCs w:val="20"/>
                <w:color w:val="auto"/>
                <w:w w:val="99"/>
              </w:rPr>
              <w:t>consolidated</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20"/>
                <w:szCs w:val="20"/>
                <w:color w:val="auto"/>
              </w:rPr>
              <w:t>September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jc w:val="center"/>
              <w:ind w:left="21"/>
              <w:spacing w:after="0"/>
              <w:rPr>
                <w:sz w:val="20"/>
                <w:szCs w:val="20"/>
                <w:color w:val="auto"/>
              </w:rPr>
            </w:pPr>
            <w:r>
              <w:rPr>
                <w:rFonts w:ascii="Arial" w:cs="Arial" w:eastAsia="Arial" w:hAnsi="Arial"/>
                <w:sz w:val="20"/>
                <w:szCs w:val="20"/>
                <w:color w:val="auto"/>
                <w:w w:val="98"/>
              </w:rPr>
              <w:t>statements of earnings</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21"/>
              <w:spacing w:after="0" w:line="209" w:lineRule="exact"/>
              <w:rPr>
                <w:sz w:val="20"/>
                <w:szCs w:val="20"/>
                <w:color w:val="auto"/>
              </w:rPr>
            </w:pPr>
            <w:r>
              <w:rPr>
                <w:rFonts w:ascii="Arial" w:cs="Arial" w:eastAsia="Arial" w:hAnsi="Arial"/>
                <w:sz w:val="20"/>
                <w:szCs w:val="20"/>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21"/>
              <w:spacing w:after="0" w:line="209" w:lineRule="exact"/>
              <w:rPr>
                <w:sz w:val="20"/>
                <w:szCs w:val="20"/>
                <w:color w:val="auto"/>
              </w:rPr>
            </w:pPr>
            <w:r>
              <w:rPr>
                <w:rFonts w:ascii="Arial" w:cs="Arial" w:eastAsia="Arial" w:hAnsi="Arial"/>
                <w:sz w:val="20"/>
                <w:szCs w:val="20"/>
                <w:color w:val="auto"/>
              </w:rPr>
              <w:t>2024</w:t>
            </w:r>
          </w:p>
        </w:tc>
        <w:tc>
          <w:tcPr>
            <w:tcW w:w="24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200" w:type="dxa"/>
            <w:vAlign w:val="bottom"/>
          </w:tcPr>
          <w:p>
            <w:pPr>
              <w:spacing w:after="0"/>
              <w:rPr>
                <w:sz w:val="18"/>
                <w:szCs w:val="18"/>
                <w:color w:val="auto"/>
              </w:rPr>
            </w:pPr>
          </w:p>
        </w:tc>
        <w:tc>
          <w:tcPr>
            <w:tcW w:w="860" w:type="dxa"/>
            <w:vAlign w:val="bottom"/>
          </w:tcPr>
          <w:p>
            <w:pPr>
              <w:jc w:val="right"/>
              <w:ind w:right="221"/>
              <w:spacing w:after="0" w:line="209" w:lineRule="exact"/>
              <w:rPr>
                <w:sz w:val="20"/>
                <w:szCs w:val="20"/>
                <w:color w:val="auto"/>
              </w:rPr>
            </w:pPr>
            <w:r>
              <w:rPr>
                <w:rFonts w:ascii="Arial" w:cs="Arial" w:eastAsia="Arial" w:hAnsi="Arial"/>
                <w:sz w:val="20"/>
                <w:szCs w:val="20"/>
                <w:color w:val="auto"/>
              </w:rPr>
              <w:t>2025</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jc w:val="center"/>
              <w:ind w:left="41"/>
              <w:spacing w:after="0" w:line="209" w:lineRule="exact"/>
              <w:rPr>
                <w:sz w:val="20"/>
                <w:szCs w:val="20"/>
                <w:color w:val="auto"/>
              </w:rPr>
            </w:pPr>
            <w:r>
              <w:rPr>
                <w:rFonts w:ascii="Arial" w:cs="Arial" w:eastAsia="Arial" w:hAnsi="Arial"/>
                <w:sz w:val="20"/>
                <w:szCs w:val="20"/>
                <w:color w:val="auto"/>
                <w:w w:val="98"/>
              </w:rPr>
              <w:t>and comprehensive earnings</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8"/>
                <w:szCs w:val="18"/>
                <w:color w:val="auto"/>
              </w:rPr>
            </w:pPr>
          </w:p>
        </w:tc>
        <w:tc>
          <w:tcPr>
            <w:tcW w:w="106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Pension and postretirement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benefit plans</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60"/>
              <w:spacing w:after="0" w:line="216" w:lineRule="exact"/>
              <w:rPr>
                <w:sz w:val="20"/>
                <w:szCs w:val="20"/>
                <w:color w:val="auto"/>
              </w:rPr>
            </w:pPr>
            <w:r>
              <w:rPr>
                <w:rFonts w:ascii="Arial" w:cs="Arial" w:eastAsia="Arial" w:hAnsi="Arial"/>
                <w:sz w:val="20"/>
                <w:szCs w:val="20"/>
                <w:color w:val="auto"/>
              </w:rPr>
              <w:t>Settlement charge</w:t>
            </w:r>
          </w:p>
        </w:tc>
        <w:tc>
          <w:tcPr>
            <w:tcW w:w="18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160" w:type="dxa"/>
            <w:vAlign w:val="bottom"/>
          </w:tcPr>
          <w:p>
            <w:pPr>
              <w:spacing w:after="0"/>
              <w:rPr>
                <w:sz w:val="18"/>
                <w:szCs w:val="18"/>
                <w:color w:val="auto"/>
              </w:rPr>
            </w:pPr>
          </w:p>
        </w:tc>
        <w:tc>
          <w:tcPr>
            <w:tcW w:w="300" w:type="dxa"/>
            <w:vAlign w:val="bottom"/>
            <w:gridSpan w:val="2"/>
          </w:tcPr>
          <w:p>
            <w:pPr>
              <w:jc w:val="right"/>
              <w:ind w:right="1"/>
              <w:spacing w:after="0" w:line="216"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440" w:type="dxa"/>
            <w:vAlign w:val="bottom"/>
            <w:gridSpan w:val="2"/>
          </w:tcPr>
          <w:p>
            <w:pPr>
              <w:ind w:left="240"/>
              <w:spacing w:after="0" w:line="216"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160" w:type="dxa"/>
            <w:vAlign w:val="bottom"/>
          </w:tcPr>
          <w:p>
            <w:pPr>
              <w:spacing w:after="0"/>
              <w:rPr>
                <w:sz w:val="18"/>
                <w:szCs w:val="18"/>
                <w:color w:val="auto"/>
              </w:rPr>
            </w:pPr>
          </w:p>
        </w:tc>
        <w:tc>
          <w:tcPr>
            <w:tcW w:w="880" w:type="dxa"/>
            <w:vAlign w:val="bottom"/>
            <w:gridSpan w:val="2"/>
          </w:tcPr>
          <w:p>
            <w:pPr>
              <w:jc w:val="right"/>
              <w:ind w:right="680"/>
              <w:spacing w:after="0" w:line="216" w:lineRule="exact"/>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Amortization of:</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line="216" w:lineRule="exact"/>
              <w:rPr>
                <w:sz w:val="20"/>
                <w:szCs w:val="20"/>
                <w:color w:val="auto"/>
              </w:rPr>
            </w:pPr>
            <w:r>
              <w:rPr>
                <w:rFonts w:ascii="Arial" w:cs="Arial" w:eastAsia="Arial" w:hAnsi="Arial"/>
                <w:sz w:val="20"/>
                <w:szCs w:val="20"/>
                <w:color w:val="auto"/>
              </w:rPr>
              <w:t>Prior service cost</w:t>
            </w:r>
          </w:p>
        </w:tc>
        <w:tc>
          <w:tcPr>
            <w:tcW w:w="18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Actuarial loss</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shd w:val="clear" w:color="auto" w:fill="CFF0FC"/>
          </w:tcPr>
          <w:p>
            <w:pPr>
              <w:spacing w:after="0"/>
              <w:rPr>
                <w:sz w:val="18"/>
                <w:szCs w:val="18"/>
                <w:color w:val="auto"/>
              </w:rPr>
            </w:pPr>
          </w:p>
        </w:tc>
        <w:tc>
          <w:tcPr>
            <w:tcW w:w="3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6</w:t>
            </w:r>
          </w:p>
        </w:tc>
        <w:tc>
          <w:tcPr>
            <w:tcW w:w="100" w:type="dxa"/>
            <w:vAlign w:val="bottom"/>
            <w:tcBorders>
              <w:top w:val="single" w:sz="8" w:color="CFF0FC"/>
            </w:tcBorders>
          </w:tcPr>
          <w:p>
            <w:pPr>
              <w:spacing w:after="0"/>
              <w:rPr>
                <w:sz w:val="18"/>
                <w:szCs w:val="18"/>
                <w:color w:val="auto"/>
              </w:rPr>
            </w:pPr>
          </w:p>
        </w:tc>
        <w:tc>
          <w:tcPr>
            <w:tcW w:w="3240" w:type="dxa"/>
            <w:vAlign w:val="bottom"/>
            <w:tcBorders>
              <w:top w:val="single" w:sz="8" w:color="CFF0FC"/>
            </w:tcBorders>
          </w:tcPr>
          <w:p>
            <w:pPr>
              <w:ind w:left="140"/>
              <w:spacing w:after="0" w:line="209" w:lineRule="exact"/>
              <w:rPr>
                <w:sz w:val="20"/>
                <w:szCs w:val="20"/>
                <w:color w:val="auto"/>
              </w:rPr>
            </w:pPr>
            <w:r>
              <w:rPr>
                <w:rFonts w:ascii="Arial" w:cs="Arial" w:eastAsia="Arial" w:hAnsi="Arial"/>
                <w:sz w:val="20"/>
                <w:szCs w:val="20"/>
                <w:color w:val="auto"/>
              </w:rPr>
              <w:t>Other nonoperating income, net</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Tax effect</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(2)</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(2)</w:t>
            </w:r>
          </w:p>
        </w:tc>
        <w:tc>
          <w:tcPr>
            <w:tcW w:w="324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Income tax expense</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Pr>
          <w:p>
            <w:pPr>
              <w:spacing w:after="0" w:line="209" w:lineRule="exact"/>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line="209" w:lineRule="exact"/>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1"/>
              <w:spacing w:after="0" w:line="209" w:lineRule="exact"/>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line="209" w:lineRule="exact"/>
              <w:rPr>
                <w:sz w:val="20"/>
                <w:szCs w:val="20"/>
                <w:color w:val="auto"/>
              </w:rPr>
            </w:pPr>
            <w:r>
              <w:rPr>
                <w:rFonts w:ascii="Arial" w:cs="Arial" w:eastAsia="Arial" w:hAnsi="Arial"/>
                <w:sz w:val="20"/>
                <w:szCs w:val="20"/>
                <w:color w:val="auto"/>
              </w:rPr>
              <w:t>2</w:t>
            </w:r>
          </w:p>
        </w:tc>
        <w:tc>
          <w:tcPr>
            <w:tcW w:w="440" w:type="dxa"/>
            <w:vAlign w:val="bottom"/>
            <w:gridSpan w:val="2"/>
          </w:tcPr>
          <w:p>
            <w:pPr>
              <w:ind w:left="240"/>
              <w:spacing w:after="0" w:line="209"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160" w:type="dxa"/>
            <w:vAlign w:val="bottom"/>
          </w:tcPr>
          <w:p>
            <w:pPr>
              <w:spacing w:after="0"/>
              <w:rPr>
                <w:sz w:val="18"/>
                <w:szCs w:val="18"/>
                <w:color w:val="auto"/>
              </w:rPr>
            </w:pPr>
          </w:p>
        </w:tc>
        <w:tc>
          <w:tcPr>
            <w:tcW w:w="880" w:type="dxa"/>
            <w:vAlign w:val="bottom"/>
            <w:gridSpan w:val="2"/>
          </w:tcPr>
          <w:p>
            <w:pPr>
              <w:jc w:val="right"/>
              <w:ind w:right="680"/>
              <w:spacing w:after="0" w:line="209" w:lineRule="exact"/>
              <w:rPr>
                <w:sz w:val="20"/>
                <w:szCs w:val="20"/>
                <w:color w:val="auto"/>
              </w:rPr>
            </w:pPr>
            <w:r>
              <w:rPr>
                <w:rFonts w:ascii="Arial" w:cs="Arial" w:eastAsia="Arial" w:hAnsi="Arial"/>
                <w:sz w:val="20"/>
                <w:szCs w:val="20"/>
                <w:color w:val="auto"/>
              </w:rPr>
              <w:t>$</w:t>
            </w:r>
          </w:p>
        </w:tc>
        <w:tc>
          <w:tcPr>
            <w:tcW w:w="28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-453390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-453390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-453390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-453390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-170815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96"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numerator for basic and diluted earnings per common share is net earnings attributable to Martin 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w:t>
      </w:r>
    </w:p>
    <w:p>
      <w:pPr>
        <w:spacing w:after="0" w:line="64"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The following table reconciles the denominator for basic and diluted earnings from continuing operations per common share: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2600" w:type="dxa"/>
            <w:vAlign w:val="bottom"/>
            <w:gridSpan w:val="3"/>
          </w:tcPr>
          <w:p>
            <w:pPr>
              <w:jc w:val="right"/>
              <w:ind w:right="281"/>
              <w:spacing w:after="0"/>
              <w:rPr>
                <w:sz w:val="20"/>
                <w:szCs w:val="20"/>
                <w:color w:val="auto"/>
              </w:rPr>
            </w:pPr>
            <w:r>
              <w:rPr>
                <w:rFonts w:ascii="Arial" w:cs="Arial" w:eastAsia="Arial" w:hAnsi="Arial"/>
                <w:sz w:val="20"/>
                <w:szCs w:val="20"/>
                <w:color w:val="auto"/>
              </w:rPr>
              <w:t>Three Months Ended</w:t>
            </w:r>
          </w:p>
        </w:tc>
        <w:tc>
          <w:tcPr>
            <w:tcW w:w="220" w:type="dxa"/>
            <w:vAlign w:val="bottom"/>
          </w:tcPr>
          <w:p>
            <w:pPr>
              <w:spacing w:after="0"/>
              <w:rPr>
                <w:sz w:val="19"/>
                <w:szCs w:val="19"/>
                <w:color w:val="auto"/>
              </w:rPr>
            </w:pPr>
          </w:p>
        </w:tc>
        <w:tc>
          <w:tcPr>
            <w:tcW w:w="2720" w:type="dxa"/>
            <w:vAlign w:val="bottom"/>
            <w:gridSpan w:val="4"/>
          </w:tcPr>
          <w:p>
            <w:pPr>
              <w:jc w:val="center"/>
              <w:ind w:right="100"/>
              <w:spacing w:after="0"/>
              <w:rPr>
                <w:sz w:val="20"/>
                <w:szCs w:val="20"/>
                <w:color w:val="auto"/>
              </w:rPr>
            </w:pPr>
            <w:r>
              <w:rPr>
                <w:rFonts w:ascii="Arial" w:cs="Arial" w:eastAsia="Arial" w:hAnsi="Arial"/>
                <w:sz w:val="20"/>
                <w:szCs w:val="20"/>
                <w:color w:val="auto"/>
                <w:w w:val="99"/>
              </w:rPr>
              <w:t>Nine Months Ended</w:t>
            </w:r>
          </w:p>
        </w:tc>
      </w:tr>
      <w:tr>
        <w:trPr>
          <w:trHeight w:val="238"/>
        </w:trPr>
        <w:tc>
          <w:tcPr>
            <w:tcW w:w="5700" w:type="dxa"/>
            <w:vAlign w:val="bottom"/>
          </w:tcPr>
          <w:p>
            <w:pPr>
              <w:spacing w:after="0"/>
              <w:rPr>
                <w:sz w:val="20"/>
                <w:szCs w:val="20"/>
                <w:color w:val="auto"/>
              </w:rPr>
            </w:pPr>
          </w:p>
        </w:tc>
        <w:tc>
          <w:tcPr>
            <w:tcW w:w="2600" w:type="dxa"/>
            <w:vAlign w:val="bottom"/>
            <w:gridSpan w:val="3"/>
          </w:tcPr>
          <w:p>
            <w:pPr>
              <w:jc w:val="right"/>
              <w:ind w:right="561"/>
              <w:spacing w:after="0"/>
              <w:rPr>
                <w:sz w:val="20"/>
                <w:szCs w:val="20"/>
                <w:color w:val="auto"/>
              </w:rPr>
            </w:pPr>
            <w:r>
              <w:rPr>
                <w:rFonts w:ascii="Arial" w:cs="Arial" w:eastAsia="Arial" w:hAnsi="Arial"/>
                <w:sz w:val="20"/>
                <w:szCs w:val="20"/>
                <w:color w:val="auto"/>
              </w:rPr>
              <w:t>September 30,</w:t>
            </w:r>
          </w:p>
        </w:tc>
        <w:tc>
          <w:tcPr>
            <w:tcW w:w="220" w:type="dxa"/>
            <w:vAlign w:val="bottom"/>
          </w:tcPr>
          <w:p>
            <w:pPr>
              <w:spacing w:after="0"/>
              <w:rPr>
                <w:sz w:val="20"/>
                <w:szCs w:val="20"/>
                <w:color w:val="auto"/>
              </w:rPr>
            </w:pPr>
          </w:p>
        </w:tc>
        <w:tc>
          <w:tcPr>
            <w:tcW w:w="2720" w:type="dxa"/>
            <w:vAlign w:val="bottom"/>
            <w:gridSpan w:val="4"/>
          </w:tcPr>
          <w:p>
            <w:pPr>
              <w:jc w:val="center"/>
              <w:ind w:right="100"/>
              <w:spacing w:after="0"/>
              <w:rPr>
                <w:sz w:val="20"/>
                <w:szCs w:val="20"/>
                <w:color w:val="auto"/>
              </w:rPr>
            </w:pPr>
            <w:r>
              <w:rPr>
                <w:rFonts w:ascii="Arial" w:cs="Arial" w:eastAsia="Arial" w:hAnsi="Arial"/>
                <w:sz w:val="20"/>
                <w:szCs w:val="20"/>
                <w:color w:val="auto"/>
                <w:w w:val="99"/>
              </w:rPr>
              <w:t>September 30,</w:t>
            </w:r>
          </w:p>
        </w:tc>
      </w:tr>
      <w:tr>
        <w:trPr>
          <w:trHeight w:val="210"/>
        </w:trPr>
        <w:tc>
          <w:tcPr>
            <w:tcW w:w="57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2025</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2024</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2025</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61"/>
              <w:spacing w:after="0" w:line="209" w:lineRule="exact"/>
              <w:rPr>
                <w:sz w:val="20"/>
                <w:szCs w:val="20"/>
                <w:color w:val="auto"/>
              </w:rPr>
            </w:pPr>
            <w:r>
              <w:rPr>
                <w:rFonts w:ascii="Arial" w:cs="Arial" w:eastAsia="Arial" w:hAnsi="Arial"/>
                <w:sz w:val="20"/>
                <w:szCs w:val="20"/>
                <w:i w:val="1"/>
                <w:iCs w:val="1"/>
                <w:color w:val="auto"/>
              </w:rPr>
              <w:t>(In</w:t>
            </w:r>
          </w:p>
        </w:tc>
        <w:tc>
          <w:tcPr>
            <w:tcW w:w="1420" w:type="dxa"/>
            <w:vAlign w:val="bottom"/>
            <w:gridSpan w:val="2"/>
          </w:tcPr>
          <w:p>
            <w:pPr>
              <w:jc w:val="right"/>
              <w:ind w:right="701"/>
              <w:spacing w:after="0" w:line="209" w:lineRule="exact"/>
              <w:rPr>
                <w:sz w:val="20"/>
                <w:szCs w:val="20"/>
                <w:color w:val="auto"/>
              </w:rPr>
            </w:pPr>
            <w:r>
              <w:rPr>
                <w:rFonts w:ascii="Arial" w:cs="Arial" w:eastAsia="Arial" w:hAnsi="Arial"/>
                <w:sz w:val="20"/>
                <w:szCs w:val="20"/>
                <w:i w:val="1"/>
                <w:iCs w:val="1"/>
                <w:color w:val="auto"/>
                <w:w w:val="81"/>
              </w:rPr>
              <w:t>Millions)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Basic weighted-average common shares outstanding</w:t>
            </w:r>
          </w:p>
        </w:tc>
        <w:tc>
          <w:tcPr>
            <w:tcW w:w="1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60.3</w:t>
            </w:r>
          </w:p>
        </w:tc>
        <w:tc>
          <w:tcPr>
            <w:tcW w:w="1420" w:type="dxa"/>
            <w:vAlign w:val="bottom"/>
            <w:gridSpan w:val="2"/>
            <w:shd w:val="clear" w:color="auto" w:fill="CFF0FC"/>
          </w:tcPr>
          <w:p>
            <w:pPr>
              <w:jc w:val="right"/>
              <w:spacing w:after="0" w:line="216" w:lineRule="exact"/>
              <w:rPr>
                <w:sz w:val="20"/>
                <w:szCs w:val="20"/>
                <w:color w:val="auto"/>
              </w:rPr>
            </w:pPr>
            <w:r>
              <w:rPr>
                <w:rFonts w:ascii="Arial" w:cs="Arial" w:eastAsia="Arial" w:hAnsi="Arial"/>
                <w:sz w:val="20"/>
                <w:szCs w:val="20"/>
                <w:color w:val="auto"/>
              </w:rPr>
              <w:t>61.1</w:t>
            </w:r>
          </w:p>
        </w:tc>
        <w:tc>
          <w:tcPr>
            <w:tcW w:w="1420" w:type="dxa"/>
            <w:vAlign w:val="bottom"/>
            <w:gridSpan w:val="2"/>
            <w:shd w:val="clear" w:color="auto" w:fill="CFF0FC"/>
          </w:tcPr>
          <w:p>
            <w:pPr>
              <w:jc w:val="right"/>
              <w:spacing w:after="0" w:line="216" w:lineRule="exact"/>
              <w:rPr>
                <w:sz w:val="20"/>
                <w:szCs w:val="20"/>
                <w:color w:val="auto"/>
              </w:rPr>
            </w:pPr>
            <w:r>
              <w:rPr>
                <w:rFonts w:ascii="Arial" w:cs="Arial" w:eastAsia="Arial" w:hAnsi="Arial"/>
                <w:sz w:val="20"/>
                <w:szCs w:val="20"/>
                <w:color w:val="auto"/>
              </w:rPr>
              <w:t>60.5</w:t>
            </w:r>
          </w:p>
        </w:tc>
        <w:tc>
          <w:tcPr>
            <w:tcW w:w="1420" w:type="dxa"/>
            <w:vAlign w:val="bottom"/>
            <w:gridSpan w:val="2"/>
            <w:shd w:val="clear" w:color="auto" w:fill="CFF0FC"/>
          </w:tcPr>
          <w:p>
            <w:pPr>
              <w:jc w:val="right"/>
              <w:spacing w:after="0" w:line="216" w:lineRule="exact"/>
              <w:rPr>
                <w:sz w:val="20"/>
                <w:szCs w:val="20"/>
                <w:color w:val="auto"/>
              </w:rPr>
            </w:pPr>
            <w:r>
              <w:rPr>
                <w:rFonts w:ascii="Arial" w:cs="Arial" w:eastAsia="Arial" w:hAnsi="Arial"/>
                <w:sz w:val="20"/>
                <w:szCs w:val="20"/>
                <w:color w:val="auto"/>
              </w:rPr>
              <w:t>61.5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20"/>
                <w:szCs w:val="20"/>
                <w:color w:val="auto"/>
              </w:rPr>
              <w:t>Effect of dilutive employee and director awards</w:t>
            </w: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0.1</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0.2</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0.1</w:t>
            </w:r>
          </w:p>
        </w:tc>
        <w:tc>
          <w:tcPr>
            <w:tcW w:w="100" w:type="dxa"/>
            <w:vAlign w:val="bottom"/>
          </w:tcPr>
          <w:p>
            <w:pPr>
              <w:spacing w:after="0"/>
              <w:rPr>
                <w:sz w:val="18"/>
                <w:szCs w:val="18"/>
                <w:color w:val="auto"/>
              </w:rPr>
            </w:pPr>
          </w:p>
        </w:tc>
      </w:tr>
      <w:tr>
        <w:trPr>
          <w:trHeight w:val="250"/>
        </w:trPr>
        <w:tc>
          <w:tcPr>
            <w:tcW w:w="57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Diluted weighted-average common shares outstanding</w:t>
            </w:r>
          </w:p>
        </w:tc>
        <w:tc>
          <w:tcPr>
            <w:tcW w:w="11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60.4</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61.3</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60.6</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Pronouncements</w:t>
      </w:r>
    </w:p>
    <w:p>
      <w:pPr>
        <w:spacing w:after="0" w:line="96" w:lineRule="exact"/>
        <w:rPr>
          <w:sz w:val="20"/>
          <w:szCs w:val="20"/>
          <w:color w:val="auto"/>
        </w:rPr>
      </w:pPr>
    </w:p>
    <w:p>
      <w:pPr>
        <w:jc w:val="both"/>
        <w:ind w:left="380"/>
        <w:spacing w:after="0" w:line="229" w:lineRule="auto"/>
        <w:rPr>
          <w:sz w:val="20"/>
          <w:szCs w:val="20"/>
          <w:color w:val="auto"/>
        </w:rPr>
      </w:pPr>
      <w:r>
        <w:rPr>
          <w:rFonts w:ascii="Arial" w:cs="Arial" w:eastAsia="Arial" w:hAnsi="Arial"/>
          <w:sz w:val="20"/>
          <w:szCs w:val="20"/>
          <w:color w:val="auto"/>
        </w:rPr>
        <w:t xml:space="preserve">In December 2023, the FASB issued ASU 2023-09, </w:t>
      </w:r>
      <w:r>
        <w:rPr>
          <w:rFonts w:ascii="Arial" w:cs="Arial" w:eastAsia="Arial" w:hAnsi="Arial"/>
          <w:sz w:val="20"/>
          <w:szCs w:val="20"/>
          <w:i w:val="1"/>
          <w:iCs w:val="1"/>
          <w:color w:val="auto"/>
        </w:rPr>
        <w:t>Income Taxes (Topic 740): Improvements to Income Tax Disclosures</w:t>
      </w:r>
      <w:r>
        <w:rPr>
          <w:rFonts w:ascii="Arial" w:cs="Arial" w:eastAsia="Arial" w:hAnsi="Arial"/>
          <w:sz w:val="20"/>
          <w:szCs w:val="20"/>
          <w:color w:val="auto"/>
        </w:rPr>
        <w:t>, which focuses on the rate reconciliation and income taxes paid. ASU 2023-09 requires public entities to disclose, on an annual basis, a tabular tax rate reconciliation using both percentages and currency amounts, disaggregated into specified categories. Certain reconciling items are further disaggregated by nature and jurisdiction to the extent those items exceed a specified threshold. Additionally, all entities are required to disclose income taxes paid, net of refunds received, disaggregated by federal, state/local, and foreign taxes and by individual jurisdiction if the amount is at least 5% of total income tax payments, net of refunds received. The ASU also requires additional qualitative disclosures. ASU 2023-09 is effective prospectively for annual periods beginning after December 15, 2024, and early adoption and retrospective application are permitted. The ASU will impact the Company's income tax disclosures beginning with the financial statements included in the 2025 Annual Report on Form 10-K, but will have no impact on its results of operations, cash flows or financial condition.</w:t>
      </w:r>
    </w:p>
    <w:p>
      <w:pPr>
        <w:spacing w:after="0" w:line="70" w:lineRule="exact"/>
        <w:rPr>
          <w:sz w:val="20"/>
          <w:szCs w:val="20"/>
          <w:color w:val="auto"/>
        </w:rPr>
      </w:pPr>
    </w:p>
    <w:p>
      <w:pPr>
        <w:jc w:val="both"/>
        <w:ind w:left="380"/>
        <w:spacing w:after="0" w:line="229" w:lineRule="auto"/>
        <w:rPr>
          <w:sz w:val="20"/>
          <w:szCs w:val="20"/>
          <w:color w:val="auto"/>
        </w:rPr>
      </w:pPr>
      <w:r>
        <w:rPr>
          <w:rFonts w:ascii="Arial" w:cs="Arial" w:eastAsia="Arial" w:hAnsi="Arial"/>
          <w:sz w:val="20"/>
          <w:szCs w:val="20"/>
          <w:color w:val="auto"/>
        </w:rPr>
        <w:t xml:space="preserve">In November 2024, the FASB issued ASU 2024-03, </w:t>
      </w:r>
      <w:r>
        <w:rPr>
          <w:rFonts w:ascii="Arial" w:cs="Arial" w:eastAsia="Arial" w:hAnsi="Arial"/>
          <w:sz w:val="20"/>
          <w:szCs w:val="20"/>
          <w:i w:val="1"/>
          <w:iCs w:val="1"/>
          <w:color w:val="auto"/>
        </w:rPr>
        <w:t>Income Statement - Reporting Comprehensive Income - Expense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Disaggregation Disclosures (Subtopic 220-40): Disaggregation of Income Statement Expenses </w:t>
      </w:r>
      <w:r>
        <w:rPr>
          <w:rFonts w:ascii="Arial" w:cs="Arial" w:eastAsia="Arial" w:hAnsi="Arial"/>
          <w:sz w:val="20"/>
          <w:szCs w:val="20"/>
          <w:color w:val="auto"/>
        </w:rPr>
        <w:t>(DISE), which requires</w:t>
      </w:r>
      <w:r>
        <w:rPr>
          <w:rFonts w:ascii="Arial" w:cs="Arial" w:eastAsia="Arial" w:hAnsi="Arial"/>
          <w:sz w:val="20"/>
          <w:szCs w:val="20"/>
          <w:i w:val="1"/>
          <w:iCs w:val="1"/>
          <w:color w:val="auto"/>
        </w:rPr>
        <w:t xml:space="preserve"> </w:t>
      </w:r>
      <w:r>
        <w:rPr>
          <w:rFonts w:ascii="Arial" w:cs="Arial" w:eastAsia="Arial" w:hAnsi="Arial"/>
          <w:sz w:val="20"/>
          <w:szCs w:val="20"/>
          <w:color w:val="auto"/>
        </w:rPr>
        <w:t>public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 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impact the Company's expense disclosures beginning with the financial statements included in the 2027 Annual Report on Form 10-K, but will have no impact on its results of operations, cash flows or financial condition.</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Reclassifications</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Certain reclassifications have been made in the Company's financial statements of the prior year to conform to the current-year presentation. The reclassifications had no impact on the Company’s previously reported results of operations, financial condition or cash flows.</w:t>
      </w:r>
    </w:p>
    <w:p>
      <w:pPr>
        <w:spacing w:after="0" w:line="169"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Arial" w:cs="Arial" w:eastAsia="Arial" w:hAnsi="Arial"/>
          <w:sz w:val="20"/>
          <w:szCs w:val="20"/>
          <w:b w:val="1"/>
          <w:bCs w:val="1"/>
          <w:color w:val="auto"/>
        </w:rPr>
        <w:t>Business Combinations, Divestitures, Discontinued Operations and Assets and Liabilities Held for Sale</w:t>
      </w:r>
    </w:p>
    <w:p>
      <w:pPr>
        <w:spacing w:after="0" w:line="228"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Business Combinations (2025)</w:t>
      </w:r>
    </w:p>
    <w:p>
      <w:pPr>
        <w:spacing w:after="0" w:line="96" w:lineRule="exact"/>
        <w:rPr>
          <w:rFonts w:ascii="Calibri" w:cs="Calibri" w:eastAsia="Calibri" w:hAnsi="Calibri"/>
          <w:sz w:val="20"/>
          <w:szCs w:val="20"/>
          <w:b w:val="1"/>
          <w:bCs w:val="1"/>
          <w:color w:val="auto"/>
        </w:rPr>
      </w:pPr>
    </w:p>
    <w:p>
      <w:pPr>
        <w:jc w:val="both"/>
        <w:ind w:left="380"/>
        <w:spacing w:after="0" w:line="229" w:lineRule="auto"/>
        <w:rPr>
          <w:rFonts w:ascii="Calibri" w:cs="Calibri" w:eastAsia="Calibri" w:hAnsi="Calibri"/>
          <w:sz w:val="20"/>
          <w:szCs w:val="20"/>
          <w:b w:val="1"/>
          <w:bCs w:val="1"/>
          <w:color w:val="auto"/>
        </w:rPr>
      </w:pPr>
      <w:r>
        <w:rPr>
          <w:rFonts w:ascii="Arial" w:cs="Arial" w:eastAsia="Arial" w:hAnsi="Arial"/>
          <w:sz w:val="20"/>
          <w:szCs w:val="20"/>
          <w:b w:val="1"/>
          <w:bCs w:val="1"/>
          <w:i w:val="1"/>
          <w:iCs w:val="1"/>
          <w:color w:val="auto"/>
        </w:rPr>
        <w:t xml:space="preserve">Premier Magnesia, LLC. </w:t>
      </w:r>
      <w:r>
        <w:rPr>
          <w:rFonts w:ascii="Arial" w:cs="Arial" w:eastAsia="Arial" w:hAnsi="Arial"/>
          <w:sz w:val="20"/>
          <w:szCs w:val="20"/>
          <w:color w:val="auto"/>
        </w:rPr>
        <w:t>On July 25, 2025, the Company acquired Premier Magnesia, LLC (Premier), a privately-owned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producer and distributor of magnesia-based products, using cash on hand and credit facility borrowings. Premier is the largest producer of natural magnesite and magnesium sulfate, or Epsom salt, in the United States, with facilities in Nevada, North Carolina, Indiana and Pennsylvania. This transaction expands the Company's product offerings to new and existing customers and enhances the Company's Specialties business.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September 30, 2025. Specific accounts subject to ongoing purchase accounting adjustments, include, but are not limited to, property, plant and equipment; goodwill; and other liabilities. The goodwill generated by the transaction is deductible for income tax purposes. The acquisition is reported in the Company's Specialties reportable segment and is immaterial for other business combination disclosures, including pro-forma results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b w:val="1"/>
          <w:bCs w:val="1"/>
          <w:i w:val="1"/>
          <w:iCs w:val="1"/>
          <w:color w:val="auto"/>
        </w:rPr>
        <w:t xml:space="preserve">QUIKRETE Holdings, Inc. </w:t>
      </w:r>
      <w:r>
        <w:rPr>
          <w:rFonts w:ascii="Arial" w:cs="Arial" w:eastAsia="Arial" w:hAnsi="Arial"/>
          <w:sz w:val="20"/>
          <w:szCs w:val="20"/>
          <w:color w:val="auto"/>
        </w:rPr>
        <w:t>On August 3, 2025, the Company entered into a definitive agreement with QUIKRETE Holdings,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 (QUIKRETE). Under the terms of the agreement, Martin Marietta would receive aggregates operations producing approximately 20 million tons annually in Virginia, Missouri, Kansas and Vancouver, British Columbia, as well as cash proceeds. In exchange, QUIKRETE would receive the Company’s Midlothian cement plant, related cement distribution terminals and certain Texas ready mixed concrete assets. The transaction is expected to close in the fourth quarter of 2025, subject to customary closing conditions.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Business Combinations (2024)</w:t>
      </w:r>
    </w:p>
    <w:p>
      <w:pPr>
        <w:spacing w:after="0" w:line="96"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Revenues and pretax earnings attributable to operations acquired during the first nine months of 2024 (as subsequently described) included in the Company's consolidated statements of earnings and comprehensive earnings were $85 million and $13 million, respectively, for the three months ended September 30, 2024, and $182 million and $25 million, respectively, for the nine months ended September 30, 2024. The pretax earnings for the year-to-date period ended September 30, 2024 included a $20 million charge for the impact of selling acquired inventory after its markup to fair value as part of acquisition accounting for the Blue Water Industries LLC transaction.</w:t>
      </w:r>
    </w:p>
    <w:p>
      <w:pPr>
        <w:spacing w:after="0" w:line="145"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b w:val="1"/>
          <w:bCs w:val="1"/>
          <w:i w:val="1"/>
          <w:iCs w:val="1"/>
          <w:color w:val="auto"/>
        </w:rPr>
        <w:t xml:space="preserve">Blue Water Industries LLC. </w:t>
      </w:r>
      <w:r>
        <w:rPr>
          <w:rFonts w:ascii="Arial" w:cs="Arial" w:eastAsia="Arial" w:hAnsi="Arial"/>
          <w:sz w:val="20"/>
          <w:szCs w:val="20"/>
          <w:color w:val="auto"/>
        </w:rPr>
        <w:t>On April 5, 2024, the Company completed the acquisition of 20 active aggregates operations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Alabama, South Carolina, South Florida, Tennessee, and Virginia from affiliates of Blue Water Industries LLC (BWI Southeast) for $2.05 billion in cash. The BWI Southeast acquisition complemented Martin Marietta’s existing geographic footprint in the southeast region by expanding into new growth platforms in target markets including Tennessee and South Florida. The results from the acquired operations are reported in the Company's East Group.</w:t>
      </w:r>
    </w:p>
    <w:p>
      <w:pPr>
        <w:spacing w:after="0" w:line="67"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The Company determined the acquisition-date fair values of assets acquired and liabilities assumed. The measurement period is closed. The goodwill generated by the transaction is not deductible for income tax purposes.</w:t>
      </w:r>
    </w:p>
    <w:p>
      <w:pPr>
        <w:spacing w:after="0" w:line="47"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The following is a summary of the values of the assets acquired and liabilities assumed as of April 5, 2024 (dollars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20"/>
                <w:szCs w:val="20"/>
                <w:color w:val="auto"/>
              </w:rPr>
              <w:t>Assets:</w:t>
            </w:r>
          </w:p>
        </w:tc>
        <w:tc>
          <w:tcPr>
            <w:tcW w:w="10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8580" w:type="dxa"/>
            <w:vAlign w:val="bottom"/>
          </w:tcPr>
          <w:p>
            <w:pPr>
              <w:ind w:left="160"/>
              <w:spacing w:after="0" w:line="216" w:lineRule="exact"/>
              <w:rPr>
                <w:sz w:val="20"/>
                <w:szCs w:val="20"/>
                <w:color w:val="auto"/>
              </w:rPr>
            </w:pPr>
            <w:r>
              <w:rPr>
                <w:rFonts w:ascii="Arial" w:cs="Arial" w:eastAsia="Arial" w:hAnsi="Arial"/>
                <w:sz w:val="20"/>
                <w:szCs w:val="20"/>
                <w:color w:val="auto"/>
              </w:rPr>
              <w:t>Inventories</w:t>
            </w:r>
          </w:p>
        </w:tc>
        <w:tc>
          <w:tcPr>
            <w:tcW w:w="1080" w:type="dxa"/>
            <w:vAlign w:val="bottom"/>
          </w:tcPr>
          <w:p>
            <w:pPr>
              <w:jc w:val="right"/>
              <w:ind w:right="861"/>
              <w:spacing w:after="0" w:line="216" w:lineRule="exact"/>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47</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ind w:left="160"/>
              <w:spacing w:after="0" w:line="216" w:lineRule="exact"/>
              <w:rPr>
                <w:sz w:val="20"/>
                <w:szCs w:val="20"/>
                <w:color w:val="auto"/>
              </w:rPr>
            </w:pPr>
            <w:r>
              <w:rPr>
                <w:rFonts w:ascii="Arial" w:cs="Arial" w:eastAsia="Arial" w:hAnsi="Arial"/>
                <w:sz w:val="19"/>
                <w:szCs w:val="19"/>
                <w:color w:val="auto"/>
              </w:rPr>
              <w:t xml:space="preserve">Property, plant and equipment </w:t>
            </w:r>
            <w:r>
              <w:rPr>
                <w:rFonts w:ascii="Arial" w:cs="Arial" w:eastAsia="Arial" w:hAnsi="Arial"/>
                <w:sz w:val="25"/>
                <w:szCs w:val="25"/>
                <w:color w:val="auto"/>
                <w:vertAlign w:val="superscript"/>
              </w:rPr>
              <w:t>1</w:t>
            </w:r>
          </w:p>
        </w:tc>
        <w:tc>
          <w:tcPr>
            <w:tcW w:w="10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2,052</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ind w:left="160"/>
              <w:spacing w:after="0" w:line="216" w:lineRule="exact"/>
              <w:rPr>
                <w:sz w:val="20"/>
                <w:szCs w:val="20"/>
                <w:color w:val="auto"/>
              </w:rPr>
            </w:pPr>
            <w:r>
              <w:rPr>
                <w:rFonts w:ascii="Arial" w:cs="Arial" w:eastAsia="Arial" w:hAnsi="Arial"/>
                <w:sz w:val="20"/>
                <w:szCs w:val="20"/>
                <w:color w:val="auto"/>
              </w:rPr>
              <w:t>Intangible assets, other than goodwill</w:t>
            </w:r>
          </w:p>
        </w:tc>
        <w:tc>
          <w:tcPr>
            <w:tcW w:w="108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19</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Other assets</w:t>
            </w:r>
          </w:p>
        </w:tc>
        <w:tc>
          <w:tcPr>
            <w:tcW w:w="10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2</w:t>
            </w:r>
          </w:p>
        </w:tc>
      </w:tr>
      <w:tr>
        <w:trPr>
          <w:trHeight w:val="210"/>
        </w:trPr>
        <w:tc>
          <w:tcPr>
            <w:tcW w:w="858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assets</w:t>
            </w:r>
          </w:p>
        </w:tc>
        <w:tc>
          <w:tcPr>
            <w:tcW w:w="10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2,120</w:t>
            </w:r>
          </w:p>
        </w:tc>
        <w:tc>
          <w:tcPr>
            <w:tcW w:w="100" w:type="dxa"/>
            <w:vAlign w:val="bottom"/>
            <w:tcBorders>
              <w:top w:val="single" w:sz="8" w:color="CFF0FC"/>
            </w:tcBorders>
          </w:tcPr>
          <w:p>
            <w:pPr>
              <w:spacing w:after="0"/>
              <w:rPr>
                <w:sz w:val="18"/>
                <w:szCs w:val="18"/>
                <w:color w:val="auto"/>
              </w:rPr>
            </w:pPr>
          </w:p>
        </w:tc>
      </w:tr>
      <w:tr>
        <w:trPr>
          <w:trHeight w:val="210"/>
        </w:trPr>
        <w:tc>
          <w:tcPr>
            <w:tcW w:w="858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Liabilities:</w:t>
            </w:r>
          </w:p>
        </w:tc>
        <w:tc>
          <w:tcPr>
            <w:tcW w:w="10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ind w:left="160"/>
              <w:spacing w:after="0" w:line="216" w:lineRule="exact"/>
              <w:rPr>
                <w:sz w:val="20"/>
                <w:szCs w:val="20"/>
                <w:color w:val="auto"/>
              </w:rPr>
            </w:pPr>
            <w:r>
              <w:rPr>
                <w:rFonts w:ascii="Arial" w:cs="Arial" w:eastAsia="Arial" w:hAnsi="Arial"/>
                <w:sz w:val="20"/>
                <w:szCs w:val="20"/>
                <w:color w:val="auto"/>
              </w:rPr>
              <w:t>Deferred income taxes</w:t>
            </w:r>
          </w:p>
        </w:tc>
        <w:tc>
          <w:tcPr>
            <w:tcW w:w="108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234</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Asset retirement obligations</w:t>
            </w:r>
          </w:p>
        </w:tc>
        <w:tc>
          <w:tcPr>
            <w:tcW w:w="10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3</w:t>
            </w:r>
          </w:p>
        </w:tc>
      </w:tr>
      <w:tr>
        <w:trPr>
          <w:trHeight w:val="216"/>
        </w:trPr>
        <w:tc>
          <w:tcPr>
            <w:tcW w:w="8580" w:type="dxa"/>
            <w:vAlign w:val="bottom"/>
          </w:tcPr>
          <w:p>
            <w:pPr>
              <w:ind w:left="160"/>
              <w:spacing w:after="0" w:line="216" w:lineRule="exact"/>
              <w:rPr>
                <w:sz w:val="20"/>
                <w:szCs w:val="20"/>
                <w:color w:val="auto"/>
              </w:rPr>
            </w:pPr>
            <w:r>
              <w:rPr>
                <w:rFonts w:ascii="Arial" w:cs="Arial" w:eastAsia="Arial" w:hAnsi="Arial"/>
                <w:sz w:val="20"/>
                <w:szCs w:val="20"/>
                <w:color w:val="auto"/>
              </w:rPr>
              <w:t>Other liabilities</w:t>
            </w: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95</w:t>
            </w:r>
          </w:p>
        </w:tc>
        <w:tc>
          <w:tcPr>
            <w:tcW w:w="100" w:type="dxa"/>
            <w:vAlign w:val="bottom"/>
          </w:tcPr>
          <w:p>
            <w:pPr>
              <w:spacing w:after="0"/>
              <w:rPr>
                <w:sz w:val="18"/>
                <w:szCs w:val="18"/>
                <w:color w:val="auto"/>
              </w:rPr>
            </w:pPr>
          </w:p>
        </w:tc>
      </w:tr>
      <w:tr>
        <w:trPr>
          <w:trHeight w:val="210"/>
        </w:trPr>
        <w:tc>
          <w:tcPr>
            <w:tcW w:w="858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 liabilities</w:t>
            </w:r>
          </w:p>
        </w:tc>
        <w:tc>
          <w:tcPr>
            <w:tcW w:w="10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580" w:type="dxa"/>
            <w:vAlign w:val="bottom"/>
          </w:tcPr>
          <w:p>
            <w:pPr>
              <w:spacing w:after="0" w:line="209" w:lineRule="exact"/>
              <w:rPr>
                <w:sz w:val="20"/>
                <w:szCs w:val="20"/>
                <w:color w:val="auto"/>
              </w:rPr>
            </w:pPr>
            <w:r>
              <w:rPr>
                <w:rFonts w:ascii="Arial" w:cs="Arial" w:eastAsia="Arial" w:hAnsi="Arial"/>
                <w:sz w:val="20"/>
                <w:szCs w:val="20"/>
                <w:color w:val="auto"/>
              </w:rPr>
              <w:t>Net identifiable assets acquired</w:t>
            </w:r>
          </w:p>
        </w:tc>
        <w:tc>
          <w:tcPr>
            <w:tcW w:w="1080" w:type="dxa"/>
            <w:vAlign w:val="bottom"/>
          </w:tcPr>
          <w:p>
            <w:pPr>
              <w:spacing w:after="0"/>
              <w:rPr>
                <w:sz w:val="18"/>
                <w:szCs w:val="18"/>
                <w:color w:val="auto"/>
              </w:rPr>
            </w:pPr>
          </w:p>
        </w:tc>
        <w:tc>
          <w:tcPr>
            <w:tcW w:w="1480" w:type="dxa"/>
            <w:vAlign w:val="bottom"/>
          </w:tcPr>
          <w:p>
            <w:pPr>
              <w:jc w:val="right"/>
              <w:spacing w:after="0" w:line="209" w:lineRule="exact"/>
              <w:rPr>
                <w:sz w:val="20"/>
                <w:szCs w:val="20"/>
                <w:color w:val="auto"/>
              </w:rPr>
            </w:pPr>
            <w:r>
              <w:rPr>
                <w:rFonts w:ascii="Arial" w:cs="Arial" w:eastAsia="Arial" w:hAnsi="Arial"/>
                <w:sz w:val="20"/>
                <w:szCs w:val="20"/>
                <w:color w:val="auto"/>
              </w:rPr>
              <w:t>1,788</w:t>
            </w:r>
          </w:p>
        </w:tc>
        <w:tc>
          <w:tcPr>
            <w:tcW w:w="100" w:type="dxa"/>
            <w:vAlign w:val="bottom"/>
          </w:tcPr>
          <w:p>
            <w:pPr>
              <w:spacing w:after="0"/>
              <w:rPr>
                <w:sz w:val="18"/>
                <w:szCs w:val="18"/>
                <w:color w:val="auto"/>
              </w:rPr>
            </w:pPr>
          </w:p>
        </w:tc>
      </w:tr>
      <w:tr>
        <w:trPr>
          <w:trHeight w:val="216"/>
        </w:trPr>
        <w:tc>
          <w:tcPr>
            <w:tcW w:w="858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Goodwill</w:t>
            </w:r>
          </w:p>
        </w:tc>
        <w:tc>
          <w:tcPr>
            <w:tcW w:w="10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580" w:type="dxa"/>
            <w:vAlign w:val="bottom"/>
          </w:tcPr>
          <w:p>
            <w:pPr>
              <w:spacing w:after="0" w:line="209" w:lineRule="exact"/>
              <w:rPr>
                <w:sz w:val="20"/>
                <w:szCs w:val="20"/>
                <w:color w:val="auto"/>
              </w:rPr>
            </w:pPr>
            <w:r>
              <w:rPr>
                <w:rFonts w:ascii="Arial" w:cs="Arial" w:eastAsia="Arial" w:hAnsi="Arial"/>
                <w:sz w:val="20"/>
                <w:szCs w:val="20"/>
                <w:color w:val="auto"/>
              </w:rPr>
              <w:t>Total consideration</w:t>
            </w:r>
          </w:p>
        </w:tc>
        <w:tc>
          <w:tcPr>
            <w:tcW w:w="1080" w:type="dxa"/>
            <w:vAlign w:val="bottom"/>
            <w:tcBorders>
              <w:bottom w:val="single" w:sz="8" w:color="auto"/>
            </w:tcBorders>
          </w:tcPr>
          <w:p>
            <w:pPr>
              <w:jc w:val="right"/>
              <w:ind w:right="861"/>
              <w:spacing w:after="0" w:line="209" w:lineRule="exact"/>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2,050</w:t>
            </w:r>
          </w:p>
        </w:tc>
        <w:tc>
          <w:tcPr>
            <w:tcW w:w="10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 Includes mineral reserves of $1.9 billion.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The following unaudited pro forma financial information summarizes the combined results of operations for the Company and BWI Southeast as though the companies were combined as of January 1, 2023 and does not purport to project the future financial position or operating results of the combined company. The following pro forma financial information is for informational purposes only and is not indicative of the results of operations that would have been achieved if the acquisition had taken place as of January 1, 2023:</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Three Months Ended</w:t>
            </w:r>
          </w:p>
        </w:tc>
        <w:tc>
          <w:tcPr>
            <w:tcW w:w="320" w:type="dxa"/>
            <w:vAlign w:val="bottom"/>
          </w:tcPr>
          <w:p>
            <w:pPr>
              <w:spacing w:after="0"/>
              <w:rPr>
                <w:sz w:val="20"/>
                <w:szCs w:val="20"/>
                <w:color w:val="auto"/>
              </w:rPr>
            </w:pPr>
          </w:p>
        </w:tc>
        <w:tc>
          <w:tcPr>
            <w:tcW w:w="19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rPr>
              <w:t>Nine Months Ended</w:t>
            </w: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September</w:t>
            </w:r>
          </w:p>
        </w:tc>
        <w:tc>
          <w:tcPr>
            <w:tcW w:w="1320" w:type="dxa"/>
            <w:vAlign w:val="bottom"/>
            <w:tcBorders>
              <w:bottom w:val="single" w:sz="8" w:color="auto"/>
            </w:tcBorders>
            <w:gridSpan w:val="2"/>
          </w:tcPr>
          <w:p>
            <w:pPr>
              <w:jc w:val="right"/>
              <w:ind w:right="321"/>
              <w:spacing w:after="0" w:line="209" w:lineRule="exact"/>
              <w:rPr>
                <w:sz w:val="20"/>
                <w:szCs w:val="20"/>
                <w:color w:val="auto"/>
              </w:rPr>
            </w:pPr>
            <w:r>
              <w:rPr>
                <w:rFonts w:ascii="Arial" w:cs="Arial" w:eastAsia="Arial" w:hAnsi="Arial"/>
                <w:sz w:val="20"/>
                <w:szCs w:val="20"/>
                <w:color w:val="auto"/>
              </w:rPr>
              <w:t>30, 2024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3"/>
          </w:tcPr>
          <w:p>
            <w:pPr>
              <w:jc w:val="right"/>
              <w:ind w:right="381"/>
              <w:spacing w:after="0" w:line="209" w:lineRule="exact"/>
              <w:rPr>
                <w:sz w:val="20"/>
                <w:szCs w:val="20"/>
                <w:color w:val="auto"/>
              </w:rPr>
            </w:pPr>
            <w:r>
              <w:rPr>
                <w:rFonts w:ascii="Arial" w:cs="Arial" w:eastAsia="Arial" w:hAnsi="Arial"/>
                <w:sz w:val="20"/>
                <w:szCs w:val="20"/>
                <w:i w:val="1"/>
                <w:iCs w:val="1"/>
                <w:color w:val="auto"/>
              </w:rPr>
              <w:t>(Dollars 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Revenues</w:t>
            </w:r>
          </w:p>
        </w:tc>
        <w:tc>
          <w:tcPr>
            <w:tcW w:w="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71"/>
              </w:rPr>
              <w:t>$</w:t>
            </w:r>
          </w:p>
        </w:tc>
        <w:tc>
          <w:tcPr>
            <w:tcW w:w="21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1,889</w:t>
            </w:r>
          </w:p>
        </w:tc>
        <w:tc>
          <w:tcPr>
            <w:tcW w:w="1320" w:type="dxa"/>
            <w:vAlign w:val="bottom"/>
            <w:gridSpan w:val="2"/>
            <w:shd w:val="clear" w:color="auto" w:fill="CFF0FC"/>
          </w:tcPr>
          <w:p>
            <w:pPr>
              <w:jc w:val="right"/>
              <w:ind w:right="801"/>
              <w:spacing w:after="0" w:line="216" w:lineRule="exact"/>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4,957</w:t>
            </w:r>
          </w:p>
        </w:tc>
        <w:tc>
          <w:tcPr>
            <w:tcW w:w="100" w:type="dxa"/>
            <w:vAlign w:val="bottom"/>
            <w:shd w:val="clear" w:color="auto" w:fill="CFF0FC"/>
          </w:tcPr>
          <w:p>
            <w:pPr>
              <w:spacing w:after="0"/>
              <w:rPr>
                <w:sz w:val="18"/>
                <w:szCs w:val="18"/>
                <w:color w:val="auto"/>
              </w:rPr>
            </w:pPr>
          </w:p>
        </w:tc>
      </w:tr>
      <w:tr>
        <w:trPr>
          <w:trHeight w:val="194"/>
        </w:trPr>
        <w:tc>
          <w:tcPr>
            <w:tcW w:w="6600" w:type="dxa"/>
            <w:vAlign w:val="bottom"/>
          </w:tcPr>
          <w:p>
            <w:pPr>
              <w:spacing w:after="0" w:line="194" w:lineRule="exact"/>
              <w:rPr>
                <w:sz w:val="20"/>
                <w:szCs w:val="20"/>
                <w:color w:val="auto"/>
              </w:rPr>
            </w:pPr>
            <w:r>
              <w:rPr>
                <w:rFonts w:ascii="Arial" w:cs="Arial" w:eastAsia="Arial" w:hAnsi="Arial"/>
                <w:sz w:val="20"/>
                <w:szCs w:val="20"/>
                <w:color w:val="auto"/>
              </w:rPr>
              <w:t>Net earnings from continuing operations attributable to</w:t>
            </w: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6600" w:type="dxa"/>
            <w:vAlign w:val="bottom"/>
          </w:tcPr>
          <w:p>
            <w:pPr>
              <w:ind w:left="180"/>
              <w:spacing w:after="0"/>
              <w:rPr>
                <w:sz w:val="20"/>
                <w:szCs w:val="20"/>
                <w:color w:val="auto"/>
              </w:rPr>
            </w:pPr>
            <w:r>
              <w:rPr>
                <w:rFonts w:ascii="Arial" w:cs="Arial" w:eastAsia="Arial" w:hAnsi="Arial"/>
                <w:sz w:val="20"/>
                <w:szCs w:val="20"/>
                <w:color w:val="auto"/>
              </w:rPr>
              <w:t>Martin Marietta</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363</w:t>
            </w:r>
          </w:p>
        </w:tc>
        <w:tc>
          <w:tcPr>
            <w:tcW w:w="132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1,733</w:t>
            </w:r>
          </w:p>
        </w:tc>
        <w:tc>
          <w:tcPr>
            <w:tcW w:w="100" w:type="dxa"/>
            <w:vAlign w:val="bottom"/>
          </w:tcPr>
          <w:p>
            <w:pPr>
              <w:spacing w:after="0"/>
              <w:rPr>
                <w:sz w:val="22"/>
                <w:szCs w:val="22"/>
                <w:color w:val="auto"/>
              </w:rPr>
            </w:pPr>
          </w:p>
        </w:tc>
      </w:tr>
    </w:tbl>
    <w:p>
      <w:pPr>
        <w:spacing w:after="0" w:line="157"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b w:val="1"/>
          <w:bCs w:val="1"/>
          <w:i w:val="1"/>
          <w:iCs w:val="1"/>
          <w:color w:val="auto"/>
        </w:rPr>
        <w:t xml:space="preserve">Albert Frei &amp; Sons, Inc. </w:t>
      </w:r>
      <w:r>
        <w:rPr>
          <w:rFonts w:ascii="Arial" w:cs="Arial" w:eastAsia="Arial" w:hAnsi="Arial"/>
          <w:sz w:val="20"/>
          <w:szCs w:val="20"/>
          <w:color w:val="auto"/>
        </w:rPr>
        <w:t>On January 12, 2024, the Company acquired Albert Frei &amp; Sons, Inc., a leading aggregates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producer in Colorado. This acquisition provided more than 60 years of high-quality, hard rock reserves to better serve new and existing customers and enhances the Company's aggregates platform in the Denver metropolitan area. As of December 31, 2024, the measurement period was closed. The goodwill generated by the transaction is not deductible for income tax purposes. The acquisition is reported in the Company's West Group and is immaterial for other business combination disclosures, including pro-forma results of operations.</w:t>
      </w:r>
    </w:p>
    <w:p>
      <w:pPr>
        <w:spacing w:after="0" w:line="64" w:lineRule="exact"/>
        <w:rPr>
          <w:sz w:val="20"/>
          <w:szCs w:val="20"/>
          <w:color w:val="auto"/>
        </w:rPr>
      </w:pPr>
    </w:p>
    <w:p>
      <w:pPr>
        <w:jc w:val="both"/>
        <w:ind w:left="380"/>
        <w:spacing w:after="0" w:line="235" w:lineRule="auto"/>
        <w:rPr>
          <w:sz w:val="20"/>
          <w:szCs w:val="20"/>
          <w:color w:val="auto"/>
        </w:rPr>
      </w:pPr>
      <w:r>
        <w:rPr>
          <w:rFonts w:ascii="Arial" w:cs="Arial" w:eastAsia="Arial" w:hAnsi="Arial"/>
          <w:sz w:val="20"/>
          <w:szCs w:val="20"/>
          <w:b w:val="1"/>
          <w:bCs w:val="1"/>
          <w:i w:val="1"/>
          <w:iCs w:val="1"/>
          <w:color w:val="auto"/>
        </w:rPr>
        <w:t xml:space="preserve">Youngquist Brothers Rock, LLC. </w:t>
      </w:r>
      <w:r>
        <w:rPr>
          <w:rFonts w:ascii="Arial" w:cs="Arial" w:eastAsia="Arial" w:hAnsi="Arial"/>
          <w:sz w:val="20"/>
          <w:szCs w:val="20"/>
          <w:color w:val="auto"/>
        </w:rPr>
        <w:t>On October 25, 2024, the Company completed the acquisition of Youngquist Brothers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Rock, LLC (YBR), a leading aggregates supplier in the Fort Myers, Florida area. This acquisition allows the Company to serve new and existing customers and enhances the Company's aggregates platform in South Florida. As of September 30, 2025, the measurement period was closed. The goodwill generated by the transaction is deductible for income tax purposes. The acquisition is reported in the Company's East Group and is immaterial for other business combination disclosures, including pro-forma results of operations.</w:t>
      </w:r>
    </w:p>
    <w:p>
      <w:pPr>
        <w:spacing w:after="0" w:line="66"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b w:val="1"/>
          <w:bCs w:val="1"/>
          <w:i w:val="1"/>
          <w:iCs w:val="1"/>
          <w:color w:val="auto"/>
        </w:rPr>
        <w:t xml:space="preserve">R.E. Janes Gravel Co. </w:t>
      </w:r>
      <w:r>
        <w:rPr>
          <w:rFonts w:ascii="Arial" w:cs="Arial" w:eastAsia="Arial" w:hAnsi="Arial"/>
          <w:sz w:val="20"/>
          <w:szCs w:val="20"/>
          <w:color w:val="auto"/>
        </w:rPr>
        <w:t>On December 13, 2024, the Company acquired R.E. Janes Gravel Co. (RE Janes), an aggregates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bolt-on in Texas.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September 30, 2025. Specific accounts subject to ongoing purchase accounting adjustments, include, but are not limited to, property, plant and equipment; goodwill; and other liabilities. The goodwill generated by the transaction is deductible for income tax purposes. The acquisition is reported in the Company's West Group and is immaterial for other business combination disclosures, including pro-forma results of operations.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Divestitures</w:t>
      </w:r>
    </w:p>
    <w:p>
      <w:pPr>
        <w:spacing w:after="0" w:line="96"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 xml:space="preserve">On February 9, 2024, the Company completed the sale of its South Texas cement business and certain of its related ready mixed concrete operations to CRH Americas Materials, Inc., a subsidiary of CRH plc, for $2.1 billion in cash plus normal customary closing adjustments. Specifically, the divested facilities included the Hunter cement plant in New Braunfels, Texas, related cement distribution terminals and 20 ready mixed concrete plants that served the Austin and San Antonio region. The divestiture provided proceeds the Company used to consummate the BWI Southeast acquisition. The transaction resulted in a pretax gain of $1.3 billion, which is included in </w:t>
      </w:r>
      <w:r>
        <w:rPr>
          <w:rFonts w:ascii="Arial" w:cs="Arial" w:eastAsia="Arial" w:hAnsi="Arial"/>
          <w:sz w:val="20"/>
          <w:szCs w:val="20"/>
          <w:i w:val="1"/>
          <w:iCs w:val="1"/>
          <w:color w:val="auto"/>
        </w:rPr>
        <w:t>Other operating (income) expense, net</w:t>
      </w:r>
      <w:r>
        <w:rPr>
          <w:rFonts w:ascii="Arial" w:cs="Arial" w:eastAsia="Arial" w:hAnsi="Arial"/>
          <w:sz w:val="20"/>
          <w:szCs w:val="20"/>
          <w:color w:val="auto"/>
        </w:rPr>
        <w:t>, on the Company's consolidated statement of earnings and comprehensive earnings for the nine months ended September 30, 2024 and is exclusive of transaction expenses incurred due to the divestiture. The historical</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right="20"/>
        <w:spacing w:after="0" w:line="257" w:lineRule="auto"/>
        <w:rPr>
          <w:sz w:val="20"/>
          <w:szCs w:val="20"/>
          <w:color w:val="auto"/>
        </w:rPr>
      </w:pPr>
      <w:r>
        <w:rPr>
          <w:rFonts w:ascii="Arial" w:cs="Arial" w:eastAsia="Arial" w:hAnsi="Arial"/>
          <w:sz w:val="20"/>
          <w:szCs w:val="20"/>
          <w:color w:val="auto"/>
        </w:rPr>
        <w:t>financial results of the divested operations and the gain on divestiture were reported in continuing operations for the West Group.</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Discontinued Operations</w:t>
      </w:r>
    </w:p>
    <w:p>
      <w:pPr>
        <w:spacing w:after="0" w:line="96" w:lineRule="exact"/>
        <w:rPr>
          <w:sz w:val="20"/>
          <w:szCs w:val="20"/>
          <w:color w:val="auto"/>
        </w:rPr>
      </w:pPr>
    </w:p>
    <w:p>
      <w:pPr>
        <w:jc w:val="both"/>
        <w:ind w:left="380"/>
        <w:spacing w:after="0" w:line="252" w:lineRule="auto"/>
        <w:rPr>
          <w:sz w:val="20"/>
          <w:szCs w:val="20"/>
          <w:color w:val="auto"/>
        </w:rPr>
      </w:pPr>
      <w:r>
        <w:rPr>
          <w:rFonts w:ascii="Arial" w:cs="Arial" w:eastAsia="Arial" w:hAnsi="Arial"/>
          <w:sz w:val="19"/>
          <w:szCs w:val="19"/>
          <w:color w:val="auto"/>
        </w:rPr>
        <w:t>In connection with the QUIKRETE asset exchange, the Company's Midlothian cement plant, related cement distribution terminals and Texas ready mixed concrete plants, which are part of the West Group, have been classified as assets held for sale on the consolidated balance sheet as of September 30, 2025 and their associated financial results are reported as discontinued operations on the consolidated statements of earnings and comprehensive earnings for all periods presented.</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Financial results for the Company's discontinued operations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4"/>
          </w:tcPr>
          <w:p>
            <w:pPr>
              <w:jc w:val="right"/>
              <w:ind w:right="181"/>
              <w:spacing w:after="0"/>
              <w:rPr>
                <w:sz w:val="20"/>
                <w:szCs w:val="20"/>
                <w:color w:val="auto"/>
              </w:rPr>
            </w:pPr>
            <w:r>
              <w:rPr>
                <w:rFonts w:ascii="Arial" w:cs="Arial" w:eastAsia="Arial" w:hAnsi="Arial"/>
                <w:sz w:val="20"/>
                <w:szCs w:val="20"/>
                <w:color w:val="auto"/>
              </w:rPr>
              <w:t>Three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20"/>
                <w:szCs w:val="20"/>
                <w:color w:val="auto"/>
                <w:w w:val="99"/>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4"/>
          </w:tcPr>
          <w:p>
            <w:pPr>
              <w:jc w:val="right"/>
              <w:ind w:right="441"/>
              <w:spacing w:after="0"/>
              <w:rPr>
                <w:sz w:val="20"/>
                <w:szCs w:val="20"/>
                <w:color w:val="auto"/>
              </w:rPr>
            </w:pPr>
            <w:r>
              <w:rPr>
                <w:rFonts w:ascii="Arial" w:cs="Arial" w:eastAsia="Arial" w:hAnsi="Arial"/>
                <w:sz w:val="20"/>
                <w:szCs w:val="20"/>
                <w:color w:val="auto"/>
              </w:rPr>
              <w:t>September 30,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jc w:val="center"/>
              <w:ind w:right="420"/>
              <w:spacing w:after="0"/>
              <w:rPr>
                <w:sz w:val="20"/>
                <w:szCs w:val="20"/>
                <w:color w:val="auto"/>
              </w:rPr>
            </w:pPr>
            <w:r>
              <w:rPr>
                <w:rFonts w:ascii="Arial" w:cs="Arial" w:eastAsia="Arial" w:hAnsi="Arial"/>
                <w:sz w:val="20"/>
                <w:szCs w:val="20"/>
                <w:color w:val="auto"/>
                <w:w w:val="99"/>
              </w:rPr>
              <w:t>September 30,</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2025</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jc w:val="right"/>
              <w:ind w:right="681"/>
              <w:spacing w:after="0" w:line="188" w:lineRule="exact"/>
              <w:rPr>
                <w:sz w:val="20"/>
                <w:szCs w:val="20"/>
                <w:color w:val="auto"/>
              </w:rPr>
            </w:pPr>
            <w:r>
              <w:rPr>
                <w:rFonts w:ascii="Arial" w:cs="Arial" w:eastAsia="Arial" w:hAnsi="Arial"/>
                <w:sz w:val="20"/>
                <w:szCs w:val="20"/>
                <w:i w:val="1"/>
                <w:iCs w:val="1"/>
                <w:color w:val="auto"/>
              </w:rPr>
              <w:t>(Dollars in Millions)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r>
              <w:rPr>
                <w:rFonts w:ascii="Arial" w:cs="Arial" w:eastAsia="Arial" w:hAnsi="Arial"/>
                <w:sz w:val="20"/>
                <w:szCs w:val="20"/>
                <w:color w:val="auto"/>
              </w:rPr>
              <w:t>Revenues</w:t>
            </w:r>
          </w:p>
        </w:tc>
        <w:tc>
          <w:tcPr>
            <w:tcW w:w="1120" w:type="dxa"/>
            <w:vAlign w:val="bottom"/>
            <w:gridSpan w:val="2"/>
          </w:tcPr>
          <w:p>
            <w:pPr>
              <w:jc w:val="right"/>
              <w:ind w:right="921"/>
              <w:spacing w:after="0"/>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242</w:t>
            </w:r>
          </w:p>
        </w:tc>
        <w:tc>
          <w:tcPr>
            <w:tcW w:w="1200" w:type="dxa"/>
            <w:vAlign w:val="bottom"/>
            <w:gridSpan w:val="2"/>
          </w:tcPr>
          <w:p>
            <w:pPr>
              <w:jc w:val="right"/>
              <w:ind w:right="741"/>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634</w:t>
            </w:r>
          </w:p>
        </w:tc>
        <w:tc>
          <w:tcPr>
            <w:tcW w:w="5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Cost of revenues</w:t>
            </w:r>
          </w:p>
        </w:tc>
        <w:tc>
          <w:tcPr>
            <w:tcW w:w="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166</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161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490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478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line="196" w:lineRule="exact"/>
              <w:rPr>
                <w:sz w:val="20"/>
                <w:szCs w:val="20"/>
                <w:color w:val="auto"/>
              </w:rPr>
            </w:pPr>
            <w:r>
              <w:rPr>
                <w:rFonts w:ascii="Arial" w:cs="Arial" w:eastAsia="Arial" w:hAnsi="Arial"/>
                <w:sz w:val="20"/>
                <w:szCs w:val="20"/>
                <w:color w:val="auto"/>
              </w:rPr>
              <w:t>Gross profit</w:t>
            </w:r>
          </w:p>
        </w:tc>
        <w:tc>
          <w:tcPr>
            <w:tcW w:w="1120" w:type="dxa"/>
            <w:vAlign w:val="bottom"/>
            <w:gridSpan w:val="2"/>
          </w:tcPr>
          <w:p>
            <w:pPr>
              <w:jc w:val="right"/>
              <w:ind w:right="921"/>
              <w:spacing w:after="0" w:line="196" w:lineRule="exact"/>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line="196" w:lineRule="exact"/>
              <w:rPr>
                <w:sz w:val="20"/>
                <w:szCs w:val="20"/>
                <w:color w:val="auto"/>
              </w:rPr>
            </w:pPr>
            <w:r>
              <w:rPr>
                <w:rFonts w:ascii="Arial" w:cs="Arial" w:eastAsia="Arial" w:hAnsi="Arial"/>
                <w:sz w:val="20"/>
                <w:szCs w:val="20"/>
                <w:color w:val="auto"/>
              </w:rPr>
              <w:t>76</w:t>
            </w:r>
          </w:p>
        </w:tc>
        <w:tc>
          <w:tcPr>
            <w:tcW w:w="1200" w:type="dxa"/>
            <w:vAlign w:val="bottom"/>
            <w:gridSpan w:val="2"/>
          </w:tcPr>
          <w:p>
            <w:pPr>
              <w:jc w:val="right"/>
              <w:ind w:right="741"/>
              <w:spacing w:after="0" w:line="196" w:lineRule="exact"/>
              <w:rPr>
                <w:sz w:val="20"/>
                <w:szCs w:val="20"/>
                <w:color w:val="auto"/>
              </w:rPr>
            </w:pPr>
            <w:r>
              <w:rPr>
                <w:rFonts w:ascii="Arial" w:cs="Arial" w:eastAsia="Arial" w:hAnsi="Arial"/>
                <w:sz w:val="20"/>
                <w:szCs w:val="20"/>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20"/>
                <w:szCs w:val="20"/>
                <w:color w:val="auto"/>
              </w:rPr>
              <w:t>86</w:t>
            </w: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20"/>
                <w:szCs w:val="20"/>
                <w:color w:val="auto"/>
              </w:rPr>
              <w:t>144</w:t>
            </w: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20"/>
                <w:szCs w:val="20"/>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Arial" w:cs="Arial" w:eastAsia="Arial" w:hAnsi="Arial"/>
                <w:sz w:val="20"/>
                <w:szCs w:val="20"/>
                <w:color w:val="auto"/>
              </w:rPr>
              <w:t>Pretax earnings</w:t>
            </w:r>
          </w:p>
        </w:tc>
        <w:tc>
          <w:tcPr>
            <w:tcW w:w="1120" w:type="dxa"/>
            <w:vAlign w:val="bottom"/>
            <w:gridSpan w:val="2"/>
          </w:tcPr>
          <w:p>
            <w:pPr>
              <w:jc w:val="right"/>
              <w:ind w:right="921"/>
              <w:spacing w:after="0" w:line="216" w:lineRule="exact"/>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line="216" w:lineRule="exact"/>
              <w:rPr>
                <w:sz w:val="20"/>
                <w:szCs w:val="20"/>
                <w:color w:val="auto"/>
              </w:rPr>
            </w:pPr>
            <w:r>
              <w:rPr>
                <w:rFonts w:ascii="Arial" w:cs="Arial" w:eastAsia="Arial" w:hAnsi="Arial"/>
                <w:sz w:val="20"/>
                <w:szCs w:val="20"/>
                <w:color w:val="auto"/>
              </w:rPr>
              <w:t>68</w:t>
            </w:r>
          </w:p>
        </w:tc>
        <w:tc>
          <w:tcPr>
            <w:tcW w:w="1200" w:type="dxa"/>
            <w:vAlign w:val="bottom"/>
            <w:gridSpan w:val="2"/>
          </w:tcPr>
          <w:p>
            <w:pPr>
              <w:jc w:val="right"/>
              <w:ind w:right="741"/>
              <w:spacing w:after="0" w:line="216" w:lineRule="exact"/>
              <w:rPr>
                <w:sz w:val="20"/>
                <w:szCs w:val="20"/>
                <w:color w:val="auto"/>
              </w:rPr>
            </w:pPr>
            <w:r>
              <w:rPr>
                <w:rFonts w:ascii="Arial" w:cs="Arial" w:eastAsia="Arial" w:hAnsi="Arial"/>
                <w:sz w:val="20"/>
                <w:szCs w:val="20"/>
                <w:color w:val="auto"/>
              </w:rPr>
              <w:t>$</w:t>
            </w:r>
          </w:p>
        </w:tc>
        <w:tc>
          <w:tcPr>
            <w:tcW w:w="420" w:type="dxa"/>
            <w:vAlign w:val="bottom"/>
          </w:tcPr>
          <w:p>
            <w:pPr>
              <w:jc w:val="right"/>
              <w:spacing w:after="0" w:line="216" w:lineRule="exact"/>
              <w:rPr>
                <w:sz w:val="20"/>
                <w:szCs w:val="20"/>
                <w:color w:val="auto"/>
              </w:rPr>
            </w:pPr>
            <w:r>
              <w:rPr>
                <w:rFonts w:ascii="Arial" w:cs="Arial" w:eastAsia="Arial" w:hAnsi="Arial"/>
                <w:sz w:val="20"/>
                <w:szCs w:val="20"/>
                <w:color w:val="auto"/>
              </w:rPr>
              <w:t>84</w:t>
            </w:r>
          </w:p>
        </w:tc>
        <w:tc>
          <w:tcPr>
            <w:tcW w:w="5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130</w:t>
            </w:r>
          </w:p>
        </w:tc>
        <w:tc>
          <w:tcPr>
            <w:tcW w:w="5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Income tax expense</w:t>
            </w:r>
          </w:p>
        </w:tc>
        <w:tc>
          <w:tcPr>
            <w:tcW w:w="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15</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line="188" w:lineRule="exact"/>
              <w:rPr>
                <w:sz w:val="20"/>
                <w:szCs w:val="20"/>
                <w:color w:val="auto"/>
              </w:rPr>
            </w:pPr>
            <w:r>
              <w:rPr>
                <w:rFonts w:ascii="Arial" w:cs="Arial" w:eastAsia="Arial" w:hAnsi="Arial"/>
                <w:sz w:val="20"/>
                <w:szCs w:val="20"/>
                <w:color w:val="auto"/>
              </w:rPr>
              <w:t>Earnings from discontinued operations, net of</w:t>
            </w:r>
          </w:p>
        </w:tc>
        <w:tc>
          <w:tcPr>
            <w:tcW w:w="1120" w:type="dxa"/>
            <w:vAlign w:val="bottom"/>
            <w:gridSpan w:val="2"/>
            <w:vMerge w:val="restart"/>
          </w:tcPr>
          <w:p>
            <w:pPr>
              <w:jc w:val="right"/>
              <w:ind w:right="921"/>
              <w:spacing w:after="0"/>
              <w:rPr>
                <w:sz w:val="20"/>
                <w:szCs w:val="20"/>
                <w:color w:val="auto"/>
              </w:rPr>
            </w:pPr>
            <w:r>
              <w:rPr>
                <w:rFonts w:ascii="Arial" w:cs="Arial" w:eastAsia="Arial" w:hAnsi="Arial"/>
                <w:sz w:val="20"/>
                <w:szCs w:val="2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53</w:t>
            </w:r>
          </w:p>
        </w:tc>
        <w:tc>
          <w:tcPr>
            <w:tcW w:w="1200" w:type="dxa"/>
            <w:vAlign w:val="bottom"/>
            <w:gridSpan w:val="2"/>
            <w:vMerge w:val="restart"/>
          </w:tcPr>
          <w:p>
            <w:pPr>
              <w:jc w:val="right"/>
              <w:ind w:right="741"/>
              <w:spacing w:after="0"/>
              <w:rPr>
                <w:sz w:val="20"/>
                <w:szCs w:val="20"/>
                <w:color w:val="auto"/>
              </w:rPr>
            </w:pPr>
            <w:r>
              <w:rPr>
                <w:rFonts w:ascii="Arial" w:cs="Arial" w:eastAsia="Arial" w:hAnsi="Arial"/>
                <w:sz w:val="20"/>
                <w:szCs w:val="20"/>
                <w:color w:val="auto"/>
              </w:rPr>
              <w:t>$</w:t>
            </w:r>
          </w:p>
        </w:tc>
        <w:tc>
          <w:tcPr>
            <w:tcW w:w="420" w:type="dxa"/>
            <w:vAlign w:val="bottom"/>
            <w:vMerge w:val="restart"/>
          </w:tcPr>
          <w:p>
            <w:pPr>
              <w:jc w:val="right"/>
              <w:spacing w:after="0"/>
              <w:rPr>
                <w:sz w:val="20"/>
                <w:szCs w:val="20"/>
                <w:color w:val="auto"/>
              </w:rPr>
            </w:pPr>
            <w:r>
              <w:rPr>
                <w:rFonts w:ascii="Arial" w:cs="Arial" w:eastAsia="Arial" w:hAnsi="Arial"/>
                <w:sz w:val="20"/>
                <w:szCs w:val="20"/>
                <w:color w:val="auto"/>
              </w:rPr>
              <w:t>66</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180"/>
              <w:spacing w:after="0" w:line="177" w:lineRule="exact"/>
              <w:rPr>
                <w:sz w:val="20"/>
                <w:szCs w:val="20"/>
                <w:color w:val="auto"/>
              </w:rPr>
            </w:pPr>
            <w:r>
              <w:rPr>
                <w:rFonts w:ascii="Arial" w:cs="Arial" w:eastAsia="Arial" w:hAnsi="Arial"/>
                <w:sz w:val="20"/>
                <w:szCs w:val="20"/>
                <w:color w:val="auto"/>
              </w:rPr>
              <w:t>income tax expense</w:t>
            </w:r>
          </w:p>
        </w:tc>
        <w:tc>
          <w:tcPr>
            <w:tcW w:w="11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-865505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-865505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-865505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-282575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-282575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-282575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Cash flow information for the Company's discontinued operations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60" w:type="dxa"/>
            <w:vAlign w:val="bottom"/>
            <w:gridSpan w:val="4"/>
          </w:tcPr>
          <w:p>
            <w:pPr>
              <w:jc w:val="center"/>
              <w:ind w:right="80"/>
              <w:spacing w:after="0"/>
              <w:rPr>
                <w:sz w:val="20"/>
                <w:szCs w:val="20"/>
                <w:color w:val="auto"/>
              </w:rPr>
            </w:pPr>
            <w:r>
              <w:rPr>
                <w:rFonts w:ascii="Arial" w:cs="Arial" w:eastAsia="Arial" w:hAnsi="Arial"/>
                <w:sz w:val="20"/>
                <w:szCs w:val="20"/>
                <w:color w:val="auto"/>
                <w:w w:val="99"/>
              </w:rPr>
              <w:t>Nine Months Ended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20"/>
                <w:szCs w:val="20"/>
                <w:color w:val="auto"/>
                <w:w w:val="99"/>
              </w:rPr>
              <w:t>September 30,</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4"/>
          </w:tcPr>
          <w:p>
            <w:pPr>
              <w:jc w:val="center"/>
              <w:ind w:right="60"/>
              <w:spacing w:after="0" w:line="209" w:lineRule="exact"/>
              <w:rPr>
                <w:sz w:val="20"/>
                <w:szCs w:val="20"/>
                <w:color w:val="auto"/>
              </w:rPr>
            </w:pPr>
            <w:r>
              <w:rPr>
                <w:rFonts w:ascii="Arial" w:cs="Arial" w:eastAsia="Arial" w:hAnsi="Arial"/>
                <w:sz w:val="20"/>
                <w:szCs w:val="20"/>
                <w:i w:val="1"/>
                <w:iCs w:val="1"/>
                <w:color w:val="auto"/>
                <w:w w:val="99"/>
              </w:rPr>
              <w:t>(Dollars in Millions)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6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Net cash provided by operating activities</w:t>
            </w:r>
          </w:p>
        </w:tc>
        <w:tc>
          <w:tcPr>
            <w:tcW w:w="1360" w:type="dxa"/>
            <w:vAlign w:val="bottom"/>
            <w:shd w:val="clear" w:color="auto" w:fill="CFF0FC"/>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120</w:t>
            </w: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540"/>
              <w:spacing w:after="0" w:line="196" w:lineRule="exact"/>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167</w:t>
            </w:r>
          </w:p>
        </w:tc>
        <w:tc>
          <w:tcPr>
            <w:tcW w:w="100" w:type="dxa"/>
            <w:vAlign w:val="bottom"/>
            <w:shd w:val="clear" w:color="auto" w:fill="CFF0FC"/>
          </w:tcPr>
          <w:p>
            <w:pPr>
              <w:spacing w:after="0"/>
              <w:rPr>
                <w:sz w:val="22"/>
                <w:szCs w:val="22"/>
                <w:color w:val="auto"/>
              </w:rPr>
            </w:pPr>
          </w:p>
        </w:tc>
      </w:tr>
      <w:tr>
        <w:trPr>
          <w:trHeight w:val="196"/>
        </w:trPr>
        <w:tc>
          <w:tcPr>
            <w:tcW w:w="66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Additions to property, plant and equipment</w:t>
            </w:r>
          </w:p>
        </w:tc>
        <w:tc>
          <w:tcPr>
            <w:tcW w:w="1360" w:type="dxa"/>
            <w:vAlign w:val="bottom"/>
            <w:shd w:val="clear" w:color="auto" w:fill="CFF0FC"/>
          </w:tcPr>
          <w:p>
            <w:pPr>
              <w:jc w:val="right"/>
              <w:ind w:right="1161"/>
              <w:spacing w:after="0" w:line="216" w:lineRule="exact"/>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(74)</w:t>
            </w:r>
          </w:p>
        </w:tc>
        <w:tc>
          <w:tcPr>
            <w:tcW w:w="780" w:type="dxa"/>
            <w:vAlign w:val="bottom"/>
            <w:gridSpan w:val="2"/>
            <w:shd w:val="clear" w:color="auto" w:fill="CFF0FC"/>
          </w:tcPr>
          <w:p>
            <w:pPr>
              <w:jc w:val="right"/>
              <w:ind w:right="540"/>
              <w:spacing w:after="0" w:line="216" w:lineRule="exact"/>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(88)</w:t>
            </w: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Proceeds from divestitures and sales of assets</w:t>
            </w:r>
          </w:p>
        </w:tc>
        <w:tc>
          <w:tcPr>
            <w:tcW w:w="1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Net cash used for investing activities</w:t>
            </w:r>
          </w:p>
        </w:tc>
        <w:tc>
          <w:tcPr>
            <w:tcW w:w="1360" w:type="dxa"/>
            <w:vAlign w:val="bottom"/>
            <w:shd w:val="clear" w:color="auto" w:fill="CFF0FC"/>
          </w:tcPr>
          <w:p>
            <w:pPr>
              <w:jc w:val="right"/>
              <w:ind w:right="1161"/>
              <w:spacing w:after="0" w:line="196" w:lineRule="exact"/>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20"/>
                <w:szCs w:val="20"/>
                <w:color w:val="auto"/>
              </w:rPr>
              <w:t>(73)</w:t>
            </w:r>
          </w:p>
        </w:tc>
        <w:tc>
          <w:tcPr>
            <w:tcW w:w="780" w:type="dxa"/>
            <w:vAlign w:val="bottom"/>
            <w:gridSpan w:val="2"/>
            <w:shd w:val="clear" w:color="auto" w:fill="CFF0FC"/>
          </w:tcPr>
          <w:p>
            <w:pPr>
              <w:jc w:val="right"/>
              <w:ind w:right="540"/>
              <w:spacing w:after="0" w:line="196" w:lineRule="exact"/>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20"/>
                <w:szCs w:val="20"/>
                <w:color w:val="auto"/>
              </w:rPr>
              <w:t>(83)</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-607695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-591185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Assets and Liabilities Held for Sale</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Assets and liabilities held for sale at September 30, 2025 included the Company's Midlothian cement plant, related cement distribution terminals and Texas ready mixed concrete plants and certain nonoperating land. At December 31, 2024, assets and liabilities held for sale included certain nonoperating land.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Assets and liabilities held for sale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4"/>
          </w:tcPr>
          <w:p>
            <w:pPr>
              <w:jc w:val="right"/>
              <w:ind w:right="21"/>
              <w:spacing w:after="0"/>
              <w:rPr>
                <w:sz w:val="20"/>
                <w:szCs w:val="20"/>
                <w:color w:val="auto"/>
              </w:rPr>
            </w:pPr>
            <w:r>
              <w:rPr>
                <w:rFonts w:ascii="Arial" w:cs="Arial" w:eastAsia="Arial" w:hAnsi="Arial"/>
                <w:sz w:val="20"/>
                <w:szCs w:val="20"/>
                <w:color w:val="auto"/>
              </w:rPr>
              <w:t>September 30, 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20"/>
                <w:szCs w:val="20"/>
                <w:color w:val="auto"/>
                <w:w w:val="97"/>
              </w:rPr>
              <w:t>December 31, 2024</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3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color w:val="auto"/>
              </w:rPr>
              <w:t>Continuing</w:t>
            </w: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01"/>
              <w:spacing w:after="0" w:line="188" w:lineRule="exact"/>
              <w:rPr>
                <w:sz w:val="20"/>
                <w:szCs w:val="20"/>
                <w:color w:val="auto"/>
              </w:rPr>
            </w:pPr>
            <w:r>
              <w:rPr>
                <w:rFonts w:ascii="Arial" w:cs="Arial" w:eastAsia="Arial" w:hAnsi="Arial"/>
                <w:sz w:val="20"/>
                <w:szCs w:val="20"/>
                <w:color w:val="auto"/>
              </w:rPr>
              <w:t>Discontinued</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261"/>
              <w:spacing w:after="0" w:line="188" w:lineRule="exact"/>
              <w:rPr>
                <w:sz w:val="20"/>
                <w:szCs w:val="20"/>
                <w:color w:val="auto"/>
              </w:rPr>
            </w:pPr>
            <w:r>
              <w:rPr>
                <w:rFonts w:ascii="Arial" w:cs="Arial" w:eastAsia="Arial" w:hAnsi="Arial"/>
                <w:sz w:val="20"/>
                <w:szCs w:val="20"/>
                <w:color w:val="auto"/>
                <w:w w:val="98"/>
              </w:rPr>
              <w:t>Continuing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Operations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61"/>
              <w:spacing w:after="0"/>
              <w:rPr>
                <w:sz w:val="20"/>
                <w:szCs w:val="20"/>
                <w:color w:val="auto"/>
              </w:rPr>
            </w:pPr>
            <w:r>
              <w:rPr>
                <w:rFonts w:ascii="Arial" w:cs="Arial" w:eastAsia="Arial" w:hAnsi="Arial"/>
                <w:sz w:val="20"/>
                <w:szCs w:val="20"/>
                <w:color w:val="auto"/>
              </w:rPr>
              <w:t>Operations</w:t>
            </w:r>
          </w:p>
        </w:tc>
        <w:tc>
          <w:tcPr>
            <w:tcW w:w="280" w:type="dxa"/>
            <w:vAlign w:val="bottom"/>
            <w:gridSpan w:val="2"/>
            <w:vMerge w:val="restart"/>
          </w:tcPr>
          <w:p>
            <w:pPr>
              <w:spacing w:after="0"/>
              <w:rPr>
                <w:sz w:val="20"/>
                <w:szCs w:val="20"/>
                <w:color w:val="auto"/>
              </w:rPr>
            </w:pPr>
            <w:r>
              <w:rPr>
                <w:rFonts w:ascii="Arial" w:cs="Arial" w:eastAsia="Arial" w:hAnsi="Arial"/>
                <w:sz w:val="20"/>
                <w:szCs w:val="20"/>
                <w:i w:val="1"/>
                <w:iCs w:val="1"/>
                <w:color w:val="auto"/>
              </w:rPr>
              <w:t>in</w:t>
            </w:r>
          </w:p>
        </w:tc>
        <w:tc>
          <w:tcPr>
            <w:tcW w:w="240" w:type="dxa"/>
            <w:vAlign w:val="bottom"/>
          </w:tcPr>
          <w:p>
            <w:pPr>
              <w:spacing w:after="0"/>
              <w:rPr>
                <w:sz w:val="20"/>
                <w:szCs w:val="20"/>
                <w:color w:val="auto"/>
              </w:rPr>
            </w:pPr>
          </w:p>
        </w:tc>
        <w:tc>
          <w:tcPr>
            <w:tcW w:w="960" w:type="dxa"/>
            <w:vAlign w:val="bottom"/>
          </w:tcPr>
          <w:p>
            <w:pPr>
              <w:jc w:val="right"/>
              <w:ind w:right="281"/>
              <w:spacing w:after="0"/>
              <w:rPr>
                <w:sz w:val="20"/>
                <w:szCs w:val="20"/>
                <w:color w:val="auto"/>
              </w:rPr>
            </w:pPr>
            <w:r>
              <w:rPr>
                <w:rFonts w:ascii="Arial" w:cs="Arial" w:eastAsia="Arial" w:hAnsi="Arial"/>
                <w:sz w:val="20"/>
                <w:szCs w:val="20"/>
                <w:color w:val="auto"/>
              </w:rPr>
              <w:t>Total</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20"/>
                <w:szCs w:val="20"/>
                <w:color w:val="auto"/>
                <w:w w:val="98"/>
              </w:rPr>
              <w:t>Operations</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i w:val="1"/>
                <w:iCs w:val="1"/>
                <w:color w:val="auto"/>
              </w:rPr>
              <w:t>(Dollars</w:t>
            </w:r>
          </w:p>
        </w:tc>
        <w:tc>
          <w:tcPr>
            <w:tcW w:w="280" w:type="dxa"/>
            <w:vAlign w:val="bottom"/>
            <w:gridSpan w:val="2"/>
            <w:vMerge w:val="continue"/>
          </w:tcPr>
          <w:p>
            <w:pPr>
              <w:spacing w:after="0"/>
              <w:rPr>
                <w:sz w:val="16"/>
                <w:szCs w:val="16"/>
                <w:color w:val="auto"/>
              </w:rPr>
            </w:pPr>
          </w:p>
        </w:tc>
        <w:tc>
          <w:tcPr>
            <w:tcW w:w="1200" w:type="dxa"/>
            <w:vAlign w:val="bottom"/>
            <w:tcBorders>
              <w:top w:val="single" w:sz="8" w:color="auto"/>
            </w:tcBorders>
            <w:gridSpan w:val="2"/>
          </w:tcPr>
          <w:p>
            <w:pPr>
              <w:spacing w:after="0" w:line="188" w:lineRule="exact"/>
              <w:rPr>
                <w:sz w:val="20"/>
                <w:szCs w:val="20"/>
                <w:color w:val="auto"/>
              </w:rPr>
            </w:pPr>
            <w:r>
              <w:rPr>
                <w:rFonts w:ascii="Arial" w:cs="Arial" w:eastAsia="Arial" w:hAnsi="Arial"/>
                <w:sz w:val="20"/>
                <w:szCs w:val="20"/>
                <w:i w:val="1"/>
                <w:iCs w:val="1"/>
                <w:color w:val="auto"/>
              </w:rPr>
              <w:t>Millions)</w:t>
            </w: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Arial" w:cs="Arial" w:eastAsia="Arial" w:hAnsi="Arial"/>
                <w:sz w:val="20"/>
                <w:szCs w:val="20"/>
                <w:color w:val="auto"/>
              </w:rPr>
              <w:t>Inventories, net</w:t>
            </w:r>
          </w:p>
        </w:tc>
        <w:tc>
          <w:tcPr>
            <w:tcW w:w="1300" w:type="dxa"/>
            <w:vAlign w:val="bottom"/>
          </w:tcPr>
          <w:p>
            <w:pPr>
              <w:jc w:val="right"/>
              <w:ind w:right="1081"/>
              <w:spacing w:after="0"/>
              <w:rPr>
                <w:sz w:val="20"/>
                <w:szCs w:val="20"/>
                <w:color w:val="auto"/>
              </w:rPr>
            </w:pPr>
            <w:r>
              <w:rPr>
                <w:rFonts w:ascii="Arial" w:cs="Arial" w:eastAsia="Arial" w:hAnsi="Arial"/>
                <w:sz w:val="20"/>
                <w:szCs w:val="20"/>
                <w:color w:val="auto"/>
                <w:w w:val="89"/>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96</w:t>
            </w:r>
          </w:p>
        </w:tc>
        <w:tc>
          <w:tcPr>
            <w:tcW w:w="520" w:type="dxa"/>
            <w:vAlign w:val="bottom"/>
            <w:gridSpan w:val="3"/>
          </w:tcPr>
          <w:p>
            <w:pPr>
              <w:ind w:left="2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96</w:t>
            </w:r>
          </w:p>
        </w:tc>
        <w:tc>
          <w:tcPr>
            <w:tcW w:w="5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Investment land</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98"/>
              </w:rPr>
              <w:t>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Property, plant and equipment</w:t>
            </w:r>
          </w:p>
        </w:tc>
        <w:tc>
          <w:tcPr>
            <w:tcW w:w="130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Arial" w:cs="Arial" w:eastAsia="Arial" w:hAnsi="Arial"/>
                <w:sz w:val="20"/>
                <w:szCs w:val="20"/>
                <w:color w:val="auto"/>
              </w:rPr>
              <w:t>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480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Goodwill</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Intangible assets, excluding goodwill</w:t>
            </w:r>
          </w:p>
        </w:tc>
        <w:tc>
          <w:tcPr>
            <w:tcW w:w="130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Arial" w:cs="Arial" w:eastAsia="Arial" w:hAnsi="Arial"/>
                <w:sz w:val="20"/>
                <w:szCs w:val="20"/>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249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Operating lease right-of-use assets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Other assets</w:t>
            </w:r>
          </w:p>
        </w:tc>
        <w:tc>
          <w:tcPr>
            <w:tcW w:w="1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Total current assets held for sale</w:t>
            </w:r>
          </w:p>
        </w:tc>
        <w:tc>
          <w:tcPr>
            <w:tcW w:w="1300" w:type="dxa"/>
            <w:vAlign w:val="bottom"/>
            <w:shd w:val="clear" w:color="auto" w:fill="CFF0FC"/>
          </w:tcPr>
          <w:p>
            <w:pPr>
              <w:jc w:val="right"/>
              <w:ind w:right="1081"/>
              <w:spacing w:after="0" w:line="196" w:lineRule="exact"/>
              <w:rPr>
                <w:sz w:val="20"/>
                <w:szCs w:val="20"/>
                <w:color w:val="auto"/>
              </w:rPr>
            </w:pPr>
            <w:r>
              <w:rPr>
                <w:rFonts w:ascii="Arial" w:cs="Arial" w:eastAsia="Arial" w:hAnsi="Arial"/>
                <w:sz w:val="20"/>
                <w:szCs w:val="20"/>
                <w:color w:val="auto"/>
                <w:w w:val="89"/>
              </w:rPr>
              <w:t>$</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w w:val="98"/>
              </w:rPr>
              <w:t>11</w:t>
            </w:r>
          </w:p>
        </w:tc>
        <w:tc>
          <w:tcPr>
            <w:tcW w:w="46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1,213</w:t>
            </w:r>
          </w:p>
        </w:tc>
        <w:tc>
          <w:tcPr>
            <w:tcW w:w="520" w:type="dxa"/>
            <w:vAlign w:val="bottom"/>
            <w:gridSpan w:val="3"/>
            <w:shd w:val="clear" w:color="auto" w:fill="CFF0FC"/>
          </w:tcPr>
          <w:p>
            <w:pPr>
              <w:ind w:left="280"/>
              <w:spacing w:after="0" w:line="196" w:lineRule="exact"/>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1,224</w:t>
            </w:r>
          </w:p>
        </w:tc>
        <w:tc>
          <w:tcPr>
            <w:tcW w:w="580" w:type="dxa"/>
            <w:vAlign w:val="bottom"/>
            <w:gridSpan w:val="2"/>
            <w:shd w:val="clear" w:color="auto" w:fill="CFF0FC"/>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Lease obligations</w:t>
            </w:r>
          </w:p>
        </w:tc>
        <w:tc>
          <w:tcPr>
            <w:tcW w:w="1300" w:type="dxa"/>
            <w:vAlign w:val="bottom"/>
            <w:shd w:val="clear" w:color="auto" w:fill="CFF0FC"/>
          </w:tcPr>
          <w:p>
            <w:pPr>
              <w:jc w:val="right"/>
              <w:ind w:right="1081"/>
              <w:spacing w:after="0" w:line="216" w:lineRule="exact"/>
              <w:rPr>
                <w:sz w:val="20"/>
                <w:szCs w:val="20"/>
                <w:color w:val="auto"/>
              </w:rPr>
            </w:pPr>
            <w:r>
              <w:rPr>
                <w:rFonts w:ascii="Arial" w:cs="Arial" w:eastAsia="Arial" w:hAnsi="Arial"/>
                <w:sz w:val="20"/>
                <w:szCs w:val="20"/>
                <w:color w:val="auto"/>
                <w:w w:val="89"/>
              </w:rPr>
              <w:t>$</w:t>
            </w: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460" w:type="dxa"/>
            <w:vAlign w:val="bottom"/>
            <w:gridSpan w:val="3"/>
            <w:shd w:val="clear" w:color="auto" w:fill="CFF0FC"/>
          </w:tcPr>
          <w:p>
            <w:pPr>
              <w:jc w:val="right"/>
              <w:ind w:right="60"/>
              <w:spacing w:after="0" w:line="216" w:lineRule="exact"/>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26</w:t>
            </w:r>
          </w:p>
        </w:tc>
        <w:tc>
          <w:tcPr>
            <w:tcW w:w="520" w:type="dxa"/>
            <w:vAlign w:val="bottom"/>
            <w:gridSpan w:val="3"/>
            <w:shd w:val="clear" w:color="auto" w:fill="CFF0FC"/>
          </w:tcPr>
          <w:p>
            <w:pPr>
              <w:ind w:left="280"/>
              <w:spacing w:after="0" w:line="216" w:lineRule="exact"/>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26</w:t>
            </w:r>
          </w:p>
        </w:tc>
        <w:tc>
          <w:tcPr>
            <w:tcW w:w="580" w:type="dxa"/>
            <w:vAlign w:val="bottom"/>
            <w:gridSpan w:val="2"/>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w:t>
            </w:r>
          </w:p>
        </w:tc>
        <w:tc>
          <w:tcPr>
            <w:tcW w:w="17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Asset retirement obligations</w:t>
            </w:r>
          </w:p>
        </w:tc>
        <w:tc>
          <w:tcPr>
            <w:tcW w:w="130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Arial" w:cs="Arial" w:eastAsia="Arial" w:hAnsi="Arial"/>
                <w:sz w:val="20"/>
                <w:szCs w:val="20"/>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Other liabilities</w:t>
            </w:r>
          </w:p>
        </w:tc>
        <w:tc>
          <w:tcPr>
            <w:tcW w:w="13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line="196" w:lineRule="exact"/>
              <w:rPr>
                <w:sz w:val="20"/>
                <w:szCs w:val="20"/>
                <w:color w:val="auto"/>
              </w:rPr>
            </w:pPr>
            <w:r>
              <w:rPr>
                <w:rFonts w:ascii="Arial" w:cs="Arial" w:eastAsia="Arial" w:hAnsi="Arial"/>
                <w:sz w:val="20"/>
                <w:szCs w:val="20"/>
                <w:color w:val="auto"/>
              </w:rPr>
              <w:t>Total current liabilities held for sale</w:t>
            </w:r>
          </w:p>
        </w:tc>
        <w:tc>
          <w:tcPr>
            <w:tcW w:w="1300" w:type="dxa"/>
            <w:vAlign w:val="bottom"/>
          </w:tcPr>
          <w:p>
            <w:pPr>
              <w:jc w:val="right"/>
              <w:ind w:right="1081"/>
              <w:spacing w:after="0" w:line="196" w:lineRule="exact"/>
              <w:rPr>
                <w:sz w:val="20"/>
                <w:szCs w:val="20"/>
                <w:color w:val="auto"/>
              </w:rPr>
            </w:pPr>
            <w:r>
              <w:rPr>
                <w:rFonts w:ascii="Arial" w:cs="Arial" w:eastAsia="Arial" w:hAnsi="Arial"/>
                <w:sz w:val="20"/>
                <w:szCs w:val="20"/>
                <w:color w:val="auto"/>
                <w:w w:val="89"/>
              </w:rPr>
              <w:t>$</w:t>
            </w:r>
          </w:p>
        </w:tc>
        <w:tc>
          <w:tcPr>
            <w:tcW w:w="26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460" w:type="dxa"/>
            <w:vAlign w:val="bottom"/>
            <w:gridSpan w:val="3"/>
          </w:tcPr>
          <w:p>
            <w:pPr>
              <w:jc w:val="right"/>
              <w:ind w:right="60"/>
              <w:spacing w:after="0" w:line="196" w:lineRule="exact"/>
              <w:rPr>
                <w:sz w:val="20"/>
                <w:szCs w:val="20"/>
                <w:color w:val="auto"/>
              </w:rPr>
            </w:pPr>
            <w:r>
              <w:rPr>
                <w:rFonts w:ascii="Arial" w:cs="Arial" w:eastAsia="Arial" w:hAnsi="Arial"/>
                <w:sz w:val="20"/>
                <w:szCs w:val="20"/>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20"/>
                <w:szCs w:val="20"/>
                <w:color w:val="auto"/>
              </w:rPr>
              <w:t>40</w:t>
            </w:r>
          </w:p>
        </w:tc>
        <w:tc>
          <w:tcPr>
            <w:tcW w:w="520" w:type="dxa"/>
            <w:vAlign w:val="bottom"/>
            <w:gridSpan w:val="3"/>
          </w:tcPr>
          <w:p>
            <w:pPr>
              <w:ind w:left="280"/>
              <w:spacing w:after="0" w:line="196"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20"/>
                <w:szCs w:val="20"/>
                <w:color w:val="auto"/>
              </w:rPr>
              <w:t>40</w:t>
            </w:r>
          </w:p>
        </w:tc>
        <w:tc>
          <w:tcPr>
            <w:tcW w:w="580" w:type="dxa"/>
            <w:vAlign w:val="bottom"/>
            <w:gridSpan w:val="2"/>
          </w:tcPr>
          <w:p>
            <w:pPr>
              <w:jc w:val="right"/>
              <w:ind w:right="61"/>
              <w:spacing w:after="0" w:line="196" w:lineRule="exact"/>
              <w:rPr>
                <w:sz w:val="20"/>
                <w:szCs w:val="20"/>
                <w:color w:val="auto"/>
              </w:rPr>
            </w:pPr>
            <w:r>
              <w:rPr>
                <w:rFonts w:ascii="Arial" w:cs="Arial" w:eastAsia="Arial" w:hAnsi="Arial"/>
                <w:sz w:val="20"/>
                <w:szCs w:val="20"/>
                <w:color w:val="auto"/>
              </w:rPr>
              <w:t>$</w:t>
            </w: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-745490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-728345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-745490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-728345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-745490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-728345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0" w:lineRule="exact"/>
        <w:rPr>
          <w:sz w:val="20"/>
          <w:szCs w:val="20"/>
          <w:color w:val="auto"/>
        </w:rPr>
      </w:pPr>
    </w:p>
    <w:p>
      <w:pPr>
        <w:ind w:left="380" w:hanging="372"/>
        <w:spacing w:after="0"/>
        <w:tabs>
          <w:tab w:leader="none" w:pos="38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Goodwill</w:t>
      </w:r>
    </w:p>
    <w:p>
      <w:pPr>
        <w:spacing w:after="0" w:line="122"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20"/>
                <w:szCs w:val="20"/>
                <w:color w:val="auto"/>
              </w:rPr>
              <w:t>East</w:t>
            </w:r>
          </w:p>
        </w:tc>
        <w:tc>
          <w:tcPr>
            <w:tcW w:w="240" w:type="dxa"/>
            <w:vAlign w:val="bottom"/>
          </w:tcPr>
          <w:p>
            <w:pPr>
              <w:spacing w:after="0"/>
              <w:rPr>
                <w:sz w:val="19"/>
                <w:szCs w:val="19"/>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20"/>
                <w:szCs w:val="20"/>
                <w:color w:val="auto"/>
              </w:rPr>
              <w:t>West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20"/>
                <w:szCs w:val="20"/>
                <w:color w:val="auto"/>
              </w:rPr>
              <w:t>Group</w:t>
            </w:r>
          </w:p>
        </w:tc>
        <w:tc>
          <w:tcPr>
            <w:tcW w:w="240" w:type="dxa"/>
            <w:vAlign w:val="bottom"/>
          </w:tcPr>
          <w:p>
            <w:pPr>
              <w:spacing w:after="0"/>
              <w:rPr>
                <w:sz w:val="20"/>
                <w:szCs w:val="20"/>
                <w:color w:val="auto"/>
              </w:rPr>
            </w:pPr>
          </w:p>
        </w:tc>
        <w:tc>
          <w:tcPr>
            <w:tcW w:w="1300" w:type="dxa"/>
            <w:vAlign w:val="bottom"/>
            <w:gridSpan w:val="2"/>
          </w:tcPr>
          <w:p>
            <w:pPr>
              <w:jc w:val="right"/>
              <w:ind w:right="521"/>
              <w:spacing w:after="0"/>
              <w:rPr>
                <w:sz w:val="20"/>
                <w:szCs w:val="20"/>
                <w:color w:val="auto"/>
              </w:rPr>
            </w:pPr>
            <w:r>
              <w:rPr>
                <w:rFonts w:ascii="Arial" w:cs="Arial" w:eastAsia="Arial" w:hAnsi="Arial"/>
                <w:sz w:val="20"/>
                <w:szCs w:val="20"/>
                <w:color w:val="auto"/>
              </w:rPr>
              <w:t>Group</w:t>
            </w:r>
          </w:p>
        </w:tc>
        <w:tc>
          <w:tcPr>
            <w:tcW w:w="14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w w:val="99"/>
              </w:rPr>
              <w:t>Specialties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20"/>
                <w:szCs w:val="20"/>
                <w:color w:val="auto"/>
              </w:rPr>
              <w:t>Total</w:t>
            </w:r>
          </w:p>
        </w:tc>
      </w:tr>
      <w:tr>
        <w:trPr>
          <w:trHeight w:val="209"/>
        </w:trPr>
        <w:tc>
          <w:tcPr>
            <w:tcW w:w="5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4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in</w:t>
            </w:r>
          </w:p>
        </w:tc>
        <w:tc>
          <w:tcPr>
            <w:tcW w:w="1300" w:type="dxa"/>
            <w:vAlign w:val="bottom"/>
            <w:tcBorders>
              <w:top w:val="single" w:sz="8" w:color="auto"/>
            </w:tcBorders>
            <w:gridSpan w:val="2"/>
          </w:tcPr>
          <w:p>
            <w:pPr>
              <w:ind w:left="20"/>
              <w:spacing w:after="0" w:line="209"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Balance at January 1, 2025</w:t>
            </w: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1,031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2,736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52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3,767</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line="216" w:lineRule="exact"/>
              <w:rPr>
                <w:sz w:val="20"/>
                <w:szCs w:val="20"/>
                <w:color w:val="auto"/>
              </w:rPr>
            </w:pPr>
            <w:r>
              <w:rPr>
                <w:rFonts w:ascii="Arial" w:cs="Arial" w:eastAsia="Arial" w:hAnsi="Arial"/>
                <w:sz w:val="20"/>
                <w:szCs w:val="20"/>
                <w:color w:val="auto"/>
              </w:rPr>
              <w:t>Acquisitions</w:t>
            </w:r>
          </w:p>
        </w:tc>
        <w:tc>
          <w:tcPr>
            <w:tcW w:w="240" w:type="dxa"/>
            <w:vAlign w:val="bottom"/>
          </w:tcPr>
          <w:p>
            <w:pPr>
              <w:spacing w:after="0"/>
              <w:rPr>
                <w:sz w:val="18"/>
                <w:szCs w:val="18"/>
                <w:color w:val="auto"/>
              </w:rPr>
            </w:pPr>
          </w:p>
        </w:tc>
        <w:tc>
          <w:tcPr>
            <w:tcW w:w="1300" w:type="dxa"/>
            <w:vAlign w:val="bottom"/>
            <w:gridSpan w:val="2"/>
          </w:tcPr>
          <w:p>
            <w:pPr>
              <w:jc w:val="right"/>
              <w:ind w:right="260"/>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207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207</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Adjustments to purchase price allocations</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(1)</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line="216" w:lineRule="exact"/>
              <w:rPr>
                <w:sz w:val="20"/>
                <w:szCs w:val="20"/>
                <w:color w:val="auto"/>
              </w:rPr>
            </w:pPr>
            <w:r>
              <w:rPr>
                <w:rFonts w:ascii="Arial" w:cs="Arial" w:eastAsia="Arial" w:hAnsi="Arial"/>
                <w:sz w:val="20"/>
                <w:szCs w:val="20"/>
                <w:color w:val="auto"/>
              </w:rPr>
              <w:t>Goodwill reclassified to assets held for sale</w:t>
            </w:r>
          </w:p>
        </w:tc>
        <w:tc>
          <w:tcPr>
            <w:tcW w:w="24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81"/>
              <w:spacing w:after="0" w:line="216" w:lineRule="exact"/>
              <w:rPr>
                <w:sz w:val="20"/>
                <w:szCs w:val="20"/>
                <w:color w:val="auto"/>
              </w:rPr>
            </w:pPr>
            <w:r>
              <w:rPr>
                <w:rFonts w:ascii="Arial" w:cs="Arial" w:eastAsia="Arial" w:hAnsi="Arial"/>
                <w:sz w:val="20"/>
                <w:szCs w:val="20"/>
                <w:color w:val="auto"/>
              </w:rPr>
              <w:t>(374)</w:t>
            </w: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(374)</w:t>
            </w:r>
          </w:p>
        </w:tc>
      </w:tr>
      <w:tr>
        <w:trPr>
          <w:trHeight w:val="20"/>
        </w:trPr>
        <w:tc>
          <w:tcPr>
            <w:tcW w:w="5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Balance at September 30, 2025</w:t>
            </w:r>
          </w:p>
        </w:tc>
        <w:tc>
          <w:tcPr>
            <w:tcW w:w="240" w:type="dxa"/>
            <w:vAlign w:val="bottom"/>
            <w:shd w:val="clear" w:color="auto" w:fill="CFF0FC"/>
          </w:tcPr>
          <w:p>
            <w:pPr>
              <w:jc w:val="right"/>
              <w:ind w:right="4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1,030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4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2,370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207</w:t>
            </w:r>
          </w:p>
        </w:tc>
        <w:tc>
          <w:tcPr>
            <w:tcW w:w="520" w:type="dxa"/>
            <w:vAlign w:val="bottom"/>
            <w:gridSpan w:val="2"/>
            <w:shd w:val="clear" w:color="auto" w:fill="CFF0FC"/>
          </w:tcPr>
          <w:p>
            <w:pPr>
              <w:jc w:val="right"/>
              <w:ind w:right="180"/>
              <w:spacing w:after="0" w:line="209"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3,607</w:t>
            </w:r>
          </w:p>
        </w:tc>
        <w:tc>
          <w:tcPr>
            <w:tcW w:w="100" w:type="dxa"/>
            <w:vAlign w:val="bottom"/>
            <w:shd w:val="clear" w:color="auto" w:fill="CFF0FC"/>
          </w:tcPr>
          <w:p>
            <w:pPr>
              <w:spacing w:after="0"/>
              <w:rPr>
                <w:sz w:val="19"/>
                <w:szCs w:val="19"/>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 xml:space="preserve">4.   </w:t>
            </w:r>
            <w:r>
              <w:rPr>
                <w:rFonts w:ascii="Arial" w:cs="Arial" w:eastAsia="Arial" w:hAnsi="Arial"/>
                <w:sz w:val="20"/>
                <w:szCs w:val="20"/>
                <w:b w:val="1"/>
                <w:bCs w:val="1"/>
                <w:color w:val="auto"/>
              </w:rPr>
              <w:t>Inventories, Net</w:t>
            </w: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361"/>
              <w:spacing w:after="0"/>
              <w:rPr>
                <w:sz w:val="20"/>
                <w:szCs w:val="20"/>
                <w:color w:val="auto"/>
              </w:rPr>
            </w:pPr>
            <w:r>
              <w:rPr>
                <w:rFonts w:ascii="Arial" w:cs="Arial" w:eastAsia="Arial" w:hAnsi="Arial"/>
                <w:sz w:val="20"/>
                <w:szCs w:val="20"/>
                <w:color w:val="auto"/>
                <w:w w:val="99"/>
              </w:rPr>
              <w:t>September 30,</w:t>
            </w:r>
          </w:p>
        </w:tc>
        <w:tc>
          <w:tcPr>
            <w:tcW w:w="220" w:type="dxa"/>
            <w:vAlign w:val="bottom"/>
          </w:tcPr>
          <w:p>
            <w:pPr>
              <w:spacing w:after="0"/>
              <w:rPr>
                <w:sz w:val="24"/>
                <w:szCs w:val="2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2025</w:t>
            </w:r>
          </w:p>
        </w:tc>
        <w:tc>
          <w:tcPr>
            <w:tcW w:w="280" w:type="dxa"/>
            <w:vAlign w:val="bottom"/>
            <w:vMerge w:val="restart"/>
          </w:tcPr>
          <w:p>
            <w:pPr>
              <w:jc w:val="right"/>
              <w:spacing w:after="0"/>
              <w:rPr>
                <w:sz w:val="20"/>
                <w:szCs w:val="20"/>
                <w:color w:val="auto"/>
              </w:rPr>
            </w:pPr>
            <w:r>
              <w:rPr>
                <w:rFonts w:ascii="Arial" w:cs="Arial" w:eastAsia="Arial" w:hAnsi="Arial"/>
                <w:sz w:val="20"/>
                <w:szCs w:val="20"/>
                <w:i w:val="1"/>
                <w:iCs w:val="1"/>
                <w:color w:val="auto"/>
              </w:rPr>
              <w:t>in</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ind w:left="980"/>
              <w:spacing w:after="0" w:line="209" w:lineRule="exact"/>
              <w:rPr>
                <w:sz w:val="20"/>
                <w:szCs w:val="20"/>
                <w:color w:val="auto"/>
              </w:rPr>
            </w:pPr>
            <w:r>
              <w:rPr>
                <w:rFonts w:ascii="Arial" w:cs="Arial" w:eastAsia="Arial" w:hAnsi="Arial"/>
                <w:sz w:val="20"/>
                <w:szCs w:val="20"/>
                <w:i w:val="1"/>
                <w:iCs w:val="1"/>
                <w:color w:val="auto"/>
                <w:w w:val="98"/>
              </w:rPr>
              <w:t>(Dollars</w:t>
            </w:r>
          </w:p>
        </w:tc>
        <w:tc>
          <w:tcPr>
            <w:tcW w:w="280" w:type="dxa"/>
            <w:vAlign w:val="bottom"/>
            <w:vMerge w:val="continue"/>
          </w:tcPr>
          <w:p>
            <w:pPr>
              <w:spacing w:after="0"/>
              <w:rPr>
                <w:sz w:val="18"/>
                <w:szCs w:val="18"/>
                <w:color w:val="auto"/>
              </w:rPr>
            </w:pPr>
          </w:p>
        </w:tc>
        <w:tc>
          <w:tcPr>
            <w:tcW w:w="188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Finished products</w:t>
            </w:r>
          </w:p>
        </w:tc>
        <w:tc>
          <w:tcPr>
            <w:tcW w:w="2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196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1,357</w:t>
            </w:r>
          </w:p>
        </w:tc>
        <w:tc>
          <w:tcPr>
            <w:tcW w:w="2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76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1,327</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Products in process</w:t>
            </w:r>
          </w:p>
        </w:tc>
        <w:tc>
          <w:tcPr>
            <w:tcW w:w="200" w:type="dxa"/>
            <w:vAlign w:val="bottom"/>
          </w:tcPr>
          <w:p>
            <w:pPr>
              <w:spacing w:after="0"/>
              <w:rPr>
                <w:sz w:val="18"/>
                <w:szCs w:val="18"/>
                <w:color w:val="auto"/>
              </w:rPr>
            </w:pPr>
          </w:p>
        </w:tc>
        <w:tc>
          <w:tcPr>
            <w:tcW w:w="196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17</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Raw materials</w:t>
            </w: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44</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Supplies and expendable parts</w:t>
            </w:r>
          </w:p>
        </w:tc>
        <w:tc>
          <w:tcPr>
            <w:tcW w:w="200" w:type="dxa"/>
            <w:vAlign w:val="bottom"/>
          </w:tcPr>
          <w:p>
            <w:pPr>
              <w:spacing w:after="0"/>
              <w:rPr>
                <w:sz w:val="18"/>
                <w:szCs w:val="18"/>
                <w:color w:val="auto"/>
              </w:rPr>
            </w:pPr>
          </w:p>
        </w:tc>
        <w:tc>
          <w:tcPr>
            <w:tcW w:w="196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122</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inventories</w:t>
            </w: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81"/>
              <w:spacing w:after="0" w:line="209" w:lineRule="exact"/>
              <w:rPr>
                <w:sz w:val="20"/>
                <w:szCs w:val="20"/>
                <w:color w:val="auto"/>
              </w:rPr>
            </w:pPr>
            <w:r>
              <w:rPr>
                <w:rFonts w:ascii="Arial" w:cs="Arial" w:eastAsia="Arial" w:hAnsi="Arial"/>
                <w:sz w:val="20"/>
                <w:szCs w:val="20"/>
                <w:color w:val="auto"/>
              </w:rPr>
              <w:t>1,540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line="209" w:lineRule="exact"/>
              <w:rPr>
                <w:sz w:val="20"/>
                <w:szCs w:val="20"/>
                <w:color w:val="auto"/>
              </w:rPr>
            </w:pPr>
            <w:r>
              <w:rPr>
                <w:rFonts w:ascii="Arial" w:cs="Arial" w:eastAsia="Arial" w:hAnsi="Arial"/>
                <w:sz w:val="20"/>
                <w:szCs w:val="20"/>
                <w:color w:val="auto"/>
              </w:rPr>
              <w:t>1,578</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Less: allowances</w:t>
            </w:r>
          </w:p>
        </w:tc>
        <w:tc>
          <w:tcPr>
            <w:tcW w:w="200" w:type="dxa"/>
            <w:vAlign w:val="bottom"/>
          </w:tcPr>
          <w:p>
            <w:pPr>
              <w:spacing w:after="0"/>
              <w:rPr>
                <w:sz w:val="18"/>
                <w:szCs w:val="18"/>
                <w:color w:val="auto"/>
              </w:rPr>
            </w:pPr>
          </w:p>
        </w:tc>
        <w:tc>
          <w:tcPr>
            <w:tcW w:w="1960" w:type="dxa"/>
            <w:vAlign w:val="bottom"/>
            <w:gridSpan w:val="2"/>
          </w:tcPr>
          <w:p>
            <w:pPr>
              <w:jc w:val="right"/>
              <w:ind w:right="101"/>
              <w:spacing w:after="0" w:line="216" w:lineRule="exact"/>
              <w:rPr>
                <w:sz w:val="20"/>
                <w:szCs w:val="20"/>
                <w:color w:val="auto"/>
              </w:rPr>
            </w:pPr>
            <w:r>
              <w:rPr>
                <w:rFonts w:ascii="Arial" w:cs="Arial" w:eastAsia="Arial" w:hAnsi="Arial"/>
                <w:sz w:val="20"/>
                <w:szCs w:val="20"/>
                <w:color w:val="auto"/>
              </w:rPr>
              <w:t>(506)</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(463)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Inventories, net</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w w:val="89"/>
              </w:rPr>
              <w:t>$</w:t>
            </w:r>
          </w:p>
        </w:tc>
        <w:tc>
          <w:tcPr>
            <w:tcW w:w="1960" w:type="dxa"/>
            <w:vAlign w:val="bottom"/>
            <w:gridSpan w:val="2"/>
            <w:shd w:val="clear" w:color="auto" w:fill="CFF0FC"/>
          </w:tcPr>
          <w:p>
            <w:pPr>
              <w:jc w:val="right"/>
              <w:ind w:right="181"/>
              <w:spacing w:after="0" w:line="196" w:lineRule="exact"/>
              <w:rPr>
                <w:sz w:val="20"/>
                <w:szCs w:val="20"/>
                <w:color w:val="auto"/>
              </w:rPr>
            </w:pPr>
            <w:r>
              <w:rPr>
                <w:rFonts w:ascii="Arial" w:cs="Arial" w:eastAsia="Arial" w:hAnsi="Arial"/>
                <w:sz w:val="20"/>
                <w:szCs w:val="20"/>
                <w:color w:val="auto"/>
              </w:rPr>
              <w:t>1,034</w:t>
            </w:r>
          </w:p>
        </w:tc>
        <w:tc>
          <w:tcPr>
            <w:tcW w:w="22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w:t>
            </w:r>
          </w:p>
        </w:tc>
        <w:tc>
          <w:tcPr>
            <w:tcW w:w="17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20"/>
                <w:szCs w:val="20"/>
                <w:color w:val="auto"/>
              </w:rPr>
              <w:t>1,115</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360" w:type="dxa"/>
            <w:vAlign w:val="bottom"/>
          </w:tcPr>
          <w:p>
            <w:pPr>
              <w:spacing w:after="0"/>
              <w:rPr>
                <w:sz w:val="20"/>
                <w:szCs w:val="20"/>
                <w:color w:val="auto"/>
              </w:rPr>
            </w:pPr>
            <w:r>
              <w:rPr>
                <w:rFonts w:ascii="Calibri" w:cs="Calibri" w:eastAsia="Calibri" w:hAnsi="Calibri"/>
                <w:sz w:val="20"/>
                <w:szCs w:val="20"/>
                <w:b w:val="1"/>
                <w:bCs w:val="1"/>
                <w:color w:val="auto"/>
              </w:rPr>
              <w:t xml:space="preserve">5.   </w:t>
            </w:r>
            <w:r>
              <w:rPr>
                <w:rFonts w:ascii="Arial" w:cs="Arial" w:eastAsia="Arial" w:hAnsi="Arial"/>
                <w:sz w:val="20"/>
                <w:szCs w:val="20"/>
                <w:b w:val="1"/>
                <w:bCs w:val="1"/>
                <w:color w:val="auto"/>
              </w:rPr>
              <w:t>Debt</w:t>
            </w: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ind w:right="301"/>
              <w:spacing w:after="0"/>
              <w:rPr>
                <w:sz w:val="20"/>
                <w:szCs w:val="20"/>
                <w:color w:val="auto"/>
              </w:rPr>
            </w:pPr>
            <w:r>
              <w:rPr>
                <w:rFonts w:ascii="Arial" w:cs="Arial" w:eastAsia="Arial" w:hAnsi="Arial"/>
                <w:sz w:val="20"/>
                <w:szCs w:val="20"/>
                <w:color w:val="auto"/>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2025</w:t>
            </w:r>
          </w:p>
        </w:tc>
        <w:tc>
          <w:tcPr>
            <w:tcW w:w="300" w:type="dxa"/>
            <w:vAlign w:val="bottom"/>
            <w:gridSpan w:val="2"/>
            <w:vMerge w:val="restart"/>
          </w:tcPr>
          <w:p>
            <w:pPr>
              <w:ind w:left="40"/>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gridSpan w:val="2"/>
            <w:vMerge w:val="continue"/>
          </w:tcPr>
          <w:p>
            <w:pPr>
              <w:spacing w:after="0"/>
              <w:rPr>
                <w:sz w:val="18"/>
                <w:szCs w:val="18"/>
                <w:color w:val="auto"/>
              </w:rPr>
            </w:pPr>
          </w:p>
        </w:tc>
        <w:tc>
          <w:tcPr>
            <w:tcW w:w="174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7% Debentures, due 2025</w:t>
            </w:r>
          </w:p>
        </w:tc>
        <w:tc>
          <w:tcPr>
            <w:tcW w:w="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125</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20"/>
                <w:szCs w:val="20"/>
                <w:color w:val="auto"/>
              </w:rPr>
              <w:t>3.450% Senior Notes, due 2027</w:t>
            </w: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3.500% Senior Notes, due 2027</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20"/>
                <w:szCs w:val="20"/>
                <w:color w:val="auto"/>
              </w:rPr>
              <w:t>2.500% Senior Notes, due 2030</w:t>
            </w: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2.400% Senior Notes, due 2031</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20"/>
                <w:szCs w:val="20"/>
                <w:color w:val="auto"/>
              </w:rPr>
              <w:t>5.150% Senior Notes, due 2034</w:t>
            </w: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6.25% Senior Notes, due 2037</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20"/>
                <w:szCs w:val="20"/>
                <w:color w:val="auto"/>
              </w:rPr>
              <w:t>4.250% Senior Notes, due 2047</w:t>
            </w: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3.200% Senior Notes, due 2051</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20"/>
                <w:szCs w:val="20"/>
                <w:color w:val="auto"/>
              </w:rPr>
              <w:t>5.500% Senior Notes, due 2054</w:t>
            </w: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727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Trade Receivable Facility, interest rate of 4.98% at September 30, 2025</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9"/>
        </w:trPr>
        <w:tc>
          <w:tcPr>
            <w:tcW w:w="73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debt</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5,522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5,413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Less: current maturities</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(230)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spacing w:after="0" w:line="196" w:lineRule="exact"/>
              <w:rPr>
                <w:sz w:val="20"/>
                <w:szCs w:val="20"/>
                <w:color w:val="auto"/>
              </w:rPr>
            </w:pPr>
            <w:r>
              <w:rPr>
                <w:rFonts w:ascii="Arial" w:cs="Arial" w:eastAsia="Arial" w:hAnsi="Arial"/>
                <w:sz w:val="20"/>
                <w:szCs w:val="20"/>
                <w:color w:val="auto"/>
              </w:rPr>
              <w:t>Long-term debt</w:t>
            </w:r>
          </w:p>
        </w:tc>
        <w:tc>
          <w:tcPr>
            <w:tcW w:w="160" w:type="dxa"/>
            <w:vAlign w:val="bottom"/>
          </w:tcPr>
          <w:p>
            <w:pPr>
              <w:jc w:val="right"/>
              <w:spacing w:after="0" w:line="196" w:lineRule="exact"/>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line="196" w:lineRule="exact"/>
              <w:rPr>
                <w:sz w:val="20"/>
                <w:szCs w:val="20"/>
                <w:color w:val="auto"/>
              </w:rPr>
            </w:pPr>
            <w:r>
              <w:rPr>
                <w:rFonts w:ascii="Arial" w:cs="Arial" w:eastAsia="Arial" w:hAnsi="Arial"/>
                <w:sz w:val="20"/>
                <w:szCs w:val="20"/>
                <w:color w:val="auto"/>
              </w:rPr>
              <w:t>5,292</w:t>
            </w:r>
          </w:p>
        </w:tc>
        <w:tc>
          <w:tcPr>
            <w:tcW w:w="180" w:type="dxa"/>
            <w:vAlign w:val="bottom"/>
          </w:tcPr>
          <w:p>
            <w:pPr>
              <w:spacing w:after="0"/>
              <w:rPr>
                <w:sz w:val="18"/>
                <w:szCs w:val="18"/>
                <w:color w:val="auto"/>
              </w:rPr>
            </w:pPr>
          </w:p>
        </w:tc>
        <w:tc>
          <w:tcPr>
            <w:tcW w:w="280" w:type="dxa"/>
            <w:vAlign w:val="bottom"/>
            <w:gridSpan w:val="2"/>
          </w:tcPr>
          <w:p>
            <w:pPr>
              <w:ind w:left="120"/>
              <w:spacing w:after="0" w:line="196" w:lineRule="exact"/>
              <w:rPr>
                <w:sz w:val="20"/>
                <w:szCs w:val="20"/>
                <w:color w:val="auto"/>
              </w:rPr>
            </w:pPr>
            <w:r>
              <w:rPr>
                <w:rFonts w:ascii="Arial" w:cs="Arial" w:eastAsia="Arial" w:hAnsi="Arial"/>
                <w:sz w:val="20"/>
                <w:szCs w:val="20"/>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20"/>
                <w:szCs w:val="20"/>
                <w:color w:val="auto"/>
              </w:rPr>
              <w:t>5,288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-453390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left="380"/>
        <w:spacing w:after="0" w:line="227" w:lineRule="auto"/>
        <w:rPr>
          <w:sz w:val="20"/>
          <w:szCs w:val="20"/>
          <w:color w:val="auto"/>
        </w:rPr>
      </w:pPr>
      <w:r>
        <w:rPr>
          <w:rFonts w:ascii="Arial" w:cs="Arial" w:eastAsia="Arial" w:hAnsi="Arial"/>
          <w:sz w:val="20"/>
          <w:szCs w:val="20"/>
          <w:color w:val="auto"/>
        </w:rPr>
        <w:t>The Company has a credit agreement with JPMorgan Chase Bank, N.A., as Administrative Agent, Deutsche Bank Securities, Inc., PNC Bank, Truist Bank and Wells Fargo Bank, N.A., as Syndication Agents, and the lenders party thereto (the Credit Agreement), which provides for an $800 million five-year senior unsecured revolving facility (the Revolving Facility) with a maturity date of December 21, 2029. Borrowings under the Revolving Facility bear interest, at the Company’s option, at rates based upon the Secured Overnight Financing Rate (SOFR) or a base rate, plus, for each rate, a margin determined in accordance with a ratings-based pricing grid. Any outstanding principal amounts, together with interest accrued thereon, are due in full on that maturity date. There were no borrowings outstanding under the Revolving Facility as of September 30, 2025 and December 31, 2024. Available borrowings under the Revolving Facility are reduced by any outstanding letters of credit issued by the Company under the Revolving Facility. At September 30, 2025 and December 31, 2024, the Company had $3 million of outstanding letters of credit issued under the Revolving Facility.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0" w:lineRule="auto"/>
        <w:rPr>
          <w:sz w:val="20"/>
          <w:szCs w:val="20"/>
          <w:color w:val="auto"/>
        </w:rPr>
      </w:pPr>
      <w:r>
        <w:rPr>
          <w:rFonts w:ascii="Arial" w:cs="Arial" w:eastAsia="Arial" w:hAnsi="Arial"/>
          <w:sz w:val="20"/>
          <w:szCs w:val="20"/>
          <w:color w:val="auto"/>
        </w:rPr>
        <w:t>The Credit Agreement requires the Company’s ratio of consolidated net debt-to-consolidated earnings before interest, taxes, depreciation, depletion and amortization (EBITDA), as defined, for the trailing-twelve months (the Ratio) to not exceed 3.50x as of the end of any fiscal quarter, provided that the Company may exclude from the Ratio any debt incurred in connection with certain acquisitions during the quarter or three preceding quarters so long as the Ratio calculated without such exclusion does not exceed 4.00x. Additionally, if no amounts are outstanding under the Revolving Facility or the Company's trade receivable securitization facility (discussed below), consolidated debt, as defined, which includes debt for which the Company is a guarantor, shall be reduced in an amount equal to the lesser of $500 million or the sum of the Company’s unrestricted cash and temporary investments, for purposes of the covenant calculation. The Company was in compliance with the Ratio at September 30, 2025.</w:t>
      </w:r>
    </w:p>
    <w:p>
      <w:pPr>
        <w:spacing w:after="0" w:line="68" w:lineRule="exact"/>
        <w:rPr>
          <w:sz w:val="20"/>
          <w:szCs w:val="20"/>
          <w:color w:val="auto"/>
        </w:rPr>
      </w:pPr>
    </w:p>
    <w:p>
      <w:pPr>
        <w:jc w:val="both"/>
        <w:ind w:left="380"/>
        <w:spacing w:after="0" w:line="229"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On September 16, 2025, the Company extended the maturity to September 16, 2026. The Trade Receivable Facility, with Truist Bank, Regions Bank, First Citizens Bank &amp; Trust Company,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the Adjusted Term Secured Overnight Financing Rate (Adjusted Term SOFR), as defined, plus 0.7%. The Trade Receivable Facility contains a cross-default provision to the Company’s other debt agreements. Subject to certain conditions, including lenders providing the requisite commitments, the Trade Receivable Facility may be increased to a borrowing base not to exceed $600 million.</w:t>
      </w:r>
    </w:p>
    <w:p>
      <w:pPr>
        <w:spacing w:after="0" w:line="284"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Arial" w:cs="Arial" w:eastAsia="Arial" w:hAnsi="Arial"/>
          <w:sz w:val="20"/>
          <w:szCs w:val="20"/>
          <w:b w:val="1"/>
          <w:bCs w:val="1"/>
          <w:color w:val="auto"/>
        </w:rPr>
        <w:t>Financial Instruments</w:t>
      </w:r>
    </w:p>
    <w:p>
      <w:pPr>
        <w:spacing w:after="0" w:line="122" w:lineRule="exact"/>
        <w:rPr>
          <w:rFonts w:ascii="Calibri" w:cs="Calibri" w:eastAsia="Calibri" w:hAnsi="Calibri"/>
          <w:sz w:val="20"/>
          <w:szCs w:val="20"/>
          <w:b w:val="1"/>
          <w:bCs w:val="1"/>
          <w:color w:val="auto"/>
        </w:rPr>
      </w:pPr>
    </w:p>
    <w:p>
      <w:pPr>
        <w:ind w:left="380"/>
        <w:spacing w:after="0" w:line="257" w:lineRule="auto"/>
        <w:rPr>
          <w:rFonts w:ascii="Calibri" w:cs="Calibri" w:eastAsia="Calibri" w:hAnsi="Calibri"/>
          <w:sz w:val="20"/>
          <w:szCs w:val="20"/>
          <w:b w:val="1"/>
          <w:bCs w:val="1"/>
          <w:color w:val="auto"/>
        </w:rPr>
      </w:pPr>
      <w:r>
        <w:rPr>
          <w:rFonts w:ascii="Arial" w:cs="Arial" w:eastAsia="Arial" w:hAnsi="Arial"/>
          <w:sz w:val="20"/>
          <w:szCs w:val="20"/>
          <w:color w:val="auto"/>
        </w:rPr>
        <w:t>The Company’s financial instruments include temporary cash investments, restricted cash, accounts receivable, accounts payable, Trade Receivable Facility borrowings and publicly-registered long-term notes and debentures.</w:t>
      </w:r>
    </w:p>
    <w:p>
      <w:pPr>
        <w:spacing w:after="0" w:line="47"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Temporary cash investments are placed primarily in money market funds, money market demand deposit accounts and Eurodollar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63" w:lineRule="exact"/>
        <w:rPr>
          <w:rFonts w:ascii="Calibri" w:cs="Calibri" w:eastAsia="Calibri" w:hAnsi="Calibri"/>
          <w:sz w:val="20"/>
          <w:szCs w:val="20"/>
          <w:b w:val="1"/>
          <w:bCs w:val="1"/>
          <w:color w:val="auto"/>
        </w:rPr>
      </w:pPr>
    </w:p>
    <w:p>
      <w:pPr>
        <w:ind w:left="380"/>
        <w:spacing w:after="0" w:line="257" w:lineRule="auto"/>
        <w:rPr>
          <w:rFonts w:ascii="Calibri" w:cs="Calibri" w:eastAsia="Calibri" w:hAnsi="Calibri"/>
          <w:sz w:val="20"/>
          <w:szCs w:val="20"/>
          <w:b w:val="1"/>
          <w:bCs w:val="1"/>
          <w:color w:val="auto"/>
        </w:rPr>
      </w:pPr>
      <w:r>
        <w:rPr>
          <w:rFonts w:ascii="Arial" w:cs="Arial" w:eastAsia="Arial" w:hAnsi="Arial"/>
          <w:sz w:val="20"/>
          <w:szCs w:val="20"/>
          <w:color w:val="auto"/>
        </w:rPr>
        <w:t>Restricted cash at September 30, 2025 is held in a trust account with a third-party intermediary. Due to the short-term nature of this account, the carrying value of restricted cash approximates its fair value.</w:t>
      </w:r>
    </w:p>
    <w:p>
      <w:pPr>
        <w:spacing w:after="0" w:line="47"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North Carolina, Colorado, California, Georgia, Florida, Minnesota, Arizona, South Carolina, and Iowa. The carrying values of accounts receivable approximate their fair values.</w:t>
      </w:r>
    </w:p>
    <w:p>
      <w:pPr>
        <w:spacing w:after="0" w:line="63" w:lineRule="exact"/>
        <w:rPr>
          <w:rFonts w:ascii="Calibri" w:cs="Calibri" w:eastAsia="Calibri" w:hAnsi="Calibri"/>
          <w:sz w:val="20"/>
          <w:szCs w:val="20"/>
          <w:b w:val="1"/>
          <w:bCs w:val="1"/>
          <w:color w:val="auto"/>
        </w:rPr>
      </w:pPr>
    </w:p>
    <w:p>
      <w:pPr>
        <w:ind w:left="380"/>
        <w:spacing w:after="0" w:line="257" w:lineRule="auto"/>
        <w:rPr>
          <w:rFonts w:ascii="Calibri" w:cs="Calibri" w:eastAsia="Calibri" w:hAnsi="Calibri"/>
          <w:sz w:val="20"/>
          <w:szCs w:val="20"/>
          <w:b w:val="1"/>
          <w:bCs w:val="1"/>
          <w:color w:val="auto"/>
        </w:rPr>
      </w:pPr>
      <w:r>
        <w:rPr>
          <w:rFonts w:ascii="Arial" w:cs="Arial" w:eastAsia="Arial" w:hAnsi="Arial"/>
          <w:sz w:val="20"/>
          <w:szCs w:val="20"/>
          <w:color w:val="auto"/>
        </w:rPr>
        <w:t>Accounts payable represent amounts owed to suppliers and vendors. The estimated carrying value of accounts payable approximates its fair value due to the short-term nature of the payables.</w:t>
      </w:r>
    </w:p>
    <w:p>
      <w:pPr>
        <w:spacing w:after="0" w:line="47"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color w:val="auto"/>
        </w:rPr>
        <w:t>The carrying value and fair value of the Company’s debt were $5.5 billion and $5.1 billion, respectively, at September 30, 2025 and $5.4 billion and $4.8 billion, respectively, at December 31, 2024. Due to its short-term nature, the carrying value of Trade Receivable Facility borrowings approximates its fair value. The estimated fair value of the Company’s publicly-</w:t>
      </w:r>
    </w:p>
    <w:p>
      <w:pPr>
        <w:spacing w:after="0" w:line="2" w:lineRule="exact"/>
        <w:rPr>
          <w:sz w:val="20"/>
          <w:szCs w:val="20"/>
          <w:color w:val="auto"/>
        </w:rPr>
      </w:pPr>
    </w:p>
    <w:p>
      <w:pPr>
        <w:ind w:left="5000" w:right="1000" w:hanging="4625"/>
        <w:spacing w:after="0" w:line="239" w:lineRule="auto"/>
        <w:rPr>
          <w:sz w:val="20"/>
          <w:szCs w:val="20"/>
          <w:color w:val="auto"/>
        </w:rPr>
      </w:pPr>
      <w:r>
        <w:rPr>
          <w:rFonts w:ascii="Arial" w:cs="Arial" w:eastAsia="Arial" w:hAnsi="Arial"/>
          <w:sz w:val="20"/>
          <w:szCs w:val="20"/>
          <w:color w:val="auto"/>
        </w:rPr>
        <w:t>registered long-term debt was estimated based on Level 1 of the fair value hierarchy using quoted market prices. Page 18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Income Taxes</w:t>
      </w:r>
    </w:p>
    <w:p>
      <w:pPr>
        <w:spacing w:after="0" w:line="122" w:lineRule="exact"/>
        <w:rPr>
          <w:rFonts w:ascii="Calibri" w:cs="Calibri" w:eastAsia="Calibri" w:hAnsi="Calibri"/>
          <w:sz w:val="20"/>
          <w:szCs w:val="20"/>
          <w:b w:val="1"/>
          <w:bCs w:val="1"/>
          <w:color w:val="auto"/>
        </w:rPr>
      </w:pPr>
    </w:p>
    <w:p>
      <w:pPr>
        <w:jc w:val="both"/>
        <w:ind w:left="380"/>
        <w:spacing w:after="0" w:line="232" w:lineRule="auto"/>
        <w:rPr>
          <w:rFonts w:ascii="Calibri" w:cs="Calibri" w:eastAsia="Calibri" w:hAnsi="Calibri"/>
          <w:sz w:val="20"/>
          <w:szCs w:val="20"/>
          <w:b w:val="1"/>
          <w:bCs w:val="1"/>
          <w:color w:val="auto"/>
        </w:rPr>
      </w:pPr>
      <w:r>
        <w:rPr>
          <w:rFonts w:ascii="Arial" w:cs="Arial" w:eastAsia="Arial" w:hAnsi="Arial"/>
          <w:sz w:val="20"/>
          <w:szCs w:val="20"/>
          <w:color w:val="auto"/>
        </w:rPr>
        <w:t>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20.0% and 24.3% for the nine months ended September 30, 2025 and 2024, respectively. The higher 2024 effective income tax rate versus 2025 was driven by the impact of the February 2024 divestiture of the South Texas cement business and certain related ready mixed concrete operations, which reflected the write off of certain nondeductible goodwill and was treated as a discrete tax event.</w:t>
      </w:r>
    </w:p>
    <w:p>
      <w:pPr>
        <w:spacing w:after="0" w:line="63"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Arial" w:cs="Arial" w:eastAsia="Arial" w:hAnsi="Arial"/>
          <w:sz w:val="20"/>
          <w:szCs w:val="20"/>
          <w:color w:val="auto"/>
        </w:rPr>
        <w:t>The Company invests in renewable energy investment entities which qualify for tax credits and other tax benefits (RETC projects) and are accounted for under the proportional amortization method. For the nine months ended September 30, 2025, the Company's annualized effective tax rate included the proportional amortization of these investments of $128 million, offset by $124 million of tax credits and $15 million of other tax benefits. The proportional amortization and related tax credits and benefits for the nine months ended September 30, 2024 were immaterial.</w:t>
      </w:r>
    </w:p>
    <w:p>
      <w:pPr>
        <w:spacing w:after="0" w:line="66" w:lineRule="exact"/>
        <w:rPr>
          <w:rFonts w:ascii="Calibri" w:cs="Calibri" w:eastAsia="Calibri" w:hAnsi="Calibri"/>
          <w:sz w:val="20"/>
          <w:szCs w:val="20"/>
          <w:b w:val="1"/>
          <w:bCs w:val="1"/>
          <w:color w:val="auto"/>
        </w:rPr>
      </w:pPr>
    </w:p>
    <w:p>
      <w:pPr>
        <w:jc w:val="both"/>
        <w:ind w:left="380"/>
        <w:spacing w:after="0" w:line="260" w:lineRule="auto"/>
        <w:rPr>
          <w:rFonts w:ascii="Calibri" w:cs="Calibri" w:eastAsia="Calibri" w:hAnsi="Calibri"/>
          <w:sz w:val="20"/>
          <w:szCs w:val="20"/>
          <w:b w:val="1"/>
          <w:bCs w:val="1"/>
          <w:color w:val="auto"/>
        </w:rPr>
      </w:pPr>
      <w:r>
        <w:rPr>
          <w:rFonts w:ascii="Arial" w:cs="Arial" w:eastAsia="Arial" w:hAnsi="Arial"/>
          <w:sz w:val="19"/>
          <w:szCs w:val="19"/>
          <w:color w:val="auto"/>
        </w:rPr>
        <w:t xml:space="preserve">During the nine months ended September 30, 2025, the Company has committed to equity contributions of $134 million for tax equity investments related to RETC projects. Of this total commitment, $125 million is expected to be paid within the next twelve months and is recorded in </w:t>
      </w:r>
      <w:r>
        <w:rPr>
          <w:rFonts w:ascii="Arial" w:cs="Arial" w:eastAsia="Arial" w:hAnsi="Arial"/>
          <w:sz w:val="19"/>
          <w:szCs w:val="19"/>
          <w:i w:val="1"/>
          <w:iCs w:val="1"/>
          <w:color w:val="auto"/>
        </w:rPr>
        <w:t>Accrued investments in limited liability companies</w:t>
      </w:r>
      <w:r>
        <w:rPr>
          <w:rFonts w:ascii="Arial" w:cs="Arial" w:eastAsia="Arial" w:hAnsi="Arial"/>
          <w:sz w:val="19"/>
          <w:szCs w:val="19"/>
          <w:color w:val="auto"/>
        </w:rPr>
        <w:t xml:space="preserve"> on the consolidated balance sheet.</w:t>
      </w:r>
    </w:p>
    <w:p>
      <w:pPr>
        <w:spacing w:after="0" w:line="45"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The Internal Revenue Service provided certain disaster tax relief for North Carolina businesses affected by Hurricanes Debby and Helene, which allowed the Company to defer estimated federal and certain state income, payroll and excise tax payments for the period from August 2024 through September 2025. The deferred obligation was paid on September 25, 2025.</w:t>
      </w:r>
    </w:p>
    <w:p>
      <w:pPr>
        <w:spacing w:after="0" w:line="63"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Arial" w:cs="Arial" w:eastAsia="Arial" w:hAnsi="Arial"/>
          <w:sz w:val="20"/>
          <w:szCs w:val="20"/>
          <w:color w:val="auto"/>
        </w:rPr>
        <w:t>On July 4, 2025, President Trump signed the One Big Beautiful Bill Act (OBBBA) that, among other provisions, makes 100% bonus depreciation permanent, restores the ability to expense domestic research expenditures, and modifies the taxation of foreign earnings. The OBBBA is not expected to have a material impact on the Company’s annual estimated income tax rate, but results in a reclassification between current taxes payable and deferred tax liabilities which is reflected in the period ended September 30, 2025.</w:t>
      </w:r>
    </w:p>
    <w:p>
      <w:pPr>
        <w:spacing w:after="0" w:line="280"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b w:val="1"/>
          <w:bCs w:val="1"/>
          <w:color w:val="auto"/>
        </w:rPr>
        <w:t>Pension Benefits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net periodic benefit cost for pension benefits includes the following components: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6"/>
          </w:tcPr>
          <w:p>
            <w:pPr>
              <w:jc w:val="right"/>
              <w:ind w:right="280"/>
              <w:spacing w:after="0"/>
              <w:rPr>
                <w:sz w:val="20"/>
                <w:szCs w:val="20"/>
                <w:color w:val="auto"/>
              </w:rPr>
            </w:pPr>
            <w:r>
              <w:rPr>
                <w:rFonts w:ascii="Arial" w:cs="Arial" w:eastAsia="Arial" w:hAnsi="Arial"/>
                <w:sz w:val="20"/>
                <w:szCs w:val="20"/>
                <w:color w:val="auto"/>
              </w:rPr>
              <w:t>Three Months Ended September 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6"/>
          </w:tcPr>
          <w:p>
            <w:pPr>
              <w:jc w:val="right"/>
              <w:ind w:right="280"/>
              <w:spacing w:after="0"/>
              <w:rPr>
                <w:sz w:val="20"/>
                <w:szCs w:val="20"/>
                <w:color w:val="auto"/>
              </w:rPr>
            </w:pPr>
            <w:r>
              <w:rPr>
                <w:rFonts w:ascii="Arial" w:cs="Arial" w:eastAsia="Arial" w:hAnsi="Arial"/>
                <w:sz w:val="20"/>
                <w:szCs w:val="20"/>
                <w:color w:val="auto"/>
                <w:w w:val="98"/>
              </w:rPr>
              <w:t>Nine Months Ended September 30,</w:t>
            </w: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41"/>
              <w:spacing w:after="0" w:line="209" w:lineRule="exact"/>
              <w:rPr>
                <w:sz w:val="20"/>
                <w:szCs w:val="20"/>
                <w:color w:val="auto"/>
              </w:rPr>
            </w:pPr>
            <w:r>
              <w:rPr>
                <w:rFonts w:ascii="Arial" w:cs="Arial" w:eastAsia="Arial" w:hAnsi="Arial"/>
                <w:sz w:val="20"/>
                <w:szCs w:val="20"/>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20" w:type="dxa"/>
            <w:vAlign w:val="bottom"/>
            <w:gridSpan w:val="6"/>
          </w:tcPr>
          <w:p>
            <w:pPr>
              <w:jc w:val="right"/>
              <w:ind w:right="1040"/>
              <w:spacing w:after="0" w:line="209" w:lineRule="exact"/>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Service cost</w:t>
            </w:r>
          </w:p>
        </w:tc>
        <w:tc>
          <w:tcPr>
            <w:tcW w:w="1080" w:type="dxa"/>
            <w:vAlign w:val="bottom"/>
            <w:gridSpan w:val="2"/>
            <w:shd w:val="clear" w:color="auto" w:fill="CFF0FC"/>
          </w:tcPr>
          <w:p>
            <w:pPr>
              <w:jc w:val="right"/>
              <w:ind w:right="881"/>
              <w:spacing w:after="0" w:line="216" w:lineRule="exact"/>
              <w:rPr>
                <w:sz w:val="20"/>
                <w:szCs w:val="20"/>
                <w:color w:val="auto"/>
              </w:rPr>
            </w:pPr>
            <w:r>
              <w:rPr>
                <w:rFonts w:ascii="Arial" w:cs="Arial" w:eastAsia="Arial" w:hAnsi="Arial"/>
                <w:sz w:val="20"/>
                <w:szCs w:val="20"/>
                <w:color w:val="auto"/>
                <w:w w:val="71"/>
              </w:rPr>
              <w:t>$</w:t>
            </w:r>
          </w:p>
        </w:tc>
        <w:tc>
          <w:tcPr>
            <w:tcW w:w="4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w w:val="89"/>
              </w:rPr>
              <w:t>$</w:t>
            </w: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27</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Interest cost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line="216" w:lineRule="exact"/>
              <w:rPr>
                <w:sz w:val="20"/>
                <w:szCs w:val="20"/>
                <w:color w:val="auto"/>
              </w:rPr>
            </w:pPr>
            <w:r>
              <w:rPr>
                <w:rFonts w:ascii="Arial" w:cs="Arial" w:eastAsia="Arial" w:hAnsi="Arial"/>
                <w:sz w:val="20"/>
                <w:szCs w:val="20"/>
                <w:color w:val="auto"/>
              </w:rPr>
              <w:t>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20"/>
                <w:szCs w:val="20"/>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20"/>
                <w:szCs w:val="20"/>
                <w:color w:val="auto"/>
              </w:rPr>
              <w:t>41</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Expected return on assets</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(21)</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(20)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(62)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(59)</w:t>
            </w: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Amortization of:</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Prior service cost</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80"/>
              <w:spacing w:after="0" w:line="216" w:lineRule="exact"/>
              <w:rPr>
                <w:sz w:val="20"/>
                <w:szCs w:val="20"/>
                <w:color w:val="auto"/>
              </w:rPr>
            </w:pPr>
            <w:r>
              <w:rPr>
                <w:rFonts w:ascii="Arial" w:cs="Arial" w:eastAsia="Arial" w:hAnsi="Arial"/>
                <w:sz w:val="20"/>
                <w:szCs w:val="20"/>
                <w:color w:val="auto"/>
              </w:rPr>
              <w:t>Actuarial loss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260"/>
              <w:spacing w:after="0" w:line="216"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8"/>
                <w:szCs w:val="18"/>
                <w:color w:val="auto"/>
              </w:rPr>
            </w:pPr>
          </w:p>
        </w:tc>
        <w:tc>
          <w:tcPr>
            <w:tcW w:w="150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r>
      <w:tr>
        <w:trPr>
          <w:trHeight w:val="216"/>
        </w:trPr>
        <w:tc>
          <w:tcPr>
            <w:tcW w:w="394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Settlement charge</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40" w:type="dxa"/>
            <w:vAlign w:val="bottom"/>
          </w:tcPr>
          <w:p>
            <w:pPr>
              <w:spacing w:after="0" w:line="196" w:lineRule="exact"/>
              <w:rPr>
                <w:sz w:val="20"/>
                <w:szCs w:val="20"/>
                <w:color w:val="auto"/>
              </w:rPr>
            </w:pPr>
            <w:r>
              <w:rPr>
                <w:rFonts w:ascii="Arial" w:cs="Arial" w:eastAsia="Arial" w:hAnsi="Arial"/>
                <w:sz w:val="20"/>
                <w:szCs w:val="20"/>
                <w:color w:val="auto"/>
              </w:rPr>
              <w:t>Net periodic benefit cost</w:t>
            </w:r>
          </w:p>
        </w:tc>
        <w:tc>
          <w:tcPr>
            <w:tcW w:w="1080" w:type="dxa"/>
            <w:vAlign w:val="bottom"/>
            <w:gridSpan w:val="2"/>
          </w:tcPr>
          <w:p>
            <w:pPr>
              <w:jc w:val="right"/>
              <w:ind w:right="881"/>
              <w:spacing w:after="0" w:line="196" w:lineRule="exact"/>
              <w:rPr>
                <w:sz w:val="20"/>
                <w:szCs w:val="20"/>
                <w:color w:val="auto"/>
              </w:rPr>
            </w:pPr>
            <w:r>
              <w:rPr>
                <w:rFonts w:ascii="Arial" w:cs="Arial" w:eastAsia="Arial" w:hAnsi="Arial"/>
                <w:sz w:val="20"/>
                <w:szCs w:val="20"/>
                <w:color w:val="auto"/>
                <w:w w:val="71"/>
              </w:rPr>
              <w:t>$</w:t>
            </w:r>
          </w:p>
        </w:tc>
        <w:tc>
          <w:tcPr>
            <w:tcW w:w="420" w:type="dxa"/>
            <w:vAlign w:val="bottom"/>
          </w:tcPr>
          <w:p>
            <w:pPr>
              <w:jc w:val="right"/>
              <w:spacing w:after="0" w:line="196" w:lineRule="exact"/>
              <w:rPr>
                <w:sz w:val="20"/>
                <w:szCs w:val="20"/>
                <w:color w:val="auto"/>
              </w:rPr>
            </w:pPr>
            <w:r>
              <w:rPr>
                <w:rFonts w:ascii="Arial" w:cs="Arial" w:eastAsia="Arial" w:hAnsi="Arial"/>
                <w:sz w:val="20"/>
                <w:szCs w:val="20"/>
                <w:color w:val="auto"/>
              </w:rPr>
              <w:t>9</w:t>
            </w:r>
          </w:p>
        </w:tc>
        <w:tc>
          <w:tcPr>
            <w:tcW w:w="260" w:type="dxa"/>
            <w:vAlign w:val="bottom"/>
          </w:tcPr>
          <w:p>
            <w:pPr>
              <w:spacing w:after="0"/>
              <w:rPr>
                <w:sz w:val="18"/>
                <w:szCs w:val="18"/>
                <w:color w:val="auto"/>
              </w:rPr>
            </w:pPr>
          </w:p>
        </w:tc>
        <w:tc>
          <w:tcPr>
            <w:tcW w:w="380" w:type="dxa"/>
            <w:vAlign w:val="bottom"/>
          </w:tcPr>
          <w:p>
            <w:pPr>
              <w:jc w:val="right"/>
              <w:ind w:right="161"/>
              <w:spacing w:after="0" w:line="196" w:lineRule="exact"/>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line="196" w:lineRule="exact"/>
              <w:rPr>
                <w:sz w:val="20"/>
                <w:szCs w:val="20"/>
                <w:color w:val="auto"/>
              </w:rPr>
            </w:pPr>
            <w:r>
              <w:rPr>
                <w:rFonts w:ascii="Arial" w:cs="Arial" w:eastAsia="Arial" w:hAnsi="Arial"/>
                <w:sz w:val="20"/>
                <w:szCs w:val="20"/>
                <w:color w:val="auto"/>
              </w:rPr>
              <w:t>6</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20"/>
                <w:szCs w:val="20"/>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20"/>
                <w:szCs w:val="20"/>
                <w:color w:val="auto"/>
              </w:rPr>
              <w:t>19</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20"/>
                <w:szCs w:val="20"/>
                <w:color w:val="auto"/>
              </w:rPr>
              <w:t>17</w:t>
            </w: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-170815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9" w:name="page20"/>
    <w:bookmarkEnd w:id="1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 xml:space="preserve">The components of net periodic benefit cost, other than service cost, are included in the line item </w:t>
      </w:r>
      <w:r>
        <w:rPr>
          <w:rFonts w:ascii="Arial" w:cs="Arial" w:eastAsia="Arial" w:hAnsi="Arial"/>
          <w:sz w:val="20"/>
          <w:szCs w:val="20"/>
          <w:i w:val="1"/>
          <w:iCs w:val="1"/>
          <w:color w:val="auto"/>
        </w:rPr>
        <w:t>Other nonoperating</w:t>
      </w:r>
      <w:r>
        <w:rPr>
          <w:rFonts w:ascii="Arial" w:cs="Arial" w:eastAsia="Arial" w:hAnsi="Arial"/>
          <w:sz w:val="20"/>
          <w:szCs w:val="20"/>
          <w:color w:val="auto"/>
        </w:rPr>
        <w:t xml:space="preserve"> </w:t>
      </w:r>
      <w:r>
        <w:rPr>
          <w:rFonts w:ascii="Arial" w:cs="Arial" w:eastAsia="Arial" w:hAnsi="Arial"/>
          <w:sz w:val="20"/>
          <w:szCs w:val="20"/>
          <w:i w:val="1"/>
          <w:iCs w:val="1"/>
          <w:color w:val="auto"/>
        </w:rPr>
        <w:t>income, net</w:t>
      </w:r>
      <w:r>
        <w:rPr>
          <w:rFonts w:ascii="Arial" w:cs="Arial" w:eastAsia="Arial" w:hAnsi="Arial"/>
          <w:sz w:val="20"/>
          <w:szCs w:val="20"/>
          <w:color w:val="auto"/>
        </w:rPr>
        <w:t>, in the consolidated statements of earnings and comprehensive earnings. Based on the roles of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service cost is included in the </w:t>
      </w:r>
      <w:r>
        <w:rPr>
          <w:rFonts w:ascii="Arial" w:cs="Arial" w:eastAsia="Arial" w:hAnsi="Arial"/>
          <w:sz w:val="20"/>
          <w:szCs w:val="20"/>
          <w:i w:val="1"/>
          <w:iCs w:val="1"/>
          <w:color w:val="auto"/>
        </w:rPr>
        <w:t>Cost of revenues</w:t>
      </w:r>
      <w:r>
        <w:rPr>
          <w:rFonts w:ascii="Arial" w:cs="Arial" w:eastAsia="Arial" w:hAnsi="Arial"/>
          <w:sz w:val="20"/>
          <w:szCs w:val="20"/>
          <w:color w:val="auto"/>
        </w:rPr>
        <w:t xml:space="preserve"> or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administrative expenses</w:t>
      </w:r>
      <w:r>
        <w:rPr>
          <w:rFonts w:ascii="Arial" w:cs="Arial" w:eastAsia="Arial" w:hAnsi="Arial"/>
          <w:sz w:val="20"/>
          <w:szCs w:val="20"/>
          <w:color w:val="auto"/>
        </w:rPr>
        <w:t xml:space="preserve"> line items in the consolidated statements of earnings and comprehensive earnings.</w:t>
      </w:r>
    </w:p>
    <w:p>
      <w:pPr>
        <w:spacing w:after="0" w:line="278" w:lineRule="exact"/>
        <w:rPr>
          <w:sz w:val="20"/>
          <w:szCs w:val="20"/>
          <w:color w:val="auto"/>
        </w:rPr>
      </w:pPr>
    </w:p>
    <w:p>
      <w:pPr>
        <w:ind w:left="380" w:hanging="372"/>
        <w:spacing w:after="0"/>
        <w:tabs>
          <w:tab w:leader="none" w:pos="380" w:val="left"/>
        </w:tabs>
        <w:numPr>
          <w:ilvl w:val="0"/>
          <w:numId w:val="8"/>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Commitments and Contingencies</w:t>
      </w:r>
    </w:p>
    <w:p>
      <w:pPr>
        <w:spacing w:after="0" w:line="120"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Legal and Administrative Proceedings</w:t>
      </w:r>
    </w:p>
    <w:p>
      <w:pPr>
        <w:spacing w:after="0" w:line="96" w:lineRule="exact"/>
        <w:rPr>
          <w:rFonts w:ascii="Calibri" w:cs="Calibri" w:eastAsia="Calibri" w:hAnsi="Calibri"/>
          <w:sz w:val="20"/>
          <w:szCs w:val="20"/>
          <w:b w:val="1"/>
          <w:bCs w:val="1"/>
          <w:color w:val="auto"/>
        </w:rPr>
      </w:pPr>
    </w:p>
    <w:p>
      <w:pPr>
        <w:jc w:val="both"/>
        <w:ind w:left="380"/>
        <w:spacing w:after="0" w:line="230" w:lineRule="auto"/>
        <w:rPr>
          <w:rFonts w:ascii="Calibri" w:cs="Calibri" w:eastAsia="Calibri" w:hAnsi="Calibri"/>
          <w:sz w:val="20"/>
          <w:szCs w:val="20"/>
          <w:b w:val="1"/>
          <w:bCs w:val="1"/>
          <w:color w:val="auto"/>
        </w:rPr>
      </w:pPr>
      <w:r>
        <w:rPr>
          <w:rFonts w:ascii="Arial" w:cs="Arial" w:eastAsia="Arial" w:hAnsi="Arial"/>
          <w:sz w:val="20"/>
          <w:szCs w:val="20"/>
          <w:color w:val="auto"/>
        </w:rPr>
        <w:t>The Company is engaged in certain legal and administrative proceedings incidental to its normal business activities, including proceedings relating to environmental matters.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Company's financial condition, results of operations or cash flows, as a whole, based on currently available facts.</w:t>
      </w:r>
    </w:p>
    <w:p>
      <w:pPr>
        <w:spacing w:after="0" w:line="170"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Letters of Credit</w:t>
      </w:r>
    </w:p>
    <w:p>
      <w:pPr>
        <w:spacing w:after="0" w:line="96"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In the normal course of business, the Company provides certain third parties with standby letter of credit agreements guaranteeing its payment for certain insurance claims, contract performance and permit requirements. At September 30, 2025, the Company was contingently liable for $37 million in letters of credit.</w:t>
      </w:r>
    </w:p>
    <w:p>
      <w:pPr>
        <w:spacing w:after="0" w:line="277"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8"/>
        </w:numPr>
        <w:rPr>
          <w:rFonts w:ascii="Calibri" w:cs="Calibri" w:eastAsia="Calibri" w:hAnsi="Calibri"/>
          <w:sz w:val="20"/>
          <w:szCs w:val="20"/>
          <w:b w:val="1"/>
          <w:bCs w:val="1"/>
          <w:color w:val="auto"/>
        </w:rPr>
      </w:pPr>
      <w:r>
        <w:rPr>
          <w:rFonts w:ascii="Arial" w:cs="Arial" w:eastAsia="Arial" w:hAnsi="Arial"/>
          <w:sz w:val="20"/>
          <w:szCs w:val="20"/>
          <w:b w:val="1"/>
          <w:bCs w:val="1"/>
          <w:color w:val="auto"/>
        </w:rPr>
        <w:t>Segments</w:t>
      </w:r>
    </w:p>
    <w:p>
      <w:pPr>
        <w:spacing w:after="0" w:line="122"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The Building Materials business is comprised of four divisions that represent individual operating segments. These operating segments are consolidated into two reportable segments, the East Group and the West Group, for financial reporting purposes, as they meet the aggregation criteria. The Specialties business represents an individual operating and reportable segment.</w:t>
      </w:r>
    </w:p>
    <w:p>
      <w:pPr>
        <w:spacing w:after="0" w:line="63"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color w:val="auto"/>
        </w:rPr>
        <w:t>The Company’s Chief Operating Decision Maker (CODM) is the Chair, President and Chief Executive Officer. The CODM reviews results by reportable segment on a quarterly basis and allocates resources to achieve the Company’s strategic objectives based on an evaluation of each reportable segment’s performance. This evaluation is largely based on segment earnings from operations, as management believes this is the best metric of segment profitability and operating performance. Segment earnings from operations is also a measure in the determination of incentive compensation targets and awards. Segment earnings from operations includes revenues less cost of revenues; selling, general and administrative expenses; other operating income and expenses, net; and exclude interest income and expense; other nonoperating income and expenses, net; and income tax expense.</w:t>
      </w:r>
    </w:p>
    <w:p>
      <w:pPr>
        <w:spacing w:after="0" w:line="65"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The significant expense categories shown below align with the segment-level information regularly provided to the CODM. Other costs of revenues for each reportable segment mainly include repairs and maintenance, contract services, supplies and royalties.</w:t>
      </w:r>
    </w:p>
    <w:p>
      <w:pPr>
        <w:spacing w:after="0" w:line="63"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Corporate loss from operations primarily includes depreciation and amortization; expenses for corporate administrative functions; acquisition, divestiture and integration expenses; and other nonrecurring income and expenses not attributable to operations of the Company's operating segments.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Earnings from operations for the West Group for the nine months ended September 30, 2024 included a $1.3 billion gain and $16 million in transaction expenses on the divestiture of the South Texas cement business and certain of its related ready mixed concrete operations (see Note 2) and a noncash asset and portfolio rationalization charge of $50 million (see Note 13).</w:t>
      </w:r>
    </w:p>
    <w:p>
      <w:pPr>
        <w:spacing w:after="0" w:line="64"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The following tables display selected financial data for the Company’s reportable segments. Revenues, as presented on the consolidated statements of earnings and comprehensive earnings, reflect the elimination of intersegment revenues, which represent sales from one segment to another segment and are immaterial. Revenues and earnings (loss) from operations reflect continuing operations only. Income tax expense is not allocated to the Company's reportable segments.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13"/>
          </w:tcPr>
          <w:p>
            <w:pPr>
              <w:jc w:val="right"/>
              <w:ind w:right="900"/>
              <w:spacing w:after="0"/>
              <w:rPr>
                <w:sz w:val="20"/>
                <w:szCs w:val="20"/>
                <w:color w:val="auto"/>
              </w:rPr>
            </w:pPr>
            <w:r>
              <w:rPr>
                <w:rFonts w:ascii="Arial" w:cs="Arial" w:eastAsia="Arial" w:hAnsi="Arial"/>
                <w:sz w:val="18"/>
                <w:szCs w:val="18"/>
                <w:color w:val="auto"/>
              </w:rPr>
              <w:t>Three Months Ended September 30, 2025</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right"/>
              <w:ind w:right="540"/>
              <w:spacing w:after="0" w:line="182" w:lineRule="exact"/>
              <w:rPr>
                <w:sz w:val="20"/>
                <w:szCs w:val="20"/>
                <w:color w:val="auto"/>
              </w:rPr>
            </w:pPr>
            <w:r>
              <w:rPr>
                <w:rFonts w:ascii="Arial" w:cs="Arial" w:eastAsia="Arial" w:hAnsi="Arial"/>
                <w:sz w:val="18"/>
                <w:szCs w:val="18"/>
                <w:i w:val="1"/>
                <w:iCs w:val="1"/>
                <w:color w:val="auto"/>
              </w:rPr>
              <w:t>(Dollars 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Reportable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West Group</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Segments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Revenues</w:t>
            </w:r>
          </w:p>
        </w:tc>
        <w:tc>
          <w:tcPr>
            <w:tcW w:w="82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762</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131</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1,846</w:t>
            </w: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Less: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Raw materials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operating income, net</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820" w:type="dxa"/>
            <w:vAlign w:val="bottom"/>
            <w:gridSpan w:val="2"/>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331</w:t>
            </w:r>
          </w:p>
        </w:tc>
        <w:tc>
          <w:tcPr>
            <w:tcW w:w="280" w:type="dxa"/>
            <w:vAlign w:val="bottom"/>
          </w:tcPr>
          <w:p>
            <w:pPr>
              <w:spacing w:after="0"/>
              <w:rPr>
                <w:sz w:val="15"/>
                <w:szCs w:val="15"/>
                <w:color w:val="auto"/>
              </w:rPr>
            </w:pP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180</w:t>
            </w:r>
          </w:p>
        </w:tc>
        <w:tc>
          <w:tcPr>
            <w:tcW w:w="16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537</w:t>
            </w:r>
          </w:p>
        </w:tc>
        <w:tc>
          <w:tcPr>
            <w:tcW w:w="160" w:type="dxa"/>
            <w:vAlign w:val="bottom"/>
          </w:tcPr>
          <w:p>
            <w:pPr>
              <w:spacing w:after="0"/>
              <w:rPr>
                <w:sz w:val="15"/>
                <w:szCs w:val="15"/>
                <w:color w:val="auto"/>
              </w:rPr>
            </w:pP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(32)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-616585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-616585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12"/>
          </w:tcPr>
          <w:p>
            <w:pPr>
              <w:jc w:val="right"/>
              <w:ind w:right="900"/>
              <w:spacing w:after="0"/>
              <w:rPr>
                <w:sz w:val="20"/>
                <w:szCs w:val="20"/>
                <w:color w:val="auto"/>
              </w:rPr>
            </w:pPr>
            <w:r>
              <w:rPr>
                <w:rFonts w:ascii="Arial" w:cs="Arial" w:eastAsia="Arial" w:hAnsi="Arial"/>
                <w:sz w:val="18"/>
                <w:szCs w:val="18"/>
                <w:color w:val="auto"/>
              </w:rPr>
              <w:t>Three Months Ended September 30, 2024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jc w:val="right"/>
              <w:ind w:right="299"/>
              <w:spacing w:after="0" w:line="182" w:lineRule="exact"/>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Reportable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West Group</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Segments</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Revenues</w:t>
            </w:r>
          </w:p>
        </w:tc>
        <w:tc>
          <w:tcPr>
            <w:tcW w:w="82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849</w:t>
            </w:r>
          </w:p>
        </w:tc>
        <w:tc>
          <w:tcPr>
            <w:tcW w:w="62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711</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1,642</w:t>
            </w:r>
          </w:p>
        </w:tc>
        <w:tc>
          <w:tcPr>
            <w:tcW w:w="3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Less: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Raw materials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235</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operating expense (income), net</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820" w:type="dxa"/>
            <w:vAlign w:val="bottom"/>
            <w:gridSpan w:val="2"/>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272</w:t>
            </w:r>
          </w:p>
        </w:tc>
        <w:tc>
          <w:tcPr>
            <w:tcW w:w="62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159</w:t>
            </w:r>
          </w:p>
        </w:tc>
        <w:tc>
          <w:tcPr>
            <w:tcW w:w="16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28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457</w:t>
            </w:r>
          </w:p>
        </w:tc>
        <w:tc>
          <w:tcPr>
            <w:tcW w:w="3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(51)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-616585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-616585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12"/>
          </w:tcPr>
          <w:p>
            <w:pPr>
              <w:jc w:val="right"/>
              <w:ind w:right="940"/>
              <w:spacing w:after="0"/>
              <w:rPr>
                <w:sz w:val="20"/>
                <w:szCs w:val="20"/>
                <w:color w:val="auto"/>
              </w:rPr>
            </w:pPr>
            <w:r>
              <w:rPr>
                <w:rFonts w:ascii="Arial" w:cs="Arial" w:eastAsia="Arial" w:hAnsi="Arial"/>
                <w:sz w:val="18"/>
                <w:szCs w:val="18"/>
                <w:color w:val="auto"/>
              </w:rPr>
              <w:t>Nine Months Ended September 30, 2025</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right"/>
              <w:ind w:right="540"/>
              <w:spacing w:after="0" w:line="182" w:lineRule="exact"/>
              <w:rPr>
                <w:sz w:val="20"/>
                <w:szCs w:val="20"/>
                <w:color w:val="auto"/>
              </w:rPr>
            </w:pPr>
            <w:r>
              <w:rPr>
                <w:rFonts w:ascii="Arial" w:cs="Arial" w:eastAsia="Arial" w:hAnsi="Arial"/>
                <w:sz w:val="18"/>
                <w:szCs w:val="18"/>
                <w:i w:val="1"/>
                <w:iCs w:val="1"/>
                <w:color w:val="auto"/>
              </w:rPr>
              <w:t>(Dollars 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Reportable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West Group</w:t>
            </w:r>
          </w:p>
        </w:tc>
        <w:tc>
          <w:tcPr>
            <w:tcW w:w="28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Segments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Revenues</w:t>
            </w:r>
          </w:p>
        </w:tc>
        <w:tc>
          <w:tcPr>
            <w:tcW w:w="740" w:type="dxa"/>
            <w:vAlign w:val="bottom"/>
            <w:gridSpan w:val="2"/>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2,419</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1,889</w:t>
            </w:r>
          </w:p>
        </w:tc>
        <w:tc>
          <w:tcPr>
            <w:tcW w:w="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309</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4,617</w:t>
            </w: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Less: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Raw materials expense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operating (income) expense, net</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74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749</w:t>
            </w:r>
          </w:p>
        </w:tc>
        <w:tc>
          <w:tcPr>
            <w:tcW w:w="280" w:type="dxa"/>
            <w:vAlign w:val="bottom"/>
          </w:tcPr>
          <w:p>
            <w:pPr>
              <w:spacing w:after="0"/>
              <w:rPr>
                <w:sz w:val="15"/>
                <w:szCs w:val="15"/>
                <w:color w:val="auto"/>
              </w:rPr>
            </w:pP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351</w:t>
            </w:r>
          </w:p>
        </w:tc>
        <w:tc>
          <w:tcPr>
            <w:tcW w:w="4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90</w:t>
            </w:r>
          </w:p>
        </w:tc>
        <w:tc>
          <w:tcPr>
            <w:tcW w:w="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1,190</w:t>
            </w:r>
          </w:p>
        </w:tc>
        <w:tc>
          <w:tcPr>
            <w:tcW w:w="160" w:type="dxa"/>
            <w:vAlign w:val="bottom"/>
          </w:tcPr>
          <w:p>
            <w:pPr>
              <w:spacing w:after="0"/>
              <w:rPr>
                <w:sz w:val="15"/>
                <w:szCs w:val="15"/>
                <w:color w:val="auto"/>
              </w:rPr>
            </w:pP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(94)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1,096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-616585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-616585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13"/>
          </w:tcPr>
          <w:p>
            <w:pPr>
              <w:jc w:val="right"/>
              <w:ind w:right="940"/>
              <w:spacing w:after="0"/>
              <w:rPr>
                <w:sz w:val="20"/>
                <w:szCs w:val="20"/>
                <w:color w:val="auto"/>
              </w:rPr>
            </w:pPr>
            <w:r>
              <w:rPr>
                <w:rFonts w:ascii="Arial" w:cs="Arial" w:eastAsia="Arial" w:hAnsi="Arial"/>
                <w:sz w:val="18"/>
                <w:szCs w:val="18"/>
                <w:color w:val="auto"/>
              </w:rPr>
              <w:t>Nine Months Ended September 30, 2024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right"/>
              <w:ind w:right="540"/>
              <w:spacing w:after="0" w:line="182" w:lineRule="exact"/>
              <w:rPr>
                <w:sz w:val="20"/>
                <w:szCs w:val="20"/>
                <w:color w:val="auto"/>
              </w:rPr>
            </w:pPr>
            <w:r>
              <w:rPr>
                <w:rFonts w:ascii="Arial" w:cs="Arial" w:eastAsia="Arial" w:hAnsi="Arial"/>
                <w:sz w:val="18"/>
                <w:szCs w:val="18"/>
                <w:i w:val="1"/>
                <w:iCs w:val="1"/>
                <w:color w:val="auto"/>
              </w:rPr>
              <w:t>(Dollars 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Reportable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West Group</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Segments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Revenues</w:t>
            </w:r>
          </w:p>
        </w:tc>
        <w:tc>
          <w:tcPr>
            <w:tcW w:w="740" w:type="dxa"/>
            <w:vAlign w:val="bottom"/>
            <w:gridSpan w:val="2"/>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2,198</w:t>
            </w:r>
          </w:p>
        </w:tc>
        <w:tc>
          <w:tcPr>
            <w:tcW w:w="5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1,809</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w:t>
            </w:r>
          </w:p>
        </w:tc>
        <w:tc>
          <w:tcPr>
            <w:tcW w:w="1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Less: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Raw materials expense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operating expense (income), net</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74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650</w:t>
            </w:r>
          </w:p>
        </w:tc>
        <w:tc>
          <w:tcPr>
            <w:tcW w:w="56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1,560</w:t>
            </w:r>
          </w:p>
        </w:tc>
        <w:tc>
          <w:tcPr>
            <w:tcW w:w="16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73</w:t>
            </w:r>
          </w:p>
        </w:tc>
        <w:tc>
          <w:tcPr>
            <w:tcW w:w="28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2,283</w:t>
            </w:r>
          </w:p>
        </w:tc>
        <w:tc>
          <w:tcPr>
            <w:tcW w:w="160" w:type="dxa"/>
            <w:vAlign w:val="bottom"/>
          </w:tcPr>
          <w:p>
            <w:pPr>
              <w:spacing w:after="0"/>
              <w:rPr>
                <w:sz w:val="15"/>
                <w:szCs w:val="15"/>
                <w:color w:val="auto"/>
              </w:rPr>
            </w:pP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(143)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2,140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77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-616585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-616585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Assets employed by segment include assets directly identified with those operations. Corporate assets consist primarily of cash and cash equivalents; property, plant and equipment for corporate operations; and other assets not directly identifiable with a reportable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01"/>
              <w:spacing w:after="0"/>
              <w:rPr>
                <w:sz w:val="20"/>
                <w:szCs w:val="20"/>
                <w:color w:val="auto"/>
              </w:rPr>
            </w:pPr>
            <w:r>
              <w:rPr>
                <w:rFonts w:ascii="Arial" w:cs="Arial" w:eastAsia="Arial" w:hAnsi="Arial"/>
                <w:sz w:val="20"/>
                <w:szCs w:val="20"/>
                <w:color w:val="auto"/>
                <w:w w:val="99"/>
              </w:rPr>
              <w:t>September 30,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4880" w:type="dxa"/>
            <w:vAlign w:val="bottom"/>
            <w:vMerge w:val="restart"/>
          </w:tcPr>
          <w:p>
            <w:pPr>
              <w:spacing w:after="0"/>
              <w:rPr>
                <w:sz w:val="20"/>
                <w:szCs w:val="20"/>
                <w:color w:val="auto"/>
              </w:rPr>
            </w:pPr>
            <w:r>
              <w:rPr>
                <w:rFonts w:ascii="Arial" w:cs="Arial" w:eastAsia="Arial" w:hAnsi="Arial"/>
                <w:sz w:val="20"/>
                <w:szCs w:val="20"/>
                <w:b w:val="1"/>
                <w:bCs w:val="1"/>
                <w:color w:val="auto"/>
              </w:rPr>
              <w:t>Assets employed:</w:t>
            </w: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2025</w:t>
            </w:r>
          </w:p>
        </w:tc>
        <w:tc>
          <w:tcPr>
            <w:tcW w:w="340" w:type="dxa"/>
            <w:vAlign w:val="bottom"/>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88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line="188"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6"/>
                <w:szCs w:val="16"/>
                <w:color w:val="auto"/>
              </w:rPr>
            </w:pPr>
          </w:p>
        </w:tc>
        <w:tc>
          <w:tcPr>
            <w:tcW w:w="1680" w:type="dxa"/>
            <w:vAlign w:val="bottom"/>
            <w:gridSpan w:val="2"/>
          </w:tcPr>
          <w:p>
            <w:pPr>
              <w:spacing w:after="0" w:line="188"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Arial" w:cs="Arial" w:eastAsia="Arial" w:hAnsi="Arial"/>
                <w:sz w:val="20"/>
                <w:szCs w:val="20"/>
                <w:color w:val="auto"/>
              </w:rPr>
              <w:t>East Group</w:t>
            </w:r>
          </w:p>
        </w:tc>
        <w:tc>
          <w:tcPr>
            <w:tcW w:w="2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8,738</w:t>
            </w:r>
          </w:p>
        </w:tc>
        <w:tc>
          <w:tcPr>
            <w:tcW w:w="50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8,452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West Group</w:t>
            </w:r>
          </w:p>
        </w:tc>
        <w:tc>
          <w:tcPr>
            <w:tcW w:w="2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8,034</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902</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reportable segments</w:t>
            </w:r>
          </w:p>
        </w:tc>
        <w:tc>
          <w:tcPr>
            <w:tcW w:w="2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17,674</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16,662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979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Total</w:t>
            </w:r>
          </w:p>
        </w:tc>
        <w:tc>
          <w:tcPr>
            <w:tcW w:w="2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w w:val="8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18,653</w:t>
            </w:r>
          </w:p>
        </w:tc>
        <w:tc>
          <w:tcPr>
            <w:tcW w:w="50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18,170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tables display property additions for the Company’s reportable segments.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gridSpan w:val="5"/>
          </w:tcPr>
          <w:p>
            <w:pPr>
              <w:jc w:val="center"/>
              <w:ind w:right="460"/>
              <w:spacing w:after="0"/>
              <w:rPr>
                <w:sz w:val="20"/>
                <w:szCs w:val="20"/>
                <w:color w:val="auto"/>
              </w:rPr>
            </w:pPr>
            <w:r>
              <w:rPr>
                <w:rFonts w:ascii="Arial" w:cs="Arial" w:eastAsia="Arial" w:hAnsi="Arial"/>
                <w:sz w:val="20"/>
                <w:szCs w:val="20"/>
                <w:color w:val="auto"/>
                <w:w w:val="99"/>
              </w:rPr>
              <w:t>Nine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9"/>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vMerge w:val="restart"/>
          </w:tcPr>
          <w:p>
            <w:pPr>
              <w:spacing w:after="0"/>
              <w:rPr>
                <w:sz w:val="20"/>
                <w:szCs w:val="20"/>
                <w:color w:val="auto"/>
              </w:rPr>
            </w:pPr>
            <w:r>
              <w:rPr>
                <w:rFonts w:ascii="Arial" w:cs="Arial" w:eastAsia="Arial" w:hAnsi="Arial"/>
                <w:sz w:val="20"/>
                <w:szCs w:val="20"/>
                <w:b w:val="1"/>
                <w:bCs w:val="1"/>
                <w:color w:val="auto"/>
              </w:rPr>
              <w:t>Total property additions, including the impact of acquisitions: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2025</w:t>
            </w:r>
          </w:p>
        </w:tc>
        <w:tc>
          <w:tcPr>
            <w:tcW w:w="34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line="188"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6"/>
                <w:szCs w:val="16"/>
                <w:color w:val="auto"/>
              </w:rPr>
            </w:pPr>
          </w:p>
        </w:tc>
        <w:tc>
          <w:tcPr>
            <w:tcW w:w="1680" w:type="dxa"/>
            <w:vAlign w:val="bottom"/>
            <w:gridSpan w:val="2"/>
          </w:tcPr>
          <w:p>
            <w:pPr>
              <w:spacing w:after="0" w:line="188"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Arial" w:cs="Arial" w:eastAsia="Arial" w:hAnsi="Arial"/>
                <w:sz w:val="20"/>
                <w:szCs w:val="20"/>
                <w:color w:val="auto"/>
              </w:rPr>
              <w:t>East Group</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307</w:t>
            </w:r>
          </w:p>
        </w:tc>
        <w:tc>
          <w:tcPr>
            <w:tcW w:w="88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West Group</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173</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365</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reportable segments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845</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2,926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18</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Total</w:t>
            </w:r>
          </w:p>
        </w:tc>
        <w:tc>
          <w:tcPr>
            <w:tcW w:w="360" w:type="dxa"/>
            <w:vAlign w:val="bottom"/>
            <w:shd w:val="clear" w:color="auto" w:fill="CFF0FC"/>
          </w:tcPr>
          <w:p>
            <w:pPr>
              <w:jc w:val="right"/>
              <w:ind w:right="141"/>
              <w:spacing w:after="0" w:line="196"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863</w:t>
            </w:r>
          </w:p>
        </w:tc>
        <w:tc>
          <w:tcPr>
            <w:tcW w:w="88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5"/>
          </w:tcPr>
          <w:p>
            <w:pPr>
              <w:jc w:val="center"/>
              <w:ind w:right="460"/>
              <w:spacing w:after="0"/>
              <w:rPr>
                <w:sz w:val="20"/>
                <w:szCs w:val="20"/>
                <w:color w:val="auto"/>
              </w:rPr>
            </w:pPr>
            <w:r>
              <w:rPr>
                <w:rFonts w:ascii="Arial" w:cs="Arial" w:eastAsia="Arial" w:hAnsi="Arial"/>
                <w:sz w:val="20"/>
                <w:szCs w:val="20"/>
                <w:color w:val="auto"/>
                <w:w w:val="99"/>
              </w:rPr>
              <w:t>Nine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20"/>
                <w:szCs w:val="20"/>
                <w:color w:val="auto"/>
                <w:w w:val="99"/>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vMerge w:val="restart"/>
          </w:tcPr>
          <w:p>
            <w:pPr>
              <w:spacing w:after="0"/>
              <w:rPr>
                <w:sz w:val="20"/>
                <w:szCs w:val="20"/>
                <w:color w:val="auto"/>
              </w:rPr>
            </w:pPr>
            <w:r>
              <w:rPr>
                <w:rFonts w:ascii="Arial" w:cs="Arial" w:eastAsia="Arial" w:hAnsi="Arial"/>
                <w:sz w:val="20"/>
                <w:szCs w:val="20"/>
                <w:b w:val="1"/>
                <w:bCs w:val="1"/>
                <w:color w:val="auto"/>
              </w:rPr>
              <w:t>Property additions through business combinations: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2025</w:t>
            </w:r>
          </w:p>
        </w:tc>
        <w:tc>
          <w:tcPr>
            <w:tcW w:w="34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8"/>
                <w:szCs w:val="18"/>
                <w:color w:val="auto"/>
              </w:rPr>
            </w:pPr>
          </w:p>
        </w:tc>
        <w:tc>
          <w:tcPr>
            <w:tcW w:w="168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East Group</w:t>
            </w:r>
          </w:p>
        </w:tc>
        <w:tc>
          <w:tcPr>
            <w:tcW w:w="360" w:type="dxa"/>
            <w:vAlign w:val="bottom"/>
            <w:shd w:val="clear" w:color="auto" w:fill="CFF0FC"/>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1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880" w:type="dxa"/>
            <w:vAlign w:val="bottom"/>
            <w:gridSpan w:val="2"/>
            <w:shd w:val="clear" w:color="auto" w:fill="CFF0FC"/>
          </w:tcPr>
          <w:p>
            <w:pPr>
              <w:ind w:left="34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line="216" w:lineRule="exact"/>
              <w:rPr>
                <w:sz w:val="20"/>
                <w:szCs w:val="20"/>
                <w:color w:val="auto"/>
              </w:rPr>
            </w:pPr>
            <w:r>
              <w:rPr>
                <w:rFonts w:ascii="Arial" w:cs="Arial" w:eastAsia="Arial" w:hAnsi="Arial"/>
                <w:sz w:val="20"/>
                <w:szCs w:val="20"/>
                <w:color w:val="auto"/>
              </w:rPr>
              <w:t>West Group</w:t>
            </w:r>
          </w:p>
        </w:tc>
        <w:tc>
          <w:tcPr>
            <w:tcW w:w="36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337</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reportable segments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339</w:t>
            </w:r>
          </w:p>
        </w:tc>
        <w:tc>
          <w:tcPr>
            <w:tcW w:w="3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2,524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line="196" w:lineRule="exact"/>
              <w:rPr>
                <w:sz w:val="20"/>
                <w:szCs w:val="20"/>
                <w:color w:val="auto"/>
              </w:rPr>
            </w:pPr>
            <w:r>
              <w:rPr>
                <w:rFonts w:ascii="Arial" w:cs="Arial" w:eastAsia="Arial" w:hAnsi="Arial"/>
                <w:sz w:val="20"/>
                <w:szCs w:val="20"/>
                <w:color w:val="auto"/>
              </w:rPr>
              <w:t>Total</w:t>
            </w:r>
          </w:p>
        </w:tc>
        <w:tc>
          <w:tcPr>
            <w:tcW w:w="360" w:type="dxa"/>
            <w:vAlign w:val="bottom"/>
          </w:tcPr>
          <w:p>
            <w:pPr>
              <w:jc w:val="right"/>
              <w:ind w:right="141"/>
              <w:spacing w:after="0" w:line="196"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196" w:lineRule="exact"/>
              <w:rPr>
                <w:sz w:val="20"/>
                <w:szCs w:val="20"/>
                <w:color w:val="auto"/>
              </w:rPr>
            </w:pPr>
            <w:r>
              <w:rPr>
                <w:rFonts w:ascii="Arial" w:cs="Arial" w:eastAsia="Arial" w:hAnsi="Arial"/>
                <w:sz w:val="20"/>
                <w:szCs w:val="20"/>
                <w:color w:val="auto"/>
              </w:rPr>
              <w:t>339</w:t>
            </w:r>
          </w:p>
        </w:tc>
        <w:tc>
          <w:tcPr>
            <w:tcW w:w="880" w:type="dxa"/>
            <w:vAlign w:val="bottom"/>
            <w:gridSpan w:val="2"/>
          </w:tcPr>
          <w:p>
            <w:pPr>
              <w:ind w:left="340"/>
              <w:spacing w:after="0" w:line="19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20"/>
                <w:szCs w:val="20"/>
                <w:color w:val="auto"/>
              </w:rPr>
              <w:t>2,524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-1593850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-1576705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-453390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4" w:lineRule="exact"/>
        <w:rPr>
          <w:sz w:val="20"/>
          <w:szCs w:val="20"/>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Revenues and Gross Profit</w:t>
      </w:r>
    </w:p>
    <w:p>
      <w:pPr>
        <w:spacing w:after="0" w:line="122" w:lineRule="exact"/>
        <w:rPr>
          <w:rFonts w:ascii="Calibri" w:cs="Calibri" w:eastAsia="Calibri" w:hAnsi="Calibri"/>
          <w:sz w:val="20"/>
          <w:szCs w:val="20"/>
          <w:b w:val="1"/>
          <w:bCs w:val="1"/>
          <w:color w:val="auto"/>
        </w:rPr>
      </w:pPr>
    </w:p>
    <w:p>
      <w:pPr>
        <w:jc w:val="both"/>
        <w:ind w:left="380"/>
        <w:spacing w:after="0" w:line="230" w:lineRule="auto"/>
        <w:rPr>
          <w:rFonts w:ascii="Calibri" w:cs="Calibri" w:eastAsia="Calibri" w:hAnsi="Calibri"/>
          <w:sz w:val="20"/>
          <w:szCs w:val="20"/>
          <w:b w:val="1"/>
          <w:bCs w:val="1"/>
          <w:color w:val="auto"/>
        </w:rPr>
      </w:pPr>
      <w:r>
        <w:rPr>
          <w:rFonts w:ascii="Arial" w:cs="Arial" w:eastAsia="Arial" w:hAnsi="Arial"/>
          <w:sz w:val="20"/>
          <w:szCs w:val="20"/>
          <w:color w:val="auto"/>
        </w:rPr>
        <w:t>The following tables, which are reconciled to consolidated amounts and reflect continuing operations only, provide revenues and gross profit (loss) by line of business: Building Materials (further divided by product line) and Specialties. Effective September 30, 2025, the Company combined the cement and ready mixed concrete and the asphalt and paving services product lines (hereinafter, other building materials). The change was driven by the reduced significance of each of these product lines relative to consolidated revenues from continuing operations and consolidated income from continuing operating results as a result of the pending divestiture of the Company's Midlothian cement plant, related cement terminals and Texas ready mixed concrete plants (see Note 2) and associated reclassification of these revenues and income to discontinued operations for all periods presented. Interproduct revenues represent sales from the aggregates product line to the other building materials product line.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00" w:type="dxa"/>
            <w:vAlign w:val="bottom"/>
            <w:gridSpan w:val="6"/>
          </w:tcPr>
          <w:p>
            <w:pPr>
              <w:jc w:val="right"/>
              <w:ind w:right="921"/>
              <w:spacing w:after="0"/>
              <w:rPr>
                <w:sz w:val="20"/>
                <w:szCs w:val="20"/>
                <w:color w:val="auto"/>
              </w:rPr>
            </w:pPr>
            <w:r>
              <w:rPr>
                <w:rFonts w:ascii="Arial" w:cs="Arial" w:eastAsia="Arial" w:hAnsi="Arial"/>
                <w:sz w:val="20"/>
                <w:szCs w:val="20"/>
                <w:color w:val="auto"/>
              </w:rPr>
              <w:t>Three Months Ended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gridSpan w:val="5"/>
          </w:tcPr>
          <w:p>
            <w:pPr>
              <w:jc w:val="right"/>
              <w:ind w:right="10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color w:val="auto"/>
              </w:rPr>
              <w:t>2024</w:t>
            </w:r>
          </w:p>
        </w:tc>
        <w:tc>
          <w:tcPr>
            <w:tcW w:w="320" w:type="dxa"/>
            <w:vAlign w:val="bottom"/>
            <w:gridSpan w:val="2"/>
            <w:vMerge w:val="restart"/>
          </w:tcPr>
          <w:p>
            <w:pPr>
              <w:ind w:left="60"/>
              <w:spacing w:after="0"/>
              <w:rPr>
                <w:sz w:val="20"/>
                <w:szCs w:val="20"/>
                <w:color w:val="auto"/>
              </w:rPr>
            </w:pPr>
            <w:r>
              <w:rPr>
                <w:rFonts w:ascii="Arial" w:cs="Arial" w:eastAsia="Arial" w:hAnsi="Arial"/>
                <w:sz w:val="20"/>
                <w:szCs w:val="20"/>
                <w:i w:val="1"/>
                <w:iCs w:val="1"/>
                <w:color w:val="auto"/>
              </w:rPr>
              <w:t>in</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color w:val="auto"/>
              </w:rPr>
              <w:t>2025</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20" w:type="dxa"/>
            <w:vAlign w:val="bottom"/>
            <w:gridSpan w:val="2"/>
            <w:vMerge w:val="continue"/>
          </w:tcPr>
          <w:p>
            <w:pPr>
              <w:spacing w:after="0"/>
              <w:rPr>
                <w:sz w:val="18"/>
                <w:szCs w:val="18"/>
                <w:color w:val="auto"/>
              </w:rPr>
            </w:pPr>
          </w:p>
        </w:tc>
        <w:tc>
          <w:tcPr>
            <w:tcW w:w="158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Aggregates</w:t>
            </w:r>
          </w:p>
        </w:tc>
        <w:tc>
          <w:tcPr>
            <w:tcW w:w="1520" w:type="dxa"/>
            <w:vAlign w:val="bottom"/>
            <w:gridSpan w:val="2"/>
            <w:shd w:val="clear" w:color="auto" w:fill="CFF0FC"/>
          </w:tcPr>
          <w:p>
            <w:pPr>
              <w:jc w:val="right"/>
              <w:ind w:right="841"/>
              <w:spacing w:after="0" w:line="216" w:lineRule="exact"/>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99"/>
              </w:rPr>
              <w:t>1,458</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2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1,250</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3,780</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21"/>
              <w:spacing w:after="0" w:line="216"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line="216" w:lineRule="exact"/>
              <w:rPr>
                <w:sz w:val="20"/>
                <w:szCs w:val="20"/>
                <w:color w:val="auto"/>
              </w:rPr>
            </w:pPr>
            <w:r>
              <w:rPr>
                <w:rFonts w:ascii="Arial" w:cs="Arial" w:eastAsia="Arial" w:hAnsi="Arial"/>
                <w:sz w:val="20"/>
                <w:szCs w:val="20"/>
                <w:color w:val="auto"/>
              </w:rPr>
              <w:t>Other Building Materials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Arial" w:cs="Arial" w:eastAsia="Arial" w:hAnsi="Arial"/>
                <w:sz w:val="20"/>
                <w:szCs w:val="20"/>
                <w:color w:val="auto"/>
              </w:rPr>
              <w:t>351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392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744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Less: interproduct revenues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line="216" w:lineRule="exact"/>
              <w:rPr>
                <w:sz w:val="20"/>
                <w:szCs w:val="20"/>
                <w:color w:val="auto"/>
              </w:rPr>
            </w:pPr>
            <w:r>
              <w:rPr>
                <w:rFonts w:ascii="Arial" w:cs="Arial" w:eastAsia="Arial" w:hAnsi="Arial"/>
                <w:sz w:val="20"/>
                <w:szCs w:val="20"/>
                <w:color w:val="auto"/>
              </w:rPr>
              <w:t>(94)</w:t>
            </w: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(82)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(216)</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09"/>
        </w:trPr>
        <w:tc>
          <w:tcPr>
            <w:tcW w:w="33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46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w w:val="99"/>
              </w:rPr>
              <w:t>1,715</w:t>
            </w:r>
          </w:p>
        </w:tc>
        <w:tc>
          <w:tcPr>
            <w:tcW w:w="3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1,560</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4,308</w:t>
            </w:r>
          </w:p>
        </w:tc>
        <w:tc>
          <w:tcPr>
            <w:tcW w:w="32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4,007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4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131</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82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309</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line="209" w:lineRule="exact"/>
              <w:rPr>
                <w:sz w:val="20"/>
                <w:szCs w:val="20"/>
                <w:color w:val="auto"/>
              </w:rPr>
            </w:pPr>
            <w:r>
              <w:rPr>
                <w:rFonts w:ascii="Arial" w:cs="Arial" w:eastAsia="Arial" w:hAnsi="Arial"/>
                <w:sz w:val="20"/>
                <w:szCs w:val="20"/>
                <w:color w:val="auto"/>
              </w:rPr>
              <w:t>Total</w:t>
            </w:r>
          </w:p>
        </w:tc>
        <w:tc>
          <w:tcPr>
            <w:tcW w:w="1520" w:type="dxa"/>
            <w:vAlign w:val="bottom"/>
            <w:gridSpan w:val="2"/>
          </w:tcPr>
          <w:p>
            <w:pPr>
              <w:jc w:val="right"/>
              <w:ind w:right="841"/>
              <w:spacing w:after="0" w:line="209"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w w:val="99"/>
              </w:rPr>
              <w:t>1,846</w:t>
            </w:r>
          </w:p>
        </w:tc>
        <w:tc>
          <w:tcPr>
            <w:tcW w:w="320" w:type="dxa"/>
            <w:vAlign w:val="bottom"/>
          </w:tcPr>
          <w:p>
            <w:pPr>
              <w:spacing w:after="0"/>
              <w:rPr>
                <w:sz w:val="18"/>
                <w:szCs w:val="18"/>
                <w:color w:val="auto"/>
              </w:rPr>
            </w:pPr>
          </w:p>
        </w:tc>
        <w:tc>
          <w:tcPr>
            <w:tcW w:w="520" w:type="dxa"/>
            <w:vAlign w:val="bottom"/>
          </w:tcPr>
          <w:p>
            <w:pPr>
              <w:jc w:val="right"/>
              <w:ind w:right="32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1,642</w:t>
            </w:r>
          </w:p>
        </w:tc>
        <w:tc>
          <w:tcPr>
            <w:tcW w:w="200" w:type="dxa"/>
            <w:vAlign w:val="bottom"/>
          </w:tcPr>
          <w:p>
            <w:pPr>
              <w:spacing w:after="0"/>
              <w:rPr>
                <w:sz w:val="18"/>
                <w:szCs w:val="18"/>
                <w:color w:val="auto"/>
              </w:rPr>
            </w:pPr>
          </w:p>
        </w:tc>
        <w:tc>
          <w:tcPr>
            <w:tcW w:w="460" w:type="dxa"/>
            <w:vAlign w:val="bottom"/>
            <w:gridSpan w:val="2"/>
          </w:tcPr>
          <w:p>
            <w:pPr>
              <w:ind w:left="120"/>
              <w:spacing w:after="0" w:line="209"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09" w:lineRule="exact"/>
              <w:rPr>
                <w:sz w:val="20"/>
                <w:szCs w:val="20"/>
                <w:color w:val="auto"/>
              </w:rPr>
            </w:pPr>
            <w:r>
              <w:rPr>
                <w:rFonts w:ascii="Arial" w:cs="Arial" w:eastAsia="Arial" w:hAnsi="Arial"/>
                <w:sz w:val="20"/>
                <w:szCs w:val="20"/>
                <w:color w:val="auto"/>
              </w:rPr>
              <w:t>4,617</w:t>
            </w:r>
          </w:p>
        </w:tc>
        <w:tc>
          <w:tcPr>
            <w:tcW w:w="320" w:type="dxa"/>
            <w:vAlign w:val="bottom"/>
          </w:tcPr>
          <w:p>
            <w:pPr>
              <w:spacing w:after="0"/>
              <w:rPr>
                <w:sz w:val="18"/>
                <w:szCs w:val="18"/>
                <w:color w:val="auto"/>
              </w:rPr>
            </w:pPr>
          </w:p>
        </w:tc>
        <w:tc>
          <w:tcPr>
            <w:tcW w:w="520" w:type="dxa"/>
            <w:vAlign w:val="bottom"/>
          </w:tcPr>
          <w:p>
            <w:pPr>
              <w:jc w:val="right"/>
              <w:ind w:right="321"/>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09" w:lineRule="exact"/>
              <w:rPr>
                <w:sz w:val="20"/>
                <w:szCs w:val="20"/>
                <w:color w:val="auto"/>
              </w:rPr>
            </w:pPr>
            <w:r>
              <w:rPr>
                <w:rFonts w:ascii="Arial" w:cs="Arial" w:eastAsia="Arial" w:hAnsi="Arial"/>
                <w:sz w:val="20"/>
                <w:szCs w:val="20"/>
                <w:color w:val="auto"/>
              </w:rPr>
              <w:t>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Building Materials business: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line="216" w:lineRule="exact"/>
              <w:rPr>
                <w:sz w:val="20"/>
                <w:szCs w:val="20"/>
                <w:color w:val="auto"/>
              </w:rPr>
            </w:pPr>
            <w:r>
              <w:rPr>
                <w:rFonts w:ascii="Arial" w:cs="Arial" w:eastAsia="Arial" w:hAnsi="Arial"/>
                <w:sz w:val="20"/>
                <w:szCs w:val="20"/>
                <w:color w:val="auto"/>
              </w:rPr>
              <w:t>Aggregates</w:t>
            </w:r>
          </w:p>
        </w:tc>
        <w:tc>
          <w:tcPr>
            <w:tcW w:w="1520" w:type="dxa"/>
            <w:vAlign w:val="bottom"/>
            <w:gridSpan w:val="2"/>
          </w:tcPr>
          <w:p>
            <w:pPr>
              <w:jc w:val="right"/>
              <w:ind w:right="841"/>
              <w:spacing w:after="0" w:line="216"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16" w:lineRule="exact"/>
              <w:rPr>
                <w:sz w:val="20"/>
                <w:szCs w:val="20"/>
                <w:color w:val="auto"/>
              </w:rPr>
            </w:pPr>
            <w:r>
              <w:rPr>
                <w:rFonts w:ascii="Arial" w:cs="Arial" w:eastAsia="Arial" w:hAnsi="Arial"/>
                <w:sz w:val="20"/>
                <w:szCs w:val="20"/>
                <w:color w:val="auto"/>
              </w:rPr>
              <w:t>531</w:t>
            </w:r>
          </w:p>
        </w:tc>
        <w:tc>
          <w:tcPr>
            <w:tcW w:w="320" w:type="dxa"/>
            <w:vAlign w:val="bottom"/>
          </w:tcPr>
          <w:p>
            <w:pPr>
              <w:spacing w:after="0"/>
              <w:rPr>
                <w:sz w:val="18"/>
                <w:szCs w:val="18"/>
                <w:color w:val="auto"/>
              </w:rPr>
            </w:pPr>
          </w:p>
        </w:tc>
        <w:tc>
          <w:tcPr>
            <w:tcW w:w="520" w:type="dxa"/>
            <w:vAlign w:val="bottom"/>
          </w:tcPr>
          <w:p>
            <w:pPr>
              <w:jc w:val="right"/>
              <w:ind w:right="32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438</w:t>
            </w:r>
          </w:p>
        </w:tc>
        <w:tc>
          <w:tcPr>
            <w:tcW w:w="200" w:type="dxa"/>
            <w:vAlign w:val="bottom"/>
          </w:tcPr>
          <w:p>
            <w:pPr>
              <w:spacing w:after="0"/>
              <w:rPr>
                <w:sz w:val="18"/>
                <w:szCs w:val="18"/>
                <w:color w:val="auto"/>
              </w:rPr>
            </w:pPr>
          </w:p>
        </w:tc>
        <w:tc>
          <w:tcPr>
            <w:tcW w:w="4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1,257</w:t>
            </w:r>
          </w:p>
        </w:tc>
        <w:tc>
          <w:tcPr>
            <w:tcW w:w="320" w:type="dxa"/>
            <w:vAlign w:val="bottom"/>
          </w:tcPr>
          <w:p>
            <w:pPr>
              <w:spacing w:after="0"/>
              <w:rPr>
                <w:sz w:val="18"/>
                <w:szCs w:val="18"/>
                <w:color w:val="auto"/>
              </w:rPr>
            </w:pPr>
          </w:p>
        </w:tc>
        <w:tc>
          <w:tcPr>
            <w:tcW w:w="520" w:type="dxa"/>
            <w:vAlign w:val="bottom"/>
          </w:tcPr>
          <w:p>
            <w:pPr>
              <w:jc w:val="right"/>
              <w:ind w:right="321"/>
              <w:spacing w:after="0" w:line="216"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ind w:left="80"/>
              <w:spacing w:after="0" w:line="216" w:lineRule="exact"/>
              <w:rPr>
                <w:sz w:val="20"/>
                <w:szCs w:val="20"/>
                <w:color w:val="auto"/>
              </w:rPr>
            </w:pPr>
            <w:r>
              <w:rPr>
                <w:rFonts w:ascii="Arial" w:cs="Arial" w:eastAsia="Arial" w:hAnsi="Arial"/>
                <w:sz w:val="20"/>
                <w:szCs w:val="20"/>
                <w:color w:val="auto"/>
              </w:rPr>
              <w:t>Other Building Materials</w:t>
            </w:r>
          </w:p>
        </w:tc>
        <w:tc>
          <w:tcPr>
            <w:tcW w:w="4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54</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64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75</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585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line="209" w:lineRule="exact"/>
              <w:rPr>
                <w:sz w:val="20"/>
                <w:szCs w:val="20"/>
                <w:color w:val="auto"/>
              </w:rPr>
            </w:pPr>
            <w:r>
              <w:rPr>
                <w:rFonts w:ascii="Arial" w:cs="Arial" w:eastAsia="Arial" w:hAnsi="Arial"/>
                <w:sz w:val="20"/>
                <w:szCs w:val="20"/>
                <w:color w:val="auto"/>
              </w:rPr>
              <w:t>1,332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Arial" w:cs="Arial" w:eastAsia="Arial" w:hAnsi="Arial"/>
                <w:sz w:val="20"/>
                <w:szCs w:val="20"/>
                <w:color w:val="auto"/>
              </w:rPr>
              <w:t>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34</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108</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2"/>
          </w:tcPr>
          <w:p>
            <w:pPr>
              <w:jc w:val="right"/>
              <w:ind w:right="260"/>
              <w:spacing w:after="0" w:line="216" w:lineRule="exact"/>
              <w:rPr>
                <w:sz w:val="20"/>
                <w:szCs w:val="20"/>
                <w:color w:val="auto"/>
              </w:rPr>
            </w:pPr>
            <w:r>
              <w:rPr>
                <w:rFonts w:ascii="Arial" w:cs="Arial" w:eastAsia="Arial" w:hAnsi="Arial"/>
                <w:sz w:val="20"/>
                <w:szCs w:val="20"/>
                <w:color w:val="auto"/>
              </w:rPr>
              <w:t>(8)</w:t>
            </w:r>
          </w:p>
        </w:tc>
        <w:tc>
          <w:tcPr>
            <w:tcW w:w="520" w:type="dxa"/>
            <w:vAlign w:val="bottom"/>
          </w:tcPr>
          <w:p>
            <w:pPr>
              <w:spacing w:after="0"/>
              <w:rPr>
                <w:sz w:val="18"/>
                <w:szCs w:val="18"/>
                <w:color w:val="auto"/>
              </w:rPr>
            </w:pPr>
          </w:p>
        </w:tc>
        <w:tc>
          <w:tcPr>
            <w:tcW w:w="126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40"/>
              <w:spacing w:after="0" w:line="216" w:lineRule="exact"/>
              <w:rPr>
                <w:sz w:val="20"/>
                <w:szCs w:val="20"/>
                <w:color w:val="auto"/>
              </w:rPr>
            </w:pPr>
            <w:r>
              <w:rPr>
                <w:rFonts w:ascii="Arial" w:cs="Arial" w:eastAsia="Arial" w:hAnsi="Arial"/>
                <w:sz w:val="20"/>
                <w:szCs w:val="20"/>
                <w:color w:val="auto"/>
              </w:rPr>
              <w:t>(18)</w:t>
            </w:r>
          </w:p>
        </w:tc>
        <w:tc>
          <w:tcPr>
            <w:tcW w:w="520" w:type="dxa"/>
            <w:vAlign w:val="bottom"/>
          </w:tcPr>
          <w:p>
            <w:pPr>
              <w:spacing w:after="0"/>
              <w:rPr>
                <w:sz w:val="18"/>
                <w:szCs w:val="18"/>
                <w:color w:val="auto"/>
              </w:rPr>
            </w:pPr>
          </w:p>
        </w:tc>
        <w:tc>
          <w:tcPr>
            <w:tcW w:w="118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41"/>
              <w:spacing w:after="0" w:line="209" w:lineRule="exact"/>
              <w:rPr>
                <w:sz w:val="20"/>
                <w:szCs w:val="20"/>
                <w:color w:val="auto"/>
              </w:rPr>
            </w:pPr>
            <w:r>
              <w:rPr>
                <w:rFonts w:ascii="Arial" w:cs="Arial" w:eastAsia="Arial" w:hAnsi="Arial"/>
                <w:sz w:val="20"/>
                <w:szCs w:val="20"/>
                <w:color w:val="auto"/>
                <w:w w:val="89"/>
              </w:rPr>
              <w:t>$</w:t>
            </w:r>
          </w:p>
        </w:tc>
        <w:tc>
          <w:tcPr>
            <w:tcW w:w="5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611</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513</w:t>
            </w:r>
          </w:p>
        </w:tc>
        <w:tc>
          <w:tcPr>
            <w:tcW w:w="2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20"/>
              <w:spacing w:after="0" w:line="209" w:lineRule="exact"/>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1,422</w:t>
            </w: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1"/>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-1731010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-1731010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-1731010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-1448435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-1448435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-1448435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-591185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-591185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-591185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The above information for 2024 has been reclassified to conform to the current-year presentation. For the three months ended September 30, 2024, the cement and ready mixed concrete product line reported revenues of $296 million and gross profit of $89 million (of which, $247 million and $86 million, respectively, are now classified as discontinued operations) and the asphalt and paving services product line reported revenues of $343 million and gross profit of $61 million. For the nine months ended September 30, 2024, the cement and ready mixed concrete product line reported revenues of $822 million and gross profit of $192 million (of which, $655 million and $177 million, respectively, are now classified as discontinued operations) and the asphalt and paving services product line reported revenues of $647 million and gross profit of $77 million.</w:t>
      </w:r>
    </w:p>
    <w:p>
      <w:pPr>
        <w:spacing w:after="0" w:line="133"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b w:val="1"/>
          <w:bCs w:val="1"/>
          <w:i w:val="1"/>
          <w:iCs w:val="1"/>
          <w:color w:val="auto"/>
        </w:rPr>
        <w:t xml:space="preserve">Performance Obligations. </w:t>
      </w:r>
      <w:r>
        <w:rPr>
          <w:rFonts w:ascii="Arial" w:cs="Arial" w:eastAsia="Arial" w:hAnsi="Arial"/>
          <w:sz w:val="20"/>
          <w:szCs w:val="20"/>
          <w:color w:val="auto"/>
        </w:rPr>
        <w:t>Performance obligations are contractual promises to transfer or provide a distinct good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service for a stated price. The Company’s product sales agreements are single-performance obligations that are satisfied at a point in time. Performance obligations within paving service agreements are satisfied over time, primarily ranging from one day to two years. Customer payments for the paving operations are based on a contractual billing schedule and are typically "paid-when-paid", meaning the Company is paid once the customer is paid.</w:t>
      </w:r>
    </w:p>
    <w:p>
      <w:pPr>
        <w:spacing w:after="0" w:line="67"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Future revenues from unsatisfied performance obligations at September 30, 2025 and 2024 were $225 million and $322 million, respectively, where the remaining periods to complete these obligations ranged from one month to 27 months and one month to 21 months,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b w:val="1"/>
          <w:bCs w:val="1"/>
          <w:i w:val="1"/>
          <w:iCs w:val="1"/>
          <w:color w:val="auto"/>
        </w:rPr>
        <w:t xml:space="preserve">Service Revenues. </w:t>
      </w:r>
      <w:r>
        <w:rPr>
          <w:rFonts w:ascii="Arial" w:cs="Arial" w:eastAsia="Arial" w:hAnsi="Arial"/>
          <w:sz w:val="20"/>
          <w:szCs w:val="20"/>
          <w:color w:val="auto"/>
        </w:rPr>
        <w:t>Service revenues were $130 million and $164 million for the three months ended September 30, 2025</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2024, respectively, and reported in the West Group. Service revenues for the nine months ended September 30, 2025 and 2024 were $267 million and $307 million, respectively. Service revenues include paving services in California through its April 2025 divestiture date and Colorado.</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00" w:type="dxa"/>
            <w:vAlign w:val="bottom"/>
          </w:tcPr>
          <w:p>
            <w:pPr>
              <w:spacing w:after="0"/>
              <w:rPr>
                <w:sz w:val="20"/>
                <w:szCs w:val="20"/>
                <w:color w:val="auto"/>
              </w:rPr>
            </w:pPr>
            <w:r>
              <w:rPr>
                <w:rFonts w:ascii="Calibri" w:cs="Calibri" w:eastAsia="Calibri" w:hAnsi="Calibri"/>
                <w:sz w:val="20"/>
                <w:szCs w:val="20"/>
                <w:b w:val="1"/>
                <w:bCs w:val="1"/>
                <w:color w:val="auto"/>
              </w:rPr>
              <w:t xml:space="preserve">12.  </w:t>
            </w:r>
            <w:r>
              <w:rPr>
                <w:rFonts w:ascii="Arial" w:cs="Arial" w:eastAsia="Arial" w:hAnsi="Arial"/>
                <w:sz w:val="20"/>
                <w:szCs w:val="20"/>
                <w:b w:val="1"/>
                <w:bCs w:val="1"/>
                <w:color w:val="auto"/>
              </w:rPr>
              <w:t>Supplemental Cash Flow Information</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55"/>
        </w:trPr>
        <w:tc>
          <w:tcPr>
            <w:tcW w:w="680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6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140" w:type="dxa"/>
            <w:vAlign w:val="bottom"/>
            <w:gridSpan w:val="5"/>
          </w:tcPr>
          <w:p>
            <w:pPr>
              <w:jc w:val="center"/>
              <w:ind w:left="381"/>
              <w:spacing w:after="0"/>
              <w:rPr>
                <w:sz w:val="20"/>
                <w:szCs w:val="20"/>
                <w:color w:val="auto"/>
              </w:rPr>
            </w:pPr>
            <w:r>
              <w:rPr>
                <w:rFonts w:ascii="Arial" w:cs="Arial" w:eastAsia="Arial" w:hAnsi="Arial"/>
                <w:sz w:val="20"/>
                <w:szCs w:val="20"/>
                <w:color w:val="auto"/>
                <w:w w:val="99"/>
              </w:rPr>
              <w:t>Nine Months Ended</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8"/>
        </w:trPr>
        <w:tc>
          <w:tcPr>
            <w:tcW w:w="6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right="521"/>
              <w:spacing w:after="0"/>
              <w:rPr>
                <w:sz w:val="20"/>
                <w:szCs w:val="20"/>
                <w:color w:val="auto"/>
              </w:rPr>
            </w:pPr>
            <w:r>
              <w:rPr>
                <w:rFonts w:ascii="Arial" w:cs="Arial" w:eastAsia="Arial" w:hAnsi="Arial"/>
                <w:sz w:val="20"/>
                <w:szCs w:val="20"/>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2025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720"/>
              <w:spacing w:after="0" w:line="209" w:lineRule="exact"/>
              <w:rPr>
                <w:sz w:val="20"/>
                <w:szCs w:val="20"/>
                <w:color w:val="auto"/>
              </w:rPr>
            </w:pPr>
            <w:r>
              <w:rPr>
                <w:rFonts w:ascii="Arial" w:cs="Arial" w:eastAsia="Arial" w:hAnsi="Arial"/>
                <w:sz w:val="20"/>
                <w:szCs w:val="20"/>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gridSpan w:val="2"/>
          </w:tcPr>
          <w:p>
            <w:pPr>
              <w:jc w:val="center"/>
              <w:spacing w:after="0" w:line="209" w:lineRule="exact"/>
              <w:rPr>
                <w:sz w:val="20"/>
                <w:szCs w:val="20"/>
                <w:color w:val="auto"/>
              </w:rPr>
            </w:pPr>
            <w:r>
              <w:rPr>
                <w:rFonts w:ascii="Arial" w:cs="Arial" w:eastAsia="Arial" w:hAnsi="Arial"/>
                <w:sz w:val="20"/>
                <w:szCs w:val="20"/>
                <w:i w:val="1"/>
                <w:iCs w:val="1"/>
                <w:color w:val="auto"/>
              </w:rPr>
              <w:t>in</w:t>
            </w:r>
          </w:p>
        </w:tc>
        <w:tc>
          <w:tcPr>
            <w:tcW w:w="118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Accrued liabilities for purchases of property, plant and equipment</w:t>
            </w:r>
          </w:p>
        </w:tc>
        <w:tc>
          <w:tcPr>
            <w:tcW w:w="1820" w:type="dxa"/>
            <w:vAlign w:val="bottom"/>
            <w:gridSpan w:val="2"/>
            <w:shd w:val="clear" w:color="auto" w:fill="CFF0FC"/>
          </w:tcPr>
          <w:p>
            <w:pPr>
              <w:jc w:val="right"/>
              <w:ind w:right="881"/>
              <w:spacing w:after="0" w:line="216" w:lineRule="exact"/>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57</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45</w:t>
            </w:r>
          </w:p>
        </w:tc>
        <w:tc>
          <w:tcPr>
            <w:tcW w:w="100" w:type="dxa"/>
            <w:vAlign w:val="bottom"/>
            <w:shd w:val="clear" w:color="auto" w:fill="CFF0FC"/>
          </w:tcPr>
          <w:p>
            <w:pPr>
              <w:spacing w:after="0"/>
              <w:rPr>
                <w:sz w:val="18"/>
                <w:szCs w:val="18"/>
                <w:color w:val="auto"/>
              </w:rPr>
            </w:pPr>
          </w:p>
        </w:tc>
      </w:tr>
      <w:tr>
        <w:trPr>
          <w:trHeight w:val="194"/>
        </w:trPr>
        <w:tc>
          <w:tcPr>
            <w:tcW w:w="6800" w:type="dxa"/>
            <w:vAlign w:val="bottom"/>
          </w:tcPr>
          <w:p>
            <w:pPr>
              <w:spacing w:after="0" w:line="194" w:lineRule="exact"/>
              <w:rPr>
                <w:sz w:val="20"/>
                <w:szCs w:val="20"/>
                <w:color w:val="auto"/>
              </w:rPr>
            </w:pPr>
            <w:r>
              <w:rPr>
                <w:rFonts w:ascii="Arial" w:cs="Arial" w:eastAsia="Arial" w:hAnsi="Arial"/>
                <w:sz w:val="20"/>
                <w:szCs w:val="20"/>
                <w:color w:val="auto"/>
              </w:rPr>
              <w:t>Right-of-use assets obtained in exchange for new</w:t>
            </w: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800" w:type="dxa"/>
            <w:vAlign w:val="bottom"/>
          </w:tcPr>
          <w:p>
            <w:pPr>
              <w:ind w:left="180"/>
              <w:spacing w:after="0"/>
              <w:rPr>
                <w:sz w:val="20"/>
                <w:szCs w:val="20"/>
                <w:color w:val="auto"/>
              </w:rPr>
            </w:pPr>
            <w:r>
              <w:rPr>
                <w:rFonts w:ascii="Arial" w:cs="Arial" w:eastAsia="Arial" w:hAnsi="Arial"/>
                <w:sz w:val="20"/>
                <w:szCs w:val="20"/>
                <w:color w:val="auto"/>
              </w:rPr>
              <w:t>operating lease liabilities</w:t>
            </w:r>
          </w:p>
        </w:tc>
        <w:tc>
          <w:tcPr>
            <w:tcW w:w="18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59</w:t>
            </w:r>
          </w:p>
        </w:tc>
        <w:tc>
          <w:tcPr>
            <w:tcW w:w="18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20"/>
                <w:szCs w:val="20"/>
                <w:color w:val="auto"/>
              </w:rPr>
            </w:pPr>
          </w:p>
        </w:tc>
      </w:tr>
      <w:tr>
        <w:trPr>
          <w:trHeight w:val="194"/>
        </w:trPr>
        <w:tc>
          <w:tcPr>
            <w:tcW w:w="68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Right-of-use assets obtained in exchange for</w:t>
            </w:r>
          </w:p>
        </w:tc>
        <w:tc>
          <w:tcPr>
            <w:tcW w:w="7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68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new finance lease liabilities</w:t>
            </w:r>
          </w:p>
        </w:tc>
        <w:tc>
          <w:tcPr>
            <w:tcW w:w="1820" w:type="dxa"/>
            <w:vAlign w:val="bottom"/>
            <w:gridSpan w:val="2"/>
            <w:shd w:val="clear" w:color="auto" w:fill="CFF0FC"/>
          </w:tcPr>
          <w:p>
            <w:pPr>
              <w:jc w:val="right"/>
              <w:ind w:right="881"/>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w:t>
            </w:r>
          </w:p>
        </w:tc>
        <w:tc>
          <w:tcPr>
            <w:tcW w:w="100" w:type="dxa"/>
            <w:vAlign w:val="bottom"/>
            <w:shd w:val="clear" w:color="auto" w:fill="CFF0FC"/>
          </w:tcPr>
          <w:p>
            <w:pPr>
              <w:spacing w:after="0"/>
              <w:rPr>
                <w:sz w:val="20"/>
                <w:szCs w:val="20"/>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Remeasurement of finance lease right-of-use assets</w:t>
            </w:r>
          </w:p>
        </w:tc>
        <w:tc>
          <w:tcPr>
            <w:tcW w:w="1820" w:type="dxa"/>
            <w:vAlign w:val="bottom"/>
            <w:gridSpan w:val="2"/>
          </w:tcPr>
          <w:p>
            <w:pPr>
              <w:jc w:val="right"/>
              <w:ind w:right="881"/>
              <w:spacing w:after="0" w:line="216" w:lineRule="exact"/>
              <w:rPr>
                <w:sz w:val="20"/>
                <w:szCs w:val="20"/>
                <w:color w:val="auto"/>
              </w:rPr>
            </w:pPr>
            <w:r>
              <w:rPr>
                <w:rFonts w:ascii="Arial" w:cs="Arial" w:eastAsia="Arial" w:hAnsi="Arial"/>
                <w:sz w:val="20"/>
                <w:szCs w:val="20"/>
                <w:color w:val="auto"/>
              </w:rPr>
              <w:t>$</w:t>
            </w:r>
          </w:p>
        </w:tc>
        <w:tc>
          <w:tcPr>
            <w:tcW w:w="560" w:type="dxa"/>
            <w:vAlign w:val="bottom"/>
          </w:tcPr>
          <w:p>
            <w:pPr>
              <w:jc w:val="right"/>
              <w:spacing w:after="0" w:line="216" w:lineRule="exact"/>
              <w:rPr>
                <w:sz w:val="20"/>
                <w:szCs w:val="20"/>
                <w:color w:val="auto"/>
              </w:rPr>
            </w:pPr>
            <w:r>
              <w:rPr>
                <w:rFonts w:ascii="Arial" w:cs="Arial" w:eastAsia="Arial" w:hAnsi="Arial"/>
                <w:sz w:val="20"/>
                <w:szCs w:val="20"/>
                <w:color w:val="auto"/>
              </w:rPr>
              <w:t>50</w:t>
            </w:r>
          </w:p>
        </w:tc>
        <w:tc>
          <w:tcPr>
            <w:tcW w:w="180" w:type="dxa"/>
            <w:vAlign w:val="bottom"/>
          </w:tcPr>
          <w:p>
            <w:pPr>
              <w:spacing w:after="0"/>
              <w:rPr>
                <w:sz w:val="18"/>
                <w:szCs w:val="18"/>
                <w:color w:val="auto"/>
              </w:rPr>
            </w:pPr>
          </w:p>
        </w:tc>
        <w:tc>
          <w:tcPr>
            <w:tcW w:w="130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w:t>
            </w: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auto"/>
              </w:rPr>
              <w:t>27</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Remeasurement of operating lease right-of-use assets</w:t>
            </w:r>
          </w:p>
        </w:tc>
        <w:tc>
          <w:tcPr>
            <w:tcW w:w="1820" w:type="dxa"/>
            <w:vAlign w:val="bottom"/>
            <w:gridSpan w:val="2"/>
            <w:shd w:val="clear" w:color="auto" w:fill="CFF0FC"/>
          </w:tcPr>
          <w:p>
            <w:pPr>
              <w:jc w:val="right"/>
              <w:ind w:right="881"/>
              <w:spacing w:after="0" w:line="216" w:lineRule="exact"/>
              <w:rPr>
                <w:sz w:val="20"/>
                <w:szCs w:val="20"/>
                <w:color w:val="auto"/>
              </w:rPr>
            </w:pPr>
            <w:r>
              <w:rPr>
                <w:rFonts w:ascii="Arial" w:cs="Arial" w:eastAsia="Arial" w:hAnsi="Arial"/>
                <w:sz w:val="20"/>
                <w:szCs w:val="20"/>
                <w:color w:val="auto"/>
              </w:rPr>
              <w:t>$</w:t>
            </w:r>
          </w:p>
        </w:tc>
        <w:tc>
          <w:tcPr>
            <w:tcW w:w="740" w:type="dxa"/>
            <w:vAlign w:val="bottom"/>
            <w:gridSpan w:val="2"/>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(1)</w:t>
            </w:r>
          </w:p>
        </w:tc>
        <w:tc>
          <w:tcPr>
            <w:tcW w:w="130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w:t>
            </w:r>
          </w:p>
        </w:tc>
        <w:tc>
          <w:tcPr>
            <w:tcW w:w="100" w:type="dxa"/>
            <w:vAlign w:val="bottom"/>
            <w:shd w:val="clear" w:color="auto" w:fill="CFF0FC"/>
          </w:tcPr>
          <w:p>
            <w:pPr>
              <w:spacing w:after="0"/>
              <w:rPr>
                <w:sz w:val="18"/>
                <w:szCs w:val="18"/>
                <w:color w:val="auto"/>
              </w:rPr>
            </w:pPr>
          </w:p>
        </w:tc>
      </w:tr>
      <w:tr>
        <w:trPr>
          <w:trHeight w:val="456"/>
        </w:trPr>
        <w:tc>
          <w:tcPr>
            <w:tcW w:w="680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6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140" w:type="dxa"/>
            <w:vAlign w:val="bottom"/>
            <w:gridSpan w:val="5"/>
          </w:tcPr>
          <w:p>
            <w:pPr>
              <w:jc w:val="center"/>
              <w:ind w:left="381"/>
              <w:spacing w:after="0"/>
              <w:rPr>
                <w:sz w:val="20"/>
                <w:szCs w:val="20"/>
                <w:color w:val="auto"/>
              </w:rPr>
            </w:pPr>
            <w:r>
              <w:rPr>
                <w:rFonts w:ascii="Arial" w:cs="Arial" w:eastAsia="Arial" w:hAnsi="Arial"/>
                <w:sz w:val="20"/>
                <w:szCs w:val="20"/>
                <w:color w:val="auto"/>
                <w:w w:val="99"/>
              </w:rPr>
              <w:t>Nine Months Ended</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8"/>
        </w:trPr>
        <w:tc>
          <w:tcPr>
            <w:tcW w:w="6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right="521"/>
              <w:spacing w:after="0"/>
              <w:rPr>
                <w:sz w:val="20"/>
                <w:szCs w:val="20"/>
                <w:color w:val="auto"/>
              </w:rPr>
            </w:pPr>
            <w:r>
              <w:rPr>
                <w:rFonts w:ascii="Arial" w:cs="Arial" w:eastAsia="Arial" w:hAnsi="Arial"/>
                <w:sz w:val="20"/>
                <w:szCs w:val="20"/>
                <w:color w:val="auto"/>
                <w:w w:val="9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2025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720"/>
              <w:spacing w:after="0" w:line="209" w:lineRule="exact"/>
              <w:rPr>
                <w:sz w:val="20"/>
                <w:szCs w:val="20"/>
                <w:color w:val="auto"/>
              </w:rPr>
            </w:pPr>
            <w:r>
              <w:rPr>
                <w:rFonts w:ascii="Arial" w:cs="Arial" w:eastAsia="Arial" w:hAnsi="Arial"/>
                <w:sz w:val="20"/>
                <w:szCs w:val="20"/>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gridSpan w:val="2"/>
          </w:tcPr>
          <w:p>
            <w:pPr>
              <w:jc w:val="center"/>
              <w:spacing w:after="0" w:line="209" w:lineRule="exact"/>
              <w:rPr>
                <w:sz w:val="20"/>
                <w:szCs w:val="20"/>
                <w:color w:val="auto"/>
              </w:rPr>
            </w:pPr>
            <w:r>
              <w:rPr>
                <w:rFonts w:ascii="Arial" w:cs="Arial" w:eastAsia="Arial" w:hAnsi="Arial"/>
                <w:sz w:val="20"/>
                <w:szCs w:val="20"/>
                <w:i w:val="1"/>
                <w:iCs w:val="1"/>
                <w:color w:val="auto"/>
              </w:rPr>
              <w:t>in</w:t>
            </w:r>
          </w:p>
        </w:tc>
        <w:tc>
          <w:tcPr>
            <w:tcW w:w="118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Cash paid for interest, net of capitalized amount</w:t>
            </w:r>
          </w:p>
        </w:tc>
        <w:tc>
          <w:tcPr>
            <w:tcW w:w="1820" w:type="dxa"/>
            <w:vAlign w:val="bottom"/>
            <w:gridSpan w:val="2"/>
            <w:shd w:val="clear" w:color="auto" w:fill="CFF0FC"/>
          </w:tcPr>
          <w:p>
            <w:pPr>
              <w:jc w:val="right"/>
              <w:ind w:right="881"/>
              <w:spacing w:after="0" w:line="216" w:lineRule="exact"/>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149</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118</w:t>
            </w:r>
          </w:p>
        </w:tc>
        <w:tc>
          <w:tcPr>
            <w:tcW w:w="100" w:type="dxa"/>
            <w:vAlign w:val="bottom"/>
            <w:shd w:val="clear" w:color="auto" w:fill="CFF0FC"/>
          </w:tcPr>
          <w:p>
            <w:pPr>
              <w:spacing w:after="0"/>
              <w:rPr>
                <w:sz w:val="18"/>
                <w:szCs w:val="18"/>
                <w:color w:val="auto"/>
              </w:rPr>
            </w:pPr>
          </w:p>
        </w:tc>
      </w:tr>
      <w:tr>
        <w:trPr>
          <w:trHeight w:val="261"/>
        </w:trPr>
        <w:tc>
          <w:tcPr>
            <w:tcW w:w="6800" w:type="dxa"/>
            <w:vAlign w:val="bottom"/>
          </w:tcPr>
          <w:p>
            <w:pPr>
              <w:spacing w:after="0"/>
              <w:rPr>
                <w:sz w:val="20"/>
                <w:szCs w:val="20"/>
                <w:color w:val="auto"/>
              </w:rPr>
            </w:pPr>
            <w:r>
              <w:rPr>
                <w:rFonts w:ascii="Arial" w:cs="Arial" w:eastAsia="Arial" w:hAnsi="Arial"/>
                <w:sz w:val="20"/>
                <w:szCs w:val="20"/>
                <w:color w:val="auto"/>
              </w:rPr>
              <w:t>Cash paid for income taxes, net of refunds</w:t>
            </w:r>
          </w:p>
        </w:tc>
        <w:tc>
          <w:tcPr>
            <w:tcW w:w="18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162</w:t>
            </w:r>
          </w:p>
        </w:tc>
        <w:tc>
          <w:tcPr>
            <w:tcW w:w="18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385</w:t>
            </w:r>
          </w:p>
        </w:tc>
        <w:tc>
          <w:tcPr>
            <w:tcW w:w="100" w:type="dxa"/>
            <w:vAlign w:val="bottom"/>
          </w:tcPr>
          <w:p>
            <w:pPr>
              <w:spacing w:after="0"/>
              <w:rPr>
                <w:sz w:val="22"/>
                <w:szCs w:val="22"/>
                <w:color w:val="auto"/>
              </w:rPr>
            </w:pPr>
          </w:p>
        </w:tc>
      </w:tr>
    </w:tbl>
    <w:p>
      <w:pPr>
        <w:spacing w:after="0" w:line="296"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Arial" w:cs="Arial" w:eastAsia="Arial" w:hAnsi="Arial"/>
          <w:sz w:val="20"/>
          <w:szCs w:val="20"/>
          <w:b w:val="1"/>
          <w:bCs w:val="1"/>
          <w:color w:val="auto"/>
        </w:rPr>
        <w:t>Other Operating (Expense) Income, Net</w:t>
      </w:r>
    </w:p>
    <w:p>
      <w:pPr>
        <w:spacing w:after="0" w:line="122" w:lineRule="exact"/>
        <w:rPr>
          <w:rFonts w:ascii="Calibri" w:cs="Calibri" w:eastAsia="Calibri" w:hAnsi="Calibri"/>
          <w:sz w:val="20"/>
          <w:szCs w:val="20"/>
          <w:b w:val="1"/>
          <w:bCs w:val="1"/>
          <w:color w:val="auto"/>
        </w:rPr>
      </w:pPr>
    </w:p>
    <w:p>
      <w:pPr>
        <w:jc w:val="both"/>
        <w:ind w:left="380"/>
        <w:spacing w:after="0" w:line="232" w:lineRule="auto"/>
        <w:rPr>
          <w:rFonts w:ascii="Calibri" w:cs="Calibri" w:eastAsia="Calibri" w:hAnsi="Calibri"/>
          <w:sz w:val="20"/>
          <w:szCs w:val="20"/>
          <w:b w:val="1"/>
          <w:bCs w:val="1"/>
          <w:color w:val="auto"/>
        </w:rPr>
      </w:pPr>
      <w:r>
        <w:rPr>
          <w:rFonts w:ascii="Arial" w:cs="Arial" w:eastAsia="Arial" w:hAnsi="Arial"/>
          <w:sz w:val="20"/>
          <w:szCs w:val="20"/>
          <w:color w:val="auto"/>
        </w:rPr>
        <w:t>Other operating income, net, is comprised generally of gains and losses on divestitures and the sale of assets; asset and portfolio rationalization charges; recoveries and losses related to certain customer accounts receivable; recoveries and losses on the resolution of contingency accruals; rental, royalty and services income; and accretion expense and depreciation expense related to asset retirement obligations. For the nine months ended September 30, 2024, other operating income, net, included a $1.3 billion pretax gain on the divestiture of the South Texas cement business and certain of its related ready mixed concrete operations, which was partially offset by a $50 million pretax, noncash asset and portfolio rationalization charge.</w:t>
      </w:r>
    </w:p>
    <w:p>
      <w:pPr>
        <w:spacing w:after="0" w:line="63"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19"/>
          <w:szCs w:val="19"/>
          <w:color w:val="auto"/>
        </w:rPr>
        <w:t>The noncash asset and portfolio rationalization charge for the nine months ended September 30, 2024 relates to the Company's decision to discontinue usage of certain long-haul distribution facilities to transport aggregates products into Colorado as the Albert Frei &amp; Sons, Inc. acquisition completed in January 2024 provides more economical, local aggregates supply. This charge, which is reported in the West Group, reflects the Company's evaluation of the recoverability of certain long-lived assets, including property, plant and equipment and operating lease right-of-use assets, for the cessation of these</w:t>
      </w:r>
    </w:p>
    <w:p>
      <w:pPr>
        <w:ind w:left="380"/>
        <w:spacing w:after="0" w:line="226" w:lineRule="auto"/>
        <w:rPr>
          <w:sz w:val="20"/>
          <w:szCs w:val="20"/>
          <w:color w:val="auto"/>
        </w:rPr>
      </w:pPr>
      <w:r>
        <w:rPr>
          <w:rFonts w:ascii="Arial" w:cs="Arial" w:eastAsia="Arial" w:hAnsi="Arial"/>
          <w:sz w:val="20"/>
          <w:szCs w:val="20"/>
          <w:color w:val="auto"/>
        </w:rPr>
        <w:t>railroad operations.</w:t>
      </w:r>
    </w:p>
    <w:p>
      <w:pPr>
        <w:jc w:val="center"/>
        <w:spacing w:after="0"/>
        <w:rPr>
          <w:sz w:val="20"/>
          <w:szCs w:val="20"/>
          <w:color w:val="auto"/>
        </w:rPr>
      </w:pPr>
      <w:r>
        <w:rPr>
          <w:rFonts w:ascii="Arial" w:cs="Arial" w:eastAsia="Arial" w:hAnsi="Arial"/>
          <w:sz w:val="20"/>
          <w:szCs w:val="20"/>
          <w:color w:val="auto"/>
        </w:rPr>
        <w:t>Page 26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Martin Marietta Materials, Inc. (the Company or Martin Marietta) is a natural resource-based building materials company. As of September 30, 2025, the Company supplies aggregates (crushed stone, sand and gravel) through its network of approximately 390 quarries, mines and distribution yards in 28 states, Canada and The Bahamas. Martin Marietta also provides other building materials, namely, cement, ready mixed concrete, asphalt and paving services, in certain vertically-integrated structured markets where the Company has a leading aggregates position. The Company's Midlothian cement plant, related cement terminals and Texas ready mixed concrete plants are classified as assets held for sale as of September 30, 2025, and their associated financial results are reported as discontinued operations for all periods presented (see Note 2 to the unaudited consolidated financial statements).</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The Company’s Building Materials business includes two reportable segments: East Group and West Group.</w:t>
      </w:r>
    </w:p>
    <w:p>
      <w:pPr>
        <w:spacing w:after="0" w:line="79"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BUILDING MATERIALS BUSINESS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Reportable Segments</w:t>
            </w:r>
          </w:p>
        </w:tc>
        <w:tc>
          <w:tcPr>
            <w:tcW w:w="120" w:type="dxa"/>
            <w:vAlign w:val="bottom"/>
            <w:tcBorders>
              <w:top w:val="single" w:sz="8" w:color="auto"/>
            </w:tcBorders>
          </w:tcPr>
          <w:p>
            <w:pPr>
              <w:spacing w:after="0"/>
              <w:rPr>
                <w:sz w:val="19"/>
                <w:szCs w:val="19"/>
                <w:color w:val="auto"/>
              </w:rPr>
            </w:pPr>
          </w:p>
        </w:tc>
        <w:tc>
          <w:tcPr>
            <w:tcW w:w="4480" w:type="dxa"/>
            <w:vAlign w:val="bottom"/>
            <w:tcBorders>
              <w:top w:val="single" w:sz="8" w:color="auto"/>
              <w:bottom w:val="single" w:sz="8" w:color="auto"/>
            </w:tcBorders>
          </w:tcPr>
          <w:p>
            <w:pPr>
              <w:ind w:left="1740"/>
              <w:spacing w:after="0" w:line="223" w:lineRule="exact"/>
              <w:rPr>
                <w:sz w:val="20"/>
                <w:szCs w:val="20"/>
                <w:color w:val="auto"/>
              </w:rPr>
            </w:pPr>
            <w:r>
              <w:rPr>
                <w:rFonts w:ascii="Arial" w:cs="Arial" w:eastAsia="Arial" w:hAnsi="Arial"/>
                <w:sz w:val="20"/>
                <w:szCs w:val="20"/>
                <w:color w:val="auto"/>
              </w:rPr>
              <w:t>East Group</w:t>
            </w:r>
          </w:p>
        </w:tc>
        <w:tc>
          <w:tcPr>
            <w:tcW w:w="100" w:type="dxa"/>
            <w:vAlign w:val="bottom"/>
            <w:tcBorders>
              <w:top w:val="single" w:sz="8" w:color="auto"/>
            </w:tcBorders>
          </w:tcPr>
          <w:p>
            <w:pPr>
              <w:spacing w:after="0"/>
              <w:rPr>
                <w:sz w:val="19"/>
                <w:szCs w:val="19"/>
                <w:color w:val="auto"/>
              </w:rPr>
            </w:pPr>
          </w:p>
        </w:tc>
        <w:tc>
          <w:tcPr>
            <w:tcW w:w="4380" w:type="dxa"/>
            <w:vAlign w:val="bottom"/>
            <w:tcBorders>
              <w:top w:val="single" w:sz="8" w:color="auto"/>
              <w:bottom w:val="single" w:sz="8" w:color="auto"/>
            </w:tcBorders>
          </w:tcPr>
          <w:p>
            <w:pPr>
              <w:ind w:left="1660"/>
              <w:spacing w:after="0" w:line="223" w:lineRule="exact"/>
              <w:rPr>
                <w:sz w:val="20"/>
                <w:szCs w:val="20"/>
                <w:color w:val="auto"/>
              </w:rPr>
            </w:pPr>
            <w:r>
              <w:rPr>
                <w:rFonts w:ascii="Arial" w:cs="Arial" w:eastAsia="Arial" w:hAnsi="Arial"/>
                <w:sz w:val="20"/>
                <w:szCs w:val="20"/>
                <w:color w:val="auto"/>
              </w:rPr>
              <w:t>West Group</w:t>
            </w:r>
          </w:p>
        </w:tc>
      </w:tr>
      <w:tr>
        <w:trPr>
          <w:trHeight w:val="188"/>
        </w:trPr>
        <w:tc>
          <w:tcPr>
            <w:tcW w:w="2160" w:type="dxa"/>
            <w:vAlign w:val="bottom"/>
          </w:tcPr>
          <w:p>
            <w:pPr>
              <w:jc w:val="center"/>
              <w:spacing w:after="0" w:line="188" w:lineRule="exact"/>
              <w:rPr>
                <w:sz w:val="20"/>
                <w:szCs w:val="20"/>
                <w:color w:val="auto"/>
              </w:rPr>
            </w:pPr>
            <w:r>
              <w:rPr>
                <w:rFonts w:ascii="Arial" w:cs="Arial" w:eastAsia="Arial" w:hAnsi="Arial"/>
                <w:sz w:val="20"/>
                <w:szCs w:val="20"/>
                <w:color w:val="auto"/>
                <w:w w:val="99"/>
              </w:rPr>
              <w:t>Operating Locations</w:t>
            </w:r>
          </w:p>
        </w:tc>
        <w:tc>
          <w:tcPr>
            <w:tcW w:w="120" w:type="dxa"/>
            <w:vAlign w:val="bottom"/>
          </w:tcPr>
          <w:p>
            <w:pPr>
              <w:spacing w:after="0"/>
              <w:rPr>
                <w:sz w:val="16"/>
                <w:szCs w:val="16"/>
                <w:color w:val="auto"/>
              </w:rPr>
            </w:pPr>
          </w:p>
        </w:tc>
        <w:tc>
          <w:tcPr>
            <w:tcW w:w="4480" w:type="dxa"/>
            <w:vAlign w:val="bottom"/>
          </w:tcPr>
          <w:p>
            <w:pPr>
              <w:jc w:val="center"/>
              <w:spacing w:after="0" w:line="188" w:lineRule="exact"/>
              <w:rPr>
                <w:sz w:val="20"/>
                <w:szCs w:val="20"/>
                <w:color w:val="auto"/>
              </w:rPr>
            </w:pPr>
            <w:r>
              <w:rPr>
                <w:rFonts w:ascii="Arial" w:cs="Arial" w:eastAsia="Arial" w:hAnsi="Arial"/>
                <w:sz w:val="20"/>
                <w:szCs w:val="20"/>
                <w:color w:val="auto"/>
                <w:w w:val="99"/>
              </w:rPr>
              <w:t>Alabama, Florida, Georgia, Indiana, Iowa,</w:t>
            </w:r>
          </w:p>
        </w:tc>
        <w:tc>
          <w:tcPr>
            <w:tcW w:w="100" w:type="dxa"/>
            <w:vAlign w:val="bottom"/>
          </w:tcPr>
          <w:p>
            <w:pPr>
              <w:spacing w:after="0"/>
              <w:rPr>
                <w:sz w:val="16"/>
                <w:szCs w:val="16"/>
                <w:color w:val="auto"/>
              </w:rPr>
            </w:pPr>
          </w:p>
        </w:tc>
        <w:tc>
          <w:tcPr>
            <w:tcW w:w="4380" w:type="dxa"/>
            <w:vAlign w:val="bottom"/>
          </w:tcPr>
          <w:p>
            <w:pPr>
              <w:jc w:val="center"/>
              <w:spacing w:after="0" w:line="188" w:lineRule="exact"/>
              <w:rPr>
                <w:sz w:val="20"/>
                <w:szCs w:val="20"/>
                <w:color w:val="auto"/>
              </w:rPr>
            </w:pPr>
            <w:r>
              <w:rPr>
                <w:rFonts w:ascii="Arial" w:cs="Arial" w:eastAsia="Arial" w:hAnsi="Arial"/>
                <w:sz w:val="20"/>
                <w:szCs w:val="20"/>
                <w:color w:val="auto"/>
                <w:w w:val="98"/>
              </w:rPr>
              <w:t>Arizona, Arkansas, California, Colorado,</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9"/>
              </w:rPr>
              <w:t>Kansas, Kentucky, Maryland,</w:t>
            </w:r>
          </w:p>
        </w:tc>
        <w:tc>
          <w:tcPr>
            <w:tcW w:w="100" w:type="dxa"/>
            <w:vAlign w:val="bottom"/>
          </w:tcPr>
          <w:p>
            <w:pPr>
              <w:spacing w:after="0"/>
              <w:rPr>
                <w:sz w:val="18"/>
                <w:szCs w:val="18"/>
                <w:color w:val="auto"/>
              </w:rPr>
            </w:pPr>
          </w:p>
        </w:tc>
        <w:tc>
          <w:tcPr>
            <w:tcW w:w="4380" w:type="dxa"/>
            <w:vAlign w:val="bottom"/>
          </w:tcPr>
          <w:p>
            <w:pPr>
              <w:jc w:val="center"/>
              <w:spacing w:after="0" w:line="216" w:lineRule="exact"/>
              <w:rPr>
                <w:sz w:val="20"/>
                <w:szCs w:val="20"/>
                <w:color w:val="auto"/>
              </w:rPr>
            </w:pPr>
            <w:r>
              <w:rPr>
                <w:rFonts w:ascii="Arial" w:cs="Arial" w:eastAsia="Arial" w:hAnsi="Arial"/>
                <w:sz w:val="20"/>
                <w:szCs w:val="20"/>
                <w:color w:val="auto"/>
                <w:w w:val="99"/>
              </w:rPr>
              <w:t>Louisiana, Oklahoma, Texas, Utah,</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8"/>
              </w:rPr>
              <w:t>Minnesota, Missouri, Nebraska,</w:t>
            </w:r>
          </w:p>
        </w:tc>
        <w:tc>
          <w:tcPr>
            <w:tcW w:w="100" w:type="dxa"/>
            <w:vAlign w:val="bottom"/>
          </w:tcPr>
          <w:p>
            <w:pPr>
              <w:spacing w:after="0"/>
              <w:rPr>
                <w:sz w:val="18"/>
                <w:szCs w:val="18"/>
                <w:color w:val="auto"/>
              </w:rPr>
            </w:pPr>
          </w:p>
        </w:tc>
        <w:tc>
          <w:tcPr>
            <w:tcW w:w="4380" w:type="dxa"/>
            <w:vAlign w:val="bottom"/>
          </w:tcPr>
          <w:p>
            <w:pPr>
              <w:jc w:val="center"/>
              <w:ind w:right="21"/>
              <w:spacing w:after="0" w:line="216" w:lineRule="exact"/>
              <w:rPr>
                <w:sz w:val="20"/>
                <w:szCs w:val="20"/>
                <w:color w:val="auto"/>
              </w:rPr>
            </w:pPr>
            <w:r>
              <w:rPr>
                <w:rFonts w:ascii="Arial" w:cs="Arial" w:eastAsia="Arial" w:hAnsi="Arial"/>
                <w:sz w:val="20"/>
                <w:szCs w:val="20"/>
                <w:color w:val="auto"/>
                <w:w w:val="98"/>
              </w:rPr>
              <w:t>Washington and Wyoming</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8"/>
              </w:rPr>
              <w:t>North Carolina, Ohio, Pennsylvania,</w:t>
            </w: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8"/>
              </w:rPr>
              <w:t>South Carolina, Tennessee, Virginia,</w:t>
            </w: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9"/>
              </w:rPr>
              <w:t>West Virginia, Nova Scotia and The Bahamas</w:t>
            </w:r>
          </w:p>
        </w:tc>
        <w:tc>
          <w:tcPr>
            <w:tcW w:w="10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333"/>
        </w:trPr>
        <w:tc>
          <w:tcPr>
            <w:tcW w:w="2160" w:type="dxa"/>
            <w:vAlign w:val="bottom"/>
          </w:tcPr>
          <w:p>
            <w:pPr>
              <w:jc w:val="center"/>
              <w:spacing w:after="0"/>
              <w:rPr>
                <w:sz w:val="20"/>
                <w:szCs w:val="20"/>
                <w:color w:val="auto"/>
              </w:rPr>
            </w:pPr>
            <w:r>
              <w:rPr>
                <w:rFonts w:ascii="Arial" w:cs="Arial" w:eastAsia="Arial" w:hAnsi="Arial"/>
                <w:sz w:val="20"/>
                <w:szCs w:val="20"/>
                <w:color w:val="auto"/>
                <w:w w:val="98"/>
              </w:rPr>
              <w:t>Products and Services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8"/>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Aggregates, Cement, Ready</w:t>
            </w: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9"/>
              </w:rPr>
              <w:t>Mixed Concrete, Asphalt and Paving Services</w:t>
            </w:r>
          </w:p>
        </w:tc>
      </w:tr>
      <w:tr>
        <w:trPr>
          <w:trHeight w:val="333"/>
        </w:trPr>
        <w:tc>
          <w:tcPr>
            <w:tcW w:w="2160" w:type="dxa"/>
            <w:vAlign w:val="bottom"/>
          </w:tcPr>
          <w:p>
            <w:pPr>
              <w:jc w:val="center"/>
              <w:spacing w:after="0"/>
              <w:rPr>
                <w:sz w:val="20"/>
                <w:szCs w:val="20"/>
                <w:color w:val="auto"/>
              </w:rPr>
            </w:pPr>
            <w:r>
              <w:rPr>
                <w:rFonts w:ascii="Arial" w:cs="Arial" w:eastAsia="Arial" w:hAnsi="Arial"/>
                <w:sz w:val="20"/>
                <w:szCs w:val="20"/>
                <w:color w:val="auto"/>
                <w:w w:val="98"/>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9"/>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Quarries, Cement Plant, Asphalt Plants, Ready</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9"/>
              </w:rPr>
              <w:t>Distribution Facilities</w:t>
            </w:r>
          </w:p>
        </w:tc>
        <w:tc>
          <w:tcPr>
            <w:tcW w:w="100" w:type="dxa"/>
            <w:vAlign w:val="bottom"/>
          </w:tcPr>
          <w:p>
            <w:pPr>
              <w:spacing w:after="0"/>
              <w:rPr>
                <w:sz w:val="18"/>
                <w:szCs w:val="18"/>
                <w:color w:val="auto"/>
              </w:rPr>
            </w:pPr>
          </w:p>
        </w:tc>
        <w:tc>
          <w:tcPr>
            <w:tcW w:w="4380" w:type="dxa"/>
            <w:vAlign w:val="bottom"/>
          </w:tcPr>
          <w:p>
            <w:pPr>
              <w:jc w:val="center"/>
              <w:spacing w:after="0" w:line="216" w:lineRule="exact"/>
              <w:rPr>
                <w:sz w:val="20"/>
                <w:szCs w:val="20"/>
                <w:color w:val="auto"/>
              </w:rPr>
            </w:pPr>
            <w:r>
              <w:rPr>
                <w:rFonts w:ascii="Arial" w:cs="Arial" w:eastAsia="Arial" w:hAnsi="Arial"/>
                <w:sz w:val="20"/>
                <w:szCs w:val="20"/>
                <w:color w:val="auto"/>
                <w:w w:val="99"/>
              </w:rPr>
              <w:t>Mixed Concrete Plants and</w:t>
            </w: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9"/>
              </w:rPr>
              <w:t>Distribution Facilities</w:t>
            </w:r>
          </w:p>
        </w:tc>
      </w:tr>
      <w:tr>
        <w:trPr>
          <w:trHeight w:val="346"/>
        </w:trPr>
        <w:tc>
          <w:tcPr>
            <w:tcW w:w="2160" w:type="dxa"/>
            <w:vAlign w:val="bottom"/>
          </w:tcPr>
          <w:p>
            <w:pPr>
              <w:jc w:val="center"/>
              <w:spacing w:after="0"/>
              <w:rPr>
                <w:sz w:val="20"/>
                <w:szCs w:val="20"/>
                <w:color w:val="auto"/>
              </w:rPr>
            </w:pPr>
            <w:r>
              <w:rPr>
                <w:rFonts w:ascii="Arial" w:cs="Arial" w:eastAsia="Arial" w:hAnsi="Arial"/>
                <w:sz w:val="20"/>
                <w:szCs w:val="20"/>
                <w:color w:val="auto"/>
                <w:w w:val="99"/>
              </w:rPr>
              <w:t>Modes of</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9"/>
              </w:rPr>
              <w:t>Truck, Railcar, Ship and Barge</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Truck and Railcar</w:t>
            </w:r>
          </w:p>
        </w:tc>
      </w:tr>
      <w:tr>
        <w:trPr>
          <w:trHeight w:val="261"/>
        </w:trPr>
        <w:tc>
          <w:tcPr>
            <w:tcW w:w="2160" w:type="dxa"/>
            <w:vAlign w:val="bottom"/>
          </w:tcPr>
          <w:p>
            <w:pPr>
              <w:jc w:val="center"/>
              <w:spacing w:after="0"/>
              <w:rPr>
                <w:sz w:val="20"/>
                <w:szCs w:val="20"/>
                <w:color w:val="auto"/>
              </w:rPr>
            </w:pPr>
            <w:r>
              <w:rPr>
                <w:rFonts w:ascii="Arial" w:cs="Arial" w:eastAsia="Arial" w:hAnsi="Arial"/>
                <w:sz w:val="20"/>
                <w:szCs w:val="20"/>
                <w:color w:val="auto"/>
                <w:w w:val="99"/>
              </w:rPr>
              <w:t>Transportation</w:t>
            </w: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spacing w:after="0"/>
              <w:rPr>
                <w:sz w:val="22"/>
                <w:szCs w:val="22"/>
                <w:color w:val="auto"/>
              </w:rPr>
            </w:pPr>
          </w:p>
        </w:tc>
      </w:tr>
    </w:tbl>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Building Materials business is significantly affected by weather patterns, seasonal changes and other climate-related conditions. Production and shipment levels for aggregates, cement, ready mixed concrete and asphalt materials correlate with general construction activity levels, most of which occur in the spring, summer and fall. Thus, production and shipment levels vary by quarter. Excessive rainfall, drought, wildfire and extreme hot and cold temperatures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Company's Specialties business (formerly known as the Magnesia Specialties business), which represents a separate reportable segment, has manufacturing facilities in Michigan, Ohio, Nevada, North Carolina, Indiana and Pennsylvania. The Specialties business produces high-purity magnesia-based products used in a wide range of environmental, industrial, agricultural and specialty applications, as well as dolomitic lime, which is primarily used as a fluxing agent in domestic steel production and as a key raw material in the Company's magnesia-based products. Dolomitic lime is also used in various other end use applications including soil stabilization.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The Company outlined its critical accounting policies in its Annual Report on Form 10-K for the year ended December 31, 2024.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 were no changes to the Company’s critical accounting policies during the nine months ended September 30, 2025.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financial and operating results included in this section are for continuing operations and comparisons are versus the prior-year third quarter or prior year-to-date period, unless otherwise noted.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September 30, 2025</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tables present revenues and gross profit (loss) for the Company and its reportable segments by product line for the three months ended September 30, 2025 and 2024. Gross profit (loss) is also presented as a percentage of revenues of the Company, the relevant segment or the product line, as applicable.</w:t>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Effective September 30, 2025, the Company combined the cement and ready mixed concrete and the asphalt and paving services product lines (hereinafter, other building materials). See Note 2 to the unaudited consolidated financial statements for further details on the reclassification.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20"/>
                <w:szCs w:val="20"/>
                <w:color w:val="auto"/>
                <w:w w:val="98"/>
              </w:rPr>
              <w:t>Three Months Ended September 30,</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1"/>
              <w:spacing w:after="0" w:line="209" w:lineRule="exact"/>
              <w:rPr>
                <w:sz w:val="20"/>
                <w:szCs w:val="20"/>
                <w:color w:val="auto"/>
              </w:rPr>
            </w:pPr>
            <w:r>
              <w:rPr>
                <w:rFonts w:ascii="Arial" w:cs="Arial" w:eastAsia="Arial" w:hAnsi="Arial"/>
                <w:sz w:val="20"/>
                <w:szCs w:val="20"/>
                <w:color w:val="auto"/>
                <w:w w:val="98"/>
              </w:rPr>
              <w:t>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1"/>
              <w:spacing w:after="0" w:line="209" w:lineRule="exact"/>
              <w:rPr>
                <w:sz w:val="20"/>
                <w:szCs w:val="20"/>
                <w:color w:val="auto"/>
              </w:rPr>
            </w:pPr>
            <w:r>
              <w:rPr>
                <w:rFonts w:ascii="Arial" w:cs="Arial" w:eastAsia="Arial" w:hAnsi="Arial"/>
                <w:sz w:val="20"/>
                <w:szCs w:val="20"/>
                <w:color w:val="auto"/>
                <w:w w:val="98"/>
              </w:rPr>
              <w:t>2024</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rPr>
              <w:t>Amount</w:t>
            </w:r>
          </w:p>
        </w:tc>
        <w:tc>
          <w:tcPr>
            <w:tcW w:w="140" w:type="dxa"/>
            <w:vAlign w:val="bottom"/>
          </w:tcPr>
          <w:p>
            <w:pPr>
              <w:spacing w:after="0"/>
              <w:rPr>
                <w:sz w:val="18"/>
                <w:szCs w:val="18"/>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rPr>
              <w:t>Amount</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East Group</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Arial" w:cs="Arial" w:eastAsia="Arial" w:hAnsi="Arial"/>
                <w:sz w:val="20"/>
                <w:szCs w:val="20"/>
                <w:color w:val="auto"/>
              </w:rPr>
              <w:t>Aggregates</w:t>
            </w:r>
          </w:p>
        </w:tc>
        <w:tc>
          <w:tcPr>
            <w:tcW w:w="220" w:type="dxa"/>
            <w:vAlign w:val="bottom"/>
          </w:tcPr>
          <w:p>
            <w:pPr>
              <w:jc w:val="right"/>
              <w:ind w:right="21"/>
              <w:spacing w:after="0" w:line="216" w:lineRule="exact"/>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891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21"/>
              <w:spacing w:after="0" w:line="216" w:lineRule="exact"/>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772</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91</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Arial" w:cs="Arial" w:eastAsia="Arial" w:hAnsi="Arial"/>
                <w:sz w:val="20"/>
                <w:szCs w:val="20"/>
                <w:color w:val="auto"/>
              </w:rPr>
              <w:t>Less: Interproduct revenues</w:t>
            </w:r>
          </w:p>
        </w:tc>
        <w:tc>
          <w:tcPr>
            <w:tcW w:w="220" w:type="dxa"/>
            <w:vAlign w:val="bottom"/>
          </w:tcPr>
          <w:p>
            <w:pPr>
              <w:spacing w:after="0"/>
              <w:rPr>
                <w:sz w:val="18"/>
                <w:szCs w:val="18"/>
                <w:color w:val="auto"/>
              </w:rPr>
            </w:pPr>
          </w:p>
        </w:tc>
        <w:tc>
          <w:tcPr>
            <w:tcW w:w="128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(13)</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(14)</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FF0FC"/>
            </w:tcBorders>
            <w:shd w:val="clear" w:color="auto" w:fill="CFF0FC"/>
          </w:tcPr>
          <w:p>
            <w:pPr>
              <w:ind w:left="140"/>
              <w:spacing w:after="0" w:line="209" w:lineRule="exact"/>
              <w:rPr>
                <w:sz w:val="20"/>
                <w:szCs w:val="20"/>
                <w:color w:val="auto"/>
              </w:rPr>
            </w:pPr>
            <w:r>
              <w:rPr>
                <w:rFonts w:ascii="Arial" w:cs="Arial" w:eastAsia="Arial" w:hAnsi="Arial"/>
                <w:sz w:val="20"/>
                <w:szCs w:val="20"/>
                <w:color w:val="auto"/>
              </w:rPr>
              <w:t>East Group Total</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953</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849</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40"/>
              <w:spacing w:after="0" w:line="209" w:lineRule="exact"/>
              <w:rPr>
                <w:sz w:val="20"/>
                <w:szCs w:val="20"/>
                <w:color w:val="auto"/>
              </w:rPr>
            </w:pPr>
            <w:r>
              <w:rPr>
                <w:rFonts w:ascii="Arial" w:cs="Arial" w:eastAsia="Arial" w:hAnsi="Arial"/>
                <w:sz w:val="20"/>
                <w:szCs w:val="20"/>
                <w:color w:val="auto"/>
              </w:rPr>
              <w:t>West Group</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478</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276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301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Less: Interproduct revenues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line="216" w:lineRule="exact"/>
              <w:rPr>
                <w:sz w:val="20"/>
                <w:szCs w:val="20"/>
                <w:color w:val="auto"/>
              </w:rPr>
            </w:pPr>
            <w:r>
              <w:rPr>
                <w:rFonts w:ascii="Arial" w:cs="Arial" w:eastAsia="Arial" w:hAnsi="Arial"/>
                <w:sz w:val="20"/>
                <w:szCs w:val="20"/>
                <w:color w:val="auto"/>
              </w:rPr>
              <w:t>(81)</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(68)</w:t>
            </w: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tcBorders>
          </w:tcPr>
          <w:p>
            <w:pPr>
              <w:ind w:left="140"/>
              <w:spacing w:after="0" w:line="209" w:lineRule="exact"/>
              <w:rPr>
                <w:sz w:val="20"/>
                <w:szCs w:val="20"/>
                <w:color w:val="auto"/>
              </w:rPr>
            </w:pPr>
            <w:r>
              <w:rPr>
                <w:rFonts w:ascii="Arial" w:cs="Arial" w:eastAsia="Arial" w:hAnsi="Arial"/>
                <w:sz w:val="20"/>
                <w:szCs w:val="20"/>
                <w:color w:val="auto"/>
              </w:rPr>
              <w:t>West Group Total</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762</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711</w:t>
            </w:r>
          </w:p>
        </w:tc>
        <w:tc>
          <w:tcPr>
            <w:tcW w:w="24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1,715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1,560</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82</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1,846</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1,642</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20"/>
                <w:szCs w:val="20"/>
                <w:color w:val="auto"/>
                <w:w w:val="98"/>
              </w:rPr>
              <w:t>Three Months Ended September 30,</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1261"/>
              <w:spacing w:after="0" w:line="209" w:lineRule="exact"/>
              <w:rPr>
                <w:sz w:val="20"/>
                <w:szCs w:val="20"/>
                <w:color w:val="auto"/>
              </w:rPr>
            </w:pPr>
            <w:r>
              <w:rPr>
                <w:rFonts w:ascii="Arial" w:cs="Arial" w:eastAsia="Arial" w:hAnsi="Arial"/>
                <w:sz w:val="20"/>
                <w:szCs w:val="20"/>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1221"/>
              <w:spacing w:after="0" w:line="209" w:lineRule="exact"/>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rPr>
              <w:t>Amount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 of Revenues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rPr>
              <w:t>Amount</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 of Revenues</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jc w:val="center"/>
              <w:ind w:right="240"/>
              <w:spacing w:after="0" w:line="209" w:lineRule="exact"/>
              <w:rPr>
                <w:sz w:val="20"/>
                <w:szCs w:val="20"/>
                <w:color w:val="auto"/>
              </w:rPr>
            </w:pPr>
            <w:r>
              <w:rPr>
                <w:rFonts w:ascii="Arial" w:cs="Arial" w:eastAsia="Arial" w:hAnsi="Arial"/>
                <w:sz w:val="20"/>
                <w:szCs w:val="20"/>
                <w:i w:val="1"/>
                <w:iCs w:val="1"/>
                <w:color w:val="auto"/>
                <w:w w:val="99"/>
              </w:rPr>
              <w:t>(Dollars in Millions)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Gross profit (loss):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531</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left="61"/>
              <w:spacing w:after="0" w:line="216" w:lineRule="exact"/>
              <w:rPr>
                <w:sz w:val="20"/>
                <w:szCs w:val="20"/>
                <w:color w:val="auto"/>
              </w:rPr>
            </w:pPr>
            <w:r>
              <w:rPr>
                <w:rFonts w:ascii="Arial" w:cs="Arial" w:eastAsia="Arial" w:hAnsi="Arial"/>
                <w:sz w:val="20"/>
                <w:szCs w:val="20"/>
                <w:color w:val="auto"/>
                <w:w w:val="99"/>
              </w:rPr>
              <w:t>36%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438</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9"/>
              </w:rPr>
              <w:t>35%</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54</w:t>
            </w:r>
          </w:p>
        </w:tc>
        <w:tc>
          <w:tcPr>
            <w:tcW w:w="140" w:type="dxa"/>
            <w:vAlign w:val="bottom"/>
          </w:tcPr>
          <w:p>
            <w:pPr>
              <w:spacing w:after="0"/>
              <w:rPr>
                <w:sz w:val="18"/>
                <w:szCs w:val="18"/>
                <w:color w:val="auto"/>
              </w:rPr>
            </w:pPr>
          </w:p>
        </w:tc>
        <w:tc>
          <w:tcPr>
            <w:tcW w:w="1640" w:type="dxa"/>
            <w:vAlign w:val="bottom"/>
            <w:gridSpan w:val="2"/>
          </w:tcPr>
          <w:p>
            <w:pPr>
              <w:jc w:val="center"/>
              <w:ind w:left="61"/>
              <w:spacing w:after="0" w:line="216" w:lineRule="exact"/>
              <w:rPr>
                <w:sz w:val="20"/>
                <w:szCs w:val="20"/>
                <w:color w:val="auto"/>
              </w:rPr>
            </w:pPr>
            <w:r>
              <w:rPr>
                <w:rFonts w:ascii="Arial" w:cs="Arial" w:eastAsia="Arial" w:hAnsi="Arial"/>
                <w:sz w:val="20"/>
                <w:szCs w:val="20"/>
                <w:color w:val="auto"/>
                <w:w w:val="99"/>
              </w:rPr>
              <w:t>15%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64</w:t>
            </w:r>
          </w:p>
        </w:tc>
        <w:tc>
          <w:tcPr>
            <w:tcW w:w="24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9"/>
              </w:rPr>
              <w:t>17%</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585</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left="61"/>
              <w:spacing w:after="0" w:line="209" w:lineRule="exact"/>
              <w:rPr>
                <w:sz w:val="20"/>
                <w:szCs w:val="20"/>
                <w:color w:val="auto"/>
              </w:rPr>
            </w:pPr>
            <w:r>
              <w:rPr>
                <w:rFonts w:ascii="Arial" w:cs="Arial" w:eastAsia="Arial" w:hAnsi="Arial"/>
                <w:sz w:val="20"/>
                <w:szCs w:val="20"/>
                <w:color w:val="auto"/>
                <w:w w:val="99"/>
              </w:rPr>
              <w:t>34%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502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w w:val="99"/>
              </w:rPr>
              <w:t>32%</w:t>
            </w: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34</w:t>
            </w:r>
          </w:p>
        </w:tc>
        <w:tc>
          <w:tcPr>
            <w:tcW w:w="140" w:type="dxa"/>
            <w:vAlign w:val="bottom"/>
          </w:tcPr>
          <w:p>
            <w:pPr>
              <w:spacing w:after="0"/>
              <w:rPr>
                <w:sz w:val="18"/>
                <w:szCs w:val="18"/>
                <w:color w:val="auto"/>
              </w:rPr>
            </w:pPr>
          </w:p>
        </w:tc>
        <w:tc>
          <w:tcPr>
            <w:tcW w:w="1640" w:type="dxa"/>
            <w:vAlign w:val="bottom"/>
            <w:gridSpan w:val="2"/>
          </w:tcPr>
          <w:p>
            <w:pPr>
              <w:jc w:val="center"/>
              <w:ind w:left="61"/>
              <w:spacing w:after="0" w:line="216" w:lineRule="exact"/>
              <w:rPr>
                <w:sz w:val="20"/>
                <w:szCs w:val="20"/>
                <w:color w:val="auto"/>
              </w:rPr>
            </w:pPr>
            <w:r>
              <w:rPr>
                <w:rFonts w:ascii="Arial" w:cs="Arial" w:eastAsia="Arial" w:hAnsi="Arial"/>
                <w:sz w:val="20"/>
                <w:szCs w:val="20"/>
                <w:color w:val="auto"/>
                <w:w w:val="99"/>
              </w:rPr>
              <w:t>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29</w:t>
            </w:r>
          </w:p>
        </w:tc>
        <w:tc>
          <w:tcPr>
            <w:tcW w:w="24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auto"/>
                <w:w w:val="99"/>
              </w:rPr>
              <w:t>35%</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line="216" w:lineRule="exact"/>
              <w:rPr>
                <w:sz w:val="20"/>
                <w:szCs w:val="20"/>
                <w:color w:val="auto"/>
              </w:rPr>
            </w:pPr>
            <w:r>
              <w:rPr>
                <w:rFonts w:ascii="Arial" w:cs="Arial" w:eastAsia="Arial" w:hAnsi="Arial"/>
                <w:sz w:val="20"/>
                <w:szCs w:val="20"/>
                <w:color w:val="auto"/>
              </w:rPr>
              <w:t>(8)</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(18)</w:t>
            </w: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tcBorders>
          </w:tcPr>
          <w:p>
            <w:pPr>
              <w:spacing w:after="0" w:line="196" w:lineRule="exact"/>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611</w:t>
            </w:r>
          </w:p>
        </w:tc>
        <w:tc>
          <w:tcPr>
            <w:tcW w:w="14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gridSpan w:val="2"/>
          </w:tcPr>
          <w:p>
            <w:pPr>
              <w:jc w:val="center"/>
              <w:ind w:left="61"/>
              <w:spacing w:after="0" w:line="196" w:lineRule="exact"/>
              <w:rPr>
                <w:sz w:val="20"/>
                <w:szCs w:val="20"/>
                <w:color w:val="auto"/>
              </w:rPr>
            </w:pPr>
            <w:r>
              <w:rPr>
                <w:rFonts w:ascii="Arial" w:cs="Arial" w:eastAsia="Arial" w:hAnsi="Arial"/>
                <w:sz w:val="20"/>
                <w:szCs w:val="20"/>
                <w:color w:val="auto"/>
                <w:w w:val="99"/>
              </w:rPr>
              <w:t>33%</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513</w:t>
            </w:r>
          </w:p>
        </w:tc>
        <w:tc>
          <w:tcPr>
            <w:tcW w:w="24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jc w:val="center"/>
              <w:spacing w:after="0" w:line="196" w:lineRule="exact"/>
              <w:rPr>
                <w:sz w:val="20"/>
                <w:szCs w:val="20"/>
                <w:color w:val="auto"/>
              </w:rPr>
            </w:pPr>
            <w:r>
              <w:rPr>
                <w:rFonts w:ascii="Arial" w:cs="Arial" w:eastAsia="Arial" w:hAnsi="Arial"/>
                <w:sz w:val="20"/>
                <w:szCs w:val="20"/>
                <w:color w:val="auto"/>
                <w:w w:val="99"/>
              </w:rPr>
              <w:t>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-3007995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-3007995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-2451100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-2451100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-1876425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-1859915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-1876425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-1859915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-170815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Third-quarter aggregates shipments increased 8.0% to 57.9 million tons, reflecting a broad volume recovery across the Company's footprint supported by more normalized weather throughout the Southeast and Texas and a comparable 2024 period negatively impacted by hurricane activity. Pricing momentum continued as average selling price (ASP) increased 8.0% to $23.24 per ton.</w:t>
      </w:r>
    </w:p>
    <w:p>
      <w:pPr>
        <w:spacing w:after="0" w:line="131"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Aggregates gross profit increased 21% from the prior-year quarter to $531 million and gross margin expanded 142 basis points to 36%, as strong pricing gains and increased shipments more than offset cost increases.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9" w:name="page30"/>
    <w:bookmarkEnd w:id="2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Other Building Materials revenues decreased 10% to $351 million while gross profit decreased 17% to $54 million due to reduced asphalt revenues, driven by lower shipments and pricing, as well as a decrease in paving revenues, reflecting the divestiture of the California paving operations in April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6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Aggregates shipments to the infrastructure market increased 10% from large highway projects in Texas and the Southeast. The infrastructure market accounted for 39% of third-quarter aggregates shipments.</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Aggregates shipments to the nonresidential market increased 13%, reflecting robust data center activity as well as an inflection in warehouse projects principally in Texas and the Southeast. The nonresidential market represented 35% of third-quarter aggregates shipments.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Aggregates shipments to the residential market decreased 3%, driven by continued general softness in single-family housing resulting from affordability headwinds. The residential market accounted for 21% of third-quarter aggregates shipments.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The ChemRock/Rail market accounted for the remaining 5% of third-quarter aggregates shipments.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Specialties Business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Specialties achieved third-quarter revenues of $131 million and gross profit increased 20% to $ 34 million. Performance was driven by strong organic performance, underscored by higher pricing, increased shipments across all product lines and effective cost management, as well as contributions from the Premier Magnesia, LLC acquisition as of its July 25, 2025 closing date. These results also reflect the $5 million headwind of selling acquired inventory after its markup to fair value as part of acquisition accounting.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Consolidated SG&amp;A for the third quarter of 2025 was 6.0% of revenues compared with 6.1% in the prior-year quarter.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and Earnings per Diluted Share from Continuing Operations Attributable to Martin Marietta</w:t>
      </w:r>
    </w:p>
    <w:p>
      <w:pPr>
        <w:spacing w:after="0" w:line="9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Net earnings from continuing operations attributable to Martin Marietta were $361 million, or $5.97 per diluted share, in 2025 compared with $297 million, or $4.84 per diluted share, in 2024.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Midlothian cement plant, related cement terminals and Texas ready mixed concrete plants are reported as discontinued operations. The collective businesses generated earnings, net of income tax expense, of $53 million, or $0.88 per diluted share, in 2025 compared with $66 million, or $1.07 per diluted share,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349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Nine Months Ended September 30, 2025</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tables present revenues and gross profit (loss) for the Company and its reportable segments by product line for continuing operations for the nine months ended September 30, 2025 and 2024. Gross profit (loss) is also presented as a percentage of revenues of the Company or the relevant segment or product line, as applicable.</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Effective September 30, 2025, the Company combined the cement and ready mixed concrete and the asphalt and paving services product lines (hereinafter, other building materials). See Note 2 to the unaudited consolidated financial statements for further details on the reclassification.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20"/>
                <w:szCs w:val="20"/>
                <w:color w:val="auto"/>
                <w:w w:val="99"/>
              </w:rPr>
              <w:t>Nine Months Ended September 30,</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61"/>
              <w:spacing w:after="0" w:line="209" w:lineRule="exact"/>
              <w:rPr>
                <w:sz w:val="20"/>
                <w:szCs w:val="20"/>
                <w:color w:val="auto"/>
              </w:rPr>
            </w:pPr>
            <w:r>
              <w:rPr>
                <w:rFonts w:ascii="Arial" w:cs="Arial" w:eastAsia="Arial" w:hAnsi="Arial"/>
                <w:sz w:val="20"/>
                <w:szCs w:val="20"/>
                <w:color w:val="auto"/>
                <w:w w:val="98"/>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w w:val="98"/>
              </w:rPr>
              <w:t>2024</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61"/>
              <w:spacing w:after="0" w:line="209" w:lineRule="exact"/>
              <w:rPr>
                <w:sz w:val="20"/>
                <w:szCs w:val="20"/>
                <w:color w:val="auto"/>
              </w:rPr>
            </w:pPr>
            <w:r>
              <w:rPr>
                <w:rFonts w:ascii="Arial" w:cs="Arial" w:eastAsia="Arial" w:hAnsi="Arial"/>
                <w:sz w:val="20"/>
                <w:szCs w:val="20"/>
                <w:color w:val="auto"/>
                <w:w w:val="98"/>
              </w:rPr>
              <w:t>Amount</w:t>
            </w:r>
          </w:p>
        </w:tc>
        <w:tc>
          <w:tcPr>
            <w:tcW w:w="160" w:type="dxa"/>
            <w:vAlign w:val="bottom"/>
          </w:tcPr>
          <w:p>
            <w:pPr>
              <w:spacing w:after="0"/>
              <w:rPr>
                <w:sz w:val="18"/>
                <w:szCs w:val="18"/>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20"/>
                <w:szCs w:val="20"/>
                <w:i w:val="1"/>
                <w:iCs w:val="1"/>
                <w:color w:val="auto"/>
                <w:w w:val="98"/>
              </w:rPr>
              <w:t>(Dollars in Millions)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41"/>
              <w:spacing w:after="0" w:line="209" w:lineRule="exact"/>
              <w:rPr>
                <w:sz w:val="20"/>
                <w:szCs w:val="20"/>
                <w:color w:val="auto"/>
              </w:rPr>
            </w:pPr>
            <w:r>
              <w:rPr>
                <w:rFonts w:ascii="Arial" w:cs="Arial" w:eastAsia="Arial" w:hAnsi="Arial"/>
                <w:sz w:val="20"/>
                <w:szCs w:val="20"/>
                <w:color w:val="auto"/>
                <w:w w:val="98"/>
              </w:rPr>
              <w:t>Amount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East Group</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line="216" w:lineRule="exact"/>
              <w:rPr>
                <w:sz w:val="20"/>
                <w:szCs w:val="20"/>
                <w:color w:val="auto"/>
              </w:rPr>
            </w:pPr>
            <w:r>
              <w:rPr>
                <w:rFonts w:ascii="Arial" w:cs="Arial" w:eastAsia="Arial" w:hAnsi="Arial"/>
                <w:sz w:val="20"/>
                <w:szCs w:val="20"/>
                <w:color w:val="auto"/>
              </w:rPr>
              <w:t>Aggregates</w:t>
            </w:r>
          </w:p>
        </w:tc>
        <w:tc>
          <w:tcPr>
            <w:tcW w:w="240" w:type="dxa"/>
            <w:vAlign w:val="bottom"/>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2,325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2,084</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137</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line="216" w:lineRule="exact"/>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(21)</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(23)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FF0FC"/>
            </w:tcBorders>
            <w:shd w:val="clear" w:color="auto" w:fill="CFF0FC"/>
          </w:tcPr>
          <w:p>
            <w:pPr>
              <w:ind w:left="140"/>
              <w:spacing w:after="0" w:line="209" w:lineRule="exact"/>
              <w:rPr>
                <w:sz w:val="20"/>
                <w:szCs w:val="20"/>
                <w:color w:val="auto"/>
              </w:rPr>
            </w:pPr>
            <w:r>
              <w:rPr>
                <w:rFonts w:ascii="Arial" w:cs="Arial" w:eastAsia="Arial" w:hAnsi="Arial"/>
                <w:sz w:val="20"/>
                <w:szCs w:val="20"/>
                <w:color w:val="auto"/>
              </w:rPr>
              <w:t>East Group Total</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2,419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2,198</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40"/>
              <w:spacing w:after="0" w:line="209" w:lineRule="exact"/>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1,293</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4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629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677</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(195)</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(161)</w:t>
            </w: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tcPr>
          <w:p>
            <w:pPr>
              <w:ind w:left="140"/>
              <w:spacing w:after="0" w:line="209" w:lineRule="exact"/>
              <w:rPr>
                <w:sz w:val="20"/>
                <w:szCs w:val="20"/>
                <w:color w:val="auto"/>
              </w:rPr>
            </w:pPr>
            <w:r>
              <w:rPr>
                <w:rFonts w:ascii="Arial" w:cs="Arial" w:eastAsia="Arial" w:hAnsi="Arial"/>
                <w:sz w:val="20"/>
                <w:szCs w:val="20"/>
                <w:color w:val="auto"/>
              </w:rPr>
              <w:t>West Group Total</w:t>
            </w: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1,889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5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1,809</w:t>
            </w:r>
          </w:p>
        </w:tc>
        <w:tc>
          <w:tcPr>
            <w:tcW w:w="24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4,308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4,007</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243</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line="209"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4,617</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4,250</w:t>
            </w:r>
          </w:p>
        </w:tc>
        <w:tc>
          <w:tcPr>
            <w:tcW w:w="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4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20"/>
                <w:szCs w:val="20"/>
                <w:color w:val="auto"/>
                <w:w w:val="99"/>
              </w:rPr>
              <w:t>Nine Months Ended September 30,</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281"/>
              <w:spacing w:after="0" w:line="209" w:lineRule="exact"/>
              <w:rPr>
                <w:sz w:val="20"/>
                <w:szCs w:val="20"/>
                <w:color w:val="auto"/>
              </w:rPr>
            </w:pPr>
            <w:r>
              <w:rPr>
                <w:rFonts w:ascii="Arial" w:cs="Arial" w:eastAsia="Arial" w:hAnsi="Arial"/>
                <w:sz w:val="20"/>
                <w:szCs w:val="20"/>
                <w:color w:val="auto"/>
              </w:rPr>
              <w:t>2025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1281"/>
              <w:spacing w:after="0" w:line="209" w:lineRule="exact"/>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420"/>
              <w:spacing w:after="0" w:line="209" w:lineRule="exact"/>
              <w:rPr>
                <w:sz w:val="20"/>
                <w:szCs w:val="20"/>
                <w:color w:val="auto"/>
              </w:rPr>
            </w:pPr>
            <w:r>
              <w:rPr>
                <w:rFonts w:ascii="Arial" w:cs="Arial" w:eastAsia="Arial" w:hAnsi="Arial"/>
                <w:sz w:val="20"/>
                <w:szCs w:val="20"/>
                <w:color w:val="auto"/>
                <w:w w:val="98"/>
              </w:rPr>
              <w:t>Amount</w:t>
            </w:r>
          </w:p>
        </w:tc>
        <w:tc>
          <w:tcPr>
            <w:tcW w:w="100" w:type="dxa"/>
            <w:vAlign w:val="bottom"/>
          </w:tcPr>
          <w:p>
            <w:pPr>
              <w:spacing w:after="0"/>
              <w:rPr>
                <w:sz w:val="18"/>
                <w:szCs w:val="18"/>
                <w:color w:val="auto"/>
              </w:rPr>
            </w:pPr>
          </w:p>
        </w:tc>
        <w:tc>
          <w:tcPr>
            <w:tcW w:w="1500" w:type="dxa"/>
            <w:vAlign w:val="bottom"/>
          </w:tcPr>
          <w:p>
            <w:pPr>
              <w:jc w:val="center"/>
              <w:spacing w:after="0" w:line="209" w:lineRule="exact"/>
              <w:rPr>
                <w:sz w:val="20"/>
                <w:szCs w:val="20"/>
                <w:color w:val="auto"/>
              </w:rPr>
            </w:pPr>
            <w:r>
              <w:rPr>
                <w:rFonts w:ascii="Arial" w:cs="Arial" w:eastAsia="Arial" w:hAnsi="Arial"/>
                <w:sz w:val="20"/>
                <w:szCs w:val="20"/>
                <w:color w:val="auto"/>
                <w:w w:val="98"/>
              </w:rPr>
              <w:t>% of Revenues</w:t>
            </w:r>
          </w:p>
        </w:tc>
        <w:tc>
          <w:tcPr>
            <w:tcW w:w="160" w:type="dxa"/>
            <w:vAlign w:val="bottom"/>
            <w:vMerge w:val="restart"/>
          </w:tcPr>
          <w:p>
            <w:pPr>
              <w:jc w:val="center"/>
              <w:spacing w:after="0"/>
              <w:rPr>
                <w:sz w:val="20"/>
                <w:szCs w:val="20"/>
                <w:color w:val="auto"/>
              </w:rPr>
            </w:pPr>
            <w:r>
              <w:rPr>
                <w:rFonts w:ascii="Arial" w:cs="Arial" w:eastAsia="Arial" w:hAnsi="Arial"/>
                <w:sz w:val="20"/>
                <w:szCs w:val="20"/>
                <w:i w:val="1"/>
                <w:iCs w:val="1"/>
                <w:color w:val="auto"/>
                <w:w w:val="76"/>
              </w:rPr>
              <w:t>in</w:t>
            </w:r>
          </w:p>
        </w:tc>
        <w:tc>
          <w:tcPr>
            <w:tcW w:w="220" w:type="dxa"/>
            <w:vAlign w:val="bottom"/>
          </w:tcPr>
          <w:p>
            <w:pPr>
              <w:spacing w:after="0"/>
              <w:rPr>
                <w:sz w:val="18"/>
                <w:szCs w:val="18"/>
                <w:color w:val="auto"/>
              </w:rPr>
            </w:pPr>
          </w:p>
        </w:tc>
        <w:tc>
          <w:tcPr>
            <w:tcW w:w="1440" w:type="dxa"/>
            <w:vAlign w:val="bottom"/>
            <w:gridSpan w:val="2"/>
          </w:tcPr>
          <w:p>
            <w:pPr>
              <w:jc w:val="center"/>
              <w:ind w:right="480"/>
              <w:spacing w:after="0" w:line="209" w:lineRule="exact"/>
              <w:rPr>
                <w:sz w:val="20"/>
                <w:szCs w:val="20"/>
                <w:color w:val="auto"/>
              </w:rPr>
            </w:pPr>
            <w:r>
              <w:rPr>
                <w:rFonts w:ascii="Arial" w:cs="Arial" w:eastAsia="Arial" w:hAnsi="Arial"/>
                <w:sz w:val="20"/>
                <w:szCs w:val="20"/>
                <w:color w:val="auto"/>
                <w:w w:val="98"/>
              </w:rPr>
              <w:t>Amount</w:t>
            </w:r>
          </w:p>
        </w:tc>
        <w:tc>
          <w:tcPr>
            <w:tcW w:w="1520" w:type="dxa"/>
            <w:vAlign w:val="bottom"/>
          </w:tcPr>
          <w:p>
            <w:pPr>
              <w:jc w:val="center"/>
              <w:spacing w:after="0" w:line="209" w:lineRule="exact"/>
              <w:rPr>
                <w:sz w:val="20"/>
                <w:szCs w:val="20"/>
                <w:color w:val="auto"/>
              </w:rPr>
            </w:pPr>
            <w:r>
              <w:rPr>
                <w:rFonts w:ascii="Arial" w:cs="Arial" w:eastAsia="Arial" w:hAnsi="Arial"/>
                <w:sz w:val="20"/>
                <w:szCs w:val="20"/>
                <w:color w:val="auto"/>
                <w:w w:val="98"/>
              </w:rPr>
              <w:t>% of Revenues</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160" w:type="dxa"/>
            <w:vAlign w:val="bottom"/>
            <w:vMerge w:val="continue"/>
          </w:tcPr>
          <w:p>
            <w:pPr>
              <w:spacing w:after="0"/>
              <w:rPr>
                <w:sz w:val="18"/>
                <w:szCs w:val="18"/>
                <w:color w:val="auto"/>
              </w:rPr>
            </w:pPr>
          </w:p>
        </w:tc>
        <w:tc>
          <w:tcPr>
            <w:tcW w:w="1420" w:type="dxa"/>
            <w:vAlign w:val="bottom"/>
            <w:tcBorders>
              <w:top w:val="single" w:sz="8" w:color="auto"/>
            </w:tcBorders>
            <w:gridSpan w:val="2"/>
          </w:tcPr>
          <w:p>
            <w:pPr>
              <w:ind w:left="20"/>
              <w:spacing w:after="0" w:line="209"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Gross profit (loss):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1,257</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line="216" w:lineRule="exact"/>
              <w:rPr>
                <w:sz w:val="20"/>
                <w:szCs w:val="20"/>
                <w:color w:val="auto"/>
              </w:rPr>
            </w:pPr>
            <w:r>
              <w:rPr>
                <w:rFonts w:ascii="Arial" w:cs="Arial" w:eastAsia="Arial" w:hAnsi="Arial"/>
                <w:sz w:val="20"/>
                <w:szCs w:val="20"/>
                <w:color w:val="auto"/>
                <w:w w:val="99"/>
              </w:rPr>
              <w:t>33%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1,069</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9"/>
              </w:rPr>
              <w:t>32%</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tcPr>
          <w:p>
            <w:pPr>
              <w:ind w:left="220"/>
              <w:spacing w:after="0" w:line="216" w:lineRule="exact"/>
              <w:rPr>
                <w:sz w:val="20"/>
                <w:szCs w:val="20"/>
                <w:color w:val="auto"/>
              </w:rPr>
            </w:pPr>
            <w:r>
              <w:rPr>
                <w:rFonts w:ascii="Arial" w:cs="Arial" w:eastAsia="Arial" w:hAnsi="Arial"/>
                <w:sz w:val="20"/>
                <w:szCs w:val="20"/>
                <w:color w:val="auto"/>
              </w:rPr>
              <w:t>Other Building Materials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75</w:t>
            </w:r>
          </w:p>
        </w:tc>
        <w:tc>
          <w:tcPr>
            <w:tcW w:w="16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gridSpan w:val="2"/>
          </w:tcPr>
          <w:p>
            <w:pPr>
              <w:jc w:val="center"/>
              <w:spacing w:after="0" w:line="216" w:lineRule="exact"/>
              <w:rPr>
                <w:sz w:val="20"/>
                <w:szCs w:val="20"/>
                <w:color w:val="auto"/>
              </w:rPr>
            </w:pPr>
            <w:r>
              <w:rPr>
                <w:rFonts w:ascii="Arial" w:cs="Arial" w:eastAsia="Arial" w:hAnsi="Arial"/>
                <w:sz w:val="20"/>
                <w:szCs w:val="20"/>
                <w:color w:val="auto"/>
                <w:w w:val="99"/>
              </w:rPr>
              <w:t>10%</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92</w:t>
            </w:r>
          </w:p>
        </w:tc>
        <w:tc>
          <w:tcPr>
            <w:tcW w:w="240" w:type="dxa"/>
            <w:vAlign w:val="bottom"/>
            <w:tcBorders>
              <w:bottom w:val="single" w:sz="8" w:color="CFF0FC"/>
            </w:tcBorders>
          </w:tcPr>
          <w:p>
            <w:pPr>
              <w:spacing w:after="0"/>
              <w:rPr>
                <w:sz w:val="18"/>
                <w:szCs w:val="18"/>
                <w:color w:val="auto"/>
              </w:rPr>
            </w:pPr>
          </w:p>
        </w:tc>
        <w:tc>
          <w:tcPr>
            <w:tcW w:w="1520" w:type="dxa"/>
            <w:vAlign w:val="bottom"/>
            <w:tcBorders>
              <w:bottom w:val="single" w:sz="8" w:color="CFF0FC"/>
            </w:tcBorders>
          </w:tcPr>
          <w:p>
            <w:pPr>
              <w:jc w:val="center"/>
              <w:spacing w:after="0" w:line="216" w:lineRule="exact"/>
              <w:rPr>
                <w:sz w:val="20"/>
                <w:szCs w:val="20"/>
                <w:color w:val="auto"/>
              </w:rPr>
            </w:pPr>
            <w:r>
              <w:rPr>
                <w:rFonts w:ascii="Arial" w:cs="Arial" w:eastAsia="Arial" w:hAnsi="Arial"/>
                <w:sz w:val="20"/>
                <w:szCs w:val="20"/>
                <w:color w:val="auto"/>
                <w:w w:val="99"/>
              </w:rPr>
              <w:t>11%</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1,332</w:t>
            </w: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spacing w:after="0" w:line="209" w:lineRule="exact"/>
              <w:rPr>
                <w:sz w:val="20"/>
                <w:szCs w:val="20"/>
                <w:color w:val="auto"/>
              </w:rPr>
            </w:pPr>
            <w:r>
              <w:rPr>
                <w:rFonts w:ascii="Arial" w:cs="Arial" w:eastAsia="Arial" w:hAnsi="Arial"/>
                <w:sz w:val="20"/>
                <w:szCs w:val="20"/>
                <w:color w:val="auto"/>
                <w:w w:val="99"/>
              </w:rPr>
              <w:t>31%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1,161</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line="209" w:lineRule="exact"/>
              <w:rPr>
                <w:sz w:val="20"/>
                <w:szCs w:val="20"/>
                <w:color w:val="auto"/>
              </w:rPr>
            </w:pPr>
            <w:r>
              <w:rPr>
                <w:rFonts w:ascii="Arial" w:cs="Arial" w:eastAsia="Arial" w:hAnsi="Arial"/>
                <w:sz w:val="20"/>
                <w:szCs w:val="20"/>
                <w:color w:val="auto"/>
                <w:w w:val="99"/>
              </w:rPr>
              <w:t>29%</w:t>
            </w:r>
          </w:p>
        </w:tc>
        <w:tc>
          <w:tcPr>
            <w:tcW w:w="0" w:type="dxa"/>
            <w:vAlign w:val="bottom"/>
          </w:tcPr>
          <w:p>
            <w:pPr>
              <w:spacing w:after="0"/>
              <w:rPr>
                <w:sz w:val="1"/>
                <w:szCs w:val="1"/>
                <w:color w:val="auto"/>
              </w:rPr>
            </w:pPr>
          </w:p>
        </w:tc>
      </w:tr>
      <w:tr>
        <w:trPr>
          <w:trHeight w:val="216"/>
        </w:trPr>
        <w:tc>
          <w:tcPr>
            <w:tcW w:w="472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4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108</w:t>
            </w:r>
          </w:p>
        </w:tc>
        <w:tc>
          <w:tcPr>
            <w:tcW w:w="160" w:type="dxa"/>
            <w:vAlign w:val="bottom"/>
          </w:tcPr>
          <w:p>
            <w:pPr>
              <w:spacing w:after="0"/>
              <w:rPr>
                <w:sz w:val="18"/>
                <w:szCs w:val="18"/>
                <w:color w:val="auto"/>
              </w:rPr>
            </w:pPr>
          </w:p>
        </w:tc>
        <w:tc>
          <w:tcPr>
            <w:tcW w:w="1600" w:type="dxa"/>
            <w:vAlign w:val="bottom"/>
            <w:gridSpan w:val="2"/>
          </w:tcPr>
          <w:p>
            <w:pPr>
              <w:jc w:val="center"/>
              <w:spacing w:after="0" w:line="216" w:lineRule="exact"/>
              <w:rPr>
                <w:sz w:val="20"/>
                <w:szCs w:val="20"/>
                <w:color w:val="auto"/>
              </w:rPr>
            </w:pPr>
            <w:r>
              <w:rPr>
                <w:rFonts w:ascii="Arial" w:cs="Arial" w:eastAsia="Arial" w:hAnsi="Arial"/>
                <w:sz w:val="20"/>
                <w:szCs w:val="20"/>
                <w:color w:val="auto"/>
                <w:w w:val="99"/>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84</w:t>
            </w:r>
          </w:p>
        </w:tc>
        <w:tc>
          <w:tcPr>
            <w:tcW w:w="240" w:type="dxa"/>
            <w:vAlign w:val="bottom"/>
          </w:tcPr>
          <w:p>
            <w:pPr>
              <w:spacing w:after="0"/>
              <w:rPr>
                <w:sz w:val="18"/>
                <w:szCs w:val="18"/>
                <w:color w:val="auto"/>
              </w:rPr>
            </w:pPr>
          </w:p>
        </w:tc>
        <w:tc>
          <w:tcPr>
            <w:tcW w:w="1520" w:type="dxa"/>
            <w:vAlign w:val="bottom"/>
          </w:tcPr>
          <w:p>
            <w:pPr>
              <w:jc w:val="center"/>
              <w:spacing w:after="0" w:line="216" w:lineRule="exact"/>
              <w:rPr>
                <w:sz w:val="20"/>
                <w:szCs w:val="20"/>
                <w:color w:val="auto"/>
              </w:rPr>
            </w:pPr>
            <w:r>
              <w:rPr>
                <w:rFonts w:ascii="Arial" w:cs="Arial" w:eastAsia="Arial" w:hAnsi="Arial"/>
                <w:sz w:val="20"/>
                <w:szCs w:val="20"/>
                <w:color w:val="auto"/>
                <w:w w:val="99"/>
              </w:rPr>
              <w:t>35%</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(18)</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(34)</w:t>
            </w: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tcPr>
          <w:p>
            <w:pPr>
              <w:spacing w:after="0" w:line="196" w:lineRule="exact"/>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1,422</w:t>
            </w:r>
          </w:p>
        </w:tc>
        <w:tc>
          <w:tcPr>
            <w:tcW w:w="160" w:type="dxa"/>
            <w:vAlign w:val="bottom"/>
            <w:tcBorders>
              <w:top w:val="single" w:sz="8" w:color="CFF0FC"/>
            </w:tcBorders>
          </w:tcPr>
          <w:p>
            <w:pPr>
              <w:spacing w:after="0"/>
              <w:rPr>
                <w:sz w:val="18"/>
                <w:szCs w:val="18"/>
                <w:color w:val="auto"/>
              </w:rPr>
            </w:pPr>
          </w:p>
        </w:tc>
        <w:tc>
          <w:tcPr>
            <w:tcW w:w="1600" w:type="dxa"/>
            <w:vAlign w:val="bottom"/>
            <w:tcBorders>
              <w:top w:val="single" w:sz="8" w:color="CFF0FC"/>
            </w:tcBorders>
            <w:gridSpan w:val="2"/>
          </w:tcPr>
          <w:p>
            <w:pPr>
              <w:jc w:val="center"/>
              <w:spacing w:after="0" w:line="196" w:lineRule="exact"/>
              <w:rPr>
                <w:sz w:val="20"/>
                <w:szCs w:val="20"/>
                <w:color w:val="auto"/>
              </w:rPr>
            </w:pPr>
            <w:r>
              <w:rPr>
                <w:rFonts w:ascii="Arial" w:cs="Arial" w:eastAsia="Arial" w:hAnsi="Arial"/>
                <w:sz w:val="20"/>
                <w:szCs w:val="20"/>
                <w:color w:val="auto"/>
                <w:w w:val="99"/>
              </w:rPr>
              <w:t>31%</w:t>
            </w: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1,211</w:t>
            </w:r>
          </w:p>
        </w:tc>
        <w:tc>
          <w:tcPr>
            <w:tcW w:w="24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jc w:val="center"/>
              <w:spacing w:after="0" w:line="196" w:lineRule="exact"/>
              <w:rPr>
                <w:sz w:val="20"/>
                <w:szCs w:val="20"/>
                <w:color w:val="auto"/>
              </w:rPr>
            </w:pPr>
            <w:r>
              <w:rPr>
                <w:rFonts w:ascii="Arial" w:cs="Arial" w:eastAsia="Arial" w:hAnsi="Arial"/>
                <w:sz w:val="20"/>
                <w:szCs w:val="20"/>
                <w:color w:val="auto"/>
                <w:w w:val="99"/>
              </w:rPr>
              <w:t>29%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-3051175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-3051175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-2493645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-2493645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-1919605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-1902460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-1919605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-1902460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-590550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-590550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Year-to-date aggregates shipments increased 4.4% to 149.6 million tons, reflecting contributions from operations acquired in 2024, increased infrastructure and data center activity and a hurricane-impacted comparable period in 2024. Aggregates average selling price of $23.37 per ton increased 7.5% due to continued realization of the cumulative effects of 2024 and 2025 price increases. Aggregates gross profit improved 18% to $1.3 billion, driven by organic pricing growth in excess of cost increases and acquisition contributions.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Other building materials revenues decreased 9% to $ 744 million, primarily attributable to the February 2024 divestiture of the Company's South Texas cement business and certain of its related ready mixed concrete operations (the Divestiture; see Note 2 to the unaudited consolidated financial statements). Gross profit decreased 19% to $75 million, compared with the prior-year period, reflecting lower asphalt and ready mixed concrete revenues and higher paving costs.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6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Aggregates shipments to the infrastructure market increased 5%, reflecting hurricane relief efforts in the Southeast and an increase in large projects. The infrastructure market accounted for 37% of year-to-date aggregates shipments.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Aggregates shipments to the nonresidential market increased 6%, reflecting contributions from increased data and distribution center and warehouse shipments. The nonresidential market represented 35% of year-to-date aggregates shipments.</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Aggregates shipments to the residential market were flat. The Company continues to experience demand softness in single-family housing within most markets; however, demographic trends and undersupply, particularly in key Sunbelt markets, remain intact. The residential market accounted for 23% of year-to-date aggregates shipments.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ChemRock/Rail market accounted for the remaining 5% of year-to-date aggregates shipments.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Specialties Business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Specialties year-to-date revenues of $309 million increased 27% and gross profit increased 28% to $108 million, reflecting strong organic pricing improvement and continued cost discipline as well as contributions from the Premier Magnesia, LLC acquisition as of its July 25, 2025 closing date. These results also reflect the third quarter 2025 $5 million headwind of selling acquired inventory after its markup to fair value as part of acquisition accounting.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Consolidated SG&amp;A for the nine months ended September 30, 2025 was 7.4% of revenues compared with 7.7% in the prior-year period.</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Income, Net</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For the nine months ended September 30, consolidated other operating income, net, was $23 million in 2025 and $1.3 billion in 2024. The 2024 amount included a $1.3 billion pretax gain on the Divestiture, which was partially offset by a $50 million pretax, noncash asset and portfolio rationalization charge (the Rationalization Charge; see Note 13 to the unaudited consolidated financial statements).</w:t>
      </w:r>
    </w:p>
    <w:p>
      <w:pPr>
        <w:jc w:val="center"/>
        <w:spacing w:after="0"/>
        <w:rPr>
          <w:sz w:val="20"/>
          <w:szCs w:val="20"/>
          <w:color w:val="auto"/>
        </w:rPr>
      </w:pPr>
      <w:r>
        <w:rPr>
          <w:rFonts w:ascii="Arial" w:cs="Arial" w:eastAsia="Arial" w:hAnsi="Arial"/>
          <w:sz w:val="20"/>
          <w:szCs w:val="20"/>
          <w:color w:val="auto"/>
        </w:rPr>
        <w:t>Page 32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2" w:name="page33"/>
    <w:bookmarkEnd w:id="32"/>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nine months ended September 30, 2025 and 2024, the effective income tax rates for continuing operations were 20.0% and 24.3%, respectively. The higher 2024 effective income tax rate versus 2025 was driven by the Divestiture, which reflected the write-off of certain nondeductible goodwill and was treated as a discrete tax event.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and Earnings per Diluted Share from Continuing Operations Attributable to Martin Marietta</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 the nine months ended September 30, net earnings from continuing operations attributable to Martin Marietta were $757 million, or $ 12.49 per diluted share, in 2025 compared with $1.6 billion, or $25.44 per diluted share, in 2024. The prior year included an after-tax gain of $976 million, or $ 15.83 per diluted share, on the Divestiture, an after-tax loss of $37 million, or $0.61 per diluted share, for the Rationalization Charge, an after-tax charge of $15 million, or $0.23 per diluted share, for the impact of selling acquired inventory after its markup to fair value as part of acquisition accounting and after-tax acquisition, divestiture and integration expenses of $31 million, or $0.50 per diluted share, related to the acquisition of 20 active aggregates operations in Alabama, South Carolina, South Florida, Tennessee, and Virginia from affiliates of Blue Water Industries LLC and the Divestiture.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Midlothian cement plant, related cement terminals and Texas ready mixed concrete plants are reported as discontinued operations. The collective businesses generated earnings, net of income tax expense, of $101 million, or $1.66 per diluted share, in 2025 compared with $133 million, or $2.16 per diluted share, in 2024.</w:t>
      </w:r>
    </w:p>
    <w:p>
      <w:pPr>
        <w:spacing w:after="0" w:line="171"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u w:val="single" w:color="auto"/>
          <w:color w:val="auto"/>
        </w:rPr>
        <w:t>Adjusted EBITDA from continuing operations, Adjusted EBITDA from discontinued operations and Consolidated Adjusted EBITDA</w:t>
      </w:r>
    </w:p>
    <w:p>
      <w:pPr>
        <w:spacing w:after="0" w:line="4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nonrecurring gain on divestiture; and noncash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Adjusted EBTIDA from discontinued operations includes the adjustments described above for discontinued operations only.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Consolidated Adjusted EBITDA includes the adjustments described above for both continuing and discontinued operations.</w:t>
      </w:r>
    </w:p>
    <w:p>
      <w:pPr>
        <w:spacing w:after="0" w:line="7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Adjusted EBITDA from continuing operations, Adjusted EBITDA from discontinued operations and Consolidated Adjusted EBITDA (Adjusted EBITDA measures) are not defined by accounting principles generally accepted in the United States (GAAP) and, as such, should not be construed as an alternative to net earnings attributable to Martin Marietta, earnings from operations or operating cash flow. Since all Adjusted EBITDA measures exclude some, but not all, items that affect net earnings and may vary among companies, the Adjusted EBITDA measures as presented by the Company may not be comparable with similarly titled measures of other companies.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reconciliation of net earnings from continuing operations attributable to Martin Marietta to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from continuing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gridSpan w:val="4"/>
          </w:tcPr>
          <w:p>
            <w:pPr>
              <w:jc w:val="right"/>
              <w:spacing w:after="0"/>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gridSpan w:val="4"/>
          </w:tcPr>
          <w:p>
            <w:pPr>
              <w:jc w:val="right"/>
              <w:ind w:right="221"/>
              <w:spacing w:after="0"/>
              <w:rPr>
                <w:sz w:val="20"/>
                <w:szCs w:val="20"/>
                <w:color w:val="auto"/>
              </w:rPr>
            </w:pPr>
            <w:r>
              <w:rPr>
                <w:rFonts w:ascii="Arial" w:cs="Arial" w:eastAsia="Arial" w:hAnsi="Arial"/>
                <w:sz w:val="20"/>
                <w:szCs w:val="20"/>
                <w:color w:val="auto"/>
              </w:rPr>
              <w:t>September 30,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color w:val="auto"/>
              </w:rPr>
              <w:t>2024</w:t>
            </w:r>
          </w:p>
        </w:tc>
        <w:tc>
          <w:tcPr>
            <w:tcW w:w="360" w:type="dxa"/>
            <w:vAlign w:val="bottom"/>
            <w:tcBorders>
              <w:top w:val="single" w:sz="8" w:color="auto"/>
            </w:tcBorders>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in</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0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40" w:type="dxa"/>
            <w:vAlign w:val="bottom"/>
            <w:vMerge w:val="continue"/>
          </w:tcPr>
          <w:p>
            <w:pPr>
              <w:spacing w:after="0"/>
              <w:rPr>
                <w:sz w:val="18"/>
                <w:szCs w:val="18"/>
                <w:color w:val="auto"/>
              </w:rPr>
            </w:pPr>
          </w:p>
        </w:tc>
        <w:tc>
          <w:tcPr>
            <w:tcW w:w="120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Net earnings from continuing operations attributable</w:t>
            </w:r>
          </w:p>
        </w:tc>
        <w:tc>
          <w:tcPr>
            <w:tcW w:w="1380" w:type="dxa"/>
            <w:vAlign w:val="bottom"/>
            <w:gridSpan w:val="2"/>
            <w:vMerge w:val="restart"/>
            <w:shd w:val="clear" w:color="auto" w:fill="CFF0FC"/>
          </w:tcPr>
          <w:p>
            <w:pPr>
              <w:jc w:val="right"/>
              <w:ind w:right="641"/>
              <w:spacing w:after="0"/>
              <w:rPr>
                <w:sz w:val="20"/>
                <w:szCs w:val="20"/>
                <w:color w:val="auto"/>
              </w:rPr>
            </w:pPr>
            <w:r>
              <w:rPr>
                <w:rFonts w:ascii="Arial" w:cs="Arial" w:eastAsia="Arial" w:hAnsi="Arial"/>
                <w:sz w:val="20"/>
                <w:szCs w:val="20"/>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95"/>
              </w:rPr>
              <w:t>361</w:t>
            </w:r>
          </w:p>
        </w:tc>
        <w:tc>
          <w:tcPr>
            <w:tcW w:w="1080" w:type="dxa"/>
            <w:vAlign w:val="bottom"/>
            <w:gridSpan w:val="2"/>
            <w:vMerge w:val="restart"/>
            <w:shd w:val="clear" w:color="auto" w:fill="CFF0FC"/>
          </w:tcPr>
          <w:p>
            <w:pPr>
              <w:jc w:val="right"/>
              <w:ind w:right="641"/>
              <w:spacing w:after="0"/>
              <w:rPr>
                <w:sz w:val="20"/>
                <w:szCs w:val="20"/>
                <w:color w:val="auto"/>
              </w:rPr>
            </w:pPr>
            <w:r>
              <w:rPr>
                <w:rFonts w:ascii="Arial" w:cs="Arial" w:eastAsia="Arial" w:hAnsi="Arial"/>
                <w:sz w:val="20"/>
                <w:szCs w:val="20"/>
                <w:color w:val="auto"/>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297</w:t>
            </w:r>
          </w:p>
        </w:tc>
        <w:tc>
          <w:tcPr>
            <w:tcW w:w="480" w:type="dxa"/>
            <w:vAlign w:val="bottom"/>
            <w:gridSpan w:val="2"/>
            <w:vMerge w:val="restart"/>
            <w:shd w:val="clear" w:color="auto" w:fill="CFF0FC"/>
          </w:tcPr>
          <w:p>
            <w:pPr>
              <w:ind w:left="240"/>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757</w:t>
            </w:r>
          </w:p>
        </w:tc>
        <w:tc>
          <w:tcPr>
            <w:tcW w:w="4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1,568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FF0FC"/>
          </w:tcPr>
          <w:p>
            <w:pPr>
              <w:ind w:left="120"/>
              <w:spacing w:after="0" w:line="224" w:lineRule="exact"/>
              <w:rPr>
                <w:sz w:val="20"/>
                <w:szCs w:val="20"/>
                <w:color w:val="auto"/>
              </w:rPr>
            </w:pPr>
            <w:r>
              <w:rPr>
                <w:rFonts w:ascii="Arial" w:cs="Arial" w:eastAsia="Arial" w:hAnsi="Arial"/>
                <w:sz w:val="20"/>
                <w:szCs w:val="20"/>
                <w:color w:val="auto"/>
              </w:rPr>
              <w:t>to Martin Marietta</w:t>
            </w:r>
          </w:p>
        </w:tc>
        <w:tc>
          <w:tcPr>
            <w:tcW w:w="138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Add back (Deduct):</w:t>
            </w:r>
          </w:p>
        </w:tc>
        <w:tc>
          <w:tcPr>
            <w:tcW w:w="5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Interest expense, net of interest income</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89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190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Depreciation, depletion and amortization expense</w:t>
            </w:r>
          </w:p>
        </w:tc>
        <w:tc>
          <w:tcPr>
            <w:tcW w:w="5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and earnings/loss from nonconsolidated equity</w:t>
            </w: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FF0FC"/>
          </w:tcPr>
          <w:p>
            <w:pPr>
              <w:ind w:left="220"/>
              <w:spacing w:after="0"/>
              <w:rPr>
                <w:sz w:val="20"/>
                <w:szCs w:val="20"/>
                <w:color w:val="auto"/>
              </w:rPr>
            </w:pPr>
            <w:r>
              <w:rPr>
                <w:rFonts w:ascii="Arial" w:cs="Arial" w:eastAsia="Arial" w:hAnsi="Arial"/>
                <w:sz w:val="20"/>
                <w:szCs w:val="20"/>
                <w:color w:val="auto"/>
              </w:rPr>
              <w:t>affiliates</w:t>
            </w: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149</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Impact of selling acquired inventory after markup</w:t>
            </w:r>
          </w:p>
        </w:tc>
        <w:tc>
          <w:tcPr>
            <w:tcW w:w="5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FF0FC"/>
          </w:tcPr>
          <w:p>
            <w:pPr>
              <w:ind w:left="220"/>
              <w:spacing w:after="0"/>
              <w:rPr>
                <w:sz w:val="20"/>
                <w:szCs w:val="20"/>
                <w:color w:val="auto"/>
              </w:rPr>
            </w:pPr>
            <w:r>
              <w:rPr>
                <w:rFonts w:ascii="Arial" w:cs="Arial" w:eastAsia="Arial" w:hAnsi="Arial"/>
                <w:sz w:val="20"/>
                <w:szCs w:val="20"/>
                <w:color w:val="auto"/>
              </w:rPr>
              <w:t>to fair value as part of acquisition accounting</w:t>
            </w: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line="216" w:lineRule="exact"/>
              <w:rPr>
                <w:sz w:val="20"/>
                <w:szCs w:val="20"/>
                <w:color w:val="auto"/>
              </w:rPr>
            </w:pPr>
            <w:r>
              <w:rPr>
                <w:rFonts w:ascii="Arial" w:cs="Arial" w:eastAsia="Arial" w:hAnsi="Arial"/>
                <w:sz w:val="20"/>
                <w:szCs w:val="20"/>
                <w:color w:val="auto"/>
              </w:rPr>
              <w:t>Nonrecurring gain on divestiture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(1,331)</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shd w:val="clear" w:color="auto" w:fill="CFF0FC"/>
          </w:tcPr>
          <w:p>
            <w:pPr>
              <w:ind w:left="100"/>
              <w:spacing w:after="0" w:line="216" w:lineRule="exact"/>
              <w:rPr>
                <w:sz w:val="20"/>
                <w:szCs w:val="20"/>
                <w:color w:val="auto"/>
              </w:rPr>
            </w:pPr>
            <w:r>
              <w:rPr>
                <w:rFonts w:ascii="Arial" w:cs="Arial" w:eastAsia="Arial" w:hAnsi="Arial"/>
                <w:sz w:val="20"/>
                <w:szCs w:val="20"/>
                <w:color w:val="auto"/>
              </w:rPr>
              <w:t>Noncash asset and portfolio rationalization charge</w:t>
            </w:r>
          </w:p>
        </w:tc>
        <w:tc>
          <w:tcPr>
            <w:tcW w:w="5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060" w:type="dxa"/>
            <w:vAlign w:val="bottom"/>
          </w:tcPr>
          <w:p>
            <w:pPr>
              <w:spacing w:after="0" w:line="188" w:lineRule="exact"/>
              <w:rPr>
                <w:sz w:val="20"/>
                <w:szCs w:val="20"/>
                <w:color w:val="auto"/>
              </w:rPr>
            </w:pPr>
            <w:r>
              <w:rPr>
                <w:rFonts w:ascii="Arial" w:cs="Arial" w:eastAsia="Arial" w:hAnsi="Arial"/>
                <w:sz w:val="20"/>
                <w:szCs w:val="20"/>
                <w:color w:val="auto"/>
              </w:rPr>
              <w:t>Adjustments to net earnings from continuing</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w w:val="95"/>
              </w:rPr>
              <w:t>306</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250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794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(264)</w:t>
            </w:r>
          </w:p>
        </w:tc>
        <w:tc>
          <w:tcPr>
            <w:tcW w:w="0" w:type="dxa"/>
            <w:vAlign w:val="bottom"/>
          </w:tcPr>
          <w:p>
            <w:pPr>
              <w:spacing w:after="0"/>
              <w:rPr>
                <w:sz w:val="1"/>
                <w:szCs w:val="1"/>
                <w:color w:val="auto"/>
              </w:rPr>
            </w:pPr>
          </w:p>
        </w:tc>
      </w:tr>
      <w:tr>
        <w:trPr>
          <w:trHeight w:val="224"/>
        </w:trPr>
        <w:tc>
          <w:tcPr>
            <w:tcW w:w="5060" w:type="dxa"/>
            <w:vAlign w:val="bottom"/>
          </w:tcPr>
          <w:p>
            <w:pPr>
              <w:ind w:left="120"/>
              <w:spacing w:after="0" w:line="224" w:lineRule="exact"/>
              <w:rPr>
                <w:sz w:val="20"/>
                <w:szCs w:val="20"/>
                <w:color w:val="auto"/>
              </w:rPr>
            </w:pPr>
            <w:r>
              <w:rPr>
                <w:rFonts w:ascii="Arial" w:cs="Arial" w:eastAsia="Arial" w:hAnsi="Arial"/>
                <w:sz w:val="20"/>
                <w:szCs w:val="20"/>
                <w:color w:val="auto"/>
              </w:rPr>
              <w:t>operations attributable to Martin Marietta</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continuing operations</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4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w w:val="95"/>
              </w:rPr>
              <w:t>667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4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547</w:t>
            </w:r>
          </w:p>
        </w:tc>
        <w:tc>
          <w:tcPr>
            <w:tcW w:w="480" w:type="dxa"/>
            <w:vAlign w:val="bottom"/>
            <w:gridSpan w:val="2"/>
            <w:shd w:val="clear" w:color="auto" w:fill="CFF0FC"/>
          </w:tcPr>
          <w:p>
            <w:pPr>
              <w:ind w:left="240"/>
              <w:spacing w:after="0" w:line="209" w:lineRule="exact"/>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1,551</w:t>
            </w:r>
          </w:p>
        </w:tc>
        <w:tc>
          <w:tcPr>
            <w:tcW w:w="480" w:type="dxa"/>
            <w:vAlign w:val="bottom"/>
            <w:gridSpan w:val="2"/>
            <w:shd w:val="clear" w:color="auto" w:fill="CFF0FC"/>
          </w:tcPr>
          <w:p>
            <w:pPr>
              <w:jc w:val="right"/>
              <w:ind w:right="140"/>
              <w:spacing w:after="0" w:line="209" w:lineRule="exact"/>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-1962785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-1962785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-1962785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-445135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-445135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-445135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presents a reconciliation of earnings from discontinued operations, net of income tax expense, to Adjusted EBITDA from discontinued operations: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300" w:type="dxa"/>
            <w:vAlign w:val="bottom"/>
            <w:gridSpan w:val="4"/>
          </w:tcPr>
          <w:p>
            <w:pPr>
              <w:jc w:val="right"/>
              <w:spacing w:after="0"/>
              <w:rPr>
                <w:sz w:val="20"/>
                <w:szCs w:val="20"/>
                <w:color w:val="auto"/>
              </w:rPr>
            </w:pPr>
            <w:r>
              <w:rPr>
                <w:rFonts w:ascii="Arial" w:cs="Arial" w:eastAsia="Arial" w:hAnsi="Arial"/>
                <w:sz w:val="20"/>
                <w:szCs w:val="20"/>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jc w:val="center"/>
              <w:ind w:right="340"/>
              <w:spacing w:after="0"/>
              <w:rPr>
                <w:sz w:val="20"/>
                <w:szCs w:val="20"/>
                <w:color w:val="auto"/>
              </w:rPr>
            </w:pPr>
            <w:r>
              <w:rPr>
                <w:rFonts w:ascii="Arial" w:cs="Arial" w:eastAsia="Arial" w:hAnsi="Arial"/>
                <w:sz w:val="20"/>
                <w:szCs w:val="20"/>
                <w:color w:val="auto"/>
                <w:w w:val="99"/>
              </w:rPr>
              <w:t>Nine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300" w:type="dxa"/>
            <w:vAlign w:val="bottom"/>
            <w:gridSpan w:val="4"/>
          </w:tcPr>
          <w:p>
            <w:pPr>
              <w:jc w:val="right"/>
              <w:ind w:right="241"/>
              <w:spacing w:after="0"/>
              <w:rPr>
                <w:sz w:val="20"/>
                <w:szCs w:val="20"/>
                <w:color w:val="auto"/>
              </w:rPr>
            </w:pPr>
            <w:r>
              <w:rPr>
                <w:rFonts w:ascii="Arial" w:cs="Arial" w:eastAsia="Arial" w:hAnsi="Arial"/>
                <w:sz w:val="20"/>
                <w:szCs w:val="20"/>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jc w:val="center"/>
              <w:ind w:right="340"/>
              <w:spacing w:after="0"/>
              <w:rPr>
                <w:sz w:val="20"/>
                <w:szCs w:val="20"/>
                <w:color w:val="auto"/>
              </w:rPr>
            </w:pPr>
            <w:r>
              <w:rPr>
                <w:rFonts w:ascii="Arial" w:cs="Arial" w:eastAsia="Arial" w:hAnsi="Arial"/>
                <w:sz w:val="20"/>
                <w:szCs w:val="20"/>
                <w:color w:val="auto"/>
                <w:w w:val="99"/>
              </w:rPr>
              <w:t>September 30,</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2025</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4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1420" w:type="dxa"/>
            <w:vAlign w:val="bottom"/>
            <w:gridSpan w:val="3"/>
          </w:tcPr>
          <w:p>
            <w:pPr>
              <w:jc w:val="right"/>
              <w:ind w:right="241"/>
              <w:spacing w:after="0" w:line="209" w:lineRule="exact"/>
              <w:rPr>
                <w:sz w:val="20"/>
                <w:szCs w:val="20"/>
                <w:color w:val="auto"/>
              </w:rPr>
            </w:pPr>
            <w:r>
              <w:rPr>
                <w:rFonts w:ascii="Arial" w:cs="Arial" w:eastAsia="Arial" w:hAnsi="Arial"/>
                <w:sz w:val="20"/>
                <w:szCs w:val="20"/>
                <w:i w:val="1"/>
                <w:iCs w:val="1"/>
                <w:color w:val="auto"/>
              </w:rPr>
              <w:t>in Millions)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Earnings from discontinued operations, net of income</w:t>
            </w:r>
          </w:p>
        </w:tc>
        <w:tc>
          <w:tcPr>
            <w:tcW w:w="880" w:type="dxa"/>
            <w:vAlign w:val="bottom"/>
            <w:vMerge w:val="restart"/>
            <w:shd w:val="clear" w:color="auto" w:fill="CFF0FC"/>
          </w:tcPr>
          <w:p>
            <w:pPr>
              <w:jc w:val="right"/>
              <w:ind w:right="661"/>
              <w:spacing w:after="0"/>
              <w:rPr>
                <w:sz w:val="20"/>
                <w:szCs w:val="20"/>
                <w:color w:val="auto"/>
              </w:rPr>
            </w:pPr>
            <w:r>
              <w:rPr>
                <w:rFonts w:ascii="Arial" w:cs="Arial" w:eastAsia="Arial" w:hAnsi="Arial"/>
                <w:sz w:val="20"/>
                <w:szCs w:val="20"/>
                <w:color w:val="auto"/>
                <w:w w:val="89"/>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53</w:t>
            </w:r>
          </w:p>
        </w:tc>
        <w:tc>
          <w:tcPr>
            <w:tcW w:w="1100" w:type="dxa"/>
            <w:vAlign w:val="bottom"/>
            <w:gridSpan w:val="2"/>
            <w:vMerge w:val="restart"/>
            <w:shd w:val="clear" w:color="auto" w:fill="CFF0FC"/>
          </w:tcPr>
          <w:p>
            <w:pPr>
              <w:jc w:val="right"/>
              <w:ind w:right="661"/>
              <w:spacing w:after="0"/>
              <w:rPr>
                <w:sz w:val="20"/>
                <w:szCs w:val="20"/>
                <w:color w:val="auto"/>
              </w:rPr>
            </w:pPr>
            <w:r>
              <w:rPr>
                <w:rFonts w:ascii="Arial" w:cs="Arial" w:eastAsia="Arial" w:hAnsi="Arial"/>
                <w:sz w:val="20"/>
                <w:szCs w:val="20"/>
                <w:color w:val="auto"/>
              </w:rPr>
              <w:t>$</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460" w:type="dxa"/>
            <w:vAlign w:val="bottom"/>
            <w:gridSpan w:val="2"/>
            <w:vMerge w:val="restart"/>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101</w:t>
            </w:r>
          </w:p>
        </w:tc>
        <w:tc>
          <w:tcPr>
            <w:tcW w:w="54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ind w:left="120"/>
              <w:spacing w:after="0" w:line="224" w:lineRule="exact"/>
              <w:rPr>
                <w:sz w:val="20"/>
                <w:szCs w:val="20"/>
                <w:color w:val="auto"/>
              </w:rPr>
            </w:pPr>
            <w:r>
              <w:rPr>
                <w:rFonts w:ascii="Arial" w:cs="Arial" w:eastAsia="Arial" w:hAnsi="Arial"/>
                <w:sz w:val="20"/>
                <w:szCs w:val="20"/>
                <w:color w:val="auto"/>
              </w:rPr>
              <w:t>tax expense</w:t>
            </w:r>
          </w:p>
        </w:tc>
        <w:tc>
          <w:tcPr>
            <w:tcW w:w="88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540" w:type="dxa"/>
            <w:vAlign w:val="bottom"/>
            <w:gridSpan w:val="2"/>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Add back:</w:t>
            </w: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Income tax expense for discontinued operations</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15</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100"/>
              <w:spacing w:after="0" w:line="194" w:lineRule="exact"/>
              <w:rPr>
                <w:sz w:val="20"/>
                <w:szCs w:val="20"/>
                <w:color w:val="auto"/>
              </w:rPr>
            </w:pPr>
            <w:r>
              <w:rPr>
                <w:rFonts w:ascii="Arial" w:cs="Arial" w:eastAsia="Arial" w:hAnsi="Arial"/>
                <w:sz w:val="20"/>
                <w:szCs w:val="20"/>
                <w:color w:val="auto"/>
              </w:rPr>
              <w:t>Depreciation, depletion and amortization expense</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20"/>
              <w:spacing w:after="0"/>
              <w:rPr>
                <w:sz w:val="20"/>
                <w:szCs w:val="20"/>
                <w:color w:val="auto"/>
              </w:rPr>
            </w:pPr>
            <w:r>
              <w:rPr>
                <w:rFonts w:ascii="Arial" w:cs="Arial" w:eastAsia="Arial" w:hAnsi="Arial"/>
                <w:sz w:val="20"/>
                <w:szCs w:val="20"/>
                <w:color w:val="auto"/>
              </w:rPr>
              <w:t>from discontinued operations</w:t>
            </w:r>
          </w:p>
        </w:tc>
        <w:tc>
          <w:tcPr>
            <w:tcW w:w="8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Acquisition, divestiture and integration expenses</w:t>
            </w:r>
          </w:p>
        </w:tc>
        <w:tc>
          <w:tcPr>
            <w:tcW w:w="88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ind w:left="160"/>
              <w:spacing w:after="0" w:line="224" w:lineRule="exact"/>
              <w:rPr>
                <w:sz w:val="20"/>
                <w:szCs w:val="20"/>
                <w:color w:val="auto"/>
              </w:rPr>
            </w:pPr>
            <w:r>
              <w:rPr>
                <w:rFonts w:ascii="Arial" w:cs="Arial" w:eastAsia="Arial" w:hAnsi="Arial"/>
                <w:sz w:val="20"/>
                <w:szCs w:val="20"/>
                <w:color w:val="auto"/>
              </w:rPr>
              <w:t>for discontinued operations</w:t>
            </w:r>
          </w:p>
        </w:tc>
        <w:tc>
          <w:tcPr>
            <w:tcW w:w="88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400" w:type="dxa"/>
            <w:vAlign w:val="bottom"/>
            <w:tcBorders>
              <w:top w:val="single" w:sz="8" w:color="CFF0FC"/>
            </w:tcBorders>
          </w:tcPr>
          <w:p>
            <w:pPr>
              <w:spacing w:after="0" w:line="188" w:lineRule="exact"/>
              <w:rPr>
                <w:sz w:val="20"/>
                <w:szCs w:val="20"/>
                <w:color w:val="auto"/>
              </w:rPr>
            </w:pPr>
            <w:r>
              <w:rPr>
                <w:rFonts w:ascii="Arial" w:cs="Arial" w:eastAsia="Arial" w:hAnsi="Arial"/>
                <w:sz w:val="20"/>
                <w:szCs w:val="20"/>
                <w:color w:val="auto"/>
              </w:rPr>
              <w:t>Adjustments to earnings from discontinued</w:t>
            </w: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23</w:t>
            </w:r>
          </w:p>
        </w:tc>
        <w:tc>
          <w:tcPr>
            <w:tcW w:w="220" w:type="dxa"/>
            <w:vAlign w:val="bottom"/>
            <w:tcBorders>
              <w:top w:val="single" w:sz="8" w:color="CFF0FC"/>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33</w:t>
            </w:r>
          </w:p>
        </w:tc>
        <w:tc>
          <w:tcPr>
            <w:tcW w:w="2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73</w:t>
            </w: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84</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120"/>
              <w:spacing w:after="0" w:line="224" w:lineRule="exact"/>
              <w:rPr>
                <w:sz w:val="20"/>
                <w:szCs w:val="20"/>
                <w:color w:val="auto"/>
              </w:rPr>
            </w:pPr>
            <w:r>
              <w:rPr>
                <w:rFonts w:ascii="Arial" w:cs="Arial" w:eastAsia="Arial" w:hAnsi="Arial"/>
                <w:sz w:val="20"/>
                <w:szCs w:val="20"/>
                <w:color w:val="auto"/>
              </w:rPr>
              <w:t>operations, net of income tax expense</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discontinued operations</w:t>
            </w:r>
          </w:p>
        </w:tc>
        <w:tc>
          <w:tcPr>
            <w:tcW w:w="880" w:type="dxa"/>
            <w:vAlign w:val="bottom"/>
            <w:tcBorders>
              <w:bottom w:val="single" w:sz="8" w:color="auto"/>
            </w:tcBorders>
            <w:shd w:val="clear" w:color="auto" w:fill="CFF0FC"/>
          </w:tcPr>
          <w:p>
            <w:pPr>
              <w:jc w:val="right"/>
              <w:ind w:right="661"/>
              <w:spacing w:after="0" w:line="209" w:lineRule="exact"/>
              <w:rPr>
                <w:sz w:val="20"/>
                <w:szCs w:val="20"/>
                <w:color w:val="auto"/>
              </w:rPr>
            </w:pPr>
            <w:r>
              <w:rPr>
                <w:rFonts w:ascii="Arial" w:cs="Arial" w:eastAsia="Arial" w:hAnsi="Arial"/>
                <w:sz w:val="20"/>
                <w:szCs w:val="20"/>
                <w:color w:val="auto"/>
                <w:w w:val="89"/>
              </w:rPr>
              <w:t>$</w:t>
            </w:r>
          </w:p>
        </w:tc>
        <w:tc>
          <w:tcPr>
            <w:tcW w:w="32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76</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61"/>
              <w:spacing w:after="0" w:line="209" w:lineRule="exact"/>
              <w:rPr>
                <w:sz w:val="20"/>
                <w:szCs w:val="20"/>
                <w:color w:val="auto"/>
              </w:rPr>
            </w:pPr>
            <w:r>
              <w:rPr>
                <w:rFonts w:ascii="Arial" w:cs="Arial" w:eastAsia="Arial" w:hAnsi="Arial"/>
                <w:sz w:val="20"/>
                <w:szCs w:val="20"/>
                <w:color w:val="auto"/>
                <w:w w:val="89"/>
              </w:rPr>
              <w:t>$</w:t>
            </w:r>
          </w:p>
        </w:tc>
        <w:tc>
          <w:tcPr>
            <w:tcW w:w="32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99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174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217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-1268095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-1268095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-1268095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-445135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-445135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-445135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presents a reconciliation of consolidated net earnings attributable to Martin Marietta to Consolidated Adjusted EBITDA: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260" w:type="dxa"/>
            <w:vAlign w:val="bottom"/>
            <w:gridSpan w:val="4"/>
          </w:tcPr>
          <w:p>
            <w:pPr>
              <w:jc w:val="right"/>
              <w:ind w:right="201"/>
              <w:spacing w:after="0"/>
              <w:rPr>
                <w:sz w:val="20"/>
                <w:szCs w:val="20"/>
                <w:color w:val="auto"/>
              </w:rPr>
            </w:pPr>
            <w:r>
              <w:rPr>
                <w:rFonts w:ascii="Arial" w:cs="Arial" w:eastAsia="Arial" w:hAnsi="Arial"/>
                <w:sz w:val="20"/>
                <w:szCs w:val="20"/>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81"/>
              <w:spacing w:after="0" w:line="209" w:lineRule="exact"/>
              <w:rPr>
                <w:sz w:val="20"/>
                <w:szCs w:val="20"/>
                <w:color w:val="auto"/>
              </w:rPr>
            </w:pPr>
            <w:r>
              <w:rPr>
                <w:rFonts w:ascii="Arial" w:cs="Arial" w:eastAsia="Arial" w:hAnsi="Arial"/>
                <w:sz w:val="20"/>
                <w:szCs w:val="20"/>
                <w:color w:val="auto"/>
              </w:rPr>
              <w:t>2025</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41"/>
              <w:spacing w:after="0" w:line="209" w:lineRule="exact"/>
              <w:rPr>
                <w:sz w:val="20"/>
                <w:szCs w:val="20"/>
                <w:color w:val="auto"/>
              </w:rPr>
            </w:pPr>
            <w:r>
              <w:rPr>
                <w:rFonts w:ascii="Arial" w:cs="Arial" w:eastAsia="Arial" w:hAnsi="Arial"/>
                <w:sz w:val="20"/>
                <w:szCs w:val="20"/>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1420" w:type="dxa"/>
            <w:vAlign w:val="bottom"/>
            <w:gridSpan w:val="3"/>
          </w:tcPr>
          <w:p>
            <w:pPr>
              <w:jc w:val="right"/>
              <w:ind w:right="241"/>
              <w:spacing w:after="0" w:line="209" w:lineRule="exact"/>
              <w:rPr>
                <w:sz w:val="20"/>
                <w:szCs w:val="20"/>
                <w:color w:val="auto"/>
              </w:rPr>
            </w:pPr>
            <w:r>
              <w:rPr>
                <w:rFonts w:ascii="Arial" w:cs="Arial" w:eastAsia="Arial" w:hAnsi="Arial"/>
                <w:sz w:val="20"/>
                <w:szCs w:val="20"/>
                <w:i w:val="1"/>
                <w:iCs w:val="1"/>
                <w:color w:val="auto"/>
              </w:rPr>
              <w:t>in Millions)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Consolidated net earnings attributable to Martin</w:t>
            </w: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Marietta</w:t>
            </w:r>
          </w:p>
        </w:tc>
        <w:tc>
          <w:tcPr>
            <w:tcW w:w="840" w:type="dxa"/>
            <w:vAlign w:val="bottom"/>
            <w:shd w:val="clear" w:color="auto" w:fill="CFF0FC"/>
          </w:tcPr>
          <w:p>
            <w:pPr>
              <w:jc w:val="right"/>
              <w:ind w:right="621"/>
              <w:spacing w:after="0"/>
              <w:rPr>
                <w:sz w:val="20"/>
                <w:szCs w:val="20"/>
                <w:color w:val="auto"/>
              </w:rPr>
            </w:pPr>
            <w:r>
              <w:rPr>
                <w:rFonts w:ascii="Arial" w:cs="Arial" w:eastAsia="Arial" w:hAnsi="Arial"/>
                <w:sz w:val="20"/>
                <w:szCs w:val="20"/>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414</w:t>
            </w:r>
          </w:p>
        </w:tc>
        <w:tc>
          <w:tcPr>
            <w:tcW w:w="1060" w:type="dxa"/>
            <w:vAlign w:val="bottom"/>
            <w:gridSpan w:val="2"/>
            <w:shd w:val="clear" w:color="auto" w:fill="CFF0FC"/>
          </w:tcPr>
          <w:p>
            <w:pPr>
              <w:jc w:val="right"/>
              <w:ind w:right="621"/>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363</w:t>
            </w:r>
          </w:p>
        </w:tc>
        <w:tc>
          <w:tcPr>
            <w:tcW w:w="46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858</w:t>
            </w:r>
          </w:p>
        </w:tc>
        <w:tc>
          <w:tcPr>
            <w:tcW w:w="540" w:type="dxa"/>
            <w:vAlign w:val="bottom"/>
            <w:gridSpan w:val="2"/>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line="216" w:lineRule="exact"/>
              <w:rPr>
                <w:sz w:val="20"/>
                <w:szCs w:val="20"/>
                <w:color w:val="auto"/>
              </w:rPr>
            </w:pPr>
            <w:r>
              <w:rPr>
                <w:rFonts w:ascii="Arial" w:cs="Arial" w:eastAsia="Arial" w:hAnsi="Arial"/>
                <w:sz w:val="20"/>
                <w:szCs w:val="20"/>
                <w:color w:val="auto"/>
              </w:rPr>
              <w:t>Add back (Deduct):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Adjustments to net earnings from continuing</w:t>
            </w: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220"/>
              <w:spacing w:after="0"/>
              <w:rPr>
                <w:sz w:val="20"/>
                <w:szCs w:val="20"/>
                <w:color w:val="auto"/>
              </w:rPr>
            </w:pPr>
            <w:r>
              <w:rPr>
                <w:rFonts w:ascii="Arial" w:cs="Arial" w:eastAsia="Arial" w:hAnsi="Arial"/>
                <w:sz w:val="20"/>
                <w:szCs w:val="20"/>
                <w:color w:val="auto"/>
              </w:rPr>
              <w:t>operations attributable to Martin Marietta</w:t>
            </w: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306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250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(264)</w:t>
            </w:r>
          </w:p>
        </w:tc>
        <w:tc>
          <w:tcPr>
            <w:tcW w:w="0" w:type="dxa"/>
            <w:vAlign w:val="bottom"/>
          </w:tcPr>
          <w:p>
            <w:pPr>
              <w:spacing w:after="0"/>
              <w:rPr>
                <w:sz w:val="1"/>
                <w:szCs w:val="1"/>
                <w:color w:val="auto"/>
              </w:rPr>
            </w:pPr>
          </w:p>
        </w:tc>
      </w:tr>
      <w:tr>
        <w:trPr>
          <w:trHeight w:val="194"/>
        </w:trPr>
        <w:tc>
          <w:tcPr>
            <w:tcW w:w="5400" w:type="dxa"/>
            <w:vAlign w:val="bottom"/>
          </w:tcPr>
          <w:p>
            <w:pPr>
              <w:ind w:left="100"/>
              <w:spacing w:after="0" w:line="194" w:lineRule="exact"/>
              <w:rPr>
                <w:sz w:val="20"/>
                <w:szCs w:val="20"/>
                <w:color w:val="auto"/>
              </w:rPr>
            </w:pPr>
            <w:r>
              <w:rPr>
                <w:rFonts w:ascii="Arial" w:cs="Arial" w:eastAsia="Arial" w:hAnsi="Arial"/>
                <w:sz w:val="20"/>
                <w:szCs w:val="20"/>
                <w:color w:val="auto"/>
              </w:rPr>
              <w:t>Adjustments to earnings from discontinued</w:t>
            </w:r>
          </w:p>
        </w:tc>
        <w:tc>
          <w:tcPr>
            <w:tcW w:w="84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220"/>
              <w:spacing w:after="0" w:line="224" w:lineRule="exact"/>
              <w:rPr>
                <w:sz w:val="20"/>
                <w:szCs w:val="20"/>
                <w:color w:val="auto"/>
              </w:rPr>
            </w:pPr>
            <w:r>
              <w:rPr>
                <w:rFonts w:ascii="Arial" w:cs="Arial" w:eastAsia="Arial" w:hAnsi="Arial"/>
                <w:sz w:val="20"/>
                <w:szCs w:val="20"/>
                <w:color w:val="auto"/>
              </w:rPr>
              <w:t>operations, net of income tax expense</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Consolidated Adjusted EBITDA</w:t>
            </w:r>
          </w:p>
        </w:tc>
        <w:tc>
          <w:tcPr>
            <w:tcW w:w="840" w:type="dxa"/>
            <w:vAlign w:val="bottom"/>
            <w:tcBorders>
              <w:bottom w:val="single" w:sz="8" w:color="auto"/>
            </w:tcBorders>
            <w:shd w:val="clear" w:color="auto" w:fill="CFF0FC"/>
          </w:tcPr>
          <w:p>
            <w:pPr>
              <w:jc w:val="right"/>
              <w:ind w:right="62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w w:val="95"/>
              </w:rPr>
              <w:t>743</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21"/>
              <w:spacing w:after="0" w:line="209" w:lineRule="exact"/>
              <w:rPr>
                <w:sz w:val="20"/>
                <w:szCs w:val="20"/>
                <w:color w:val="auto"/>
              </w:rPr>
            </w:pPr>
            <w:r>
              <w:rPr>
                <w:rFonts w:ascii="Arial" w:cs="Arial" w:eastAsia="Arial" w:hAnsi="Arial"/>
                <w:sz w:val="20"/>
                <w:szCs w:val="20"/>
                <w:color w:val="auto"/>
                <w:w w:val="89"/>
              </w:rPr>
              <w:t>$</w:t>
            </w:r>
          </w:p>
        </w:tc>
        <w:tc>
          <w:tcPr>
            <w:tcW w:w="3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w w:val="95"/>
              </w:rPr>
              <w:t>646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1,725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1,521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Cash provided by operating activities for the nine months ended September 30, 2025 and 2024 was $1.2 billion and $773 million, respectively. Operating cash flow is substantially derived from consolidated net earnings before deducting depreciation, depletion and amortization and the impact of changes in working capital requirements. Additionally, 2024 operating cash flow also included higher income tax payments resulting from the taxable gain associated with the Divestiture.</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Internal Revenue Service provided certain disaster tax relief for North Carolina businesses affected by Hurricanes Debby and Helene, which allowed the Company to defer estimated federal and certain state income, payroll and excise tax payments for the period from August 2024 through September 2025. The deferred obligation was paid on September 25, 2025.</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seasonal nature of construction activity impacts the Company’s interim operating cash flow when compared with the full year. Full-year 2024 net cash provided by operating activities was $1.5 billion.</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nine months ended September 30, 2025 and 2024, the Company paid $602 million and $622 million, respectively, for additions to property, plant and equipment.</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On July 25, 2025, the Company acquired Premier Magnesia, LLC, a privately-owned producer and distributor of magnesia-based products, using cash on hand and credit facility borrowings.</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February 2024, the Company received pretax cash proceeds of $2.1 billion from the Divestiture. On April 5, 2024, the Company used $2.05 billion of cash on hand to fund the acquisition of 20 active aggregates operations in Alabama, South Carolina, South Florida, Tennessee, and Virginia from affiliates of Blue Water Industries LLC.</w:t>
      </w:r>
    </w:p>
    <w:p>
      <w:pPr>
        <w:spacing w:after="0" w:line="6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During the first nine months of 2025, the Company repurchased 910,831 shares of common stock at an average price of $494.04 and an aggregate cost of $455 million, inclusive of excise taxes. At September 30, 2025, 11.0 million shares of common stock remain under the Company’s repurchase authorization.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On September 16, 2025, the Company extended the maturity to September 16, 2026. The Trade Receivable Facility contains a cross-default provision to the Company’s other debt agreements.</w:t>
      </w:r>
    </w:p>
    <w:p>
      <w:pPr>
        <w:spacing w:after="0" w:line="6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Company has an $800 million five-year senior unsecured revolving facility (the Revolving Facility), which matures in December 2029. The Revolving Facility requires the Company’s ratio of consolidated net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4.00 times. Additionally, if there are no amounts outstanding under the Revolving Facility and the Trade Receivable Facility, consolidated debt, including debt for which the Company is a guarantor, shall be reduced in an amount equal to the lesser of $500 million or the sum of the Company’s unrestricted cash and temporary investments, for purposes of the covenant calculation. The Company was in compliance with the Ratio at September 30, 2025. In the event of a default on the Ratio, the lenders can terminate the Revolving Facility and Trade Receivable Facility and declare any outstanding balances as immediately due.</w:t>
      </w:r>
    </w:p>
    <w:p>
      <w:pPr>
        <w:spacing w:after="0" w:line="6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for payment of dividends for the foreseeable future and allow the repurchase of shares of the Company’s common stock. At September 30, 2025, there were no amounts outstanding under the Revolving Facility. There was $105 million outstanding under the Trade Receivable Facility, and the Company had $1.1 billion of unused borrowing capacity under its Revolving Facility and Trade Receivable Facility, subject to complying with the related leverage covenant. Historically, the Company has successfully extended the maturity dates of these credit facilities.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2024. Management continues to evaluate its exposure to all operating risks on an ongoing basis.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9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If you are interested in Martin Marietta stock, management recommends that, at a minimum, you read the Company’s current annual report and Forms 10-K, 10-Q and 8-K reports to the Securities and Exchange Commission (SEC) over the past year. The Company’s proxy statement for the May 15, 2025 annual meeting of shareholders also contains important information. These and other materials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6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differ materially from actual results. These statements, which are forward-looking statements under the Private Securities Litigation Reform Act of 1995, reflect the Company’s expectations or forecasts of future events. You can identify these statements because they do not relate only to historical or current facts and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prove to be incorrect.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 w:name="page37"/>
    <w:bookmarkEnd w:id="36"/>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outlook is subject to risks and uncertainties and is based on assumptions that the Company believes in good faith are reasonable but which may differ materially from actual results. Factors that the Company currently believes could cause actual results to differ materially from the forward-looking statements in this Form 10-Q include, but are not limited to:</w:t>
      </w:r>
    </w:p>
    <w:p>
      <w:pPr>
        <w:spacing w:after="0" w:line="63" w:lineRule="exact"/>
        <w:rPr>
          <w:sz w:val="20"/>
          <w:szCs w:val="20"/>
          <w:color w:val="auto"/>
        </w:rPr>
      </w:pPr>
    </w:p>
    <w:p>
      <w:pPr>
        <w:ind w:left="1020" w:hanging="503"/>
        <w:spacing w:after="0" w:line="23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Company’s ability to address challenges, including shipment declines caused by economic and weather events beyond its control;</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 widespread decline in aggregates pricing, including reduced shipment volume negatively affecting price;</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termination, capping, reduction or suspension of federal and/or state fuel tax(es) or other revenue related to public construction;</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impact of the Administration on the availability and timing of federal and state infrastructure investment;</w:t>
      </w:r>
    </w:p>
    <w:p>
      <w:pPr>
        <w:jc w:val="both"/>
        <w:ind w:left="1020" w:hanging="503"/>
        <w:spacing w:after="0" w:line="225"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level and timing of federal, state or local transportation or infrastructure or public projects funding, including any issues arising from such budgets, particularly in Texas, North Carolina, Colorado, California, Georgia, Florida, Minnesota, Arizona, South Carolina and Iowa;</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United States Congress’ inability to reach agreement internally or with the Executive Branch on policy affecting the federal budget;</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A prolonged Federal government shutdown;</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ability of states or other entities to finance approved projects through tax revenues or alternative financing;</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Construction spending levels in the Company's markets;</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Reductions in defense spending and impacts on construction activity on or near military bases;</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Declines in energy-related construction due to sustained low global oil prices or changes in oil production or capital spending, particularly in Texas;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Sustained high mortgage interest rates and factors leading to a slowdown in private construction in some areas;</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Unfavorable weather, including storms, hurricanes, wildfires, timing of seasons, drought, rainfall or extreme temperatures affecting production schedules, shipment volumes, product/geographic mix and profitability;</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Volatility in fuel and energy costs, including diesel, electricity, natural gas and consumables, like steel, explosives, tires and conveyor belts, as well as natural gas for the Company’s Specialties business;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raw materials costs, such as bitumen;</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Rising costs of repair and supply parts;</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Construction labor shortages or supply chain challenges;</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Labor relations risks, such as unionization efforts, work stoppages or strikes (particularly in jurisdictions with evolving labor laws);</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Workforce demographics-related challenges in recruiting and retaining skilled employees, particularly for physically demanding roles in rural or less-populated areas;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Unexpected equipment failures, unscheduled maintenance, industrial accident or prolonged production disruption;</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Resiliency and potential declines of the Company's construction end-use markets;</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impacts of disease outbreaks, epidemics, pandemics, or similar health threats, or fear of such events, and related economic/societal responses, affecting suppliers, customers, partners or employees;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The performance of the overall United States economy;</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Governmental regulation, including environmental laws and climate change regulations at state and federal levels;</w:t>
      </w:r>
    </w:p>
    <w:p>
      <w:pPr>
        <w:ind w:left="1020" w:hanging="503"/>
        <w:spacing w:after="0" w:line="224"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Implementation of emissions taxes, carbon-pricing schemes, or stricter climate-related rules that could  increase</w:t>
      </w:r>
    </w:p>
    <w:p>
      <w:pPr>
        <w:jc w:val="right"/>
        <w:ind w:right="5020"/>
        <w:spacing w:after="0" w:line="225" w:lineRule="auto"/>
        <w:rPr>
          <w:sz w:val="20"/>
          <w:szCs w:val="20"/>
          <w:color w:val="auto"/>
        </w:rPr>
      </w:pPr>
      <w:r>
        <w:rPr>
          <w:rFonts w:ascii="Arial" w:cs="Arial" w:eastAsia="Arial" w:hAnsi="Arial"/>
          <w:sz w:val="20"/>
          <w:szCs w:val="20"/>
          <w:color w:val="auto"/>
        </w:rPr>
        <w:t>operating costs or restrict cement or Specialties production;</w:t>
      </w:r>
    </w:p>
    <w:p>
      <w:pPr>
        <w:spacing w:after="0" w:line="1" w:lineRule="exact"/>
        <w:rPr>
          <w:sz w:val="20"/>
          <w:szCs w:val="20"/>
          <w:color w:val="auto"/>
        </w:rPr>
      </w:pPr>
    </w:p>
    <w:p>
      <w:pPr>
        <w:jc w:val="right"/>
        <w:ind w:right="5000"/>
        <w:spacing w:after="0"/>
        <w:rPr>
          <w:sz w:val="20"/>
          <w:szCs w:val="20"/>
          <w:color w:val="auto"/>
        </w:rPr>
      </w:pPr>
      <w:r>
        <w:rPr>
          <w:rFonts w:ascii="Arial" w:cs="Arial" w:eastAsia="Arial" w:hAnsi="Arial"/>
          <w:sz w:val="20"/>
          <w:szCs w:val="20"/>
          <w:color w:val="auto"/>
        </w:rPr>
        <w:t>Page 37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7" w:name="page38"/>
    <w:bookmarkEnd w:id="37"/>
    <w:p>
      <w:pPr>
        <w:jc w:val="center"/>
        <w:ind w:right="557"/>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557"/>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497"/>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ind w:right="497"/>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497"/>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457"/>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ind w:left="503" w:right="20" w:hanging="503"/>
        <w:spacing w:after="0" w:line="23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Delays or difficulties in securing timely land use approvals or environmental permits amid changing regulatory expectations;</w:t>
      </w:r>
    </w:p>
    <w:p>
      <w:pPr>
        <w:ind w:left="503" w:right="20"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Increasing legal actions or public pressure related to environmental impact, emissions, or land use could result in reputational harm or financial liability;</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Failure to meet evolving environmental, social, and governance (ESG) standards or investor benchmarks may affect access to capital or shareholder confidence;</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external ESG ratings or methodologies could affect investor sentiment or index inclusion;</w:t>
      </w: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Increasing competition for water access or stricter water usage regulations could impact production, especially in drought-prone regions;</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Outcomes of environmental or land-use proceedings, or increased costs associated with regulatory obligations, including site reclamation;</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Elevated premiums or reduced coverage availability for property, casualty, or environmental liability could increase risk exposure;</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Online misinformation campaigns or social media-driven reputational harm could affect stakeholder trust and market perception;</w:t>
      </w:r>
    </w:p>
    <w:p>
      <w:pPr>
        <w:spacing w:after="0" w:line="1" w:lineRule="exact"/>
        <w:rPr>
          <w:rFonts w:ascii="Times New Roman" w:cs="Times New Roman" w:eastAsia="Times New Roman" w:hAnsi="Times New Roman"/>
          <w:sz w:val="20"/>
          <w:szCs w:val="20"/>
          <w:color w:val="auto"/>
        </w:rPr>
      </w:pPr>
    </w:p>
    <w:p>
      <w:pPr>
        <w:jc w:val="both"/>
        <w:ind w:left="503" w:hanging="503"/>
        <w:spacing w:after="0" w:line="225"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Transportation availability and investment in rail infrastructure impacting the movement of materials especially to the Company’s Texas, Southeast and Gulf Coast markets, including the movement of essential dolomitic lime to the Company’s Specialties plant in Manistee, Michigan and its customers;</w:t>
      </w: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transportation costs, including increases from energy price fluctuations, fuel surcharges, and compliance with tightening regulations, including water shipments;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Availability of trucks and licensed drivers for material transport;</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Availability and cost of construction equipment in the United States;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Weakness in the steel industry markets served by the Company’s dolomitic lime products;</w:t>
      </w: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Geopolitical risks affecting costs, supply chain, oil and gas prices, including conflict zones such as Russia- Ukraine, Israel-Middle East and potential China-Taiwan tensions;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Trade disputes and tariffs impacting the U.S. economy;</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Unplanned cost changes or customer realignments affecting earnings, including in the Specialties business;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Dependence on information technology and automated systems;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third-party vendors, including exposure to cybersecurity vulnerabilities or service outages;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Inflation pressures on production and interest costs;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Customer concentration in construction markets increasing the risk of potential losses on customer receivables;</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Demand levels, production volumes and cost management affecting operating leverage and profitability;</w:t>
      </w:r>
    </w:p>
    <w:p>
      <w:pPr>
        <w:jc w:val="both"/>
        <w:ind w:left="503" w:hanging="503"/>
        <w:spacing w:after="0" w:line="225"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the Company's pending QUIKRETE transaction, including the ability to satisfy closing conditions, transaction costs, integration challenges, market conditions, and the impact of the transaction on the Company’s stakeholders;</w:t>
      </w:r>
    </w:p>
    <w:p>
      <w:pPr>
        <w:ind w:left="503" w:right="20"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possibility that acquisition synergies may not be realized as expected or within anticipated timeframes, potentially impacting profitability and debt covenant compliance;</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executive succession, retention, leadership development critical to strategy execution, including impacts from unexpected leadership changes;</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tax laws or interpretations, including those related to acquisitions or divestitures, which could increase tax rates;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Violation of the Company’s debt covenants in the event of price and/or volume instability;</w:t>
      </w:r>
    </w:p>
    <w:p>
      <w:pPr>
        <w:ind w:left="503" w:hanging="503"/>
        <w:spacing w:after="0" w:line="238" w:lineRule="auto"/>
        <w:tabs>
          <w:tab w:leader="none" w:pos="503"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New or revised accounting rules could impact financial reporting, asset valuations, or covenant compliance;</w:t>
      </w:r>
    </w:p>
    <w:p>
      <w:pPr>
        <w:spacing w:after="0" w:line="1" w:lineRule="exact"/>
        <w:rPr>
          <w:sz w:val="20"/>
          <w:szCs w:val="20"/>
          <w:color w:val="auto"/>
        </w:rPr>
      </w:pPr>
    </w:p>
    <w:p>
      <w:pPr>
        <w:ind w:left="4483"/>
        <w:spacing w:after="0"/>
        <w:rPr>
          <w:sz w:val="20"/>
          <w:szCs w:val="20"/>
          <w:color w:val="auto"/>
        </w:rPr>
      </w:pPr>
      <w:r>
        <w:rPr>
          <w:rFonts w:ascii="Arial" w:cs="Arial" w:eastAsia="Arial" w:hAnsi="Arial"/>
          <w:sz w:val="20"/>
          <w:szCs w:val="20"/>
          <w:color w:val="auto"/>
        </w:rPr>
        <w:t>Page 38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461010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6" w:right="339" w:bottom="1440" w:gutter="0" w:footer="0" w:header="0"/>
        </w:sectPr>
      </w:pPr>
    </w:p>
    <w:bookmarkStart w:id="38" w:name="page39"/>
    <w:bookmarkEnd w:id="38"/>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ind w:left="1020" w:hanging="503"/>
        <w:spacing w:after="0" w:line="234"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Challenges in implementing new technologies or automation systems could lead to inefficiencies, cost overruns, or operational disruptions;</w:t>
      </w:r>
    </w:p>
    <w:p>
      <w:pPr>
        <w:ind w:left="1020" w:right="20" w:hanging="503"/>
        <w:spacing w:after="0" w:line="224"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Improper use or reliance on predictive analytics or AI-driven decision-making could result in flawed forecasting, compliance issues, or reputational damage;</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Cybersecurity risks;</w:t>
      </w:r>
    </w:p>
    <w:p>
      <w:pPr>
        <w:ind w:left="1020" w:hanging="503"/>
        <w:spacing w:after="0" w:line="238"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Downward pressure on the Company’s common stock price affecting goodwill impairment evaluations;</w:t>
      </w:r>
    </w:p>
    <w:p>
      <w:pPr>
        <w:ind w:left="1020" w:hanging="503"/>
        <w:spacing w:after="0" w:line="238"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credit rating downgrades to non-investment grade; and</w:t>
      </w: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Other risk factors listed from time to time in the Company’s SEC filings.</w:t>
      </w:r>
    </w:p>
    <w:p>
      <w:pPr>
        <w:spacing w:after="0" w:line="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Please consider these forward-looking statements considering the risk factors discussed in the Company’s Annual Report on Form 10-K for the year ended December 31, 2024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2024, by writing to:</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ind w:left="260"/>
        <w:spacing w:after="0" w:line="229" w:lineRule="auto"/>
        <w:rPr>
          <w:sz w:val="20"/>
          <w:szCs w:val="20"/>
          <w:color w:val="auto"/>
        </w:rPr>
      </w:pPr>
      <w:r>
        <w:rPr>
          <w:rFonts w:ascii="Arial" w:cs="Arial" w:eastAsia="Arial" w:hAnsi="Arial"/>
          <w:sz w:val="20"/>
          <w:szCs w:val="20"/>
          <w:color w:val="auto"/>
        </w:rPr>
        <w:t>Attn: Corporate Secretary</w:t>
      </w:r>
    </w:p>
    <w:p>
      <w:pPr>
        <w:ind w:left="260"/>
        <w:spacing w:after="0" w:line="226" w:lineRule="auto"/>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510-4736</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76" w:lineRule="exact"/>
        <w:rPr>
          <w:sz w:val="20"/>
          <w:szCs w:val="20"/>
          <w:color w:val="auto"/>
        </w:rPr>
      </w:pPr>
    </w:p>
    <w:p>
      <w:pPr>
        <w:ind w:left="5000" w:right="1300" w:hanging="4999"/>
        <w:spacing w:after="0" w:line="257" w:lineRule="auto"/>
        <w:rPr>
          <w:sz w:val="20"/>
          <w:szCs w:val="20"/>
          <w:color w:val="auto"/>
        </w:rPr>
      </w:pPr>
      <w:r>
        <w:rPr>
          <w:rFonts w:ascii="Arial" w:cs="Arial" w:eastAsia="Arial" w:hAnsi="Arial"/>
          <w:sz w:val="20"/>
          <w:szCs w:val="20"/>
          <w:color w:val="auto"/>
        </w:rPr>
        <w:t>Information included on the Company’s website is not incorporated into, or otherwise creates a part of, this report. Page 39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 w:name="page40"/>
    <w:bookmarkEnd w:id="3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September 30, 2025</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Company’s operations are highly dependent upon the interest rate-sensitive construction and steelmaking industries.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Consequently, these marketplaces could experience lower levels of economic activity in an environment of rising interest rates.</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Demand in the nonresidential and residential construction markets, which combined accounted for 58% of aggregates shipments for the nine months ended September 30, 2025, is affected by interest rates. While the Federal Reserve lowered the benchmark federal funds rate 50 basis points in 2025, the federal funds rate remains above the current rate of inflation resulting in continued restrictive monetary policy.</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and changes in enacted tax laws.</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September 30, 2025, the Company had an $ 800 million Revolving Facility and a $400</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Trade Receivable Facility. Borrowings under these facilities bear interest at a variable interest rate. A hypothetical 100-basis-point increase in interest rates on variable-rate borrowings of $105 million, which was the collective outstanding balance at September 30, 2025, would increase interest expense by $1 million on an annual basis.</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 xml:space="preserve">Pension Expense. </w:t>
      </w:r>
      <w:r>
        <w:rPr>
          <w:rFonts w:ascii="Arial" w:cs="Arial" w:eastAsia="Arial" w:hAnsi="Arial"/>
          <w:sz w:val="20"/>
          <w:szCs w:val="20"/>
          <w:color w:val="auto"/>
        </w:rPr>
        <w:t>The Company’s results of operations are affected by its pension expense. Assumptions that affect pension</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2024.</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Income Tax. </w:t>
      </w:r>
      <w:r>
        <w:rPr>
          <w:rFonts w:ascii="Arial" w:cs="Arial" w:eastAsia="Arial" w:hAnsi="Arial"/>
          <w:sz w:val="20"/>
          <w:szCs w:val="20"/>
          <w:color w:val="auto"/>
        </w:rPr>
        <w:t>Any changes in enacted tax laws, rules or regulatory or judicial interpretations, or any change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pronouncements relating to accounting for income taxes could materially impact the Company’s effective tax rate, tax payments, cash flow, financial condition and results of operations.</w:t>
      </w:r>
    </w:p>
    <w:p>
      <w:pPr>
        <w:spacing w:after="0" w:line="6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and petroleum coke, represent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production costs of the Company. The Company may be unable to pass along increases in the costs of energy to customers in the form of price increases for the Company’s products. The Specialties business has varying fixed-price agreements for a portion of its 2025 energy requirements. A hypothetical 10% change in the Company’s energy prices in 2025 as compared with 2024, assuming comparable volumes, would change 2025 energy expense for continuing operations by $28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September 30, 2025, an evaluation was performed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2025.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September 30, 2025</w:t>
      </w:r>
    </w:p>
    <w:p>
      <w:pPr>
        <w:jc w:val="center"/>
        <w:spacing w:after="0"/>
        <w:rPr>
          <w:sz w:val="20"/>
          <w:szCs w:val="20"/>
          <w:color w:val="auto"/>
        </w:rPr>
      </w:pPr>
      <w:r>
        <w:rPr>
          <w:rFonts w:ascii="Arial" w:cs="Arial" w:eastAsia="Arial" w:hAnsi="Arial"/>
          <w:sz w:val="20"/>
          <w:szCs w:val="20"/>
          <w:color w:val="auto"/>
        </w:rPr>
        <w:t>PART II.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9 Commitments and Contingencies, Legal and Administrative Proceedings</w:t>
      </w:r>
      <w:r>
        <w:rPr>
          <w:rFonts w:ascii="Arial" w:cs="Arial" w:eastAsia="Arial" w:hAnsi="Arial"/>
          <w:sz w:val="20"/>
          <w:szCs w:val="20"/>
          <w:color w:val="auto"/>
        </w:rPr>
        <w:t xml:space="preserve"> to the unaudited consolidated financial statements of this Form 10-Q.</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9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Total Number of</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8"/>
              </w:rPr>
              <w:t>Shares</w:t>
            </w:r>
          </w:p>
        </w:tc>
        <w:tc>
          <w:tcPr>
            <w:tcW w:w="220" w:type="dxa"/>
            <w:vAlign w:val="bottom"/>
          </w:tcPr>
          <w:p>
            <w:pPr>
              <w:spacing w:after="0"/>
              <w:rPr>
                <w:sz w:val="17"/>
                <w:szCs w:val="17"/>
                <w:color w:val="auto"/>
              </w:rPr>
            </w:pPr>
          </w:p>
        </w:tc>
        <w:tc>
          <w:tcPr>
            <w:tcW w:w="1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Maximum Number of</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w w:val="98"/>
              </w:rPr>
              <w:t>Purchased as Part of</w:t>
            </w:r>
          </w:p>
        </w:tc>
        <w:tc>
          <w:tcPr>
            <w:tcW w:w="220" w:type="dxa"/>
            <w:vAlign w:val="bottom"/>
          </w:tcPr>
          <w:p>
            <w:pPr>
              <w:spacing w:after="0"/>
              <w:rPr>
                <w:sz w:val="17"/>
                <w:szCs w:val="17"/>
                <w:color w:val="auto"/>
              </w:rPr>
            </w:pPr>
          </w:p>
        </w:tc>
        <w:tc>
          <w:tcPr>
            <w:tcW w:w="1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Shares that May Yet</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140"/>
              <w:spacing w:after="0" w:line="202" w:lineRule="exact"/>
              <w:rPr>
                <w:sz w:val="20"/>
                <w:szCs w:val="20"/>
                <w:color w:val="auto"/>
              </w:rPr>
            </w:pPr>
            <w:r>
              <w:rPr>
                <w:rFonts w:ascii="Arial" w:cs="Arial" w:eastAsia="Arial" w:hAnsi="Arial"/>
                <w:sz w:val="18"/>
                <w:szCs w:val="18"/>
                <w:color w:val="auto"/>
              </w:rPr>
              <w:t>Total Number of</w:t>
            </w:r>
          </w:p>
        </w:tc>
        <w:tc>
          <w:tcPr>
            <w:tcW w:w="240" w:type="dxa"/>
            <w:vAlign w:val="bottom"/>
          </w:tcPr>
          <w:p>
            <w:pPr>
              <w:spacing w:after="0"/>
              <w:rPr>
                <w:sz w:val="17"/>
                <w:szCs w:val="17"/>
                <w:color w:val="auto"/>
              </w:rPr>
            </w:pPr>
          </w:p>
        </w:tc>
        <w:tc>
          <w:tcPr>
            <w:tcW w:w="1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Average Price</w:t>
            </w:r>
          </w:p>
        </w:tc>
        <w:tc>
          <w:tcPr>
            <w:tcW w:w="22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Publicly Announced</w:t>
            </w:r>
          </w:p>
        </w:tc>
        <w:tc>
          <w:tcPr>
            <w:tcW w:w="220" w:type="dxa"/>
            <w:vAlign w:val="bottom"/>
          </w:tcPr>
          <w:p>
            <w:pPr>
              <w:spacing w:after="0"/>
              <w:rPr>
                <w:sz w:val="17"/>
                <w:szCs w:val="17"/>
                <w:color w:val="auto"/>
              </w:rPr>
            </w:pPr>
          </w:p>
        </w:tc>
        <w:tc>
          <w:tcPr>
            <w:tcW w:w="1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be Purchased Under</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130"/>
              <w:spacing w:after="0" w:line="202" w:lineRule="exact"/>
              <w:rPr>
                <w:sz w:val="20"/>
                <w:szCs w:val="20"/>
                <w:color w:val="auto"/>
              </w:rPr>
            </w:pPr>
            <w:r>
              <w:rPr>
                <w:rFonts w:ascii="Arial" w:cs="Arial" w:eastAsia="Arial" w:hAnsi="Arial"/>
                <w:sz w:val="18"/>
                <w:szCs w:val="18"/>
                <w:color w:val="auto"/>
              </w:rPr>
              <w:t>Paid per</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the Plans or</w:t>
            </w:r>
          </w:p>
        </w:tc>
      </w:tr>
      <w:tr>
        <w:trPr>
          <w:trHeight w:val="221"/>
        </w:trPr>
        <w:tc>
          <w:tcPr>
            <w:tcW w:w="4160" w:type="dxa"/>
            <w:vAlign w:val="bottom"/>
          </w:tcPr>
          <w:p>
            <w:pPr>
              <w:ind w:left="182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19"/>
                <w:szCs w:val="19"/>
                <w:color w:val="auto"/>
              </w:rPr>
            </w:pPr>
          </w:p>
        </w:tc>
        <w:tc>
          <w:tcPr>
            <w:tcW w:w="1580" w:type="dxa"/>
            <w:vAlign w:val="bottom"/>
          </w:tcPr>
          <w:p>
            <w:pPr>
              <w:ind w:left="40"/>
              <w:spacing w:after="0"/>
              <w:rPr>
                <w:sz w:val="20"/>
                <w:szCs w:val="20"/>
                <w:color w:val="auto"/>
              </w:rPr>
            </w:pPr>
            <w:r>
              <w:rPr>
                <w:rFonts w:ascii="Arial" w:cs="Arial" w:eastAsia="Arial" w:hAnsi="Arial"/>
                <w:sz w:val="18"/>
                <w:szCs w:val="18"/>
                <w:color w:val="auto"/>
              </w:rPr>
              <w:t>Shares Purchased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9"/>
              </w:rPr>
              <w:t>Share</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Plans or Programs</w:t>
            </w:r>
          </w:p>
        </w:tc>
        <w:tc>
          <w:tcPr>
            <w:tcW w:w="2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Programs</w:t>
            </w:r>
          </w:p>
        </w:tc>
      </w:tr>
      <w:tr>
        <w:trPr>
          <w:trHeight w:val="196"/>
        </w:trPr>
        <w:tc>
          <w:tcPr>
            <w:tcW w:w="4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July 1, 2025 - July 31, 2025</w:t>
            </w:r>
          </w:p>
        </w:tc>
        <w:tc>
          <w:tcPr>
            <w:tcW w:w="120" w:type="dxa"/>
            <w:vAlign w:val="bottom"/>
          </w:tcPr>
          <w:p>
            <w:pPr>
              <w:spacing w:after="0"/>
              <w:rPr>
                <w:sz w:val="17"/>
                <w:szCs w:val="17"/>
                <w:color w:val="auto"/>
              </w:rPr>
            </w:pPr>
          </w:p>
        </w:tc>
        <w:tc>
          <w:tcPr>
            <w:tcW w:w="1580" w:type="dxa"/>
            <w:vAlign w:val="bottom"/>
            <w:tcBorders>
              <w:top w:val="single" w:sz="8" w:color="auto"/>
            </w:tcBorders>
          </w:tcPr>
          <w:p>
            <w:pPr>
              <w:ind w:left="13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8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11,024,507</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August 1, 2025 - August 31, 2025</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ind w:left="1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11,024,507</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September 1, 2025 - September 30, 2025</w:t>
            </w:r>
          </w:p>
        </w:tc>
        <w:tc>
          <w:tcPr>
            <w:tcW w:w="120" w:type="dxa"/>
            <w:vAlign w:val="bottom"/>
          </w:tcPr>
          <w:p>
            <w:pPr>
              <w:spacing w:after="0"/>
              <w:rPr>
                <w:sz w:val="17"/>
                <w:szCs w:val="17"/>
                <w:color w:val="auto"/>
              </w:rPr>
            </w:pPr>
          </w:p>
        </w:tc>
        <w:tc>
          <w:tcPr>
            <w:tcW w:w="1580" w:type="dxa"/>
            <w:vAlign w:val="bottom"/>
            <w:tcBorders>
              <w:bottom w:val="single" w:sz="8" w:color="auto"/>
            </w:tcBorders>
          </w:tcPr>
          <w:p>
            <w:pPr>
              <w:ind w:left="138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8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11,024,507</w:t>
            </w:r>
          </w:p>
        </w:tc>
        <w:tc>
          <w:tcPr>
            <w:tcW w:w="100" w:type="dxa"/>
            <w:vAlign w:val="bottom"/>
          </w:tcPr>
          <w:p>
            <w:pPr>
              <w:spacing w:after="0"/>
              <w:rPr>
                <w:sz w:val="17"/>
                <w:szCs w:val="17"/>
                <w:color w:val="auto"/>
              </w:rPr>
            </w:pPr>
          </w:p>
        </w:tc>
      </w:tr>
      <w:tr>
        <w:trPr>
          <w:trHeight w:val="236"/>
        </w:trPr>
        <w:tc>
          <w:tcPr>
            <w:tcW w:w="4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ind w:left="138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5. Other Information</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jc w:val="center"/>
        <w:ind w:right="-19"/>
        <w:spacing w:after="0" w:line="225" w:lineRule="auto"/>
        <w:rPr>
          <w:sz w:val="20"/>
          <w:szCs w:val="20"/>
          <w:color w:val="auto"/>
        </w:rPr>
      </w:pPr>
      <w:r>
        <w:rPr>
          <w:rFonts w:ascii="Arial" w:cs="Arial" w:eastAsia="Arial" w:hAnsi="Arial"/>
          <w:sz w:val="20"/>
          <w:szCs w:val="20"/>
          <w:color w:val="auto"/>
        </w:rPr>
        <w:t>For the Quarter Ended September 30, 2025</w:t>
      </w:r>
    </w:p>
    <w:p>
      <w:pPr>
        <w:jc w:val="center"/>
        <w:ind w:right="-19"/>
        <w:spacing w:after="0" w:line="225" w:lineRule="auto"/>
        <w:rPr>
          <w:sz w:val="20"/>
          <w:szCs w:val="20"/>
          <w:color w:val="auto"/>
        </w:rPr>
      </w:pPr>
      <w:r>
        <w:rPr>
          <w:rFonts w:ascii="Arial" w:cs="Arial" w:eastAsia="Arial" w:hAnsi="Arial"/>
          <w:sz w:val="20"/>
          <w:szCs w:val="20"/>
          <w:color w:val="auto"/>
        </w:rPr>
        <w:t>PART II. OTHER INFORMATION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ectPr>
          <w:pgSz w:w="11900" w:h="16838" w:orient="portrait"/>
          <w:cols w:equalWidth="0" w:num="1">
            <w:col w:w="11220"/>
          </w:cols>
          <w:pgMar w:left="320" w:top="766" w:right="359" w:bottom="1440" w:gutter="0" w:footer="0" w:header="0"/>
        </w:sect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147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31.01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14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143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62490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Certification dated November 4, 2025 of Chief Executive Officer pursuant to Securities and Exchange Act of 1934 Rule 13a-14 as adopted pursuant to Section 302 of the Sarbanes-Oxley Act of 2002</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Certification dated November 4, 2025 of Chief Financial Officer pursuant to Securities and Exchange Act of 1934 Rule 13a-14 as adopted pursuant to Section 302 of the Sarbanes-Oxley Act of 2002</w:t>
      </w:r>
    </w:p>
    <w:p>
      <w:pPr>
        <w:spacing w:after="0" w:line="42" w:lineRule="exact"/>
        <w:rPr>
          <w:sz w:val="20"/>
          <w:szCs w:val="20"/>
          <w:color w:val="auto"/>
        </w:rPr>
      </w:pPr>
    </w:p>
    <w:p>
      <w:pPr>
        <w:sectPr>
          <w:pgSz w:w="11900" w:h="16838" w:orient="portrait"/>
          <w:cols w:equalWidth="0" w:num="2">
            <w:col w:w="1120" w:space="280"/>
            <w:col w:w="9820"/>
          </w:cols>
          <w:pgMar w:left="320" w:top="766" w:right="3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jc w:val="right"/>
              <w:ind w:right="460"/>
              <w:spacing w:after="0"/>
              <w:rPr>
                <w:sz w:val="20"/>
                <w:szCs w:val="20"/>
                <w:color w:val="auto"/>
              </w:rPr>
            </w:pPr>
            <w:r>
              <w:rPr>
                <w:rFonts w:ascii="Arial" w:cs="Arial" w:eastAsia="Arial" w:hAnsi="Arial"/>
                <w:sz w:val="20"/>
                <w:szCs w:val="20"/>
                <w:color w:val="0000FF"/>
                <w:w w:val="95"/>
              </w:rPr>
              <w:t>32.</w:t>
            </w:r>
            <w:r>
              <w:rPr>
                <w:rFonts w:ascii="Arial" w:cs="Arial" w:eastAsia="Arial" w:hAnsi="Arial"/>
                <w:sz w:val="20"/>
                <w:szCs w:val="20"/>
                <w:u w:val="single" w:color="auto"/>
                <w:color w:val="0000FF"/>
                <w:w w:val="95"/>
              </w:rPr>
              <w:t>01</w:t>
            </w:r>
          </w:p>
        </w:tc>
        <w:tc>
          <w:tcPr>
            <w:tcW w:w="10260" w:type="dxa"/>
            <w:vAlign w:val="bottom"/>
          </w:tcPr>
          <w:p>
            <w:pPr>
              <w:ind w:left="440"/>
              <w:spacing w:after="0"/>
              <w:rPr>
                <w:sz w:val="20"/>
                <w:szCs w:val="20"/>
                <w:color w:val="auto"/>
              </w:rPr>
            </w:pPr>
            <w:r>
              <w:rPr>
                <w:rFonts w:ascii="Arial" w:cs="Arial" w:eastAsia="Arial" w:hAnsi="Arial"/>
                <w:sz w:val="20"/>
                <w:szCs w:val="20"/>
                <w:color w:val="auto"/>
              </w:rPr>
              <w:t>Written Statement dated November 4, 2025 of Chief Executive Officer required by 18 U.S.C. 1350, as adopted</w:t>
            </w:r>
          </w:p>
        </w:tc>
      </w:tr>
      <w:tr>
        <w:trPr>
          <w:trHeight w:val="247"/>
        </w:trPr>
        <w:tc>
          <w:tcPr>
            <w:tcW w:w="50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10260" w:type="dxa"/>
            <w:vAlign w:val="bottom"/>
          </w:tcPr>
          <w:p>
            <w:pPr>
              <w:ind w:left="440"/>
              <w:spacing w:after="0"/>
              <w:rPr>
                <w:sz w:val="20"/>
                <w:szCs w:val="20"/>
                <w:color w:val="auto"/>
              </w:rPr>
            </w:pPr>
            <w:r>
              <w:rPr>
                <w:rFonts w:ascii="Arial" w:cs="Arial" w:eastAsia="Arial" w:hAnsi="Arial"/>
                <w:sz w:val="20"/>
                <w:szCs w:val="20"/>
                <w:color w:val="auto"/>
              </w:rPr>
              <w:t>pursuant to Section 906 of the Sarbanes-Oxley Act of 2002</w:t>
            </w:r>
          </w:p>
        </w:tc>
      </w:tr>
      <w:tr>
        <w:trPr>
          <w:trHeight w:val="287"/>
        </w:trPr>
        <w:tc>
          <w:tcPr>
            <w:tcW w:w="960" w:type="dxa"/>
            <w:vAlign w:val="bottom"/>
            <w:gridSpan w:val="2"/>
          </w:tcPr>
          <w:p>
            <w:pPr>
              <w:jc w:val="right"/>
              <w:ind w:right="460"/>
              <w:spacing w:after="0"/>
              <w:rPr>
                <w:sz w:val="20"/>
                <w:szCs w:val="20"/>
                <w:color w:val="auto"/>
              </w:rPr>
            </w:pPr>
            <w:r>
              <w:rPr>
                <w:rFonts w:ascii="Arial" w:cs="Arial" w:eastAsia="Arial" w:hAnsi="Arial"/>
                <w:sz w:val="20"/>
                <w:szCs w:val="20"/>
                <w:color w:val="0000FF"/>
                <w:w w:val="95"/>
              </w:rPr>
              <w:t>32.</w:t>
            </w:r>
            <w:r>
              <w:rPr>
                <w:rFonts w:ascii="Arial" w:cs="Arial" w:eastAsia="Arial" w:hAnsi="Arial"/>
                <w:sz w:val="20"/>
                <w:szCs w:val="20"/>
                <w:u w:val="single" w:color="auto"/>
                <w:color w:val="0000FF"/>
                <w:w w:val="95"/>
              </w:rPr>
              <w:t>02</w:t>
            </w:r>
          </w:p>
        </w:tc>
        <w:tc>
          <w:tcPr>
            <w:tcW w:w="10260" w:type="dxa"/>
            <w:vAlign w:val="bottom"/>
          </w:tcPr>
          <w:p>
            <w:pPr>
              <w:ind w:left="440"/>
              <w:spacing w:after="0"/>
              <w:rPr>
                <w:sz w:val="20"/>
                <w:szCs w:val="20"/>
                <w:color w:val="auto"/>
              </w:rPr>
            </w:pPr>
            <w:r>
              <w:rPr>
                <w:rFonts w:ascii="Arial" w:cs="Arial" w:eastAsia="Arial" w:hAnsi="Arial"/>
                <w:sz w:val="20"/>
                <w:szCs w:val="20"/>
                <w:color w:val="auto"/>
              </w:rPr>
              <w:t>Written Statement dated November 4, 2025 of Chief Financial Officer required by 18 U.S.C. 1350, as adopted</w:t>
            </w:r>
          </w:p>
        </w:tc>
      </w:tr>
      <w:tr>
        <w:trPr>
          <w:trHeight w:val="247"/>
        </w:trPr>
        <w:tc>
          <w:tcPr>
            <w:tcW w:w="50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10260" w:type="dxa"/>
            <w:vAlign w:val="bottom"/>
          </w:tcPr>
          <w:p>
            <w:pPr>
              <w:ind w:left="440"/>
              <w:spacing w:after="0"/>
              <w:rPr>
                <w:sz w:val="20"/>
                <w:szCs w:val="20"/>
                <w:color w:val="auto"/>
              </w:rPr>
            </w:pPr>
            <w:r>
              <w:rPr>
                <w:rFonts w:ascii="Arial" w:cs="Arial" w:eastAsia="Arial" w:hAnsi="Arial"/>
                <w:sz w:val="20"/>
                <w:szCs w:val="20"/>
                <w:color w:val="auto"/>
              </w:rPr>
              <w:t>pursuant to Section 906 of the Sarbanes-Oxley Act of 2002</w:t>
            </w:r>
          </w:p>
        </w:tc>
      </w:tr>
    </w:tbl>
    <w:p>
      <w:pPr>
        <w:spacing w:after="0" w:line="76" w:lineRule="exact"/>
        <w:rPr>
          <w:sz w:val="20"/>
          <w:szCs w:val="20"/>
          <w:color w:val="auto"/>
        </w:rPr>
      </w:pPr>
    </w:p>
    <w:p>
      <w:pPr>
        <w:ind w:left="1400" w:hanging="1392"/>
        <w:spacing w:after="0"/>
        <w:tabs>
          <w:tab w:leader="none" w:pos="1400" w:val="left"/>
        </w:tabs>
        <w:numPr>
          <w:ilvl w:val="0"/>
          <w:numId w:val="14"/>
        </w:numPr>
        <w:rPr>
          <w:rFonts w:ascii="Arial" w:cs="Arial" w:eastAsia="Arial" w:hAnsi="Arial"/>
          <w:sz w:val="20"/>
          <w:szCs w:val="20"/>
          <w:u w:val="single" w:color="auto"/>
          <w:color w:val="0000FF"/>
        </w:rPr>
      </w:pPr>
      <w:r>
        <w:rPr>
          <w:rFonts w:ascii="Arial" w:cs="Arial" w:eastAsia="Arial" w:hAnsi="Arial"/>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97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20"/>
                <w:szCs w:val="20"/>
                <w:color w:val="auto"/>
              </w:rPr>
              <w:t>101.INS</w:t>
            </w:r>
          </w:p>
        </w:tc>
        <w:tc>
          <w:tcPr>
            <w:tcW w:w="10120" w:type="dxa"/>
            <w:vAlign w:val="bottom"/>
          </w:tcPr>
          <w:p>
            <w:pPr>
              <w:ind w:left="300"/>
              <w:spacing w:after="0"/>
              <w:rPr>
                <w:sz w:val="20"/>
                <w:szCs w:val="20"/>
                <w:color w:val="auto"/>
              </w:rPr>
            </w:pPr>
            <w:r>
              <w:rPr>
                <w:rFonts w:ascii="Arial" w:cs="Arial" w:eastAsia="Arial" w:hAnsi="Arial"/>
                <w:sz w:val="20"/>
                <w:szCs w:val="20"/>
                <w:color w:val="auto"/>
                <w:w w:val="99"/>
              </w:rPr>
              <w:t>Inline XBRL Instance Document – The instance document does not appear in the Interactive Data File because</w:t>
            </w:r>
          </w:p>
        </w:tc>
      </w:tr>
      <w:tr>
        <w:trPr>
          <w:trHeight w:val="261"/>
        </w:trPr>
        <w:tc>
          <w:tcPr>
            <w:tcW w:w="1100" w:type="dxa"/>
            <w:vAlign w:val="bottom"/>
          </w:tcPr>
          <w:p>
            <w:pPr>
              <w:spacing w:after="0"/>
              <w:rPr>
                <w:sz w:val="22"/>
                <w:szCs w:val="22"/>
                <w:color w:val="auto"/>
              </w:rPr>
            </w:pPr>
          </w:p>
        </w:tc>
        <w:tc>
          <w:tcPr>
            <w:tcW w:w="10120" w:type="dxa"/>
            <w:vAlign w:val="bottom"/>
          </w:tcPr>
          <w:p>
            <w:pPr>
              <w:ind w:left="300"/>
              <w:spacing w:after="0"/>
              <w:rPr>
                <w:sz w:val="20"/>
                <w:szCs w:val="20"/>
                <w:color w:val="auto"/>
              </w:rPr>
            </w:pPr>
            <w:r>
              <w:rPr>
                <w:rFonts w:ascii="Arial" w:cs="Arial" w:eastAsia="Arial" w:hAnsi="Arial"/>
                <w:sz w:val="20"/>
                <w:szCs w:val="20"/>
                <w:color w:val="auto"/>
              </w:rPr>
              <w:t>its XBRL tags are embedded within the Inline XBRL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101.SCH</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Schema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101.CAL</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101.LAB</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101.PRE</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101.DEF</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76" w:lineRule="exact"/>
        <w:rPr>
          <w:sz w:val="20"/>
          <w:szCs w:val="20"/>
          <w:color w:val="auto"/>
        </w:rPr>
      </w:pPr>
    </w:p>
    <w:p>
      <w:pPr>
        <w:ind w:left="1400" w:hanging="1392"/>
        <w:spacing w:after="0"/>
        <w:tabs>
          <w:tab w:leader="none" w:pos="1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5000"/>
        <w:spacing w:after="0"/>
        <w:rPr>
          <w:rFonts w:ascii="Arial" w:cs="Arial" w:eastAsia="Arial" w:hAnsi="Arial"/>
          <w:sz w:val="20"/>
          <w:szCs w:val="20"/>
          <w:color w:val="auto"/>
        </w:rPr>
      </w:pPr>
      <w:r>
        <w:rPr>
          <w:rFonts w:ascii="Arial" w:cs="Arial" w:eastAsia="Arial" w:hAnsi="Arial"/>
          <w:sz w:val="20"/>
          <w:szCs w:val="20"/>
          <w:color w:val="auto"/>
        </w:rPr>
        <w:t>Page 42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color w:val="auto"/>
        </w:rPr>
        <w:t>SIGNATURES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MARTIN MARIETTA MATERIALS, INC.</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(Registrant)</w:t>
      </w:r>
    </w:p>
    <w:p>
      <w:pPr>
        <w:spacing w:after="0" w:line="184" w:lineRule="exact"/>
        <w:rPr>
          <w:sz w:val="20"/>
          <w:szCs w:val="20"/>
          <w:color w:val="auto"/>
        </w:rPr>
      </w:pPr>
    </w:p>
    <w:p>
      <w:pPr>
        <w:spacing w:after="0"/>
        <w:tabs>
          <w:tab w:leader="none" w:pos="5720" w:val="left"/>
        </w:tabs>
        <w:rPr>
          <w:sz w:val="20"/>
          <w:szCs w:val="20"/>
          <w:color w:val="auto"/>
        </w:rPr>
      </w:pPr>
      <w:r>
        <w:rPr>
          <w:rFonts w:ascii="Arial" w:cs="Arial" w:eastAsia="Arial" w:hAnsi="Arial"/>
          <w:sz w:val="20"/>
          <w:szCs w:val="20"/>
          <w:color w:val="auto"/>
        </w:rPr>
        <w:t>Date: November 4, 2025</w:t>
      </w:r>
      <w:r>
        <w:rPr>
          <w:sz w:val="20"/>
          <w:szCs w:val="20"/>
          <w:color w:val="auto"/>
        </w:rPr>
        <w:tab/>
      </w:r>
      <w:r>
        <w:rPr>
          <w:rFonts w:ascii="Arial" w:cs="Arial" w:eastAsia="Arial" w:hAnsi="Arial"/>
          <w:sz w:val="20"/>
          <w:szCs w:val="20"/>
          <w:color w:val="auto"/>
        </w:rPr>
        <w:t>By:  /s/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5080</wp:posOffset>
            </wp:positionV>
            <wp:extent cx="32061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0"/>
          <w:szCs w:val="20"/>
          <w:color w:val="auto"/>
        </w:rPr>
        <w:t>Michael J. Petro</w:t>
      </w:r>
    </w:p>
    <w:p>
      <w:pPr>
        <w:ind w:left="6200"/>
        <w:spacing w:after="0" w:line="225" w:lineRule="auto"/>
        <w:rPr>
          <w:sz w:val="20"/>
          <w:szCs w:val="20"/>
          <w:color w:val="auto"/>
        </w:rPr>
      </w:pPr>
      <w:r>
        <w:rPr>
          <w:rFonts w:ascii="Arial" w:cs="Arial" w:eastAsia="Arial" w:hAnsi="Arial"/>
          <w:sz w:val="20"/>
          <w:szCs w:val="20"/>
          <w:color w:val="auto"/>
        </w:rPr>
        <w:t>Senior Vice President and Chief Financial Officer</w:t>
      </w:r>
    </w:p>
    <w:p>
      <w:pPr>
        <w:ind w:left="6200"/>
        <w:spacing w:after="0"/>
        <w:rPr>
          <w:sz w:val="20"/>
          <w:szCs w:val="20"/>
          <w:color w:val="auto"/>
        </w:rPr>
      </w:pPr>
      <w:r>
        <w:rPr>
          <w:rFonts w:ascii="Arial" w:cs="Arial" w:eastAsia="Arial" w:hAnsi="Arial"/>
          <w:sz w:val="20"/>
          <w:szCs w:val="20"/>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18"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02" w:lineRule="exact"/>
        <w:rPr>
          <w:sz w:val="20"/>
          <w:szCs w:val="20"/>
          <w:color w:val="auto"/>
        </w:rPr>
      </w:pPr>
    </w:p>
    <w:p>
      <w:pPr>
        <w:ind w:left="1140" w:hanging="383"/>
        <w:spacing w:after="0"/>
        <w:tabs>
          <w:tab w:leader="none" w:pos="1140" w:val="left"/>
        </w:tabs>
        <w:numPr>
          <w:ilvl w:val="0"/>
          <w:numId w:val="16"/>
        </w:numPr>
        <w:rPr>
          <w:rFonts w:ascii="Calibri" w:cs="Calibri" w:eastAsia="Calibri" w:hAnsi="Calibri"/>
          <w:sz w:val="20"/>
          <w:szCs w:val="20"/>
          <w:color w:val="auto"/>
        </w:rPr>
      </w:pPr>
      <w:r>
        <w:rPr>
          <w:rFonts w:ascii="Arial" w:cs="Arial" w:eastAsia="Arial" w:hAnsi="Arial"/>
          <w:sz w:val="20"/>
          <w:szCs w:val="20"/>
          <w:color w:val="auto"/>
        </w:rPr>
        <w:t>I have reviewed this Form 10-Q of Martin Marietta Materials, Inc.;</w:t>
      </w:r>
    </w:p>
    <w:p>
      <w:pPr>
        <w:spacing w:after="0" w:line="22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6"/>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6"/>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6"/>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3"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6"/>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6"/>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140" w:hanging="383"/>
        <w:spacing w:after="0" w:line="236" w:lineRule="auto"/>
        <w:tabs>
          <w:tab w:leader="none" w:pos="1140" w:val="left"/>
        </w:tabs>
        <w:numPr>
          <w:ilvl w:val="0"/>
          <w:numId w:val="17"/>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7"/>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Calibri" w:cs="Calibri" w:eastAsia="Calibri" w:hAnsi="Calibri"/>
          <w:sz w:val="20"/>
          <w:szCs w:val="20"/>
          <w:color w:val="auto"/>
        </w:rPr>
      </w:pPr>
    </w:p>
    <w:p>
      <w:pPr>
        <w:ind w:left="1880" w:hanging="375"/>
        <w:spacing w:after="0" w:line="243" w:lineRule="auto"/>
        <w:tabs>
          <w:tab w:leader="none" w:pos="1880" w:val="left"/>
        </w:tabs>
        <w:numPr>
          <w:ilvl w:val="1"/>
          <w:numId w:val="17"/>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400" w:lineRule="exact"/>
        <w:rPr>
          <w:sz w:val="20"/>
          <w:szCs w:val="20"/>
          <w:color w:val="auto"/>
        </w:rPr>
      </w:pPr>
    </w:p>
    <w:p>
      <w:pPr>
        <w:spacing w:after="0"/>
        <w:tabs>
          <w:tab w:leader="none" w:pos="6640" w:val="left"/>
          <w:tab w:leader="none" w:pos="7180" w:val="left"/>
        </w:tabs>
        <w:rPr>
          <w:sz w:val="20"/>
          <w:szCs w:val="20"/>
          <w:color w:val="auto"/>
        </w:rPr>
      </w:pPr>
      <w:r>
        <w:rPr>
          <w:rFonts w:ascii="Arial" w:cs="Arial" w:eastAsia="Arial" w:hAnsi="Arial"/>
          <w:sz w:val="20"/>
          <w:szCs w:val="20"/>
          <w:color w:val="auto"/>
        </w:rPr>
        <w:t>Date: November 4, 2025</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5080</wp:posOffset>
            </wp:positionV>
            <wp:extent cx="25628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20"/>
          <w:szCs w:val="20"/>
          <w:color w:val="auto"/>
        </w:rPr>
        <w:t>C. Howard Nye</w:t>
      </w:r>
    </w:p>
    <w:p>
      <w:pPr>
        <w:ind w:left="7200"/>
        <w:spacing w:after="0" w:line="225" w:lineRule="auto"/>
        <w:rPr>
          <w:sz w:val="20"/>
          <w:szCs w:val="20"/>
          <w:color w:val="auto"/>
        </w:rPr>
      </w:pPr>
      <w:r>
        <w:rPr>
          <w:rFonts w:ascii="Arial" w:cs="Arial" w:eastAsia="Arial" w:hAnsi="Arial"/>
          <w:sz w:val="20"/>
          <w:szCs w:val="20"/>
          <w:color w:val="auto"/>
        </w:rPr>
        <w:t>Chair, President and</w:t>
      </w:r>
    </w:p>
    <w:p>
      <w:pPr>
        <w:ind w:left="73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18"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I, Michael J. Petro, certify that:</w:t>
      </w:r>
    </w:p>
    <w:p>
      <w:pPr>
        <w:spacing w:after="0" w:line="202" w:lineRule="exact"/>
        <w:rPr>
          <w:sz w:val="20"/>
          <w:szCs w:val="20"/>
          <w:color w:val="auto"/>
        </w:rPr>
      </w:pPr>
    </w:p>
    <w:p>
      <w:pPr>
        <w:ind w:left="1140" w:hanging="383"/>
        <w:spacing w:after="0"/>
        <w:tabs>
          <w:tab w:leader="none" w:pos="1140" w:val="left"/>
        </w:tabs>
        <w:numPr>
          <w:ilvl w:val="0"/>
          <w:numId w:val="18"/>
        </w:numPr>
        <w:rPr>
          <w:rFonts w:ascii="Calibri" w:cs="Calibri" w:eastAsia="Calibri" w:hAnsi="Calibri"/>
          <w:sz w:val="20"/>
          <w:szCs w:val="20"/>
          <w:color w:val="auto"/>
        </w:rPr>
      </w:pPr>
      <w:r>
        <w:rPr>
          <w:rFonts w:ascii="Arial" w:cs="Arial" w:eastAsia="Arial" w:hAnsi="Arial"/>
          <w:sz w:val="20"/>
          <w:szCs w:val="20"/>
          <w:color w:val="auto"/>
        </w:rPr>
        <w:t>I have reviewed this Form 10-Q of Martin Marietta Materials, Inc.;</w:t>
      </w:r>
    </w:p>
    <w:p>
      <w:pPr>
        <w:spacing w:after="0" w:line="22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18"/>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8"/>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8"/>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3"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8"/>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18"/>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140" w:hanging="383"/>
        <w:spacing w:after="0" w:line="236" w:lineRule="auto"/>
        <w:tabs>
          <w:tab w:leader="none" w:pos="1140" w:val="left"/>
        </w:tabs>
        <w:numPr>
          <w:ilvl w:val="0"/>
          <w:numId w:val="19"/>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19"/>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Calibri" w:cs="Calibri" w:eastAsia="Calibri" w:hAnsi="Calibri"/>
          <w:sz w:val="20"/>
          <w:szCs w:val="20"/>
          <w:color w:val="auto"/>
        </w:rPr>
      </w:pPr>
    </w:p>
    <w:p>
      <w:pPr>
        <w:ind w:left="1880" w:hanging="375"/>
        <w:spacing w:after="0" w:line="243" w:lineRule="auto"/>
        <w:tabs>
          <w:tab w:leader="none" w:pos="1880" w:val="left"/>
        </w:tabs>
        <w:numPr>
          <w:ilvl w:val="1"/>
          <w:numId w:val="19"/>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spacing w:after="0"/>
        <w:tabs>
          <w:tab w:leader="none" w:pos="5180" w:val="left"/>
        </w:tabs>
        <w:rPr>
          <w:sz w:val="20"/>
          <w:szCs w:val="20"/>
          <w:color w:val="auto"/>
        </w:rPr>
      </w:pPr>
      <w:r>
        <w:rPr>
          <w:rFonts w:ascii="Arial" w:cs="Arial" w:eastAsia="Arial" w:hAnsi="Arial"/>
          <w:sz w:val="20"/>
          <w:szCs w:val="20"/>
          <w:color w:val="auto"/>
        </w:rPr>
        <w:t>Date: November 4, 2025</w:t>
      </w:r>
      <w:r>
        <w:rPr>
          <w:sz w:val="20"/>
          <w:szCs w:val="20"/>
          <w:color w:val="auto"/>
        </w:rPr>
        <w:tab/>
      </w:r>
      <w:r>
        <w:rPr>
          <w:rFonts w:ascii="Arial" w:cs="Arial" w:eastAsia="Arial" w:hAnsi="Arial"/>
          <w:sz w:val="19"/>
          <w:szCs w:val="19"/>
          <w:color w:val="auto"/>
        </w:rPr>
        <w:t>By:  /s/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5080</wp:posOffset>
            </wp:positionV>
            <wp:extent cx="3566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Michael J. Petro</w:t>
      </w:r>
    </w:p>
    <w:p>
      <w:pPr>
        <w:ind w:left="5620"/>
        <w:spacing w:after="0"/>
        <w:rPr>
          <w:sz w:val="20"/>
          <w:szCs w:val="20"/>
          <w:color w:val="auto"/>
        </w:rPr>
      </w:pPr>
      <w:r>
        <w:rPr>
          <w:rFonts w:ascii="Arial" w:cs="Arial" w:eastAsia="Arial" w:hAnsi="Arial"/>
          <w:sz w:val="20"/>
          <w:szCs w:val="20"/>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32.01</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4"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In connection with the Quarterly Report on Form 10-Q for the period ended September 30, 2025 (the “Report”) of Martin Marietta Materials, Inc. (the “Registrant”), as filed with the Securities and Exchange Commission on the date hereof, I, C. Howard Nye, the Chief Executive Officer of the Registrant, certify, to the best of my knowledge, that:</w:t>
      </w:r>
    </w:p>
    <w:p>
      <w:pPr>
        <w:spacing w:after="0" w:line="171" w:lineRule="exact"/>
        <w:rPr>
          <w:sz w:val="20"/>
          <w:szCs w:val="20"/>
          <w:color w:val="auto"/>
        </w:rPr>
      </w:pPr>
    </w:p>
    <w:p>
      <w:pPr>
        <w:ind w:left="1500" w:hanging="743"/>
        <w:spacing w:after="0" w:line="243" w:lineRule="auto"/>
        <w:tabs>
          <w:tab w:leader="none" w:pos="1500" w:val="left"/>
        </w:tabs>
        <w:numPr>
          <w:ilvl w:val="0"/>
          <w:numId w:val="20"/>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7" w:lineRule="exact"/>
        <w:rPr>
          <w:rFonts w:ascii="Calibri" w:cs="Calibri" w:eastAsia="Calibri" w:hAnsi="Calibri"/>
          <w:sz w:val="20"/>
          <w:szCs w:val="20"/>
          <w:color w:val="auto"/>
        </w:rPr>
      </w:pPr>
    </w:p>
    <w:p>
      <w:pPr>
        <w:ind w:left="1500" w:hanging="743"/>
        <w:spacing w:after="0" w:line="243" w:lineRule="auto"/>
        <w:tabs>
          <w:tab w:leader="none" w:pos="1500" w:val="left"/>
        </w:tabs>
        <w:numPr>
          <w:ilvl w:val="0"/>
          <w:numId w:val="20"/>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8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ind w:left="6760"/>
        <w:spacing w:after="0" w:line="225" w:lineRule="auto"/>
        <w:rPr>
          <w:sz w:val="20"/>
          <w:szCs w:val="20"/>
          <w:color w:val="auto"/>
        </w:rPr>
      </w:pPr>
      <w:r>
        <w:rPr>
          <w:rFonts w:ascii="Arial" w:cs="Arial" w:eastAsia="Arial" w:hAnsi="Arial"/>
          <w:sz w:val="20"/>
          <w:szCs w:val="20"/>
          <w:color w:val="auto"/>
        </w:rPr>
        <w:t>Chair, President and</w:t>
      </w:r>
    </w:p>
    <w:p>
      <w:pPr>
        <w:ind w:left="6920"/>
        <w:spacing w:after="0"/>
        <w:rPr>
          <w:sz w:val="20"/>
          <w:szCs w:val="20"/>
          <w:color w:val="auto"/>
        </w:rPr>
      </w:pPr>
      <w:r>
        <w:rPr>
          <w:rFonts w:ascii="Arial" w:cs="Arial" w:eastAsia="Arial" w:hAnsi="Arial"/>
          <w:sz w:val="20"/>
          <w:szCs w:val="20"/>
          <w:color w:val="auto"/>
        </w:rPr>
        <w:t>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4, 2025</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32.02</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4"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In connection with the Quarterly Report on Form 10-Q for the period ended September 30, 2025 (the “Report”) of Martin Marietta Materials, Inc. (the “Registrant”), as filed with the Securities and Exchange Commission on the date hereof, I, Michael J. Petro, the Chief Financial Officer of the Registrant, certify, to the best of my knowledge, that:</w:t>
      </w:r>
    </w:p>
    <w:p>
      <w:pPr>
        <w:spacing w:after="0" w:line="171" w:lineRule="exact"/>
        <w:rPr>
          <w:sz w:val="20"/>
          <w:szCs w:val="20"/>
          <w:color w:val="auto"/>
        </w:rPr>
      </w:pPr>
    </w:p>
    <w:p>
      <w:pPr>
        <w:ind w:left="1500" w:hanging="743"/>
        <w:spacing w:after="0" w:line="243" w:lineRule="auto"/>
        <w:tabs>
          <w:tab w:leader="none" w:pos="1500" w:val="left"/>
        </w:tabs>
        <w:numPr>
          <w:ilvl w:val="0"/>
          <w:numId w:val="21"/>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7" w:lineRule="exact"/>
        <w:rPr>
          <w:rFonts w:ascii="Calibri" w:cs="Calibri" w:eastAsia="Calibri" w:hAnsi="Calibri"/>
          <w:sz w:val="20"/>
          <w:szCs w:val="20"/>
          <w:color w:val="auto"/>
        </w:rPr>
      </w:pPr>
    </w:p>
    <w:p>
      <w:pPr>
        <w:ind w:left="1500" w:hanging="743"/>
        <w:spacing w:after="0" w:line="243" w:lineRule="auto"/>
        <w:tabs>
          <w:tab w:leader="none" w:pos="1500" w:val="left"/>
        </w:tabs>
        <w:numPr>
          <w:ilvl w:val="0"/>
          <w:numId w:val="21"/>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8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5080</wp:posOffset>
            </wp:positionV>
            <wp:extent cx="36347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0"/>
          <w:szCs w:val="20"/>
          <w:color w:val="auto"/>
        </w:rPr>
        <w:t>Michael J. Petro</w:t>
      </w:r>
    </w:p>
    <w:p>
      <w:pPr>
        <w:ind w:left="5520"/>
        <w:spacing w:after="0"/>
        <w:rPr>
          <w:sz w:val="20"/>
          <w:szCs w:val="20"/>
          <w:color w:val="auto"/>
        </w:rPr>
      </w:pPr>
      <w:r>
        <w:rPr>
          <w:rFonts w:ascii="Arial" w:cs="Arial" w:eastAsia="Arial" w:hAnsi="Arial"/>
          <w:sz w:val="20"/>
          <w:szCs w:val="20"/>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4, 2025</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presents the following items regarding certain mining safety and health matters for the three months ended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2025:</w:t>
      </w:r>
    </w:p>
    <w:p>
      <w:pPr>
        <w:spacing w:after="0" w:line="184" w:lineRule="exact"/>
        <w:rPr>
          <w:sz w:val="20"/>
          <w:szCs w:val="20"/>
          <w:color w:val="auto"/>
        </w:rPr>
      </w:pPr>
    </w:p>
    <w:p>
      <w:pPr>
        <w:jc w:val="both"/>
        <w:ind w:left="380" w:hanging="372"/>
        <w:spacing w:after="0" w:line="246" w:lineRule="auto"/>
        <w:tabs>
          <w:tab w:leader="none" w:pos="380" w:val="left"/>
        </w:tabs>
        <w:numPr>
          <w:ilvl w:val="0"/>
          <w:numId w:val="22"/>
        </w:numPr>
        <w:rPr>
          <w:rFonts w:ascii="Times New Roman" w:cs="Times New Roman" w:eastAsia="Times New Roman" w:hAnsi="Times New Roman"/>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53" w:lineRule="exact"/>
        <w:rPr>
          <w:rFonts w:ascii="Times New Roman" w:cs="Times New Roman" w:eastAsia="Times New Roman" w:hAnsi="Times New Roman"/>
          <w:sz w:val="19"/>
          <w:szCs w:val="19"/>
          <w:b w:val="1"/>
          <w:bCs w:val="1"/>
          <w:color w:val="auto"/>
        </w:rPr>
      </w:pPr>
    </w:p>
    <w:p>
      <w:pPr>
        <w:jc w:val="both"/>
        <w:ind w:left="380" w:hanging="372"/>
        <w:spacing w:after="0" w:line="236" w:lineRule="auto"/>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8"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55" w:lineRule="exact"/>
        <w:rPr>
          <w:sz w:val="20"/>
          <w:szCs w:val="20"/>
          <w:color w:val="auto"/>
        </w:rPr>
      </w:pPr>
    </w:p>
    <w:p>
      <w:pPr>
        <w:jc w:val="both"/>
        <w:ind w:left="380" w:hanging="372"/>
        <w:spacing w:after="0" w:line="234"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penalties they have received from MSHA, or complaints of discrimination by miners under Section 105 of the Mine Act. Appendix 1 shows, for each of the Company’s quarries and mines identified, as of September 30, 2025,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61"/>
        </w:trPr>
        <w:tc>
          <w:tcPr>
            <w:tcW w:w="2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0"/>
                <w:szCs w:val="20"/>
                <w:b w:val="1"/>
                <w:bCs w:val="1"/>
                <w:color w:val="auto"/>
              </w:rPr>
              <w:t>Receiv</w:t>
            </w: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gridSpan w:val="2"/>
          </w:tcPr>
          <w:p>
            <w:pPr>
              <w:ind w:left="320"/>
              <w:spacing w:after="0"/>
              <w:rPr>
                <w:sz w:val="20"/>
                <w:szCs w:val="20"/>
                <w:color w:val="auto"/>
              </w:rPr>
            </w:pPr>
            <w:r>
              <w:rPr>
                <w:rFonts w:ascii="Arial" w:cs="Arial" w:eastAsia="Arial" w:hAnsi="Arial"/>
                <w:sz w:val="20"/>
                <w:szCs w:val="20"/>
                <w:color w:val="auto"/>
                <w:w w:val="95"/>
              </w:rPr>
              <w:t>Appendix 1</w:t>
            </w: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4"/>
              </w:rPr>
              <w:t>ed</w:t>
            </w:r>
          </w:p>
        </w:tc>
        <w:tc>
          <w:tcPr>
            <w:tcW w:w="8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Receive</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Total Notice</w:t>
            </w:r>
          </w:p>
        </w:tc>
        <w:tc>
          <w:tcPr>
            <w:tcW w:w="8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rPr>
              <w:t>Total</w:t>
            </w:r>
          </w:p>
        </w:tc>
        <w:tc>
          <w:tcPr>
            <w:tcW w:w="560" w:type="dxa"/>
            <w:vAlign w:val="bottom"/>
          </w:tcPr>
          <w:p>
            <w:pPr>
              <w:ind w:left="80"/>
              <w:spacing w:after="0" w:line="216" w:lineRule="exact"/>
              <w:rPr>
                <w:sz w:val="20"/>
                <w:szCs w:val="20"/>
                <w:color w:val="auto"/>
              </w:rPr>
            </w:pPr>
            <w:r>
              <w:rPr>
                <w:rFonts w:ascii="Arial" w:cs="Arial" w:eastAsia="Arial" w:hAnsi="Arial"/>
                <w:sz w:val="20"/>
                <w:szCs w:val="20"/>
                <w:b w:val="1"/>
                <w:bCs w:val="1"/>
                <w:color w:val="auto"/>
              </w:rPr>
              <w:t>Num</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8"/>
              </w:rPr>
              <w:t>d Notice</w:t>
            </w:r>
          </w:p>
        </w:tc>
        <w:tc>
          <w:tcPr>
            <w:tcW w:w="760" w:type="dxa"/>
            <w:vAlign w:val="bottom"/>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Legal</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ber</w:t>
            </w:r>
          </w:p>
        </w:tc>
        <w:tc>
          <w:tcPr>
            <w:tcW w:w="76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Pattern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7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Legal</w:t>
            </w:r>
          </w:p>
        </w:tc>
        <w:tc>
          <w:tcPr>
            <w:tcW w:w="620" w:type="dxa"/>
            <w:vAlign w:val="bottom"/>
            <w:vMerge w:val="continue"/>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5"/>
              </w:rPr>
              <w:t>Legal</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vMerge w:val="restart"/>
          </w:tcPr>
          <w:p>
            <w:pPr>
              <w:jc w:val="center"/>
              <w:ind w:left="41"/>
              <w:spacing w:after="0"/>
              <w:rPr>
                <w:sz w:val="20"/>
                <w:szCs w:val="20"/>
                <w:color w:val="auto"/>
              </w:rPr>
            </w:pPr>
            <w:r>
              <w:rPr>
                <w:rFonts w:ascii="Arial" w:cs="Arial" w:eastAsia="Arial" w:hAnsi="Arial"/>
                <w:sz w:val="20"/>
                <w:szCs w:val="20"/>
                <w:b w:val="1"/>
                <w:bCs w:val="1"/>
                <w:color w:val="auto"/>
                <w:w w:val="99"/>
              </w:rPr>
              <w:t>Sectio</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Dollar</w:t>
            </w:r>
          </w:p>
        </w:tc>
        <w:tc>
          <w:tcPr>
            <w:tcW w:w="5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8"/>
              </w:rPr>
              <w:t>Potentia</w:t>
            </w:r>
          </w:p>
        </w:tc>
        <w:tc>
          <w:tcPr>
            <w:tcW w:w="760" w:type="dxa"/>
            <w:vAlign w:val="bottom"/>
            <w:vMerge w:val="continue"/>
          </w:tcPr>
          <w:p>
            <w:pPr>
              <w:spacing w:after="0"/>
              <w:rPr>
                <w:sz w:val="18"/>
                <w:szCs w:val="18"/>
                <w:color w:val="auto"/>
              </w:rPr>
            </w:pP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Actio</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Sectio</w:t>
            </w:r>
          </w:p>
        </w:tc>
        <w:tc>
          <w:tcPr>
            <w:tcW w:w="680" w:type="dxa"/>
            <w:vAlign w:val="bottom"/>
          </w:tcPr>
          <w:p>
            <w:pPr>
              <w:spacing w:after="0"/>
              <w:rPr>
                <w:sz w:val="18"/>
                <w:szCs w:val="18"/>
                <w:color w:val="auto"/>
              </w:rPr>
            </w:pPr>
          </w:p>
        </w:tc>
        <w:tc>
          <w:tcPr>
            <w:tcW w:w="760" w:type="dxa"/>
            <w:vAlign w:val="bottom"/>
            <w:gridSpan w:val="2"/>
          </w:tcPr>
          <w:p>
            <w:pPr>
              <w:ind w:left="80"/>
              <w:spacing w:after="0" w:line="216" w:lineRule="exact"/>
              <w:rPr>
                <w:sz w:val="20"/>
                <w:szCs w:val="20"/>
                <w:color w:val="auto"/>
              </w:rPr>
            </w:pPr>
            <w:r>
              <w:rPr>
                <w:rFonts w:ascii="Arial" w:cs="Arial" w:eastAsia="Arial" w:hAnsi="Arial"/>
                <w:sz w:val="20"/>
                <w:szCs w:val="20"/>
                <w:b w:val="1"/>
                <w:bCs w:val="1"/>
                <w:color w:val="auto"/>
              </w:rPr>
              <w:t>Value</w:t>
            </w:r>
          </w:p>
        </w:tc>
        <w:tc>
          <w:tcPr>
            <w:tcW w:w="1320" w:type="dxa"/>
            <w:vAlign w:val="bottom"/>
            <w:gridSpan w:val="2"/>
          </w:tcPr>
          <w:p>
            <w:pPr>
              <w:ind w:left="120"/>
              <w:spacing w:after="0" w:line="216" w:lineRule="exact"/>
              <w:rPr>
                <w:sz w:val="20"/>
                <w:szCs w:val="20"/>
                <w:color w:val="auto"/>
              </w:rPr>
            </w:pPr>
            <w:r>
              <w:rPr>
                <w:rFonts w:ascii="Arial" w:cs="Arial" w:eastAsia="Arial" w:hAnsi="Arial"/>
                <w:sz w:val="20"/>
                <w:szCs w:val="20"/>
                <w:b w:val="1"/>
                <w:bCs w:val="1"/>
                <w:color w:val="auto"/>
              </w:rPr>
              <w:t>Mini Violatio</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l to</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Actions</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ns</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Action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Sectio</w:t>
            </w:r>
          </w:p>
        </w:tc>
        <w:tc>
          <w:tcPr>
            <w:tcW w:w="640" w:type="dxa"/>
            <w:vAlign w:val="bottom"/>
          </w:tcPr>
          <w:p>
            <w:pPr>
              <w:spacing w:after="0"/>
              <w:rPr>
                <w:sz w:val="18"/>
                <w:szCs w:val="18"/>
                <w:color w:val="auto"/>
              </w:rPr>
            </w:pPr>
          </w:p>
        </w:tc>
        <w:tc>
          <w:tcPr>
            <w:tcW w:w="780" w:type="dxa"/>
            <w:vAlign w:val="bottom"/>
          </w:tcPr>
          <w:p>
            <w:pPr>
              <w:jc w:val="center"/>
              <w:ind w:left="1"/>
              <w:spacing w:after="0" w:line="216" w:lineRule="exact"/>
              <w:rPr>
                <w:sz w:val="20"/>
                <w:szCs w:val="20"/>
                <w:color w:val="auto"/>
              </w:rPr>
            </w:pPr>
            <w:r>
              <w:rPr>
                <w:rFonts w:ascii="Arial" w:cs="Arial" w:eastAsia="Arial" w:hAnsi="Arial"/>
                <w:sz w:val="20"/>
                <w:szCs w:val="20"/>
                <w:b w:val="1"/>
                <w:bCs w:val="1"/>
                <w:color w:val="auto"/>
                <w:w w:val="97"/>
              </w:rPr>
              <w:t>n</w:t>
            </w:r>
          </w:p>
        </w:tc>
        <w:tc>
          <w:tcPr>
            <w:tcW w:w="7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center"/>
              <w:ind w:right="181"/>
              <w:spacing w:after="0" w:line="216" w:lineRule="exact"/>
              <w:rPr>
                <w:sz w:val="20"/>
                <w:szCs w:val="20"/>
                <w:color w:val="auto"/>
              </w:rPr>
            </w:pPr>
            <w:r>
              <w:rPr>
                <w:rFonts w:ascii="Arial" w:cs="Arial" w:eastAsia="Arial" w:hAnsi="Arial"/>
                <w:sz w:val="20"/>
                <w:szCs w:val="20"/>
                <w:b w:val="1"/>
                <w:bCs w:val="1"/>
                <w:color w:val="auto"/>
              </w:rPr>
              <w:t>of</w:t>
            </w:r>
          </w:p>
        </w:tc>
        <w:tc>
          <w:tcPr>
            <w:tcW w:w="5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ng</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have</w:t>
            </w:r>
          </w:p>
        </w:tc>
        <w:tc>
          <w:tcPr>
            <w:tcW w:w="1380" w:type="dxa"/>
            <w:vAlign w:val="bottom"/>
            <w:gridSpan w:val="2"/>
          </w:tcPr>
          <w:p>
            <w:pPr>
              <w:ind w:left="40"/>
              <w:spacing w:after="0" w:line="216" w:lineRule="exact"/>
              <w:rPr>
                <w:sz w:val="20"/>
                <w:szCs w:val="20"/>
                <w:color w:val="auto"/>
              </w:rPr>
            </w:pPr>
            <w:r>
              <w:rPr>
                <w:rFonts w:ascii="Arial" w:cs="Arial" w:eastAsia="Arial" w:hAnsi="Arial"/>
                <w:sz w:val="20"/>
                <w:szCs w:val="20"/>
                <w:b w:val="1"/>
                <w:bCs w:val="1"/>
                <w:color w:val="auto"/>
                <w:w w:val="99"/>
              </w:rPr>
              <w:t>Pendin Institu</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89"/>
              </w:rPr>
              <w:t>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104(d)</w:t>
            </w: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n</w:t>
            </w:r>
          </w:p>
        </w:tc>
        <w:tc>
          <w:tcPr>
            <w:tcW w:w="680" w:type="dxa"/>
            <w:vAlign w:val="bottom"/>
          </w:tcPr>
          <w:p>
            <w:pPr>
              <w:spacing w:after="0"/>
              <w:rPr>
                <w:sz w:val="18"/>
                <w:szCs w:val="18"/>
                <w:color w:val="auto"/>
              </w:rPr>
            </w:pPr>
          </w:p>
        </w:tc>
        <w:tc>
          <w:tcPr>
            <w:tcW w:w="76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MSHA</w:t>
            </w:r>
          </w:p>
        </w:tc>
        <w:tc>
          <w:tcPr>
            <w:tcW w:w="132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Relat Under</w:t>
            </w:r>
          </w:p>
        </w:tc>
        <w:tc>
          <w:tcPr>
            <w:tcW w:w="820" w:type="dxa"/>
            <w:vAlign w:val="bottom"/>
          </w:tcPr>
          <w:p>
            <w:pPr>
              <w:ind w:left="40"/>
              <w:spacing w:after="0" w:line="216" w:lineRule="exact"/>
              <w:rPr>
                <w:sz w:val="20"/>
                <w:szCs w:val="20"/>
                <w:color w:val="auto"/>
              </w:rPr>
            </w:pPr>
            <w:r>
              <w:rPr>
                <w:rFonts w:ascii="Arial" w:cs="Arial" w:eastAsia="Arial" w:hAnsi="Arial"/>
                <w:sz w:val="20"/>
                <w:szCs w:val="20"/>
                <w:b w:val="1"/>
                <w:bCs w:val="1"/>
                <w:color w:val="auto"/>
              </w:rPr>
              <w:t>Pattern</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g as of</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3"/>
              </w:rPr>
              <w:t>ted</w:t>
            </w:r>
          </w:p>
        </w:tc>
        <w:tc>
          <w:tcPr>
            <w:tcW w:w="68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7"/>
              </w:rPr>
              <w:t>Resolv</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n 104</w:t>
            </w:r>
          </w:p>
        </w:tc>
        <w:tc>
          <w:tcPr>
            <w:tcW w:w="3560" w:type="dxa"/>
            <w:vAlign w:val="bottom"/>
            <w:gridSpan w:val="6"/>
          </w:tcPr>
          <w:p>
            <w:pPr>
              <w:jc w:val="center"/>
              <w:spacing w:after="0" w:line="216" w:lineRule="exact"/>
              <w:rPr>
                <w:sz w:val="20"/>
                <w:szCs w:val="20"/>
                <w:color w:val="auto"/>
              </w:rPr>
            </w:pPr>
            <w:r>
              <w:rPr>
                <w:rFonts w:ascii="Arial" w:cs="Arial" w:eastAsia="Arial" w:hAnsi="Arial"/>
                <w:sz w:val="20"/>
                <w:szCs w:val="20"/>
                <w:b w:val="1"/>
                <w:bCs w:val="1"/>
                <w:color w:val="auto"/>
                <w:w w:val="98"/>
              </w:rPr>
              <w:t>Section Citatio 110(b) Section Asses</w:t>
            </w:r>
          </w:p>
        </w:tc>
        <w:tc>
          <w:tcPr>
            <w:tcW w:w="5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ed</w:t>
            </w:r>
          </w:p>
        </w:tc>
        <w:tc>
          <w:tcPr>
            <w:tcW w:w="76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9"/>
              </w:rPr>
              <w:t>Section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under</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Last</w:t>
            </w:r>
          </w:p>
        </w:tc>
        <w:tc>
          <w:tcPr>
            <w:tcW w:w="62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Durin</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4"/>
              </w:rPr>
              <w:t>ed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S&amp;S</w:t>
            </w:r>
          </w:p>
        </w:tc>
        <w:tc>
          <w:tcPr>
            <w:tcW w:w="1420" w:type="dxa"/>
            <w:vAlign w:val="bottom"/>
            <w:gridSpan w:val="2"/>
          </w:tcPr>
          <w:p>
            <w:pPr>
              <w:jc w:val="center"/>
              <w:spacing w:after="0" w:line="216" w:lineRule="exact"/>
              <w:rPr>
                <w:sz w:val="20"/>
                <w:szCs w:val="20"/>
                <w:color w:val="auto"/>
              </w:rPr>
            </w:pPr>
            <w:r>
              <w:rPr>
                <w:rFonts w:ascii="Arial" w:cs="Arial" w:eastAsia="Arial" w:hAnsi="Arial"/>
                <w:sz w:val="20"/>
                <w:szCs w:val="20"/>
                <w:b w:val="1"/>
                <w:bCs w:val="1"/>
                <w:color w:val="auto"/>
              </w:rPr>
              <w:t>104(b) ns and</w:t>
            </w: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(2)</w:t>
            </w:r>
          </w:p>
        </w:tc>
        <w:tc>
          <w:tcPr>
            <w:tcW w:w="680" w:type="dxa"/>
            <w:vAlign w:val="bottom"/>
          </w:tcPr>
          <w:p>
            <w:pPr>
              <w:ind w:left="40"/>
              <w:spacing w:after="0" w:line="216" w:lineRule="exact"/>
              <w:rPr>
                <w:sz w:val="20"/>
                <w:szCs w:val="20"/>
                <w:color w:val="auto"/>
              </w:rPr>
            </w:pPr>
            <w:r>
              <w:rPr>
                <w:rFonts w:ascii="Arial" w:cs="Arial" w:eastAsia="Arial" w:hAnsi="Arial"/>
                <w:sz w:val="20"/>
                <w:szCs w:val="20"/>
                <w:b w:val="1"/>
                <w:bCs w:val="1"/>
                <w:color w:val="auto"/>
              </w:rPr>
              <w:t>107(a)</w:t>
            </w:r>
          </w:p>
        </w:tc>
        <w:tc>
          <w:tcPr>
            <w:tcW w:w="760" w:type="dxa"/>
            <w:vAlign w:val="bottom"/>
            <w:gridSpan w:val="2"/>
          </w:tcPr>
          <w:p>
            <w:pPr>
              <w:ind w:left="40"/>
              <w:spacing w:after="0" w:line="216" w:lineRule="exact"/>
              <w:rPr>
                <w:sz w:val="20"/>
                <w:szCs w:val="20"/>
                <w:color w:val="auto"/>
              </w:rPr>
            </w:pPr>
            <w:r>
              <w:rPr>
                <w:rFonts w:ascii="Arial" w:cs="Arial" w:eastAsia="Arial" w:hAnsi="Arial"/>
                <w:sz w:val="20"/>
                <w:szCs w:val="20"/>
                <w:b w:val="1"/>
                <w:bCs w:val="1"/>
                <w:color w:val="auto"/>
              </w:rPr>
              <w:t>sment/</w:t>
            </w:r>
          </w:p>
        </w:tc>
        <w:tc>
          <w:tcPr>
            <w:tcW w:w="1320" w:type="dxa"/>
            <w:vAlign w:val="bottom"/>
            <w:gridSpan w:val="2"/>
          </w:tcPr>
          <w:p>
            <w:pPr>
              <w:ind w:left="80"/>
              <w:spacing w:after="0" w:line="216" w:lineRule="exact"/>
              <w:rPr>
                <w:sz w:val="20"/>
                <w:szCs w:val="20"/>
                <w:color w:val="auto"/>
              </w:rPr>
            </w:pPr>
            <w:r>
              <w:rPr>
                <w:rFonts w:ascii="Arial" w:cs="Arial" w:eastAsia="Arial" w:hAnsi="Arial"/>
                <w:sz w:val="20"/>
                <w:szCs w:val="20"/>
                <w:b w:val="1"/>
                <w:bCs w:val="1"/>
                <w:color w:val="auto"/>
              </w:rPr>
              <w:t>Fatal 104(e)</w:t>
            </w:r>
          </w:p>
        </w:tc>
        <w:tc>
          <w:tcPr>
            <w:tcW w:w="820" w:type="dxa"/>
            <w:vAlign w:val="bottom"/>
          </w:tcPr>
          <w:p>
            <w:pPr>
              <w:ind w:left="40"/>
              <w:spacing w:after="0" w:line="216" w:lineRule="exact"/>
              <w:rPr>
                <w:sz w:val="20"/>
                <w:szCs w:val="20"/>
                <w:color w:val="auto"/>
              </w:rPr>
            </w:pPr>
            <w:r>
              <w:rPr>
                <w:rFonts w:ascii="Arial" w:cs="Arial" w:eastAsia="Arial" w:hAnsi="Arial"/>
                <w:sz w:val="20"/>
                <w:szCs w:val="20"/>
                <w:b w:val="1"/>
                <w:bCs w:val="1"/>
                <w:color w:val="auto"/>
              </w:rPr>
              <w:t>Section</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Day of</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g</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During</w:t>
            </w:r>
          </w:p>
        </w:tc>
        <w:tc>
          <w:tcPr>
            <w:tcW w:w="0" w:type="dxa"/>
            <w:vAlign w:val="bottom"/>
          </w:tcPr>
          <w:p>
            <w:pPr>
              <w:spacing w:after="0"/>
              <w:rPr>
                <w:sz w:val="1"/>
                <w:szCs w:val="1"/>
                <w:color w:val="auto"/>
              </w:rPr>
            </w:pPr>
          </w:p>
        </w:tc>
      </w:tr>
      <w:tr>
        <w:trPr>
          <w:trHeight w:val="216"/>
        </w:trPr>
        <w:tc>
          <w:tcPr>
            <w:tcW w:w="2140" w:type="dxa"/>
            <w:vAlign w:val="bottom"/>
            <w:vMerge w:val="restart"/>
          </w:tcPr>
          <w:p>
            <w:pPr>
              <w:ind w:left="680"/>
              <w:spacing w:after="0"/>
              <w:rPr>
                <w:sz w:val="20"/>
                <w:szCs w:val="20"/>
                <w:color w:val="auto"/>
              </w:rPr>
            </w:pPr>
            <w:r>
              <w:rPr>
                <w:rFonts w:ascii="Arial" w:cs="Arial" w:eastAsia="Arial" w:hAnsi="Arial"/>
                <w:sz w:val="20"/>
                <w:szCs w:val="20"/>
                <w:b w:val="1"/>
                <w:bCs w:val="1"/>
                <w:color w:val="auto"/>
              </w:rPr>
              <w:t>Location</w:t>
            </w:r>
          </w:p>
        </w:tc>
        <w:tc>
          <w:tcPr>
            <w:tcW w:w="4140" w:type="dxa"/>
            <w:vAlign w:val="bottom"/>
            <w:gridSpan w:val="6"/>
          </w:tcPr>
          <w:p>
            <w:pPr>
              <w:jc w:val="center"/>
              <w:spacing w:after="0" w:line="216" w:lineRule="exact"/>
              <w:rPr>
                <w:sz w:val="20"/>
                <w:szCs w:val="20"/>
                <w:color w:val="auto"/>
              </w:rPr>
            </w:pPr>
            <w:r>
              <w:rPr>
                <w:rFonts w:ascii="Arial" w:cs="Arial" w:eastAsia="Arial" w:hAnsi="Arial"/>
                <w:sz w:val="20"/>
                <w:szCs w:val="20"/>
                <w:b w:val="1"/>
                <w:bCs w:val="1"/>
                <w:color w:val="auto"/>
              </w:rPr>
              <w:t>MSHA Citatio Orders Orders Violati Orders</w:t>
            </w:r>
          </w:p>
        </w:tc>
        <w:tc>
          <w:tcPr>
            <w:tcW w:w="760" w:type="dxa"/>
            <w:vAlign w:val="bottom"/>
            <w:gridSpan w:val="2"/>
          </w:tcPr>
          <w:p>
            <w:pPr>
              <w:ind w:left="80"/>
              <w:spacing w:after="0" w:line="216" w:lineRule="exact"/>
              <w:rPr>
                <w:sz w:val="20"/>
                <w:szCs w:val="20"/>
                <w:color w:val="auto"/>
              </w:rPr>
            </w:pPr>
            <w:r>
              <w:rPr>
                <w:rFonts w:ascii="Arial" w:cs="Arial" w:eastAsia="Arial" w:hAnsi="Arial"/>
                <w:sz w:val="20"/>
                <w:szCs w:val="20"/>
                <w:b w:val="1"/>
                <w:bCs w:val="1"/>
                <w:color w:val="auto"/>
              </w:rPr>
              <w:t>$Prop</w:t>
            </w:r>
          </w:p>
        </w:tc>
        <w:tc>
          <w:tcPr>
            <w:tcW w:w="560" w:type="dxa"/>
            <w:vAlign w:val="bottom"/>
          </w:tcPr>
          <w:p>
            <w:pPr>
              <w:ind w:left="80"/>
              <w:spacing w:after="0" w:line="216" w:lineRule="exact"/>
              <w:rPr>
                <w:sz w:val="20"/>
                <w:szCs w:val="20"/>
                <w:color w:val="auto"/>
              </w:rPr>
            </w:pPr>
            <w:r>
              <w:rPr>
                <w:rFonts w:ascii="Arial" w:cs="Arial" w:eastAsia="Arial" w:hAnsi="Arial"/>
                <w:sz w:val="20"/>
                <w:szCs w:val="20"/>
                <w:b w:val="1"/>
                <w:bCs w:val="1"/>
                <w:color w:val="auto"/>
              </w:rPr>
              <w:t>ities</w:t>
            </w:r>
          </w:p>
        </w:tc>
        <w:tc>
          <w:tcPr>
            <w:tcW w:w="760" w:type="dxa"/>
            <w:vAlign w:val="bottom"/>
          </w:tcPr>
          <w:p>
            <w:pPr>
              <w:ind w:left="40"/>
              <w:spacing w:after="0" w:line="216" w:lineRule="exact"/>
              <w:rPr>
                <w:sz w:val="20"/>
                <w:szCs w:val="20"/>
                <w:color w:val="auto"/>
              </w:rPr>
            </w:pPr>
            <w:r>
              <w:rPr>
                <w:rFonts w:ascii="Arial" w:cs="Arial" w:eastAsia="Arial" w:hAnsi="Arial"/>
                <w:sz w:val="20"/>
                <w:szCs w:val="20"/>
                <w:b w:val="1"/>
                <w:bCs w:val="1"/>
                <w:color w:val="auto"/>
                <w:w w:val="99"/>
              </w:rPr>
              <w:t>(yes/no</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104(e)</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Period</w:t>
            </w:r>
          </w:p>
        </w:tc>
        <w:tc>
          <w:tcPr>
            <w:tcW w:w="130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Perio Period</w:t>
            </w:r>
          </w:p>
        </w:tc>
        <w:tc>
          <w:tcPr>
            <w:tcW w:w="0" w:type="dxa"/>
            <w:vAlign w:val="bottom"/>
          </w:tcPr>
          <w:p>
            <w:pPr>
              <w:spacing w:after="0"/>
              <w:rPr>
                <w:sz w:val="1"/>
                <w:szCs w:val="1"/>
                <w:color w:val="auto"/>
              </w:rPr>
            </w:pPr>
          </w:p>
        </w:tc>
      </w:tr>
      <w:tr>
        <w:trPr>
          <w:trHeight w:val="240"/>
        </w:trPr>
        <w:tc>
          <w:tcPr>
            <w:tcW w:w="2140" w:type="dxa"/>
            <w:vAlign w:val="bottom"/>
            <w:vMerge w:val="continue"/>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20"/>
                <w:szCs w:val="20"/>
                <w:b w:val="1"/>
                <w:bCs w:val="1"/>
                <w:color w:val="auto"/>
              </w:rPr>
              <w:t>ID</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7"/>
              </w:rPr>
              <w:t>ns (#)</w:t>
            </w:r>
          </w:p>
        </w:tc>
        <w:tc>
          <w:tcPr>
            <w:tcW w:w="640" w:type="dxa"/>
            <w:vAlign w:val="bottom"/>
          </w:tcPr>
          <w:p>
            <w:pPr>
              <w:jc w:val="center"/>
              <w:ind w:left="61"/>
              <w:spacing w:after="0"/>
              <w:rPr>
                <w:sz w:val="20"/>
                <w:szCs w:val="20"/>
                <w:color w:val="auto"/>
              </w:rPr>
            </w:pPr>
            <w:r>
              <w:rPr>
                <w:rFonts w:ascii="Arial" w:cs="Arial" w:eastAsia="Arial" w:hAnsi="Arial"/>
                <w:sz w:val="20"/>
                <w:szCs w:val="20"/>
                <w:b w:val="1"/>
                <w:bCs w:val="1"/>
                <w:color w:val="auto"/>
                <w:w w:val="97"/>
              </w:rPr>
              <w:t>(#)</w:t>
            </w:r>
          </w:p>
        </w:tc>
        <w:tc>
          <w:tcPr>
            <w:tcW w:w="780" w:type="dxa"/>
            <w:vAlign w:val="bottom"/>
          </w:tcPr>
          <w:p>
            <w:pPr>
              <w:jc w:val="center"/>
              <w:ind w:left="41"/>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rPr>
              <w:t>ons (#)</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osed</w:t>
            </w:r>
          </w:p>
        </w:tc>
        <w:tc>
          <w:tcPr>
            <w:tcW w:w="5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ind w:left="40"/>
              <w:spacing w:after="0"/>
              <w:rPr>
                <w:sz w:val="20"/>
                <w:szCs w:val="20"/>
                <w:color w:val="auto"/>
              </w:rPr>
            </w:pPr>
            <w:r>
              <w:rPr>
                <w:rFonts w:ascii="Arial" w:cs="Arial" w:eastAsia="Arial" w:hAnsi="Arial"/>
                <w:sz w:val="20"/>
                <w:szCs w:val="20"/>
                <w:b w:val="1"/>
                <w:bCs w:val="1"/>
                <w:color w:val="auto"/>
                <w:w w:val="99"/>
              </w:rPr>
              <w:t>(yes/no)</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620" w:type="dxa"/>
            <w:vAlign w:val="bottom"/>
          </w:tcPr>
          <w:p>
            <w:pPr>
              <w:jc w:val="center"/>
              <w:spacing w:after="0"/>
              <w:rPr>
                <w:sz w:val="20"/>
                <w:szCs w:val="20"/>
                <w:color w:val="auto"/>
              </w:rPr>
            </w:pPr>
            <w:r>
              <w:rPr>
                <w:rFonts w:ascii="Arial" w:cs="Arial" w:eastAsia="Arial" w:hAnsi="Arial"/>
                <w:sz w:val="20"/>
                <w:szCs w:val="20"/>
                <w:b w:val="1"/>
                <w:bCs w:val="1"/>
                <w:color w:val="auto"/>
                <w:w w:val="99"/>
              </w:rPr>
              <w:t>d (#)</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44000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Abingdon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03</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31016</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Alexander Quarry</w:t>
            </w:r>
          </w:p>
        </w:tc>
        <w:tc>
          <w:tcPr>
            <w:tcW w:w="660" w:type="dxa"/>
            <w:vAlign w:val="bottom"/>
          </w:tcPr>
          <w:p>
            <w:pPr>
              <w:ind w:left="40"/>
              <w:spacing w:after="0"/>
              <w:rPr>
                <w:sz w:val="20"/>
                <w:szCs w:val="20"/>
                <w:color w:val="auto"/>
              </w:rPr>
            </w:pPr>
            <w:r>
              <w:rPr>
                <w:rFonts w:ascii="Arial" w:cs="Arial" w:eastAsia="Arial" w:hAnsi="Arial"/>
                <w:sz w:val="20"/>
                <w:szCs w:val="20"/>
                <w:color w:val="auto"/>
              </w:rPr>
              <w:t>36</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01020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Allsboro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14</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44073</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Amelia Quarry</w:t>
            </w:r>
          </w:p>
        </w:tc>
        <w:tc>
          <w:tcPr>
            <w:tcW w:w="660" w:type="dxa"/>
            <w:vAlign w:val="bottom"/>
          </w:tcPr>
          <w:p>
            <w:pPr>
              <w:ind w:left="40"/>
              <w:spacing w:after="0"/>
              <w:rPr>
                <w:sz w:val="20"/>
                <w:szCs w:val="20"/>
                <w:color w:val="auto"/>
              </w:rPr>
            </w:pPr>
            <w:r>
              <w:rPr>
                <w:rFonts w:ascii="Arial" w:cs="Arial" w:eastAsia="Arial" w:hAnsi="Arial"/>
                <w:sz w:val="20"/>
                <w:szCs w:val="20"/>
                <w:color w:val="auto"/>
              </w:rPr>
              <w:t>72</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31001</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165</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American Stone</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89</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44029</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Anderson Creek Quarry</w:t>
            </w:r>
          </w:p>
        </w:tc>
        <w:tc>
          <w:tcPr>
            <w:tcW w:w="660" w:type="dxa"/>
            <w:vAlign w:val="bottom"/>
          </w:tcPr>
          <w:p>
            <w:pPr>
              <w:ind w:left="40"/>
              <w:spacing w:after="0"/>
              <w:rPr>
                <w:sz w:val="20"/>
                <w:szCs w:val="20"/>
                <w:color w:val="auto"/>
              </w:rPr>
            </w:pPr>
            <w:r>
              <w:rPr>
                <w:rFonts w:ascii="Arial" w:cs="Arial" w:eastAsia="Arial" w:hAnsi="Arial"/>
                <w:sz w:val="20"/>
                <w:szCs w:val="20"/>
                <w:color w:val="auto"/>
              </w:rPr>
              <w:t>63</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09010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83</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151</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Arrowood Quarry</w:t>
            </w:r>
          </w:p>
        </w:tc>
        <w:tc>
          <w:tcPr>
            <w:tcW w:w="660" w:type="dxa"/>
            <w:vAlign w:val="bottom"/>
          </w:tcPr>
          <w:p>
            <w:pPr>
              <w:ind w:left="40"/>
              <w:spacing w:after="0"/>
              <w:rPr>
                <w:sz w:val="20"/>
                <w:szCs w:val="20"/>
                <w:color w:val="auto"/>
              </w:rPr>
            </w:pPr>
            <w:r>
              <w:rPr>
                <w:rFonts w:ascii="Arial" w:cs="Arial" w:eastAsia="Arial" w:hAnsi="Arial"/>
                <w:sz w:val="20"/>
                <w:szCs w:val="20"/>
                <w:color w:val="auto"/>
              </w:rPr>
              <w:t>59</w:t>
            </w:r>
          </w:p>
        </w:tc>
        <w:tc>
          <w:tcPr>
            <w:tcW w:w="680" w:type="dxa"/>
            <w:vAlign w:val="bottom"/>
          </w:tcPr>
          <w:p>
            <w:pPr>
              <w:jc w:val="center"/>
              <w:spacing w:after="0"/>
              <w:rPr>
                <w:sz w:val="20"/>
                <w:szCs w:val="20"/>
                <w:color w:val="auto"/>
              </w:rPr>
            </w:pPr>
            <w:r>
              <w:rPr>
                <w:rFonts w:ascii="Arial" w:cs="Arial" w:eastAsia="Arial" w:hAnsi="Arial"/>
                <w:sz w:val="20"/>
                <w:szCs w:val="20"/>
                <w:color w:val="auto"/>
              </w:rPr>
              <w:t>1</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Asheboro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66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01000</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Auburn Al Quarry</w:t>
            </w:r>
          </w:p>
        </w:tc>
        <w:tc>
          <w:tcPr>
            <w:tcW w:w="660" w:type="dxa"/>
            <w:vAlign w:val="bottom"/>
          </w:tcPr>
          <w:p>
            <w:pPr>
              <w:ind w:left="40"/>
              <w:spacing w:after="0"/>
              <w:rPr>
                <w:sz w:val="20"/>
                <w:szCs w:val="20"/>
                <w:color w:val="auto"/>
              </w:rPr>
            </w:pPr>
            <w:r>
              <w:rPr>
                <w:rFonts w:ascii="Arial" w:cs="Arial" w:eastAsia="Arial" w:hAnsi="Arial"/>
                <w:sz w:val="20"/>
                <w:szCs w:val="20"/>
                <w:color w:val="auto"/>
              </w:rPr>
              <w:t>06</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09004</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36</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09000</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Augusta GA Quarry</w:t>
            </w:r>
          </w:p>
        </w:tc>
        <w:tc>
          <w:tcPr>
            <w:tcW w:w="660" w:type="dxa"/>
            <w:vAlign w:val="bottom"/>
          </w:tcPr>
          <w:p>
            <w:pPr>
              <w:ind w:left="40"/>
              <w:spacing w:after="0"/>
              <w:rPr>
                <w:sz w:val="20"/>
                <w:szCs w:val="20"/>
                <w:color w:val="auto"/>
              </w:rPr>
            </w:pPr>
            <w:r>
              <w:rPr>
                <w:rFonts w:ascii="Arial" w:cs="Arial" w:eastAsia="Arial" w:hAnsi="Arial"/>
                <w:sz w:val="20"/>
                <w:szCs w:val="20"/>
                <w:color w:val="auto"/>
              </w:rPr>
              <w:t>65</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Bakers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71</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09009</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Ball Ground Quarry</w:t>
            </w:r>
          </w:p>
        </w:tc>
        <w:tc>
          <w:tcPr>
            <w:tcW w:w="660" w:type="dxa"/>
            <w:vAlign w:val="bottom"/>
          </w:tcPr>
          <w:p>
            <w:pPr>
              <w:ind w:left="40"/>
              <w:spacing w:after="0"/>
              <w:rPr>
                <w:sz w:val="20"/>
                <w:szCs w:val="20"/>
                <w:color w:val="auto"/>
              </w:rPr>
            </w:pPr>
            <w:r>
              <w:rPr>
                <w:rFonts w:ascii="Arial" w:cs="Arial" w:eastAsia="Arial" w:hAnsi="Arial"/>
                <w:sz w:val="20"/>
                <w:szCs w:val="20"/>
                <w:color w:val="auto"/>
              </w:rPr>
              <w:t>55</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Belgrade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64</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31019</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Benson Quarry</w:t>
            </w:r>
          </w:p>
        </w:tc>
        <w:tc>
          <w:tcPr>
            <w:tcW w:w="660" w:type="dxa"/>
            <w:vAlign w:val="bottom"/>
          </w:tcPr>
          <w:p>
            <w:pPr>
              <w:ind w:left="40"/>
              <w:spacing w:after="0"/>
              <w:rPr>
                <w:sz w:val="20"/>
                <w:szCs w:val="20"/>
                <w:color w:val="auto"/>
              </w:rPr>
            </w:pPr>
            <w:r>
              <w:rPr>
                <w:rFonts w:ascii="Arial" w:cs="Arial" w:eastAsia="Arial" w:hAnsi="Arial"/>
                <w:sz w:val="20"/>
                <w:szCs w:val="20"/>
                <w:color w:val="auto"/>
              </w:rPr>
              <w:t>79</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Berkeley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72</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31011</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Bessemer City Quarry</w:t>
            </w:r>
          </w:p>
        </w:tc>
        <w:tc>
          <w:tcPr>
            <w:tcW w:w="660" w:type="dxa"/>
            <w:vAlign w:val="bottom"/>
          </w:tcPr>
          <w:p>
            <w:pPr>
              <w:ind w:left="40"/>
              <w:spacing w:after="0"/>
              <w:rPr>
                <w:sz w:val="20"/>
                <w:szCs w:val="20"/>
                <w:color w:val="auto"/>
              </w:rPr>
            </w:pPr>
            <w:r>
              <w:rPr>
                <w:rFonts w:ascii="Arial" w:cs="Arial" w:eastAsia="Arial" w:hAnsi="Arial"/>
                <w:sz w:val="20"/>
                <w:szCs w:val="20"/>
                <w:color w:val="auto"/>
              </w:rPr>
              <w:t>05</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31019</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Bonds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63</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18000</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Boonesboro Quarry</w:t>
            </w:r>
          </w:p>
        </w:tc>
        <w:tc>
          <w:tcPr>
            <w:tcW w:w="660" w:type="dxa"/>
            <w:vAlign w:val="bottom"/>
          </w:tcPr>
          <w:p>
            <w:pPr>
              <w:ind w:left="40"/>
              <w:spacing w:after="0"/>
              <w:rPr>
                <w:sz w:val="20"/>
                <w:szCs w:val="20"/>
                <w:color w:val="auto"/>
              </w:rPr>
            </w:pPr>
            <w:r>
              <w:rPr>
                <w:rFonts w:ascii="Arial" w:cs="Arial" w:eastAsia="Arial" w:hAnsi="Arial"/>
                <w:sz w:val="20"/>
                <w:szCs w:val="20"/>
                <w:color w:val="auto"/>
              </w:rPr>
              <w:t>24</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Burlington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42</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31018</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Caldwell Quarry</w:t>
            </w:r>
          </w:p>
        </w:tc>
        <w:tc>
          <w:tcPr>
            <w:tcW w:w="660" w:type="dxa"/>
            <w:vAlign w:val="bottom"/>
          </w:tcPr>
          <w:p>
            <w:pPr>
              <w:ind w:left="40"/>
              <w:spacing w:after="0"/>
              <w:rPr>
                <w:sz w:val="20"/>
                <w:szCs w:val="20"/>
                <w:color w:val="auto"/>
              </w:rPr>
            </w:pPr>
            <w:r>
              <w:rPr>
                <w:rFonts w:ascii="Arial" w:cs="Arial" w:eastAsia="Arial" w:hAnsi="Arial"/>
                <w:sz w:val="20"/>
                <w:szCs w:val="20"/>
                <w:color w:val="auto"/>
              </w:rPr>
              <w:t>69</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40033</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Calhoun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95</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38007</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Calhoun Sand</w:t>
            </w:r>
          </w:p>
        </w:tc>
        <w:tc>
          <w:tcPr>
            <w:tcW w:w="660" w:type="dxa"/>
            <w:vAlign w:val="bottom"/>
          </w:tcPr>
          <w:p>
            <w:pPr>
              <w:ind w:left="40"/>
              <w:spacing w:after="0"/>
              <w:rPr>
                <w:sz w:val="20"/>
                <w:szCs w:val="20"/>
                <w:color w:val="auto"/>
              </w:rPr>
            </w:pPr>
            <w:r>
              <w:rPr>
                <w:rFonts w:ascii="Arial" w:cs="Arial" w:eastAsia="Arial" w:hAnsi="Arial"/>
                <w:sz w:val="20"/>
                <w:szCs w:val="20"/>
                <w:color w:val="auto"/>
              </w:rPr>
              <w:t>16</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6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vMerge w:val="restart"/>
            <w:shd w:val="clear" w:color="auto" w:fill="CFF0FC"/>
          </w:tcPr>
          <w:p>
            <w:pPr>
              <w:ind w:left="40"/>
              <w:spacing w:after="0"/>
              <w:rPr>
                <w:sz w:val="20"/>
                <w:szCs w:val="20"/>
                <w:color w:val="auto"/>
              </w:rPr>
            </w:pPr>
            <w:r>
              <w:rPr>
                <w:rFonts w:ascii="Arial" w:cs="Arial" w:eastAsia="Arial" w:hAnsi="Arial"/>
                <w:sz w:val="20"/>
                <w:szCs w:val="20"/>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Castle Hayne Quarry</w:t>
            </w:r>
          </w:p>
        </w:tc>
        <w:tc>
          <w:tcPr>
            <w:tcW w:w="660" w:type="dxa"/>
            <w:vAlign w:val="bottom"/>
            <w:shd w:val="clear" w:color="auto" w:fill="CFF0FC"/>
          </w:tcPr>
          <w:p>
            <w:pPr>
              <w:ind w:left="40"/>
              <w:spacing w:after="0"/>
              <w:rPr>
                <w:sz w:val="20"/>
                <w:szCs w:val="20"/>
                <w:color w:val="auto"/>
              </w:rPr>
            </w:pPr>
            <w:r>
              <w:rPr>
                <w:rFonts w:ascii="Arial" w:cs="Arial" w:eastAsia="Arial" w:hAnsi="Arial"/>
                <w:sz w:val="20"/>
                <w:szCs w:val="20"/>
                <w:color w:val="auto"/>
              </w:rPr>
              <w:t>63</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2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5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660" w:type="dxa"/>
            <w:vAlign w:val="bottom"/>
          </w:tcPr>
          <w:p>
            <w:pPr>
              <w:ind w:left="40"/>
              <w:spacing w:after="0" w:line="194" w:lineRule="exact"/>
              <w:rPr>
                <w:sz w:val="20"/>
                <w:szCs w:val="20"/>
                <w:color w:val="auto"/>
              </w:rPr>
            </w:pPr>
            <w:r>
              <w:rPr>
                <w:rFonts w:ascii="Arial" w:cs="Arial" w:eastAsia="Arial" w:hAnsi="Arial"/>
                <w:sz w:val="20"/>
                <w:szCs w:val="20"/>
                <w:color w:val="auto"/>
              </w:rPr>
              <w:t>38000</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$ 1,383</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140" w:type="dxa"/>
            <w:vAlign w:val="bottom"/>
          </w:tcPr>
          <w:p>
            <w:pPr>
              <w:spacing w:after="0"/>
              <w:rPr>
                <w:sz w:val="20"/>
                <w:szCs w:val="20"/>
                <w:color w:val="auto"/>
              </w:rPr>
            </w:pPr>
            <w:r>
              <w:rPr>
                <w:rFonts w:ascii="Arial" w:cs="Arial" w:eastAsia="Arial" w:hAnsi="Arial"/>
                <w:sz w:val="20"/>
                <w:szCs w:val="20"/>
                <w:color w:val="auto"/>
              </w:rPr>
              <w:t>Cayce</w:t>
            </w:r>
          </w:p>
        </w:tc>
        <w:tc>
          <w:tcPr>
            <w:tcW w:w="660" w:type="dxa"/>
            <w:vAlign w:val="bottom"/>
          </w:tcPr>
          <w:p>
            <w:pPr>
              <w:ind w:left="40"/>
              <w:spacing w:after="0"/>
              <w:rPr>
                <w:sz w:val="20"/>
                <w:szCs w:val="20"/>
                <w:color w:val="auto"/>
              </w:rPr>
            </w:pPr>
            <w:r>
              <w:rPr>
                <w:rFonts w:ascii="Arial" w:cs="Arial" w:eastAsia="Arial" w:hAnsi="Arial"/>
                <w:sz w:val="20"/>
                <w:szCs w:val="20"/>
                <w:color w:val="auto"/>
              </w:rPr>
              <w:t>16</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64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780" w:type="dxa"/>
            <w:vAlign w:val="bottom"/>
          </w:tcPr>
          <w:p>
            <w:pPr>
              <w:jc w:val="center"/>
              <w:ind w:left="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760" w:type="dxa"/>
            <w:vAlign w:val="bottom"/>
            <w:gridSpan w:val="2"/>
            <w:vMerge w:val="continue"/>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2120" w:type="dxa"/>
            <w:vAlign w:val="bottom"/>
            <w:shd w:val="clear" w:color="auto" w:fill="CFF0FC"/>
          </w:tcPr>
          <w:p>
            <w:pPr>
              <w:spacing w:after="0"/>
              <w:rPr>
                <w:sz w:val="17"/>
                <w:szCs w:val="17"/>
                <w:color w:val="auto"/>
              </w:rPr>
            </w:pPr>
          </w:p>
        </w:tc>
        <w:tc>
          <w:tcPr>
            <w:tcW w:w="800" w:type="dxa"/>
            <w:vAlign w:val="bottom"/>
            <w:shd w:val="clear" w:color="auto" w:fill="CFF0FC"/>
          </w:tcPr>
          <w:p>
            <w:pPr>
              <w:ind w:left="60"/>
              <w:spacing w:after="0" w:line="202"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Central Rock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920" w:type="dxa"/>
            <w:vAlign w:val="bottom"/>
            <w:gridSpan w:val="2"/>
          </w:tcPr>
          <w:p>
            <w:pPr>
              <w:spacing w:after="0" w:line="194" w:lineRule="exact"/>
              <w:rPr>
                <w:sz w:val="20"/>
                <w:szCs w:val="20"/>
                <w:color w:val="auto"/>
              </w:rPr>
            </w:pPr>
            <w:r>
              <w:rPr>
                <w:rFonts w:ascii="Arial" w:cs="Arial" w:eastAsia="Arial" w:hAnsi="Arial"/>
                <w:sz w:val="20"/>
                <w:szCs w:val="20"/>
                <w:color w:val="auto"/>
              </w:rPr>
              <w:t>Charlotte Portable Plant 31023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1</w:t>
            </w:r>
          </w:p>
        </w:tc>
        <w:tc>
          <w:tcPr>
            <w:tcW w:w="800" w:type="dxa"/>
            <w:vAlign w:val="bottom"/>
          </w:tcPr>
          <w:p>
            <w:pPr>
              <w:ind w:left="60"/>
              <w:spacing w:after="0"/>
              <w:rPr>
                <w:sz w:val="20"/>
                <w:szCs w:val="20"/>
                <w:color w:val="auto"/>
              </w:rPr>
            </w:pPr>
            <w:r>
              <w:rPr>
                <w:rFonts w:ascii="Arial" w:cs="Arial" w:eastAsia="Arial" w:hAnsi="Arial"/>
                <w:sz w:val="20"/>
                <w:szCs w:val="20"/>
                <w:color w:val="auto"/>
              </w:rPr>
              <w:t>41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Charlotte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40031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Chattanooga Quarry</w:t>
            </w:r>
          </w:p>
        </w:tc>
        <w:tc>
          <w:tcPr>
            <w:tcW w:w="800" w:type="dxa"/>
            <w:vAlign w:val="bottom"/>
          </w:tcPr>
          <w:p>
            <w:pPr>
              <w:ind w:left="60"/>
              <w:spacing w:after="0"/>
              <w:rPr>
                <w:sz w:val="20"/>
                <w:szCs w:val="20"/>
                <w:color w:val="auto"/>
              </w:rPr>
            </w:pPr>
            <w:r>
              <w:rPr>
                <w:rFonts w:ascii="Arial" w:cs="Arial" w:eastAsia="Arial" w:hAnsi="Arial"/>
                <w:sz w:val="20"/>
                <w:szCs w:val="20"/>
                <w:color w:val="auto"/>
              </w:rPr>
              <w:t>59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12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31020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Clarks Quarry</w:t>
            </w:r>
          </w:p>
        </w:tc>
        <w:tc>
          <w:tcPr>
            <w:tcW w:w="800" w:type="dxa"/>
            <w:vAlign w:val="bottom"/>
          </w:tcPr>
          <w:p>
            <w:pPr>
              <w:ind w:left="60"/>
              <w:spacing w:after="0"/>
              <w:rPr>
                <w:sz w:val="20"/>
                <w:szCs w:val="20"/>
                <w:color w:val="auto"/>
              </w:rPr>
            </w:pPr>
            <w:r>
              <w:rPr>
                <w:rFonts w:ascii="Arial" w:cs="Arial" w:eastAsia="Arial" w:hAnsi="Arial"/>
                <w:sz w:val="20"/>
                <w:szCs w:val="20"/>
                <w:color w:val="auto"/>
              </w:rPr>
              <w:t>09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40024</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Coy Stone Plant</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line="194" w:lineRule="exact"/>
              <w:rPr>
                <w:sz w:val="20"/>
                <w:szCs w:val="20"/>
                <w:color w:val="auto"/>
              </w:rPr>
            </w:pPr>
            <w:r>
              <w:rPr>
                <w:rFonts w:ascii="Arial" w:cs="Arial" w:eastAsia="Arial" w:hAnsi="Arial"/>
                <w:sz w:val="20"/>
                <w:szCs w:val="20"/>
                <w:color w:val="auto"/>
              </w:rPr>
              <w:t>Cumberland Quarry</w:t>
            </w: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15000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(Kentucky)</w:t>
            </w:r>
          </w:p>
        </w:tc>
        <w:tc>
          <w:tcPr>
            <w:tcW w:w="800" w:type="dxa"/>
            <w:vAlign w:val="bottom"/>
          </w:tcPr>
          <w:p>
            <w:pPr>
              <w:ind w:left="60"/>
              <w:spacing w:after="0"/>
              <w:rPr>
                <w:sz w:val="20"/>
                <w:szCs w:val="20"/>
                <w:color w:val="auto"/>
              </w:rPr>
            </w:pPr>
            <w:r>
              <w:rPr>
                <w:rFonts w:ascii="Arial" w:cs="Arial" w:eastAsia="Arial" w:hAnsi="Arial"/>
                <w:sz w:val="20"/>
                <w:szCs w:val="20"/>
                <w:color w:val="auto"/>
              </w:rPr>
              <w:t>37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09004</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Cumming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31019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Denver Quarry</w:t>
            </w:r>
          </w:p>
        </w:tc>
        <w:tc>
          <w:tcPr>
            <w:tcW w:w="800" w:type="dxa"/>
            <w:vAlign w:val="bottom"/>
          </w:tcPr>
          <w:p>
            <w:pPr>
              <w:ind w:left="60"/>
              <w:spacing w:after="0"/>
              <w:rPr>
                <w:sz w:val="20"/>
                <w:szCs w:val="20"/>
                <w:color w:val="auto"/>
              </w:rPr>
            </w:pPr>
            <w:r>
              <w:rPr>
                <w:rFonts w:ascii="Arial" w:cs="Arial" w:eastAsia="Arial" w:hAnsi="Arial"/>
                <w:sz w:val="20"/>
                <w:szCs w:val="20"/>
                <w:color w:val="auto"/>
              </w:rPr>
              <w:t>71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44000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Doswell Quarry VA</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45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09000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Douglasville Quarry</w:t>
            </w:r>
          </w:p>
        </w:tc>
        <w:tc>
          <w:tcPr>
            <w:tcW w:w="800" w:type="dxa"/>
            <w:vAlign w:val="bottom"/>
          </w:tcPr>
          <w:p>
            <w:pPr>
              <w:ind w:left="60"/>
              <w:spacing w:after="0"/>
              <w:rPr>
                <w:sz w:val="20"/>
                <w:szCs w:val="20"/>
                <w:color w:val="auto"/>
              </w:rPr>
            </w:pPr>
            <w:r>
              <w:rPr>
                <w:rFonts w:ascii="Arial" w:cs="Arial" w:eastAsia="Arial" w:hAnsi="Arial"/>
                <w:sz w:val="20"/>
                <w:szCs w:val="20"/>
                <w:color w:val="auto"/>
              </w:rPr>
              <w:t>24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East Alamance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21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38007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Edgefield Quarry</w:t>
            </w:r>
          </w:p>
        </w:tc>
        <w:tc>
          <w:tcPr>
            <w:tcW w:w="800" w:type="dxa"/>
            <w:vAlign w:val="bottom"/>
          </w:tcPr>
          <w:p>
            <w:pPr>
              <w:ind w:left="60"/>
              <w:spacing w:after="0"/>
              <w:rPr>
                <w:sz w:val="20"/>
                <w:szCs w:val="20"/>
                <w:color w:val="auto"/>
              </w:rPr>
            </w:pPr>
            <w:r>
              <w:rPr>
                <w:rFonts w:ascii="Arial" w:cs="Arial" w:eastAsia="Arial" w:hAnsi="Arial"/>
                <w:sz w:val="20"/>
                <w:szCs w:val="20"/>
                <w:color w:val="auto"/>
              </w:rPr>
              <w:t>38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38006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Edmund Sand</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40030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Elizabethton Quarry</w:t>
            </w:r>
          </w:p>
        </w:tc>
        <w:tc>
          <w:tcPr>
            <w:tcW w:w="800" w:type="dxa"/>
            <w:vAlign w:val="bottom"/>
          </w:tcPr>
          <w:p>
            <w:pPr>
              <w:ind w:left="60"/>
              <w:spacing w:after="0"/>
              <w:rPr>
                <w:sz w:val="20"/>
                <w:szCs w:val="20"/>
                <w:color w:val="auto"/>
              </w:rPr>
            </w:pPr>
            <w:r>
              <w:rPr>
                <w:rFonts w:ascii="Arial" w:cs="Arial" w:eastAsia="Arial" w:hAnsi="Arial"/>
                <w:sz w:val="20"/>
                <w:szCs w:val="20"/>
                <w:color w:val="auto"/>
              </w:rPr>
              <w:t>75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Forks of The River</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40016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10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08012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Fort Myers Quarry</w:t>
            </w:r>
          </w:p>
        </w:tc>
        <w:tc>
          <w:tcPr>
            <w:tcW w:w="800" w:type="dxa"/>
            <w:vAlign w:val="bottom"/>
          </w:tcPr>
          <w:p>
            <w:pPr>
              <w:ind w:left="60"/>
              <w:spacing w:after="0"/>
              <w:rPr>
                <w:sz w:val="20"/>
                <w:szCs w:val="20"/>
                <w:color w:val="auto"/>
              </w:rPr>
            </w:pPr>
            <w:r>
              <w:rPr>
                <w:rFonts w:ascii="Arial" w:cs="Arial" w:eastAsia="Arial" w:hAnsi="Arial"/>
                <w:sz w:val="20"/>
                <w:szCs w:val="20"/>
                <w:color w:val="auto"/>
              </w:rPr>
              <w:t>03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31021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Franklin Quarry</w:t>
            </w:r>
          </w:p>
        </w:tc>
        <w:tc>
          <w:tcPr>
            <w:tcW w:w="800" w:type="dxa"/>
            <w:vAlign w:val="bottom"/>
          </w:tcPr>
          <w:p>
            <w:pPr>
              <w:ind w:left="60"/>
              <w:spacing w:after="0"/>
              <w:rPr>
                <w:sz w:val="20"/>
                <w:szCs w:val="20"/>
                <w:color w:val="auto"/>
              </w:rPr>
            </w:pPr>
            <w:r>
              <w:rPr>
                <w:rFonts w:ascii="Arial" w:cs="Arial" w:eastAsia="Arial" w:hAnsi="Arial"/>
                <w:sz w:val="20"/>
                <w:szCs w:val="20"/>
                <w:color w:val="auto"/>
              </w:rPr>
              <w:t>30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13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31020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Fuquay Quarry</w:t>
            </w:r>
          </w:p>
        </w:tc>
        <w:tc>
          <w:tcPr>
            <w:tcW w:w="800" w:type="dxa"/>
            <w:vAlign w:val="bottom"/>
          </w:tcPr>
          <w:p>
            <w:pPr>
              <w:ind w:left="60"/>
              <w:spacing w:after="0"/>
              <w:rPr>
                <w:sz w:val="20"/>
                <w:szCs w:val="20"/>
                <w:color w:val="auto"/>
              </w:rPr>
            </w:pPr>
            <w:r>
              <w:rPr>
                <w:rFonts w:ascii="Arial" w:cs="Arial" w:eastAsia="Arial" w:hAnsi="Arial"/>
                <w:sz w:val="20"/>
                <w:szCs w:val="20"/>
                <w:color w:val="auto"/>
              </w:rPr>
              <w:t>55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72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38005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Georgetown II Quarry</w:t>
            </w:r>
          </w:p>
        </w:tc>
        <w:tc>
          <w:tcPr>
            <w:tcW w:w="800" w:type="dxa"/>
            <w:vAlign w:val="bottom"/>
          </w:tcPr>
          <w:p>
            <w:pPr>
              <w:ind w:left="60"/>
              <w:spacing w:after="0"/>
              <w:rPr>
                <w:sz w:val="20"/>
                <w:szCs w:val="20"/>
                <w:color w:val="auto"/>
              </w:rPr>
            </w:pPr>
            <w:r>
              <w:rPr>
                <w:rFonts w:ascii="Arial" w:cs="Arial" w:eastAsia="Arial" w:hAnsi="Arial"/>
                <w:sz w:val="20"/>
                <w:szCs w:val="20"/>
                <w:color w:val="auto"/>
              </w:rPr>
              <w:t>25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40031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Grasselli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31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40024</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Greenback Quarry</w:t>
            </w:r>
          </w:p>
        </w:tc>
        <w:tc>
          <w:tcPr>
            <w:tcW w:w="800" w:type="dxa"/>
            <w:vAlign w:val="bottom"/>
          </w:tcPr>
          <w:p>
            <w:pPr>
              <w:ind w:left="60"/>
              <w:spacing w:after="0"/>
              <w:rPr>
                <w:sz w:val="20"/>
                <w:szCs w:val="20"/>
                <w:color w:val="auto"/>
              </w:rPr>
            </w:pPr>
            <w:r>
              <w:rPr>
                <w:rFonts w:ascii="Arial" w:cs="Arial" w:eastAsia="Arial" w:hAnsi="Arial"/>
                <w:sz w:val="20"/>
                <w:szCs w:val="20"/>
                <w:color w:val="auto"/>
              </w:rPr>
              <w:t>88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31023</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Greensboro Portable Plt 36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15000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Harlan Quarry</w:t>
            </w:r>
          </w:p>
        </w:tc>
        <w:tc>
          <w:tcPr>
            <w:tcW w:w="800" w:type="dxa"/>
            <w:vAlign w:val="bottom"/>
          </w:tcPr>
          <w:p>
            <w:pPr>
              <w:ind w:left="60"/>
              <w:spacing w:after="0"/>
              <w:rPr>
                <w:sz w:val="20"/>
                <w:szCs w:val="20"/>
                <w:color w:val="auto"/>
              </w:rPr>
            </w:pPr>
            <w:r>
              <w:rPr>
                <w:rFonts w:ascii="Arial" w:cs="Arial" w:eastAsia="Arial" w:hAnsi="Arial"/>
                <w:sz w:val="20"/>
                <w:szCs w:val="20"/>
                <w:color w:val="auto"/>
              </w:rPr>
              <w:t>71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43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09009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Homer Quarry</w:t>
            </w:r>
          </w:p>
        </w:tc>
        <w:tc>
          <w:tcPr>
            <w:tcW w:w="800" w:type="dxa"/>
            <w:vAlign w:val="bottom"/>
          </w:tcPr>
          <w:p>
            <w:pPr>
              <w:ind w:left="60"/>
              <w:spacing w:after="0"/>
              <w:rPr>
                <w:sz w:val="20"/>
                <w:szCs w:val="20"/>
                <w:color w:val="auto"/>
              </w:rPr>
            </w:pPr>
            <w:r>
              <w:rPr>
                <w:rFonts w:ascii="Arial" w:cs="Arial" w:eastAsia="Arial" w:hAnsi="Arial"/>
                <w:sz w:val="20"/>
                <w:szCs w:val="20"/>
                <w:color w:val="auto"/>
              </w:rPr>
              <w:t>58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01026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Huntsville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40012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I-75 Quarry</w:t>
            </w:r>
          </w:p>
        </w:tc>
        <w:tc>
          <w:tcPr>
            <w:tcW w:w="800" w:type="dxa"/>
            <w:vAlign w:val="bottom"/>
          </w:tcPr>
          <w:p>
            <w:pPr>
              <w:ind w:left="60"/>
              <w:spacing w:after="0"/>
              <w:rPr>
                <w:sz w:val="20"/>
                <w:szCs w:val="20"/>
                <w:color w:val="auto"/>
              </w:rPr>
            </w:pPr>
            <w:r>
              <w:rPr>
                <w:rFonts w:ascii="Arial" w:cs="Arial" w:eastAsia="Arial" w:hAnsi="Arial"/>
                <w:sz w:val="20"/>
                <w:szCs w:val="20"/>
                <w:color w:val="auto"/>
              </w:rPr>
              <w:t>47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09011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Jefferson Quarry</w:t>
            </w:r>
          </w:p>
        </w:tc>
        <w:tc>
          <w:tcPr>
            <w:tcW w:w="800" w:type="dxa"/>
            <w:vAlign w:val="bottom"/>
          </w:tcPr>
          <w:p>
            <w:pPr>
              <w:ind w:left="60"/>
              <w:spacing w:after="0"/>
              <w:rPr>
                <w:sz w:val="20"/>
                <w:szCs w:val="20"/>
                <w:color w:val="auto"/>
              </w:rPr>
            </w:pPr>
            <w:r>
              <w:rPr>
                <w:rFonts w:ascii="Arial" w:cs="Arial" w:eastAsia="Arial" w:hAnsi="Arial"/>
                <w:sz w:val="20"/>
                <w:szCs w:val="20"/>
                <w:color w:val="auto"/>
              </w:rPr>
              <w:t>06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09010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Junction City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29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50"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61"/>
        </w:trPr>
        <w:tc>
          <w:tcPr>
            <w:tcW w:w="214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0"/>
                <w:szCs w:val="20"/>
                <w:color w:val="auto"/>
              </w:rPr>
              <w:t>31000</w:t>
            </w: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Kannapolis Quarry</w:t>
            </w:r>
          </w:p>
        </w:tc>
        <w:tc>
          <w:tcPr>
            <w:tcW w:w="780" w:type="dxa"/>
            <w:vAlign w:val="bottom"/>
          </w:tcPr>
          <w:p>
            <w:pPr>
              <w:ind w:left="40"/>
              <w:spacing w:after="0"/>
              <w:rPr>
                <w:sz w:val="20"/>
                <w:szCs w:val="20"/>
                <w:color w:val="auto"/>
              </w:rPr>
            </w:pPr>
            <w:r>
              <w:rPr>
                <w:rFonts w:ascii="Arial" w:cs="Arial" w:eastAsia="Arial" w:hAnsi="Arial"/>
                <w:sz w:val="20"/>
                <w:szCs w:val="20"/>
                <w:color w:val="auto"/>
              </w:rPr>
              <w:t>70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398</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45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Kings Mountain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31011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04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Lithonia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40001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Locust Mount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31020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Mallard Creek Quarry</w:t>
            </w:r>
          </w:p>
        </w:tc>
        <w:tc>
          <w:tcPr>
            <w:tcW w:w="780" w:type="dxa"/>
            <w:vAlign w:val="bottom"/>
          </w:tcPr>
          <w:p>
            <w:pPr>
              <w:ind w:left="40"/>
              <w:spacing w:after="0"/>
              <w:rPr>
                <w:sz w:val="20"/>
                <w:szCs w:val="20"/>
                <w:color w:val="auto"/>
              </w:rPr>
            </w:pPr>
            <w:r>
              <w:rPr>
                <w:rFonts w:ascii="Arial" w:cs="Arial" w:eastAsia="Arial" w:hAnsi="Arial"/>
                <w:sz w:val="20"/>
                <w:szCs w:val="20"/>
                <w:color w:val="auto"/>
              </w:rPr>
              <w:t>06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84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01006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302</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Maylene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34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Medford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44037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Midlothian Quarry</w:t>
            </w:r>
          </w:p>
        </w:tc>
        <w:tc>
          <w:tcPr>
            <w:tcW w:w="780" w:type="dxa"/>
            <w:vAlign w:val="bottom"/>
          </w:tcPr>
          <w:p>
            <w:pPr>
              <w:ind w:left="40"/>
              <w:spacing w:after="0"/>
              <w:rPr>
                <w:sz w:val="20"/>
                <w:szCs w:val="20"/>
                <w:color w:val="auto"/>
              </w:rPr>
            </w:pPr>
            <w:r>
              <w:rPr>
                <w:rFonts w:ascii="Arial" w:cs="Arial" w:eastAsia="Arial" w:hAnsi="Arial"/>
                <w:sz w:val="20"/>
                <w:szCs w:val="20"/>
                <w:color w:val="auto"/>
              </w:rPr>
              <w:t>67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40011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Midway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69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line="194" w:lineRule="exact"/>
              <w:rPr>
                <w:sz w:val="20"/>
                <w:szCs w:val="20"/>
                <w:color w:val="auto"/>
              </w:rPr>
            </w:pPr>
            <w:r>
              <w:rPr>
                <w:rFonts w:ascii="Arial" w:cs="Arial" w:eastAsia="Arial" w:hAnsi="Arial"/>
                <w:sz w:val="20"/>
                <w:szCs w:val="20"/>
                <w:color w:val="auto"/>
              </w:rPr>
              <w:t>Misc Greensboro</w:t>
            </w: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00B86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District</w:t>
            </w:r>
          </w:p>
        </w:tc>
        <w:tc>
          <w:tcPr>
            <w:tcW w:w="780" w:type="dxa"/>
            <w:vAlign w:val="bottom"/>
          </w:tcPr>
          <w:p>
            <w:pPr>
              <w:ind w:left="40"/>
              <w:spacing w:after="0"/>
              <w:rPr>
                <w:sz w:val="20"/>
                <w:szCs w:val="20"/>
                <w:color w:val="auto"/>
              </w:rPr>
            </w:pPr>
            <w:r>
              <w:rPr>
                <w:rFonts w:ascii="Arial" w:cs="Arial" w:eastAsia="Arial" w:hAnsi="Arial"/>
                <w:sz w:val="20"/>
                <w:szCs w:val="20"/>
                <w:color w:val="auto"/>
              </w:rPr>
              <w:t>11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40007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Monterey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09011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Morgan County</w:t>
            </w:r>
          </w:p>
        </w:tc>
        <w:tc>
          <w:tcPr>
            <w:tcW w:w="780" w:type="dxa"/>
            <w:vAlign w:val="bottom"/>
          </w:tcPr>
          <w:p>
            <w:pPr>
              <w:ind w:left="40"/>
              <w:spacing w:after="0"/>
              <w:rPr>
                <w:sz w:val="20"/>
                <w:szCs w:val="20"/>
                <w:color w:val="auto"/>
              </w:rPr>
            </w:pPr>
            <w:r>
              <w:rPr>
                <w:rFonts w:ascii="Arial" w:cs="Arial" w:eastAsia="Arial" w:hAnsi="Arial"/>
                <w:sz w:val="20"/>
                <w:szCs w:val="20"/>
                <w:color w:val="auto"/>
              </w:rPr>
              <w:t>26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09008</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Newton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38001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North Columbia</w:t>
            </w:r>
          </w:p>
        </w:tc>
        <w:tc>
          <w:tcPr>
            <w:tcW w:w="780" w:type="dxa"/>
            <w:vAlign w:val="bottom"/>
          </w:tcPr>
          <w:p>
            <w:pPr>
              <w:ind w:left="40"/>
              <w:spacing w:after="0"/>
              <w:rPr>
                <w:sz w:val="20"/>
                <w:szCs w:val="20"/>
                <w:color w:val="auto"/>
              </w:rPr>
            </w:pPr>
            <w:r>
              <w:rPr>
                <w:rFonts w:ascii="Arial" w:cs="Arial" w:eastAsia="Arial" w:hAnsi="Arial"/>
                <w:sz w:val="20"/>
                <w:szCs w:val="20"/>
                <w:color w:val="auto"/>
              </w:rPr>
              <w:t>46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18004</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01030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O'Neal Plant  Co 19</w:t>
            </w:r>
          </w:p>
        </w:tc>
        <w:tc>
          <w:tcPr>
            <w:tcW w:w="780" w:type="dxa"/>
            <w:vAlign w:val="bottom"/>
          </w:tcPr>
          <w:p>
            <w:pPr>
              <w:ind w:left="40"/>
              <w:spacing w:after="0"/>
              <w:rPr>
                <w:sz w:val="20"/>
                <w:szCs w:val="20"/>
                <w:color w:val="auto"/>
              </w:rPr>
            </w:pPr>
            <w:r>
              <w:rPr>
                <w:rFonts w:ascii="Arial" w:cs="Arial" w:eastAsia="Arial" w:hAnsi="Arial"/>
                <w:sz w:val="20"/>
                <w:szCs w:val="20"/>
                <w:color w:val="auto"/>
              </w:rPr>
              <w:t>76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02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Onslow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Palmetto Sand</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09011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Paulding Quarry</w:t>
            </w:r>
          </w:p>
        </w:tc>
        <w:tc>
          <w:tcPr>
            <w:tcW w:w="780" w:type="dxa"/>
            <w:vAlign w:val="bottom"/>
          </w:tcPr>
          <w:p>
            <w:pPr>
              <w:ind w:left="40"/>
              <w:spacing w:after="0"/>
              <w:rPr>
                <w:sz w:val="20"/>
                <w:szCs w:val="20"/>
                <w:color w:val="auto"/>
              </w:rPr>
            </w:pPr>
            <w:r>
              <w:rPr>
                <w:rFonts w:ascii="Arial" w:cs="Arial" w:eastAsia="Arial" w:hAnsi="Arial"/>
                <w:sz w:val="20"/>
                <w:szCs w:val="20"/>
                <w:color w:val="auto"/>
              </w:rPr>
              <w:t>07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08010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83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18000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Pinesburg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52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31019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Raleigh Durham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44000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72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Red Oak Quarry</w:t>
            </w:r>
          </w:p>
        </w:tc>
        <w:tc>
          <w:tcPr>
            <w:tcW w:w="780" w:type="dxa"/>
            <w:vAlign w:val="bottom"/>
          </w:tcPr>
          <w:p>
            <w:pPr>
              <w:ind w:left="40"/>
              <w:spacing w:after="0"/>
              <w:rPr>
                <w:sz w:val="20"/>
                <w:szCs w:val="20"/>
                <w:color w:val="auto"/>
              </w:rPr>
            </w:pPr>
            <w:r>
              <w:rPr>
                <w:rFonts w:ascii="Arial" w:cs="Arial" w:eastAsia="Arial" w:hAnsi="Arial"/>
                <w:sz w:val="20"/>
                <w:szCs w:val="20"/>
                <w:color w:val="auto"/>
              </w:rPr>
              <w:t>69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68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40032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Riverbend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31019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140" w:type="dxa"/>
            <w:vAlign w:val="bottom"/>
          </w:tcPr>
          <w:p>
            <w:pPr>
              <w:spacing w:after="0"/>
              <w:rPr>
                <w:sz w:val="20"/>
                <w:szCs w:val="20"/>
                <w:color w:val="auto"/>
              </w:rPr>
            </w:pPr>
            <w:r>
              <w:rPr>
                <w:rFonts w:ascii="Arial" w:cs="Arial" w:eastAsia="Arial" w:hAnsi="Arial"/>
                <w:sz w:val="20"/>
                <w:szCs w:val="20"/>
                <w:color w:val="auto"/>
              </w:rPr>
              <w:t>Rocky Point Quarry</w:t>
            </w:r>
          </w:p>
        </w:tc>
        <w:tc>
          <w:tcPr>
            <w:tcW w:w="780" w:type="dxa"/>
            <w:vAlign w:val="bottom"/>
          </w:tcPr>
          <w:p>
            <w:pPr>
              <w:ind w:left="40"/>
              <w:spacing w:after="0"/>
              <w:rPr>
                <w:sz w:val="20"/>
                <w:szCs w:val="20"/>
                <w:color w:val="auto"/>
              </w:rPr>
            </w:pPr>
            <w:r>
              <w:rPr>
                <w:rFonts w:ascii="Arial" w:cs="Arial" w:eastAsia="Arial" w:hAnsi="Arial"/>
                <w:sz w:val="20"/>
                <w:szCs w:val="20"/>
                <w:color w:val="auto"/>
              </w:rPr>
              <w:t>56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16"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2140" w:type="dxa"/>
            <w:vAlign w:val="bottom"/>
            <w:shd w:val="clear" w:color="auto" w:fill="CFF0FC"/>
          </w:tcPr>
          <w:p>
            <w:pPr>
              <w:spacing w:after="0"/>
              <w:rPr>
                <w:sz w:val="17"/>
                <w:szCs w:val="17"/>
                <w:color w:val="auto"/>
              </w:rPr>
            </w:pPr>
          </w:p>
        </w:tc>
        <w:tc>
          <w:tcPr>
            <w:tcW w:w="780" w:type="dxa"/>
            <w:vAlign w:val="bottom"/>
            <w:shd w:val="clear" w:color="auto" w:fill="CFF0FC"/>
          </w:tcPr>
          <w:p>
            <w:pPr>
              <w:ind w:left="40"/>
              <w:spacing w:after="0" w:line="202" w:lineRule="exact"/>
              <w:rPr>
                <w:sz w:val="20"/>
                <w:szCs w:val="20"/>
                <w:color w:val="auto"/>
              </w:rPr>
            </w:pPr>
            <w:r>
              <w:rPr>
                <w:rFonts w:ascii="Arial" w:cs="Arial" w:eastAsia="Arial" w:hAnsi="Arial"/>
                <w:sz w:val="20"/>
                <w:szCs w:val="20"/>
                <w:color w:val="auto"/>
              </w:rPr>
              <w:t>09000</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74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38007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Salem Sand</w:t>
            </w:r>
          </w:p>
        </w:tc>
        <w:tc>
          <w:tcPr>
            <w:tcW w:w="780" w:type="dxa"/>
            <w:vAlign w:val="bottom"/>
          </w:tcPr>
          <w:p>
            <w:pPr>
              <w:ind w:left="40"/>
              <w:spacing w:after="0"/>
              <w:rPr>
                <w:sz w:val="20"/>
                <w:szCs w:val="20"/>
                <w:color w:val="auto"/>
              </w:rPr>
            </w:pPr>
            <w:r>
              <w:rPr>
                <w:rFonts w:ascii="Arial" w:cs="Arial" w:eastAsia="Arial" w:hAnsi="Arial"/>
                <w:sz w:val="20"/>
                <w:szCs w:val="20"/>
                <w:color w:val="auto"/>
              </w:rPr>
              <w:t>58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line="194" w:lineRule="exact"/>
              <w:rPr>
                <w:sz w:val="20"/>
                <w:szCs w:val="20"/>
                <w:color w:val="auto"/>
              </w:rPr>
            </w:pPr>
            <w:r>
              <w:rPr>
                <w:rFonts w:ascii="Arial" w:cs="Arial" w:eastAsia="Arial" w:hAnsi="Arial"/>
                <w:sz w:val="20"/>
                <w:szCs w:val="20"/>
                <w:color w:val="auto"/>
              </w:rPr>
              <w:t>Salisbury Pink Quarry</w:t>
            </w: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(Carolina Quarry)</w:t>
            </w:r>
          </w:p>
        </w:tc>
        <w:tc>
          <w:tcPr>
            <w:tcW w:w="780" w:type="dxa"/>
            <w:vAlign w:val="bottom"/>
          </w:tcPr>
          <w:p>
            <w:pPr>
              <w:ind w:left="40"/>
              <w:spacing w:after="0"/>
              <w:rPr>
                <w:sz w:val="20"/>
                <w:szCs w:val="20"/>
                <w:color w:val="auto"/>
              </w:rPr>
            </w:pPr>
            <w:r>
              <w:rPr>
                <w:rFonts w:ascii="Arial" w:cs="Arial" w:eastAsia="Arial" w:hAnsi="Arial"/>
                <w:sz w:val="20"/>
                <w:szCs w:val="20"/>
                <w:color w:val="auto"/>
              </w:rPr>
              <w:t>00017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08013</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SDI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09011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Six Mile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St. Marys Sand</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09011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193</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Statesville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55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09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31014</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Thomasville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75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40016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Tri Cities Airport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57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09003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Tyrone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06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Unicoi</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75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01030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Vance Quarry  Co 19</w:t>
            </w:r>
          </w:p>
        </w:tc>
        <w:tc>
          <w:tcPr>
            <w:tcW w:w="780" w:type="dxa"/>
            <w:vAlign w:val="bottom"/>
          </w:tcPr>
          <w:p>
            <w:pPr>
              <w:ind w:left="40"/>
              <w:spacing w:after="0"/>
              <w:rPr>
                <w:sz w:val="20"/>
                <w:szCs w:val="20"/>
                <w:color w:val="auto"/>
              </w:rPr>
            </w:pPr>
            <w:r>
              <w:rPr>
                <w:rFonts w:ascii="Arial" w:cs="Arial" w:eastAsia="Arial" w:hAnsi="Arial"/>
                <w:sz w:val="20"/>
                <w:szCs w:val="20"/>
                <w:color w:val="auto"/>
              </w:rPr>
              <w:t>22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36001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68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09005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Warrenton Quarry</w:t>
            </w:r>
          </w:p>
        </w:tc>
        <w:tc>
          <w:tcPr>
            <w:tcW w:w="780" w:type="dxa"/>
            <w:vAlign w:val="bottom"/>
          </w:tcPr>
          <w:p>
            <w:pPr>
              <w:ind w:left="40"/>
              <w:spacing w:after="0"/>
              <w:rPr>
                <w:sz w:val="20"/>
                <w:szCs w:val="20"/>
                <w:color w:val="auto"/>
              </w:rPr>
            </w:pPr>
            <w:r>
              <w:rPr>
                <w:rFonts w:ascii="Arial" w:cs="Arial" w:eastAsia="Arial" w:hAnsi="Arial"/>
                <w:sz w:val="20"/>
                <w:szCs w:val="20"/>
                <w:color w:val="auto"/>
              </w:rPr>
              <w:t>80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40001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Watauga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31013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Wilmington Sand</w:t>
            </w:r>
          </w:p>
        </w:tc>
        <w:tc>
          <w:tcPr>
            <w:tcW w:w="780" w:type="dxa"/>
            <w:vAlign w:val="bottom"/>
          </w:tcPr>
          <w:p>
            <w:pPr>
              <w:ind w:left="40"/>
              <w:spacing w:after="0"/>
              <w:rPr>
                <w:sz w:val="20"/>
                <w:szCs w:val="20"/>
                <w:color w:val="auto"/>
              </w:rPr>
            </w:pPr>
            <w:r>
              <w:rPr>
                <w:rFonts w:ascii="Arial" w:cs="Arial" w:eastAsia="Arial" w:hAnsi="Arial"/>
                <w:sz w:val="20"/>
                <w:szCs w:val="20"/>
                <w:color w:val="auto"/>
              </w:rPr>
              <w:t>08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31000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Woodleaf Quarry</w:t>
            </w:r>
          </w:p>
        </w:tc>
        <w:tc>
          <w:tcPr>
            <w:tcW w:w="780" w:type="dxa"/>
            <w:vAlign w:val="bottom"/>
          </w:tcPr>
          <w:p>
            <w:pPr>
              <w:ind w:left="40"/>
              <w:spacing w:after="0"/>
              <w:rPr>
                <w:sz w:val="20"/>
                <w:szCs w:val="20"/>
                <w:color w:val="auto"/>
              </w:rPr>
            </w:pPr>
            <w:r>
              <w:rPr>
                <w:rFonts w:ascii="Arial" w:cs="Arial" w:eastAsia="Arial" w:hAnsi="Arial"/>
                <w:sz w:val="20"/>
                <w:szCs w:val="20"/>
                <w:color w:val="auto"/>
              </w:rPr>
              <w:t>69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(45) North Indianapolis</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02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13020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Alden Portable Plant #2</w:t>
            </w:r>
          </w:p>
        </w:tc>
        <w:tc>
          <w:tcPr>
            <w:tcW w:w="780" w:type="dxa"/>
            <w:vAlign w:val="bottom"/>
          </w:tcPr>
          <w:p>
            <w:pPr>
              <w:ind w:left="40"/>
              <w:spacing w:after="0"/>
              <w:rPr>
                <w:sz w:val="20"/>
                <w:szCs w:val="20"/>
                <w:color w:val="auto"/>
              </w:rPr>
            </w:pPr>
            <w:r>
              <w:rPr>
                <w:rFonts w:ascii="Arial" w:cs="Arial" w:eastAsia="Arial" w:hAnsi="Arial"/>
                <w:sz w:val="20"/>
                <w:szCs w:val="20"/>
                <w:color w:val="auto"/>
              </w:rPr>
              <w:t>33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13002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Alden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871</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33016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Apple Grove S G</w:t>
            </w:r>
          </w:p>
        </w:tc>
        <w:tc>
          <w:tcPr>
            <w:tcW w:w="780" w:type="dxa"/>
            <w:vAlign w:val="bottom"/>
          </w:tcPr>
          <w:p>
            <w:pPr>
              <w:ind w:left="40"/>
              <w:spacing w:after="0"/>
              <w:rPr>
                <w:sz w:val="20"/>
                <w:szCs w:val="20"/>
                <w:color w:val="auto"/>
              </w:rPr>
            </w:pPr>
            <w:r>
              <w:rPr>
                <w:rFonts w:ascii="Arial" w:cs="Arial" w:eastAsia="Arial" w:hAnsi="Arial"/>
                <w:sz w:val="20"/>
                <w:szCs w:val="20"/>
                <w:color w:val="auto"/>
              </w:rPr>
              <w:t>76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12019</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line="194" w:lineRule="exact"/>
              <w:rPr>
                <w:sz w:val="20"/>
                <w:szCs w:val="20"/>
                <w:color w:val="auto"/>
              </w:rPr>
            </w:pPr>
            <w:r>
              <w:rPr>
                <w:rFonts w:ascii="Arial" w:cs="Arial" w:eastAsia="Arial" w:hAnsi="Arial"/>
                <w:sz w:val="20"/>
                <w:szCs w:val="20"/>
                <w:color w:val="auto"/>
              </w:rPr>
              <w:t>Bowling Green North</w:t>
            </w: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15000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Quarry</w:t>
            </w:r>
          </w:p>
        </w:tc>
        <w:tc>
          <w:tcPr>
            <w:tcW w:w="780" w:type="dxa"/>
            <w:vAlign w:val="bottom"/>
          </w:tcPr>
          <w:p>
            <w:pPr>
              <w:ind w:left="40"/>
              <w:spacing w:after="0"/>
              <w:rPr>
                <w:sz w:val="20"/>
                <w:szCs w:val="20"/>
                <w:color w:val="auto"/>
              </w:rPr>
            </w:pPr>
            <w:r>
              <w:rPr>
                <w:rFonts w:ascii="Arial" w:cs="Arial" w:eastAsia="Arial" w:hAnsi="Arial"/>
                <w:sz w:val="20"/>
                <w:szCs w:val="20"/>
                <w:color w:val="auto"/>
              </w:rPr>
              <w:t>65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Bowling Green South</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15000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46088</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Burning Springs Mine</w:t>
            </w:r>
          </w:p>
        </w:tc>
        <w:tc>
          <w:tcPr>
            <w:tcW w:w="780" w:type="dxa"/>
            <w:vAlign w:val="bottom"/>
          </w:tcPr>
          <w:p>
            <w:pPr>
              <w:ind w:left="40"/>
              <w:spacing w:after="0"/>
              <w:rPr>
                <w:sz w:val="20"/>
                <w:szCs w:val="20"/>
                <w:color w:val="auto"/>
              </w:rPr>
            </w:pPr>
            <w:r>
              <w:rPr>
                <w:rFonts w:ascii="Arial" w:cs="Arial" w:eastAsia="Arial" w:hAnsi="Arial"/>
                <w:sz w:val="20"/>
                <w:szCs w:val="20"/>
                <w:color w:val="auto"/>
              </w:rPr>
              <w:t>62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12021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13001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Cedar Rapids Quarry</w:t>
            </w:r>
          </w:p>
        </w:tc>
        <w:tc>
          <w:tcPr>
            <w:tcW w:w="780" w:type="dxa"/>
            <w:vAlign w:val="bottom"/>
          </w:tcPr>
          <w:p>
            <w:pPr>
              <w:ind w:left="40"/>
              <w:spacing w:after="0"/>
              <w:rPr>
                <w:sz w:val="20"/>
                <w:szCs w:val="20"/>
                <w:color w:val="auto"/>
              </w:rPr>
            </w:pPr>
            <w:r>
              <w:rPr>
                <w:rFonts w:ascii="Arial" w:cs="Arial" w:eastAsia="Arial" w:hAnsi="Arial"/>
                <w:sz w:val="20"/>
                <w:szCs w:val="20"/>
                <w:color w:val="auto"/>
              </w:rPr>
              <w:t>22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33040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72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12017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w:t>
            </w:r>
          </w:p>
        </w:tc>
        <w:tc>
          <w:tcPr>
            <w:tcW w:w="60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140" w:type="dxa"/>
            <w:vAlign w:val="bottom"/>
          </w:tcPr>
          <w:p>
            <w:pPr>
              <w:spacing w:after="0"/>
              <w:rPr>
                <w:sz w:val="20"/>
                <w:szCs w:val="20"/>
                <w:color w:val="auto"/>
              </w:rPr>
            </w:pPr>
            <w:r>
              <w:rPr>
                <w:rFonts w:ascii="Arial" w:cs="Arial" w:eastAsia="Arial" w:hAnsi="Arial"/>
                <w:sz w:val="20"/>
                <w:szCs w:val="20"/>
                <w:color w:val="auto"/>
              </w:rPr>
              <w:t>Cloverdale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80" w:type="dxa"/>
            <w:vAlign w:val="bottom"/>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548"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2160" w:type="dxa"/>
            <w:vAlign w:val="bottom"/>
            <w:shd w:val="clear" w:color="auto" w:fill="CFF0FC"/>
          </w:tcPr>
          <w:p>
            <w:pPr>
              <w:spacing w:after="0"/>
              <w:rPr>
                <w:sz w:val="17"/>
                <w:szCs w:val="17"/>
                <w:color w:val="auto"/>
              </w:rPr>
            </w:pPr>
          </w:p>
        </w:tc>
        <w:tc>
          <w:tcPr>
            <w:tcW w:w="760" w:type="dxa"/>
            <w:vAlign w:val="bottom"/>
            <w:shd w:val="clear" w:color="auto" w:fill="CFF0FC"/>
          </w:tcPr>
          <w:p>
            <w:pPr>
              <w:ind w:left="20"/>
              <w:spacing w:after="0" w:line="202" w:lineRule="exact"/>
              <w:rPr>
                <w:sz w:val="20"/>
                <w:szCs w:val="20"/>
                <w:color w:val="auto"/>
              </w:rPr>
            </w:pPr>
            <w:r>
              <w:rPr>
                <w:rFonts w:ascii="Arial" w:cs="Arial" w:eastAsia="Arial" w:hAnsi="Arial"/>
                <w:sz w:val="20"/>
                <w:szCs w:val="20"/>
                <w:color w:val="auto"/>
              </w:rPr>
              <w:t>13001</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Des Moines Portable</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50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20"/>
                <w:szCs w:val="20"/>
                <w:color w:val="auto"/>
              </w:rPr>
              <w:t>Des Moines Portable #2</w:t>
            </w: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13009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Primary</w:t>
            </w:r>
          </w:p>
        </w:tc>
        <w:tc>
          <w:tcPr>
            <w:tcW w:w="760" w:type="dxa"/>
            <w:vAlign w:val="bottom"/>
          </w:tcPr>
          <w:p>
            <w:pPr>
              <w:ind w:left="20"/>
              <w:spacing w:after="0"/>
              <w:rPr>
                <w:sz w:val="20"/>
                <w:szCs w:val="20"/>
                <w:color w:val="auto"/>
              </w:rPr>
            </w:pPr>
            <w:r>
              <w:rPr>
                <w:rFonts w:ascii="Arial" w:cs="Arial" w:eastAsia="Arial" w:hAnsi="Arial"/>
                <w:sz w:val="20"/>
                <w:szCs w:val="20"/>
                <w:color w:val="auto"/>
              </w:rPr>
              <w:t>32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DES MOINES</w:t>
            </w: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13025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PORTABLE SAND</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04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25010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Dubois Quarry</w:t>
            </w:r>
          </w:p>
        </w:tc>
        <w:tc>
          <w:tcPr>
            <w:tcW w:w="760" w:type="dxa"/>
            <w:vAlign w:val="bottom"/>
          </w:tcPr>
          <w:p>
            <w:pPr>
              <w:ind w:left="20"/>
              <w:spacing w:after="0"/>
              <w:rPr>
                <w:sz w:val="20"/>
                <w:szCs w:val="20"/>
                <w:color w:val="auto"/>
              </w:rPr>
            </w:pPr>
            <w:r>
              <w:rPr>
                <w:rFonts w:ascii="Arial" w:cs="Arial" w:eastAsia="Arial" w:hAnsi="Arial"/>
                <w:sz w:val="20"/>
                <w:szCs w:val="20"/>
                <w:color w:val="auto"/>
              </w:rPr>
              <w:t>46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13012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245</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25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33042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E Town Sand Gravel</w:t>
            </w:r>
          </w:p>
        </w:tc>
        <w:tc>
          <w:tcPr>
            <w:tcW w:w="760" w:type="dxa"/>
            <w:vAlign w:val="bottom"/>
          </w:tcPr>
          <w:p>
            <w:pPr>
              <w:ind w:left="20"/>
              <w:spacing w:after="0"/>
              <w:rPr>
                <w:sz w:val="20"/>
                <w:szCs w:val="20"/>
                <w:color w:val="auto"/>
              </w:rPr>
            </w:pPr>
            <w:r>
              <w:rPr>
                <w:rFonts w:ascii="Arial" w:cs="Arial" w:eastAsia="Arial" w:hAnsi="Arial"/>
                <w:sz w:val="20"/>
                <w:szCs w:val="20"/>
                <w:color w:val="auto"/>
              </w:rPr>
              <w:t>79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13017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Earlham Grading Crew</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78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13021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302</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Earlham Quarry</w:t>
            </w:r>
          </w:p>
        </w:tc>
        <w:tc>
          <w:tcPr>
            <w:tcW w:w="760" w:type="dxa"/>
            <w:vAlign w:val="bottom"/>
          </w:tcPr>
          <w:p>
            <w:pPr>
              <w:ind w:left="20"/>
              <w:spacing w:after="0"/>
              <w:rPr>
                <w:sz w:val="20"/>
                <w:szCs w:val="20"/>
                <w:color w:val="auto"/>
              </w:rPr>
            </w:pPr>
            <w:r>
              <w:rPr>
                <w:rFonts w:ascii="Arial" w:cs="Arial" w:eastAsia="Arial" w:hAnsi="Arial"/>
                <w:sz w:val="20"/>
                <w:szCs w:val="20"/>
                <w:color w:val="auto"/>
              </w:rPr>
              <w:t>23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21012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Elk River Wash Plant</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33013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Fairfield Sand &amp; Gravel</w:t>
            </w:r>
          </w:p>
        </w:tc>
        <w:tc>
          <w:tcPr>
            <w:tcW w:w="760" w:type="dxa"/>
            <w:vAlign w:val="bottom"/>
          </w:tcPr>
          <w:p>
            <w:pPr>
              <w:ind w:left="20"/>
              <w:spacing w:after="0"/>
              <w:rPr>
                <w:sz w:val="20"/>
                <w:szCs w:val="20"/>
                <w:color w:val="auto"/>
              </w:rPr>
            </w:pPr>
            <w:r>
              <w:rPr>
                <w:rFonts w:ascii="Arial" w:cs="Arial" w:eastAsia="Arial" w:hAnsi="Arial"/>
                <w:sz w:val="20"/>
                <w:szCs w:val="20"/>
                <w:color w:val="auto"/>
              </w:rPr>
              <w:t>96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13001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464</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24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25013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Fort Calhoun Mine UG</w:t>
            </w:r>
          </w:p>
        </w:tc>
        <w:tc>
          <w:tcPr>
            <w:tcW w:w="760" w:type="dxa"/>
            <w:vAlign w:val="bottom"/>
          </w:tcPr>
          <w:p>
            <w:pPr>
              <w:ind w:left="20"/>
              <w:spacing w:after="0"/>
              <w:rPr>
                <w:sz w:val="20"/>
                <w:szCs w:val="20"/>
                <w:color w:val="auto"/>
              </w:rPr>
            </w:pPr>
            <w:r>
              <w:rPr>
                <w:rFonts w:ascii="Arial" w:cs="Arial" w:eastAsia="Arial" w:hAnsi="Arial"/>
                <w:sz w:val="20"/>
                <w:szCs w:val="20"/>
                <w:color w:val="auto"/>
              </w:rPr>
              <w:t>00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w w:val="99"/>
              </w:rPr>
              <w:t>1,738</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32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20"/>
                <w:szCs w:val="20"/>
                <w:color w:val="auto"/>
              </w:rPr>
              <w:t>Greenwood Quarry</w:t>
            </w: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23001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New</w:t>
            </w:r>
          </w:p>
        </w:tc>
        <w:tc>
          <w:tcPr>
            <w:tcW w:w="760" w:type="dxa"/>
            <w:vAlign w:val="bottom"/>
          </w:tcPr>
          <w:p>
            <w:pPr>
              <w:ind w:left="20"/>
              <w:spacing w:after="0"/>
              <w:rPr>
                <w:sz w:val="20"/>
                <w:szCs w:val="20"/>
                <w:color w:val="auto"/>
              </w:rPr>
            </w:pPr>
            <w:r>
              <w:rPr>
                <w:rFonts w:ascii="Arial" w:cs="Arial" w:eastAsia="Arial" w:hAnsi="Arial"/>
                <w:sz w:val="20"/>
                <w:szCs w:val="20"/>
                <w:color w:val="auto"/>
              </w:rPr>
              <w:t>41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15000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95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13021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Iowa Grading Plant 854</w:t>
            </w:r>
          </w:p>
        </w:tc>
        <w:tc>
          <w:tcPr>
            <w:tcW w:w="760" w:type="dxa"/>
            <w:vAlign w:val="bottom"/>
          </w:tcPr>
          <w:p>
            <w:pPr>
              <w:ind w:left="20"/>
              <w:spacing w:after="0"/>
              <w:rPr>
                <w:sz w:val="20"/>
                <w:szCs w:val="20"/>
                <w:color w:val="auto"/>
              </w:rPr>
            </w:pPr>
            <w:r>
              <w:rPr>
                <w:rFonts w:ascii="Arial" w:cs="Arial" w:eastAsia="Arial" w:hAnsi="Arial"/>
                <w:sz w:val="20"/>
                <w:szCs w:val="20"/>
                <w:color w:val="auto"/>
              </w:rPr>
              <w:t>26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13023</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Iowa Grading 2</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920" w:type="dxa"/>
            <w:vAlign w:val="bottom"/>
            <w:gridSpan w:val="2"/>
          </w:tcPr>
          <w:p>
            <w:pPr>
              <w:spacing w:after="0" w:line="194" w:lineRule="exact"/>
              <w:rPr>
                <w:sz w:val="20"/>
                <w:szCs w:val="20"/>
                <w:color w:val="auto"/>
              </w:rPr>
            </w:pPr>
            <w:r>
              <w:rPr>
                <w:rFonts w:ascii="Arial" w:cs="Arial" w:eastAsia="Arial" w:hAnsi="Arial"/>
                <w:sz w:val="20"/>
                <w:szCs w:val="20"/>
                <w:color w:val="auto"/>
              </w:rPr>
              <w:t>Johnson County Sand &amp; 12025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Gravel</w:t>
            </w:r>
          </w:p>
        </w:tc>
        <w:tc>
          <w:tcPr>
            <w:tcW w:w="760" w:type="dxa"/>
            <w:vAlign w:val="bottom"/>
          </w:tcPr>
          <w:p>
            <w:pPr>
              <w:ind w:left="20"/>
              <w:spacing w:after="0"/>
              <w:rPr>
                <w:sz w:val="20"/>
                <w:szCs w:val="20"/>
                <w:color w:val="auto"/>
              </w:rPr>
            </w:pPr>
            <w:r>
              <w:rPr>
                <w:rFonts w:ascii="Arial" w:cs="Arial" w:eastAsia="Arial" w:hAnsi="Arial"/>
                <w:sz w:val="20"/>
                <w:szCs w:val="20"/>
                <w:color w:val="auto"/>
              </w:rPr>
              <w:t>06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12017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62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12021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Kokomo Mine UG</w:t>
            </w:r>
          </w:p>
        </w:tc>
        <w:tc>
          <w:tcPr>
            <w:tcW w:w="760" w:type="dxa"/>
            <w:vAlign w:val="bottom"/>
          </w:tcPr>
          <w:p>
            <w:pPr>
              <w:ind w:left="20"/>
              <w:spacing w:after="0"/>
              <w:rPr>
                <w:sz w:val="20"/>
                <w:szCs w:val="20"/>
                <w:color w:val="auto"/>
              </w:rPr>
            </w:pPr>
            <w:r>
              <w:rPr>
                <w:rFonts w:ascii="Arial" w:cs="Arial" w:eastAsia="Arial" w:hAnsi="Arial"/>
                <w:sz w:val="20"/>
                <w:szCs w:val="20"/>
                <w:color w:val="auto"/>
              </w:rPr>
              <w:t>05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12022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03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line="194" w:lineRule="exact"/>
              <w:rPr>
                <w:sz w:val="20"/>
                <w:szCs w:val="20"/>
                <w:color w:val="auto"/>
              </w:rPr>
            </w:pPr>
            <w:r>
              <w:rPr>
                <w:rFonts w:ascii="Arial" w:cs="Arial" w:eastAsia="Arial" w:hAnsi="Arial"/>
                <w:sz w:val="20"/>
                <w:szCs w:val="20"/>
                <w:color w:val="auto"/>
              </w:rPr>
              <w:t>Kokomo Stone</w:t>
            </w: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12001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(Surface)</w:t>
            </w:r>
          </w:p>
        </w:tc>
        <w:tc>
          <w:tcPr>
            <w:tcW w:w="760" w:type="dxa"/>
            <w:vAlign w:val="bottom"/>
          </w:tcPr>
          <w:p>
            <w:pPr>
              <w:ind w:left="20"/>
              <w:spacing w:after="0"/>
              <w:rPr>
                <w:sz w:val="20"/>
                <w:szCs w:val="20"/>
                <w:color w:val="auto"/>
              </w:rPr>
            </w:pPr>
            <w:r>
              <w:rPr>
                <w:rFonts w:ascii="Arial" w:cs="Arial" w:eastAsia="Arial" w:hAnsi="Arial"/>
                <w:sz w:val="20"/>
                <w:szCs w:val="20"/>
                <w:color w:val="auto"/>
              </w:rPr>
              <w:t>42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40030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Lebanon Quarry</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13022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Linn County Sand</w:t>
            </w:r>
          </w:p>
        </w:tc>
        <w:tc>
          <w:tcPr>
            <w:tcW w:w="760" w:type="dxa"/>
            <w:vAlign w:val="bottom"/>
          </w:tcPr>
          <w:p>
            <w:pPr>
              <w:ind w:left="20"/>
              <w:spacing w:after="0"/>
              <w:rPr>
                <w:sz w:val="20"/>
                <w:szCs w:val="20"/>
                <w:color w:val="auto"/>
              </w:rPr>
            </w:pPr>
            <w:r>
              <w:rPr>
                <w:rFonts w:ascii="Arial" w:cs="Arial" w:eastAsia="Arial" w:hAnsi="Arial"/>
                <w:sz w:val="20"/>
                <w:szCs w:val="20"/>
                <w:color w:val="auto"/>
              </w:rPr>
              <w:t>08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13001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00A23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Midwest Division OH</w:t>
            </w:r>
          </w:p>
        </w:tc>
        <w:tc>
          <w:tcPr>
            <w:tcW w:w="760" w:type="dxa"/>
            <w:vAlign w:val="bottom"/>
          </w:tcPr>
          <w:p>
            <w:pPr>
              <w:ind w:left="20"/>
              <w:spacing w:after="0"/>
              <w:rPr>
                <w:sz w:val="20"/>
                <w:szCs w:val="20"/>
                <w:color w:val="auto"/>
              </w:rPr>
            </w:pPr>
            <w:r>
              <w:rPr>
                <w:rFonts w:ascii="Arial" w:cs="Arial" w:eastAsia="Arial" w:hAnsi="Arial"/>
                <w:sz w:val="20"/>
                <w:szCs w:val="20"/>
                <w:color w:val="auto"/>
              </w:rPr>
              <w:t>54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21011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MN Portable # 1</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21015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MN Portable # 2</w:t>
            </w:r>
          </w:p>
        </w:tc>
        <w:tc>
          <w:tcPr>
            <w:tcW w:w="760" w:type="dxa"/>
            <w:vAlign w:val="bottom"/>
          </w:tcPr>
          <w:p>
            <w:pPr>
              <w:ind w:left="20"/>
              <w:spacing w:after="0"/>
              <w:rPr>
                <w:sz w:val="20"/>
                <w:szCs w:val="20"/>
                <w:color w:val="auto"/>
              </w:rPr>
            </w:pPr>
            <w:r>
              <w:rPr>
                <w:rFonts w:ascii="Arial" w:cs="Arial" w:eastAsia="Arial" w:hAnsi="Arial"/>
                <w:sz w:val="20"/>
                <w:szCs w:val="20"/>
                <w:color w:val="auto"/>
              </w:rPr>
              <w:t>93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21031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MN Portable # 3</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47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21032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MN Portable # 4</w:t>
            </w:r>
          </w:p>
        </w:tc>
        <w:tc>
          <w:tcPr>
            <w:tcW w:w="760" w:type="dxa"/>
            <w:vAlign w:val="bottom"/>
          </w:tcPr>
          <w:p>
            <w:pPr>
              <w:ind w:left="20"/>
              <w:spacing w:after="0"/>
              <w:rPr>
                <w:sz w:val="20"/>
                <w:szCs w:val="20"/>
                <w:color w:val="auto"/>
              </w:rPr>
            </w:pPr>
            <w:r>
              <w:rPr>
                <w:rFonts w:ascii="Arial" w:cs="Arial" w:eastAsia="Arial" w:hAnsi="Arial"/>
                <w:sz w:val="20"/>
                <w:szCs w:val="20"/>
                <w:color w:val="auto"/>
              </w:rPr>
              <w:t>87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21011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MN Portable # 5</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10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21031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MN Portable # 6</w:t>
            </w:r>
          </w:p>
        </w:tc>
        <w:tc>
          <w:tcPr>
            <w:tcW w:w="760" w:type="dxa"/>
            <w:vAlign w:val="bottom"/>
          </w:tcPr>
          <w:p>
            <w:pPr>
              <w:ind w:left="20"/>
              <w:spacing w:after="0"/>
              <w:rPr>
                <w:sz w:val="20"/>
                <w:szCs w:val="20"/>
                <w:color w:val="auto"/>
              </w:rPr>
            </w:pPr>
            <w:r>
              <w:rPr>
                <w:rFonts w:ascii="Arial" w:cs="Arial" w:eastAsia="Arial" w:hAnsi="Arial"/>
                <w:sz w:val="20"/>
                <w:szCs w:val="20"/>
                <w:color w:val="auto"/>
              </w:rPr>
              <w:t>20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21033</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MN Portable # 7</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55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60" w:type="dxa"/>
            <w:vAlign w:val="bottom"/>
          </w:tcPr>
          <w:p>
            <w:pPr>
              <w:ind w:left="20"/>
              <w:spacing w:after="0" w:line="194" w:lineRule="exact"/>
              <w:rPr>
                <w:sz w:val="20"/>
                <w:szCs w:val="20"/>
                <w:color w:val="auto"/>
              </w:rPr>
            </w:pPr>
            <w:r>
              <w:rPr>
                <w:rFonts w:ascii="Arial" w:cs="Arial" w:eastAsia="Arial" w:hAnsi="Arial"/>
                <w:sz w:val="20"/>
                <w:szCs w:val="20"/>
                <w:color w:val="auto"/>
              </w:rPr>
              <w:t>21018</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20"/>
                <w:szCs w:val="20"/>
                <w:color w:val="auto"/>
              </w:rPr>
              <w:t>MN Portable # 8</w:t>
            </w:r>
          </w:p>
        </w:tc>
        <w:tc>
          <w:tcPr>
            <w:tcW w:w="760" w:type="dxa"/>
            <w:vAlign w:val="bottom"/>
          </w:tcPr>
          <w:p>
            <w:pPr>
              <w:ind w:left="20"/>
              <w:spacing w:after="0"/>
              <w:rPr>
                <w:sz w:val="20"/>
                <w:szCs w:val="20"/>
                <w:color w:val="auto"/>
              </w:rPr>
            </w:pPr>
            <w:r>
              <w:rPr>
                <w:rFonts w:ascii="Arial" w:cs="Arial" w:eastAsia="Arial" w:hAnsi="Arial"/>
                <w:sz w:val="20"/>
                <w:szCs w:val="20"/>
                <w:color w:val="auto"/>
              </w:rPr>
              <w:t>43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color w:val="auto"/>
              </w:rPr>
              <w:t>21036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FF0FC"/>
          </w:tcPr>
          <w:p>
            <w:pPr>
              <w:spacing w:after="0"/>
              <w:rPr>
                <w:sz w:val="20"/>
                <w:szCs w:val="20"/>
                <w:color w:val="auto"/>
              </w:rPr>
            </w:pPr>
            <w:r>
              <w:rPr>
                <w:rFonts w:ascii="Arial" w:cs="Arial" w:eastAsia="Arial" w:hAnsi="Arial"/>
                <w:sz w:val="20"/>
                <w:szCs w:val="20"/>
                <w:color w:val="auto"/>
              </w:rPr>
              <w:t>MN Reclamation</w:t>
            </w:r>
          </w:p>
        </w:tc>
        <w:tc>
          <w:tcPr>
            <w:tcW w:w="760" w:type="dxa"/>
            <w:vAlign w:val="bottom"/>
            <w:shd w:val="clear" w:color="auto" w:fill="CFF0FC"/>
          </w:tcPr>
          <w:p>
            <w:pPr>
              <w:ind w:left="20"/>
              <w:spacing w:after="0"/>
              <w:rPr>
                <w:sz w:val="20"/>
                <w:szCs w:val="20"/>
                <w:color w:val="auto"/>
              </w:rPr>
            </w:pPr>
            <w:r>
              <w:rPr>
                <w:rFonts w:ascii="Arial" w:cs="Arial" w:eastAsia="Arial" w:hAnsi="Arial"/>
                <w:sz w:val="20"/>
                <w:szCs w:val="20"/>
                <w:color w:val="auto"/>
              </w:rPr>
              <w:t>90</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50"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61"/>
        </w:trPr>
        <w:tc>
          <w:tcPr>
            <w:tcW w:w="214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0"/>
                <w:szCs w:val="20"/>
                <w:color w:val="auto"/>
              </w:rPr>
              <w:t>13021</w:t>
            </w: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Moore Quarry</w:t>
            </w:r>
          </w:p>
        </w:tc>
        <w:tc>
          <w:tcPr>
            <w:tcW w:w="780" w:type="dxa"/>
            <w:vAlign w:val="bottom"/>
          </w:tcPr>
          <w:p>
            <w:pPr>
              <w:ind w:left="40"/>
              <w:spacing w:after="0"/>
              <w:rPr>
                <w:sz w:val="20"/>
                <w:szCs w:val="20"/>
                <w:color w:val="auto"/>
              </w:rPr>
            </w:pPr>
            <w:r>
              <w:rPr>
                <w:rFonts w:ascii="Arial" w:cs="Arial" w:eastAsia="Arial" w:hAnsi="Arial"/>
                <w:sz w:val="20"/>
                <w:szCs w:val="20"/>
                <w:color w:val="auto"/>
              </w:rPr>
              <w:t>88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Murfreesboro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53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33043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New Miami Plant</w:t>
            </w:r>
          </w:p>
        </w:tc>
        <w:tc>
          <w:tcPr>
            <w:tcW w:w="780" w:type="dxa"/>
            <w:vAlign w:val="bottom"/>
          </w:tcPr>
          <w:p>
            <w:pPr>
              <w:ind w:left="40"/>
              <w:spacing w:after="0"/>
              <w:rPr>
                <w:sz w:val="20"/>
                <w:szCs w:val="20"/>
                <w:color w:val="auto"/>
              </w:rPr>
            </w:pPr>
            <w:r>
              <w:rPr>
                <w:rFonts w:ascii="Arial" w:cs="Arial" w:eastAsia="Arial" w:hAnsi="Arial"/>
                <w:sz w:val="20"/>
                <w:szCs w:val="20"/>
                <w:color w:val="auto"/>
              </w:rPr>
              <w:t>83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12019</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12021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Noblesville Stone</w:t>
            </w:r>
          </w:p>
        </w:tc>
        <w:tc>
          <w:tcPr>
            <w:tcW w:w="780" w:type="dxa"/>
            <w:vAlign w:val="bottom"/>
          </w:tcPr>
          <w:p>
            <w:pPr>
              <w:ind w:left="40"/>
              <w:spacing w:after="0"/>
              <w:rPr>
                <w:sz w:val="20"/>
                <w:szCs w:val="20"/>
                <w:color w:val="auto"/>
              </w:rPr>
            </w:pPr>
            <w:r>
              <w:rPr>
                <w:rFonts w:ascii="Arial" w:cs="Arial" w:eastAsia="Arial" w:hAnsi="Arial"/>
                <w:sz w:val="20"/>
                <w:szCs w:val="20"/>
                <w:color w:val="auto"/>
              </w:rPr>
              <w:t>76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North Indianapolis</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12019</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w w:val="99"/>
              </w:rPr>
              <w:t>1,510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25012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North Valley Sand</w:t>
            </w:r>
          </w:p>
        </w:tc>
        <w:tc>
          <w:tcPr>
            <w:tcW w:w="780" w:type="dxa"/>
            <w:vAlign w:val="bottom"/>
          </w:tcPr>
          <w:p>
            <w:pPr>
              <w:ind w:left="40"/>
              <w:spacing w:after="0"/>
              <w:rPr>
                <w:sz w:val="20"/>
                <w:szCs w:val="20"/>
                <w:color w:val="auto"/>
              </w:rPr>
            </w:pPr>
            <w:r>
              <w:rPr>
                <w:rFonts w:ascii="Arial" w:cs="Arial" w:eastAsia="Arial" w:hAnsi="Arial"/>
                <w:sz w:val="20"/>
                <w:szCs w:val="20"/>
                <w:color w:val="auto"/>
              </w:rPr>
              <w:t>71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33047</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Ohio District Portable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14015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302</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Ottawa Quarry New</w:t>
            </w:r>
          </w:p>
        </w:tc>
        <w:tc>
          <w:tcPr>
            <w:tcW w:w="780" w:type="dxa"/>
            <w:vAlign w:val="bottom"/>
          </w:tcPr>
          <w:p>
            <w:pPr>
              <w:ind w:left="40"/>
              <w:spacing w:after="0"/>
              <w:rPr>
                <w:sz w:val="20"/>
                <w:szCs w:val="20"/>
                <w:color w:val="auto"/>
              </w:rPr>
            </w:pPr>
            <w:r>
              <w:rPr>
                <w:rFonts w:ascii="Arial" w:cs="Arial" w:eastAsia="Arial" w:hAnsi="Arial"/>
                <w:sz w:val="20"/>
                <w:szCs w:val="20"/>
                <w:color w:val="auto"/>
              </w:rPr>
              <w:t>90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13021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Pedersen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line="194" w:lineRule="exact"/>
              <w:rPr>
                <w:sz w:val="20"/>
                <w:szCs w:val="20"/>
                <w:color w:val="auto"/>
              </w:rPr>
            </w:pPr>
            <w:r>
              <w:rPr>
                <w:rFonts w:ascii="Arial" w:cs="Arial" w:eastAsia="Arial" w:hAnsi="Arial"/>
                <w:sz w:val="20"/>
                <w:szCs w:val="20"/>
                <w:color w:val="auto"/>
              </w:rPr>
              <w:t>Perkinsville Sand and</w:t>
            </w: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12023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Gravel</w:t>
            </w:r>
          </w:p>
        </w:tc>
        <w:tc>
          <w:tcPr>
            <w:tcW w:w="780" w:type="dxa"/>
            <w:vAlign w:val="bottom"/>
          </w:tcPr>
          <w:p>
            <w:pPr>
              <w:ind w:left="40"/>
              <w:spacing w:after="0"/>
              <w:rPr>
                <w:sz w:val="20"/>
                <w:szCs w:val="20"/>
                <w:color w:val="auto"/>
              </w:rPr>
            </w:pPr>
            <w:r>
              <w:rPr>
                <w:rFonts w:ascii="Arial" w:cs="Arial" w:eastAsia="Arial" w:hAnsi="Arial"/>
                <w:sz w:val="20"/>
                <w:szCs w:val="20"/>
                <w:color w:val="auto"/>
              </w:rPr>
              <w:t>78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15168</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Petersburg Ky Gravel</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95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33000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Phillipsburg Quarry</w:t>
            </w:r>
          </w:p>
        </w:tc>
        <w:tc>
          <w:tcPr>
            <w:tcW w:w="780" w:type="dxa"/>
            <w:vAlign w:val="bottom"/>
          </w:tcPr>
          <w:p>
            <w:pPr>
              <w:ind w:left="40"/>
              <w:spacing w:after="0"/>
              <w:rPr>
                <w:sz w:val="20"/>
                <w:szCs w:val="20"/>
                <w:color w:val="auto"/>
              </w:rPr>
            </w:pPr>
            <w:r>
              <w:rPr>
                <w:rFonts w:ascii="Arial" w:cs="Arial" w:eastAsia="Arial" w:hAnsi="Arial"/>
                <w:sz w:val="20"/>
                <w:szCs w:val="20"/>
                <w:color w:val="auto"/>
              </w:rPr>
              <w:t>06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Portland Quarry (Alden</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13021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Portable Wash)</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22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12022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Putnam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42</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13023</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23023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Randolph Mine</w:t>
            </w:r>
          </w:p>
        </w:tc>
        <w:tc>
          <w:tcPr>
            <w:tcW w:w="780" w:type="dxa"/>
            <w:vAlign w:val="bottom"/>
          </w:tcPr>
          <w:p>
            <w:pPr>
              <w:ind w:left="40"/>
              <w:spacing w:after="0"/>
              <w:rPr>
                <w:sz w:val="20"/>
                <w:szCs w:val="20"/>
                <w:color w:val="auto"/>
              </w:rPr>
            </w:pPr>
            <w:r>
              <w:rPr>
                <w:rFonts w:ascii="Arial" w:cs="Arial" w:eastAsia="Arial" w:hAnsi="Arial"/>
                <w:sz w:val="20"/>
                <w:szCs w:val="20"/>
                <w:color w:val="auto"/>
              </w:rPr>
              <w:t>08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13008</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13022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Saylorville Sand</w:t>
            </w:r>
          </w:p>
        </w:tc>
        <w:tc>
          <w:tcPr>
            <w:tcW w:w="780" w:type="dxa"/>
            <w:vAlign w:val="bottom"/>
          </w:tcPr>
          <w:p>
            <w:pPr>
              <w:ind w:left="40"/>
              <w:spacing w:after="0"/>
              <w:rPr>
                <w:sz w:val="20"/>
                <w:szCs w:val="20"/>
                <w:color w:val="auto"/>
              </w:rPr>
            </w:pPr>
            <w:r>
              <w:rPr>
                <w:rFonts w:ascii="Arial" w:cs="Arial" w:eastAsia="Arial" w:hAnsi="Arial"/>
                <w:sz w:val="20"/>
                <w:szCs w:val="20"/>
                <w:color w:val="auto"/>
              </w:rPr>
              <w:t>90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33040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Shamrock SG</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11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40029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Smyrna Quarry</w:t>
            </w:r>
          </w:p>
        </w:tc>
        <w:tc>
          <w:tcPr>
            <w:tcW w:w="780" w:type="dxa"/>
            <w:vAlign w:val="bottom"/>
          </w:tcPr>
          <w:p>
            <w:pPr>
              <w:ind w:left="40"/>
              <w:spacing w:after="0"/>
              <w:rPr>
                <w:sz w:val="20"/>
                <w:szCs w:val="20"/>
                <w:color w:val="auto"/>
              </w:rPr>
            </w:pPr>
            <w:r>
              <w:rPr>
                <w:rFonts w:ascii="Arial" w:cs="Arial" w:eastAsia="Arial" w:hAnsi="Arial"/>
                <w:sz w:val="20"/>
                <w:szCs w:val="20"/>
                <w:color w:val="auto"/>
              </w:rPr>
              <w:t>40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Spring Valley Cook Rd</w:t>
            </w: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33045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SG</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21000</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St Cloud Quarry</w:t>
            </w:r>
          </w:p>
        </w:tc>
        <w:tc>
          <w:tcPr>
            <w:tcW w:w="780" w:type="dxa"/>
            <w:vAlign w:val="bottom"/>
          </w:tcPr>
          <w:p>
            <w:pPr>
              <w:ind w:left="40"/>
              <w:spacing w:after="0"/>
              <w:rPr>
                <w:sz w:val="20"/>
                <w:szCs w:val="20"/>
                <w:color w:val="auto"/>
              </w:rPr>
            </w:pPr>
            <w:r>
              <w:rPr>
                <w:rFonts w:ascii="Arial" w:cs="Arial" w:eastAsia="Arial" w:hAnsi="Arial"/>
                <w:sz w:val="20"/>
                <w:szCs w:val="20"/>
                <w:color w:val="auto"/>
              </w:rPr>
              <w:t>81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23022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32</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40034</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Stones River Quarry</w:t>
            </w:r>
          </w:p>
        </w:tc>
        <w:tc>
          <w:tcPr>
            <w:tcW w:w="780" w:type="dxa"/>
            <w:vAlign w:val="bottom"/>
          </w:tcPr>
          <w:p>
            <w:pPr>
              <w:ind w:left="40"/>
              <w:spacing w:after="0"/>
              <w:rPr>
                <w:sz w:val="20"/>
                <w:szCs w:val="20"/>
                <w:color w:val="auto"/>
              </w:rPr>
            </w:pPr>
            <w:r>
              <w:rPr>
                <w:rFonts w:ascii="Arial" w:cs="Arial" w:eastAsia="Arial" w:hAnsi="Arial"/>
                <w:sz w:val="20"/>
                <w:szCs w:val="20"/>
                <w:color w:val="auto"/>
              </w:rPr>
              <w:t>15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13000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63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14015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Sunflower Qy  Co 61</w:t>
            </w:r>
          </w:p>
        </w:tc>
        <w:tc>
          <w:tcPr>
            <w:tcW w:w="780" w:type="dxa"/>
            <w:vAlign w:val="bottom"/>
          </w:tcPr>
          <w:p>
            <w:pPr>
              <w:ind w:left="40"/>
              <w:spacing w:after="0"/>
              <w:rPr>
                <w:sz w:val="20"/>
                <w:szCs w:val="20"/>
                <w:color w:val="auto"/>
              </w:rPr>
            </w:pPr>
            <w:r>
              <w:rPr>
                <w:rFonts w:ascii="Arial" w:cs="Arial" w:eastAsia="Arial" w:hAnsi="Arial"/>
                <w:sz w:val="20"/>
                <w:szCs w:val="20"/>
                <w:color w:val="auto"/>
              </w:rPr>
              <w:t>56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33016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Troy Gravel</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78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25013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Walterloo Sand</w:t>
            </w:r>
          </w:p>
        </w:tc>
        <w:tc>
          <w:tcPr>
            <w:tcW w:w="780" w:type="dxa"/>
            <w:vAlign w:val="bottom"/>
          </w:tcPr>
          <w:p>
            <w:pPr>
              <w:ind w:left="40"/>
              <w:spacing w:after="0"/>
              <w:rPr>
                <w:sz w:val="20"/>
                <w:szCs w:val="20"/>
                <w:color w:val="auto"/>
              </w:rPr>
            </w:pPr>
            <w:r>
              <w:rPr>
                <w:rFonts w:ascii="Arial" w:cs="Arial" w:eastAsia="Arial" w:hAnsi="Arial"/>
                <w:sz w:val="20"/>
                <w:szCs w:val="20"/>
                <w:color w:val="auto"/>
              </w:rPr>
              <w:t>14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12020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25009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Weeping Water Mine</w:t>
            </w:r>
          </w:p>
        </w:tc>
        <w:tc>
          <w:tcPr>
            <w:tcW w:w="780" w:type="dxa"/>
            <w:vAlign w:val="bottom"/>
          </w:tcPr>
          <w:p>
            <w:pPr>
              <w:ind w:left="40"/>
              <w:spacing w:after="0"/>
              <w:rPr>
                <w:sz w:val="20"/>
                <w:szCs w:val="20"/>
                <w:color w:val="auto"/>
              </w:rPr>
            </w:pPr>
            <w:r>
              <w:rPr>
                <w:rFonts w:ascii="Arial" w:cs="Arial" w:eastAsia="Arial" w:hAnsi="Arial"/>
                <w:sz w:val="20"/>
                <w:szCs w:val="20"/>
                <w:color w:val="auto"/>
              </w:rPr>
              <w:t>98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25012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West Center Sand</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80" w:type="dxa"/>
            <w:vAlign w:val="bottom"/>
          </w:tcPr>
          <w:p>
            <w:pPr>
              <w:ind w:left="40"/>
              <w:spacing w:after="0" w:line="194" w:lineRule="exact"/>
              <w:rPr>
                <w:sz w:val="20"/>
                <w:szCs w:val="20"/>
                <w:color w:val="auto"/>
              </w:rPr>
            </w:pPr>
            <w:r>
              <w:rPr>
                <w:rFonts w:ascii="Arial" w:cs="Arial" w:eastAsia="Arial" w:hAnsi="Arial"/>
                <w:sz w:val="20"/>
                <w:szCs w:val="20"/>
                <w:color w:val="auto"/>
              </w:rPr>
              <w:t>33013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Xenia Gravel</w:t>
            </w:r>
          </w:p>
        </w:tc>
        <w:tc>
          <w:tcPr>
            <w:tcW w:w="780" w:type="dxa"/>
            <w:vAlign w:val="bottom"/>
          </w:tcPr>
          <w:p>
            <w:pPr>
              <w:ind w:left="40"/>
              <w:spacing w:after="0"/>
              <w:rPr>
                <w:sz w:val="20"/>
                <w:szCs w:val="20"/>
                <w:color w:val="auto"/>
              </w:rPr>
            </w:pPr>
            <w:r>
              <w:rPr>
                <w:rFonts w:ascii="Arial" w:cs="Arial" w:eastAsia="Arial" w:hAnsi="Arial"/>
                <w:sz w:val="20"/>
                <w:szCs w:val="20"/>
                <w:color w:val="auto"/>
              </w:rPr>
              <w:t>93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21000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Yellow Medicine Quarry</w:t>
            </w:r>
          </w:p>
        </w:tc>
        <w:tc>
          <w:tcPr>
            <w:tcW w:w="780" w:type="dxa"/>
            <w:vAlign w:val="bottom"/>
            <w:shd w:val="clear" w:color="auto" w:fill="CFF0FC"/>
          </w:tcPr>
          <w:p>
            <w:pPr>
              <w:ind w:left="40"/>
              <w:spacing w:after="0"/>
              <w:rPr>
                <w:sz w:val="20"/>
                <w:szCs w:val="20"/>
                <w:color w:val="auto"/>
              </w:rPr>
            </w:pPr>
            <w:r>
              <w:rPr>
                <w:rFonts w:ascii="Arial" w:cs="Arial" w:eastAsia="Arial" w:hAnsi="Arial"/>
                <w:sz w:val="20"/>
                <w:szCs w:val="20"/>
                <w:color w:val="auto"/>
              </w:rPr>
              <w:t>33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582"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61"/>
        </w:trPr>
        <w:tc>
          <w:tcPr>
            <w:tcW w:w="212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0"/>
                <w:szCs w:val="20"/>
                <w:color w:val="auto"/>
              </w:rPr>
              <w:t>05009</w:t>
            </w: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Bennett Sand &amp; Gravel</w:t>
            </w:r>
          </w:p>
        </w:tc>
        <w:tc>
          <w:tcPr>
            <w:tcW w:w="800" w:type="dxa"/>
            <w:vAlign w:val="bottom"/>
          </w:tcPr>
          <w:p>
            <w:pPr>
              <w:ind w:left="60"/>
              <w:spacing w:after="0"/>
              <w:rPr>
                <w:sz w:val="20"/>
                <w:szCs w:val="20"/>
                <w:color w:val="auto"/>
              </w:rPr>
            </w:pPr>
            <w:r>
              <w:rPr>
                <w:rFonts w:ascii="Arial" w:cs="Arial" w:eastAsia="Arial" w:hAnsi="Arial"/>
                <w:sz w:val="20"/>
                <w:szCs w:val="20"/>
                <w:color w:val="auto"/>
              </w:rPr>
              <w:t>29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Clarkdale Sand &amp;</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02025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24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04001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528</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Clayton</w:t>
            </w:r>
          </w:p>
        </w:tc>
        <w:tc>
          <w:tcPr>
            <w:tcW w:w="800" w:type="dxa"/>
            <w:vAlign w:val="bottom"/>
          </w:tcPr>
          <w:p>
            <w:pPr>
              <w:ind w:left="60"/>
              <w:spacing w:after="0"/>
              <w:rPr>
                <w:sz w:val="20"/>
                <w:szCs w:val="20"/>
                <w:color w:val="auto"/>
              </w:rPr>
            </w:pPr>
            <w:r>
              <w:rPr>
                <w:rFonts w:ascii="Arial" w:cs="Arial" w:eastAsia="Arial" w:hAnsi="Arial"/>
                <w:sz w:val="20"/>
                <w:szCs w:val="20"/>
                <w:color w:val="auto"/>
              </w:rPr>
              <w:t>59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02031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Coolidge Plant 65</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73</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04047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Eagle Valley Plant</w:t>
            </w:r>
          </w:p>
        </w:tc>
        <w:tc>
          <w:tcPr>
            <w:tcW w:w="800" w:type="dxa"/>
            <w:vAlign w:val="bottom"/>
          </w:tcPr>
          <w:p>
            <w:pPr>
              <w:ind w:left="60"/>
              <w:spacing w:after="0"/>
              <w:rPr>
                <w:sz w:val="20"/>
                <w:szCs w:val="20"/>
                <w:color w:val="auto"/>
              </w:rPr>
            </w:pPr>
            <w:r>
              <w:rPr>
                <w:rFonts w:ascii="Arial" w:cs="Arial" w:eastAsia="Arial" w:hAnsi="Arial"/>
                <w:sz w:val="20"/>
                <w:szCs w:val="20"/>
                <w:color w:val="auto"/>
              </w:rPr>
              <w:t>58</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w w:val="99"/>
              </w:rPr>
              <w:t>1,370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Granite Canyon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18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line="194" w:lineRule="exact"/>
              <w:rPr>
                <w:sz w:val="20"/>
                <w:szCs w:val="20"/>
                <w:color w:val="auto"/>
              </w:rPr>
            </w:pPr>
            <w:r>
              <w:rPr>
                <w:rFonts w:ascii="Arial" w:cs="Arial" w:eastAsia="Arial" w:hAnsi="Arial"/>
                <w:sz w:val="20"/>
                <w:szCs w:val="20"/>
                <w:color w:val="auto"/>
              </w:rPr>
              <w:t>Greeley 35th Sand</w:t>
            </w: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Gravel</w:t>
            </w:r>
          </w:p>
        </w:tc>
        <w:tc>
          <w:tcPr>
            <w:tcW w:w="800" w:type="dxa"/>
            <w:vAlign w:val="bottom"/>
          </w:tcPr>
          <w:p>
            <w:pPr>
              <w:ind w:left="60"/>
              <w:spacing w:after="0"/>
              <w:rPr>
                <w:sz w:val="20"/>
                <w:szCs w:val="20"/>
                <w:color w:val="auto"/>
              </w:rPr>
            </w:pPr>
            <w:r>
              <w:rPr>
                <w:rFonts w:ascii="Arial" w:cs="Arial" w:eastAsia="Arial" w:hAnsi="Arial"/>
                <w:sz w:val="20"/>
                <w:szCs w:val="20"/>
                <w:color w:val="auto"/>
              </w:rPr>
              <w:t>13</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48000</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04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02026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Hassayampa</w:t>
            </w:r>
          </w:p>
        </w:tc>
        <w:tc>
          <w:tcPr>
            <w:tcW w:w="800" w:type="dxa"/>
            <w:vAlign w:val="bottom"/>
          </w:tcPr>
          <w:p>
            <w:pPr>
              <w:ind w:left="60"/>
              <w:spacing w:after="0"/>
              <w:rPr>
                <w:sz w:val="20"/>
                <w:szCs w:val="20"/>
                <w:color w:val="auto"/>
              </w:rPr>
            </w:pPr>
            <w:r>
              <w:rPr>
                <w:rFonts w:ascii="Arial" w:cs="Arial" w:eastAsia="Arial" w:hAnsi="Arial"/>
                <w:sz w:val="20"/>
                <w:szCs w:val="20"/>
                <w:color w:val="auto"/>
              </w:rPr>
              <w:t>79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05009</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Hatchery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04017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Hughson AGG &amp; HMA</w:t>
            </w:r>
          </w:p>
        </w:tc>
        <w:tc>
          <w:tcPr>
            <w:tcW w:w="800" w:type="dxa"/>
            <w:vAlign w:val="bottom"/>
          </w:tcPr>
          <w:p>
            <w:pPr>
              <w:ind w:left="60"/>
              <w:spacing w:after="0"/>
              <w:rPr>
                <w:sz w:val="20"/>
                <w:szCs w:val="20"/>
                <w:color w:val="auto"/>
              </w:rPr>
            </w:pPr>
            <w:r>
              <w:rPr>
                <w:rFonts w:ascii="Arial" w:cs="Arial" w:eastAsia="Arial" w:hAnsi="Arial"/>
                <w:sz w:val="20"/>
                <w:szCs w:val="20"/>
                <w:color w:val="auto"/>
              </w:rPr>
              <w:t>69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04018</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Irwindale Plant</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38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04026</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spacing w:after="0"/>
              <w:rPr>
                <w:sz w:val="20"/>
                <w:szCs w:val="20"/>
                <w:color w:val="auto"/>
              </w:rPr>
            </w:pPr>
            <w:r>
              <w:rPr>
                <w:rFonts w:ascii="Arial" w:cs="Arial" w:eastAsia="Arial" w:hAnsi="Arial"/>
                <w:sz w:val="20"/>
                <w:szCs w:val="20"/>
                <w:color w:val="auto"/>
              </w:rPr>
              <w:t>Lakeside Vigilante Plant 85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Maitri Road Sand &amp;</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04041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Gravel Oper</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04028</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Merced AGG &amp; HMA</w:t>
            </w:r>
          </w:p>
        </w:tc>
        <w:tc>
          <w:tcPr>
            <w:tcW w:w="800" w:type="dxa"/>
            <w:vAlign w:val="bottom"/>
          </w:tcPr>
          <w:p>
            <w:pPr>
              <w:ind w:left="60"/>
              <w:spacing w:after="0"/>
              <w:rPr>
                <w:sz w:val="20"/>
                <w:szCs w:val="20"/>
                <w:color w:val="auto"/>
              </w:rPr>
            </w:pPr>
            <w:r>
              <w:rPr>
                <w:rFonts w:ascii="Arial" w:cs="Arial" w:eastAsia="Arial" w:hAnsi="Arial"/>
                <w:sz w:val="20"/>
                <w:szCs w:val="20"/>
                <w:color w:val="auto"/>
              </w:rPr>
              <w:t>41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42021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Milford Quarry  Utah</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77</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04029</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Miramar Recycle Plant</w:t>
            </w:r>
          </w:p>
        </w:tc>
        <w:tc>
          <w:tcPr>
            <w:tcW w:w="800" w:type="dxa"/>
            <w:vAlign w:val="bottom"/>
          </w:tcPr>
          <w:p>
            <w:pPr>
              <w:ind w:left="60"/>
              <w:spacing w:after="0"/>
              <w:rPr>
                <w:sz w:val="20"/>
                <w:szCs w:val="20"/>
                <w:color w:val="auto"/>
              </w:rPr>
            </w:pPr>
            <w:r>
              <w:rPr>
                <w:rFonts w:ascii="Arial" w:cs="Arial" w:eastAsia="Arial" w:hAnsi="Arial"/>
                <w:sz w:val="20"/>
                <w:szCs w:val="20"/>
                <w:color w:val="auto"/>
              </w:rPr>
              <w:t>11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Northern Portable</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05045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Crushing #10</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31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line="194" w:lineRule="exact"/>
              <w:rPr>
                <w:sz w:val="20"/>
                <w:szCs w:val="20"/>
                <w:color w:val="auto"/>
              </w:rPr>
            </w:pPr>
            <w:r>
              <w:rPr>
                <w:rFonts w:ascii="Arial" w:cs="Arial" w:eastAsia="Arial" w:hAnsi="Arial"/>
                <w:sz w:val="20"/>
                <w:szCs w:val="20"/>
                <w:color w:val="auto"/>
              </w:rPr>
              <w:t>Northern Portable Plant</w:t>
            </w: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05047</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17</w:t>
            </w:r>
          </w:p>
        </w:tc>
        <w:tc>
          <w:tcPr>
            <w:tcW w:w="800" w:type="dxa"/>
            <w:vAlign w:val="bottom"/>
          </w:tcPr>
          <w:p>
            <w:pPr>
              <w:ind w:left="60"/>
              <w:spacing w:after="0"/>
              <w:rPr>
                <w:sz w:val="20"/>
                <w:szCs w:val="20"/>
                <w:color w:val="auto"/>
              </w:rPr>
            </w:pPr>
            <w:r>
              <w:rPr>
                <w:rFonts w:ascii="Arial" w:cs="Arial" w:eastAsia="Arial" w:hAnsi="Arial"/>
                <w:sz w:val="20"/>
                <w:szCs w:val="20"/>
                <w:color w:val="auto"/>
              </w:rPr>
              <w:t>35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Northern Portable Plant</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48015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4</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65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45008</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Pacific Quarry</w:t>
            </w:r>
          </w:p>
        </w:tc>
        <w:tc>
          <w:tcPr>
            <w:tcW w:w="800" w:type="dxa"/>
            <w:vAlign w:val="bottom"/>
          </w:tcPr>
          <w:p>
            <w:pPr>
              <w:ind w:left="60"/>
              <w:spacing w:after="0"/>
              <w:rPr>
                <w:sz w:val="20"/>
                <w:szCs w:val="20"/>
                <w:color w:val="auto"/>
              </w:rPr>
            </w:pPr>
            <w:r>
              <w:rPr>
                <w:rFonts w:ascii="Arial" w:cs="Arial" w:eastAsia="Arial" w:hAnsi="Arial"/>
                <w:sz w:val="20"/>
                <w:szCs w:val="20"/>
                <w:color w:val="auto"/>
              </w:rPr>
              <w:t>44</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05046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35</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05032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Parsons Sand Gravel</w:t>
            </w:r>
          </w:p>
        </w:tc>
        <w:tc>
          <w:tcPr>
            <w:tcW w:w="800" w:type="dxa"/>
            <w:vAlign w:val="bottom"/>
          </w:tcPr>
          <w:p>
            <w:pPr>
              <w:ind w:left="60"/>
              <w:spacing w:after="0"/>
              <w:rPr>
                <w:sz w:val="20"/>
                <w:szCs w:val="20"/>
                <w:color w:val="auto"/>
              </w:rPr>
            </w:pPr>
            <w:r>
              <w:rPr>
                <w:rFonts w:ascii="Arial" w:cs="Arial" w:eastAsia="Arial" w:hAnsi="Arial"/>
                <w:sz w:val="20"/>
                <w:szCs w:val="20"/>
                <w:color w:val="auto"/>
              </w:rPr>
              <w:t>15</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Penrose Sand and</w:t>
            </w: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05045</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09</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line="194" w:lineRule="exact"/>
              <w:rPr>
                <w:sz w:val="20"/>
                <w:szCs w:val="20"/>
                <w:color w:val="auto"/>
              </w:rPr>
            </w:pPr>
            <w:r>
              <w:rPr>
                <w:rFonts w:ascii="Arial" w:cs="Arial" w:eastAsia="Arial" w:hAnsi="Arial"/>
                <w:sz w:val="20"/>
                <w:szCs w:val="20"/>
                <w:color w:val="auto"/>
              </w:rPr>
              <w:t>Pier 92 Marine</w:t>
            </w: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04052</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Aggregates</w:t>
            </w:r>
          </w:p>
        </w:tc>
        <w:tc>
          <w:tcPr>
            <w:tcW w:w="800" w:type="dxa"/>
            <w:vAlign w:val="bottom"/>
          </w:tcPr>
          <w:p>
            <w:pPr>
              <w:ind w:left="60"/>
              <w:spacing w:after="0"/>
              <w:rPr>
                <w:sz w:val="20"/>
                <w:szCs w:val="20"/>
                <w:color w:val="auto"/>
              </w:rPr>
            </w:pPr>
            <w:r>
              <w:rPr>
                <w:rFonts w:ascii="Arial" w:cs="Arial" w:eastAsia="Arial" w:hAnsi="Arial"/>
                <w:sz w:val="20"/>
                <w:szCs w:val="20"/>
                <w:color w:val="auto"/>
              </w:rPr>
              <w:t>61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05044</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Platte Sand and Gravel</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18</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05043</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Portable Plant 1</w:t>
            </w:r>
          </w:p>
        </w:tc>
        <w:tc>
          <w:tcPr>
            <w:tcW w:w="800" w:type="dxa"/>
            <w:vAlign w:val="bottom"/>
          </w:tcPr>
          <w:p>
            <w:pPr>
              <w:ind w:left="60"/>
              <w:spacing w:after="0"/>
              <w:rPr>
                <w:sz w:val="20"/>
                <w:szCs w:val="20"/>
                <w:color w:val="auto"/>
              </w:rPr>
            </w:pPr>
            <w:r>
              <w:rPr>
                <w:rFonts w:ascii="Arial" w:cs="Arial" w:eastAsia="Arial" w:hAnsi="Arial"/>
                <w:sz w:val="20"/>
                <w:szCs w:val="20"/>
                <w:color w:val="auto"/>
              </w:rPr>
              <w:t>59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05039</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11</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84</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Portable Plant 21</w:t>
            </w:r>
          </w:p>
        </w:tc>
        <w:tc>
          <w:tcPr>
            <w:tcW w:w="800" w:type="dxa"/>
            <w:vAlign w:val="bottom"/>
          </w:tcPr>
          <w:p>
            <w:pPr>
              <w:ind w:left="60"/>
              <w:spacing w:after="0"/>
              <w:rPr>
                <w:sz w:val="20"/>
                <w:szCs w:val="20"/>
                <w:color w:val="auto"/>
              </w:rPr>
            </w:pPr>
            <w:r>
              <w:rPr>
                <w:rFonts w:ascii="Arial" w:cs="Arial" w:eastAsia="Arial" w:hAnsi="Arial"/>
                <w:sz w:val="20"/>
                <w:szCs w:val="20"/>
                <w:color w:val="auto"/>
              </w:rPr>
              <w:t>20</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05041</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36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05041</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20"/>
                <w:szCs w:val="20"/>
                <w:color w:val="auto"/>
              </w:rPr>
              <w:t>Rich Sand &amp; Gravel</w:t>
            </w:r>
          </w:p>
        </w:tc>
        <w:tc>
          <w:tcPr>
            <w:tcW w:w="800" w:type="dxa"/>
            <w:vAlign w:val="bottom"/>
          </w:tcPr>
          <w:p>
            <w:pPr>
              <w:ind w:left="60"/>
              <w:spacing w:after="0"/>
              <w:rPr>
                <w:sz w:val="20"/>
                <w:szCs w:val="20"/>
                <w:color w:val="auto"/>
              </w:rPr>
            </w:pPr>
            <w:r>
              <w:rPr>
                <w:rFonts w:ascii="Arial" w:cs="Arial" w:eastAsia="Arial" w:hAnsi="Arial"/>
                <w:sz w:val="20"/>
                <w:szCs w:val="20"/>
                <w:color w:val="auto"/>
              </w:rPr>
              <w:t>86</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02026</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River Ranch AGG</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46</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05048</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gridSpan w:val="2"/>
          </w:tcPr>
          <w:p>
            <w:pPr>
              <w:spacing w:after="0"/>
              <w:rPr>
                <w:sz w:val="20"/>
                <w:szCs w:val="20"/>
                <w:color w:val="auto"/>
              </w:rPr>
            </w:pPr>
            <w:r>
              <w:rPr>
                <w:rFonts w:ascii="Arial" w:cs="Arial" w:eastAsia="Arial" w:hAnsi="Arial"/>
                <w:sz w:val="20"/>
                <w:szCs w:val="20"/>
                <w:color w:val="auto"/>
              </w:rPr>
              <w:t>Riverbend Sand Gravel 41</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shd w:val="clear" w:color="auto" w:fill="CFF0FC"/>
          </w:tcPr>
          <w:p>
            <w:pPr>
              <w:spacing w:after="0"/>
              <w:rPr>
                <w:sz w:val="16"/>
                <w:szCs w:val="16"/>
                <w:color w:val="auto"/>
              </w:rPr>
            </w:pPr>
          </w:p>
        </w:tc>
        <w:tc>
          <w:tcPr>
            <w:tcW w:w="80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04022</w:t>
            </w: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Salughterhouse AGG</w:t>
            </w:r>
          </w:p>
        </w:tc>
        <w:tc>
          <w:tcPr>
            <w:tcW w:w="800" w:type="dxa"/>
            <w:vAlign w:val="bottom"/>
            <w:shd w:val="clear" w:color="auto" w:fill="CFF0FC"/>
          </w:tcPr>
          <w:p>
            <w:pPr>
              <w:ind w:left="60"/>
              <w:spacing w:after="0"/>
              <w:rPr>
                <w:sz w:val="20"/>
                <w:szCs w:val="20"/>
                <w:color w:val="auto"/>
              </w:rPr>
            </w:pPr>
            <w:r>
              <w:rPr>
                <w:rFonts w:ascii="Arial" w:cs="Arial" w:eastAsia="Arial" w:hAnsi="Arial"/>
                <w:sz w:val="20"/>
                <w:szCs w:val="20"/>
                <w:color w:val="auto"/>
              </w:rPr>
              <w:t>51</w:t>
            </w:r>
          </w:p>
        </w:tc>
        <w:tc>
          <w:tcPr>
            <w:tcW w:w="6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800" w:type="dxa"/>
            <w:vAlign w:val="bottom"/>
          </w:tcPr>
          <w:p>
            <w:pPr>
              <w:ind w:left="60"/>
              <w:spacing w:after="0" w:line="194" w:lineRule="exact"/>
              <w:rPr>
                <w:sz w:val="20"/>
                <w:szCs w:val="20"/>
                <w:color w:val="auto"/>
              </w:rPr>
            </w:pPr>
            <w:r>
              <w:rPr>
                <w:rFonts w:ascii="Arial" w:cs="Arial" w:eastAsia="Arial" w:hAnsi="Arial"/>
                <w:sz w:val="20"/>
                <w:szCs w:val="20"/>
                <w:color w:val="auto"/>
              </w:rPr>
              <w:t>04005</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120" w:type="dxa"/>
            <w:vAlign w:val="bottom"/>
          </w:tcPr>
          <w:p>
            <w:pPr>
              <w:spacing w:after="0"/>
              <w:rPr>
                <w:sz w:val="20"/>
                <w:szCs w:val="20"/>
                <w:color w:val="auto"/>
              </w:rPr>
            </w:pPr>
            <w:r>
              <w:rPr>
                <w:rFonts w:ascii="Arial" w:cs="Arial" w:eastAsia="Arial" w:hAnsi="Arial"/>
                <w:sz w:val="20"/>
                <w:szCs w:val="20"/>
                <w:color w:val="auto"/>
              </w:rPr>
              <w:t>San Andreas AGG</w:t>
            </w:r>
          </w:p>
        </w:tc>
        <w:tc>
          <w:tcPr>
            <w:tcW w:w="800" w:type="dxa"/>
            <w:vAlign w:val="bottom"/>
          </w:tcPr>
          <w:p>
            <w:pPr>
              <w:ind w:left="60"/>
              <w:spacing w:after="0"/>
              <w:rPr>
                <w:sz w:val="20"/>
                <w:szCs w:val="20"/>
                <w:color w:val="auto"/>
              </w:rPr>
            </w:pPr>
            <w:r>
              <w:rPr>
                <w:rFonts w:ascii="Arial" w:cs="Arial" w:eastAsia="Arial" w:hAnsi="Arial"/>
                <w:sz w:val="20"/>
                <w:szCs w:val="20"/>
                <w:color w:val="auto"/>
              </w:rPr>
              <w:t>39</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16"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2060" w:type="dxa"/>
            <w:vAlign w:val="bottom"/>
            <w:shd w:val="clear" w:color="auto" w:fill="CFF0FC"/>
          </w:tcPr>
          <w:p>
            <w:pPr>
              <w:spacing w:after="0"/>
              <w:rPr>
                <w:sz w:val="17"/>
                <w:szCs w:val="17"/>
                <w:color w:val="auto"/>
              </w:rPr>
            </w:pPr>
          </w:p>
        </w:tc>
        <w:tc>
          <w:tcPr>
            <w:tcW w:w="880" w:type="dxa"/>
            <w:vAlign w:val="bottom"/>
            <w:shd w:val="clear" w:color="auto" w:fill="CFF0FC"/>
          </w:tcPr>
          <w:p>
            <w:pPr>
              <w:ind w:left="120"/>
              <w:spacing w:after="0" w:line="202" w:lineRule="exact"/>
              <w:rPr>
                <w:sz w:val="20"/>
                <w:szCs w:val="20"/>
                <w:color w:val="auto"/>
              </w:rPr>
            </w:pPr>
            <w:r>
              <w:rPr>
                <w:rFonts w:ascii="Arial" w:cs="Arial" w:eastAsia="Arial" w:hAnsi="Arial"/>
                <w:sz w:val="20"/>
                <w:szCs w:val="20"/>
                <w:color w:val="auto"/>
              </w:rPr>
              <w:t>04057</w:t>
            </w:r>
          </w:p>
        </w:tc>
        <w:tc>
          <w:tcPr>
            <w:tcW w:w="5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Sanger AGG</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99</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20"/>
                <w:szCs w:val="20"/>
                <w:color w:val="auto"/>
              </w:rPr>
              <w:t>Santa Margarita</w:t>
            </w: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04016</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Aggregates</w:t>
            </w:r>
          </w:p>
        </w:tc>
        <w:tc>
          <w:tcPr>
            <w:tcW w:w="880" w:type="dxa"/>
            <w:vAlign w:val="bottom"/>
          </w:tcPr>
          <w:p>
            <w:pPr>
              <w:ind w:left="120"/>
              <w:spacing w:after="0"/>
              <w:rPr>
                <w:sz w:val="20"/>
                <w:szCs w:val="20"/>
                <w:color w:val="auto"/>
              </w:rPr>
            </w:pPr>
            <w:r>
              <w:rPr>
                <w:rFonts w:ascii="Arial" w:cs="Arial" w:eastAsia="Arial" w:hAnsi="Arial"/>
                <w:sz w:val="20"/>
                <w:szCs w:val="20"/>
                <w:color w:val="auto"/>
              </w:rPr>
              <w:t>16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04055</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Santee Plant</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64</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04019</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Sisquoc Aggregates</w:t>
            </w:r>
          </w:p>
        </w:tc>
        <w:tc>
          <w:tcPr>
            <w:tcW w:w="880" w:type="dxa"/>
            <w:vAlign w:val="bottom"/>
          </w:tcPr>
          <w:p>
            <w:pPr>
              <w:ind w:left="120"/>
              <w:spacing w:after="0"/>
              <w:rPr>
                <w:sz w:val="20"/>
                <w:szCs w:val="20"/>
                <w:color w:val="auto"/>
              </w:rPr>
            </w:pPr>
            <w:r>
              <w:rPr>
                <w:rFonts w:ascii="Arial" w:cs="Arial" w:eastAsia="Arial" w:hAnsi="Arial"/>
                <w:sz w:val="20"/>
                <w:szCs w:val="20"/>
                <w:color w:val="auto"/>
              </w:rPr>
              <w:t>59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05008</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60</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04018</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Sunol Plant</w:t>
            </w:r>
          </w:p>
        </w:tc>
        <w:tc>
          <w:tcPr>
            <w:tcW w:w="880" w:type="dxa"/>
            <w:vAlign w:val="bottom"/>
          </w:tcPr>
          <w:p>
            <w:pPr>
              <w:ind w:left="120"/>
              <w:spacing w:after="0"/>
              <w:rPr>
                <w:sz w:val="20"/>
                <w:szCs w:val="20"/>
                <w:color w:val="auto"/>
              </w:rPr>
            </w:pPr>
            <w:r>
              <w:rPr>
                <w:rFonts w:ascii="Arial" w:cs="Arial" w:eastAsia="Arial" w:hAnsi="Arial"/>
                <w:sz w:val="20"/>
                <w:szCs w:val="20"/>
                <w:color w:val="auto"/>
              </w:rPr>
              <w:t>59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05045</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26</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line="194" w:lineRule="exact"/>
              <w:rPr>
                <w:sz w:val="20"/>
                <w:szCs w:val="20"/>
                <w:color w:val="auto"/>
              </w:rPr>
            </w:pPr>
            <w:r>
              <w:rPr>
                <w:rFonts w:ascii="Arial" w:cs="Arial" w:eastAsia="Arial" w:hAnsi="Arial"/>
                <w:sz w:val="20"/>
                <w:szCs w:val="20"/>
                <w:color w:val="auto"/>
              </w:rPr>
              <w:t>Tidewater Oakland</w:t>
            </w: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04030</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Marine Agg</w:t>
            </w:r>
          </w:p>
        </w:tc>
        <w:tc>
          <w:tcPr>
            <w:tcW w:w="880" w:type="dxa"/>
            <w:vAlign w:val="bottom"/>
          </w:tcPr>
          <w:p>
            <w:pPr>
              <w:ind w:left="120"/>
              <w:spacing w:after="0"/>
              <w:rPr>
                <w:sz w:val="20"/>
                <w:szCs w:val="20"/>
                <w:color w:val="auto"/>
              </w:rPr>
            </w:pPr>
            <w:r>
              <w:rPr>
                <w:rFonts w:ascii="Arial" w:cs="Arial" w:eastAsia="Arial" w:hAnsi="Arial"/>
                <w:sz w:val="20"/>
                <w:szCs w:val="20"/>
                <w:color w:val="auto"/>
              </w:rPr>
              <w:t>02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05039</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604</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Walstrum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35</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02012</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Yavapai AGG</w:t>
            </w:r>
          </w:p>
        </w:tc>
        <w:tc>
          <w:tcPr>
            <w:tcW w:w="880" w:type="dxa"/>
            <w:vAlign w:val="bottom"/>
          </w:tcPr>
          <w:p>
            <w:pPr>
              <w:ind w:left="120"/>
              <w:spacing w:after="0"/>
              <w:rPr>
                <w:sz w:val="20"/>
                <w:szCs w:val="20"/>
                <w:color w:val="auto"/>
              </w:rPr>
            </w:pPr>
            <w:r>
              <w:rPr>
                <w:rFonts w:ascii="Arial" w:cs="Arial" w:eastAsia="Arial" w:hAnsi="Arial"/>
                <w:sz w:val="20"/>
                <w:szCs w:val="20"/>
                <w:color w:val="auto"/>
              </w:rPr>
              <w:t>22</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41053</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51 Sand &amp; Gravel</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81</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41013</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9"/>
              </w:rPr>
              <w:t>1,208</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Beckmann Quarry</w:t>
            </w:r>
          </w:p>
        </w:tc>
        <w:tc>
          <w:tcPr>
            <w:tcW w:w="880" w:type="dxa"/>
            <w:vAlign w:val="bottom"/>
          </w:tcPr>
          <w:p>
            <w:pPr>
              <w:ind w:left="120"/>
              <w:spacing w:after="0"/>
              <w:rPr>
                <w:sz w:val="20"/>
                <w:szCs w:val="20"/>
                <w:color w:val="auto"/>
              </w:rPr>
            </w:pPr>
            <w:r>
              <w:rPr>
                <w:rFonts w:ascii="Arial" w:cs="Arial" w:eastAsia="Arial" w:hAnsi="Arial"/>
                <w:sz w:val="20"/>
                <w:szCs w:val="20"/>
                <w:color w:val="auto"/>
              </w:rPr>
              <w:t>35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41032</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83</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41040</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Bells Savoy SG</w:t>
            </w:r>
          </w:p>
        </w:tc>
        <w:tc>
          <w:tcPr>
            <w:tcW w:w="880" w:type="dxa"/>
            <w:vAlign w:val="bottom"/>
          </w:tcPr>
          <w:p>
            <w:pPr>
              <w:ind w:left="120"/>
              <w:spacing w:after="0"/>
              <w:rPr>
                <w:sz w:val="20"/>
                <w:szCs w:val="20"/>
                <w:color w:val="auto"/>
              </w:rPr>
            </w:pPr>
            <w:r>
              <w:rPr>
                <w:rFonts w:ascii="Arial" w:cs="Arial" w:eastAsia="Arial" w:hAnsi="Arial"/>
                <w:sz w:val="20"/>
                <w:szCs w:val="20"/>
                <w:color w:val="auto"/>
              </w:rPr>
              <w:t>19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03000</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11</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41041</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Black Spur Quarry</w:t>
            </w:r>
          </w:p>
        </w:tc>
        <w:tc>
          <w:tcPr>
            <w:tcW w:w="880" w:type="dxa"/>
            <w:vAlign w:val="bottom"/>
          </w:tcPr>
          <w:p>
            <w:pPr>
              <w:ind w:left="120"/>
              <w:spacing w:after="0"/>
              <w:rPr>
                <w:sz w:val="20"/>
                <w:szCs w:val="20"/>
                <w:color w:val="auto"/>
              </w:rPr>
            </w:pPr>
            <w:r>
              <w:rPr>
                <w:rFonts w:ascii="Arial" w:cs="Arial" w:eastAsia="Arial" w:hAnsi="Arial"/>
                <w:sz w:val="20"/>
                <w:szCs w:val="20"/>
                <w:color w:val="auto"/>
              </w:rPr>
              <w:t>59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41000</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***Bridgeport Stone</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07</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34004</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Broken Bow SG</w:t>
            </w:r>
          </w:p>
        </w:tc>
        <w:tc>
          <w:tcPr>
            <w:tcW w:w="880" w:type="dxa"/>
            <w:vAlign w:val="bottom"/>
          </w:tcPr>
          <w:p>
            <w:pPr>
              <w:ind w:left="120"/>
              <w:spacing w:after="0"/>
              <w:rPr>
                <w:sz w:val="20"/>
                <w:szCs w:val="20"/>
                <w:color w:val="auto"/>
              </w:rPr>
            </w:pPr>
            <w:r>
              <w:rPr>
                <w:rFonts w:ascii="Arial" w:cs="Arial" w:eastAsia="Arial" w:hAnsi="Arial"/>
                <w:sz w:val="20"/>
                <w:szCs w:val="20"/>
                <w:color w:val="auto"/>
              </w:rPr>
              <w:t>60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34012</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99</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41039</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Garfield SG</w:t>
            </w:r>
          </w:p>
        </w:tc>
        <w:tc>
          <w:tcPr>
            <w:tcW w:w="880" w:type="dxa"/>
            <w:vAlign w:val="bottom"/>
          </w:tcPr>
          <w:p>
            <w:pPr>
              <w:ind w:left="120"/>
              <w:spacing w:after="0"/>
              <w:rPr>
                <w:sz w:val="20"/>
                <w:szCs w:val="20"/>
                <w:color w:val="auto"/>
              </w:rPr>
            </w:pPr>
            <w:r>
              <w:rPr>
                <w:rFonts w:ascii="Arial" w:cs="Arial" w:eastAsia="Arial" w:hAnsi="Arial"/>
                <w:sz w:val="20"/>
                <w:szCs w:val="20"/>
                <w:color w:val="auto"/>
              </w:rPr>
              <w:t>09</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41028</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86</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000C3</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GMS</w:t>
            </w:r>
          </w:p>
        </w:tc>
        <w:tc>
          <w:tcPr>
            <w:tcW w:w="880" w:type="dxa"/>
            <w:vAlign w:val="bottom"/>
          </w:tcPr>
          <w:p>
            <w:pPr>
              <w:ind w:left="120"/>
              <w:spacing w:after="0"/>
              <w:rPr>
                <w:sz w:val="20"/>
                <w:szCs w:val="20"/>
                <w:color w:val="auto"/>
              </w:rPr>
            </w:pPr>
            <w:r>
              <w:rPr>
                <w:rFonts w:ascii="Arial" w:cs="Arial" w:eastAsia="Arial" w:hAnsi="Arial"/>
                <w:sz w:val="20"/>
                <w:szCs w:val="20"/>
                <w:color w:val="auto"/>
              </w:rPr>
              <w:t>35</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03016</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14</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41031</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Helotes</w:t>
            </w:r>
          </w:p>
        </w:tc>
        <w:tc>
          <w:tcPr>
            <w:tcW w:w="880" w:type="dxa"/>
            <w:vAlign w:val="bottom"/>
          </w:tcPr>
          <w:p>
            <w:pPr>
              <w:ind w:left="120"/>
              <w:spacing w:after="0"/>
              <w:rPr>
                <w:sz w:val="20"/>
                <w:szCs w:val="20"/>
                <w:color w:val="auto"/>
              </w:rPr>
            </w:pPr>
            <w:r>
              <w:rPr>
                <w:rFonts w:ascii="Arial" w:cs="Arial" w:eastAsia="Arial" w:hAnsi="Arial"/>
                <w:sz w:val="20"/>
                <w:szCs w:val="20"/>
                <w:color w:val="auto"/>
              </w:rPr>
              <w:t>37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41038</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29</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41047</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Hondo</w:t>
            </w:r>
          </w:p>
        </w:tc>
        <w:tc>
          <w:tcPr>
            <w:tcW w:w="880" w:type="dxa"/>
            <w:vAlign w:val="bottom"/>
          </w:tcPr>
          <w:p>
            <w:pPr>
              <w:ind w:left="120"/>
              <w:spacing w:after="0"/>
              <w:rPr>
                <w:sz w:val="20"/>
                <w:szCs w:val="20"/>
                <w:color w:val="auto"/>
              </w:rPr>
            </w:pPr>
            <w:r>
              <w:rPr>
                <w:rFonts w:ascii="Arial" w:cs="Arial" w:eastAsia="Arial" w:hAnsi="Arial"/>
                <w:sz w:val="20"/>
                <w:szCs w:val="20"/>
                <w:color w:val="auto"/>
              </w:rPr>
              <w:t>08</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34000</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61</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41052</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Hunter Stone</w:t>
            </w:r>
          </w:p>
        </w:tc>
        <w:tc>
          <w:tcPr>
            <w:tcW w:w="880" w:type="dxa"/>
            <w:vAlign w:val="bottom"/>
          </w:tcPr>
          <w:p>
            <w:pPr>
              <w:ind w:left="120"/>
              <w:spacing w:after="0"/>
              <w:rPr>
                <w:sz w:val="20"/>
                <w:szCs w:val="20"/>
                <w:color w:val="auto"/>
              </w:rPr>
            </w:pPr>
            <w:r>
              <w:rPr>
                <w:rFonts w:ascii="Arial" w:cs="Arial" w:eastAsia="Arial" w:hAnsi="Arial"/>
                <w:sz w:val="20"/>
                <w:szCs w:val="20"/>
                <w:color w:val="auto"/>
              </w:rPr>
              <w:t>30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34005</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Idabel Quarry</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07</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03015</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698</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Jones Mill Quarry</w:t>
            </w:r>
          </w:p>
        </w:tc>
        <w:tc>
          <w:tcPr>
            <w:tcW w:w="880" w:type="dxa"/>
            <w:vAlign w:val="bottom"/>
          </w:tcPr>
          <w:p>
            <w:pPr>
              <w:ind w:left="120"/>
              <w:spacing w:after="0"/>
              <w:rPr>
                <w:sz w:val="20"/>
                <w:szCs w:val="20"/>
                <w:color w:val="auto"/>
              </w:rPr>
            </w:pPr>
            <w:r>
              <w:rPr>
                <w:rFonts w:ascii="Arial" w:cs="Arial" w:eastAsia="Arial" w:hAnsi="Arial"/>
                <w:sz w:val="20"/>
                <w:szCs w:val="20"/>
                <w:color w:val="auto"/>
              </w:rPr>
              <w:t>86</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41052</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Liberty Ranch Sand</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68</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41051</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267</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Medina Rock Rail</w:t>
            </w:r>
          </w:p>
        </w:tc>
        <w:tc>
          <w:tcPr>
            <w:tcW w:w="880" w:type="dxa"/>
            <w:vAlign w:val="bottom"/>
          </w:tcPr>
          <w:p>
            <w:pPr>
              <w:ind w:left="120"/>
              <w:spacing w:after="0"/>
              <w:rPr>
                <w:sz w:val="20"/>
                <w:szCs w:val="20"/>
                <w:color w:val="auto"/>
              </w:rPr>
            </w:pPr>
            <w:r>
              <w:rPr>
                <w:rFonts w:ascii="Arial" w:cs="Arial" w:eastAsia="Arial" w:hAnsi="Arial"/>
                <w:sz w:val="20"/>
                <w:szCs w:val="20"/>
                <w:color w:val="auto"/>
              </w:rPr>
              <w:t>70</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41038</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Merkel Plant</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48</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16"/>
                <w:szCs w:val="16"/>
                <w:color w:val="auto"/>
              </w:rPr>
            </w:pPr>
          </w:p>
        </w:tc>
        <w:tc>
          <w:tcPr>
            <w:tcW w:w="880" w:type="dxa"/>
            <w:vAlign w:val="bottom"/>
          </w:tcPr>
          <w:p>
            <w:pPr>
              <w:ind w:left="120"/>
              <w:spacing w:after="0" w:line="194" w:lineRule="exact"/>
              <w:rPr>
                <w:sz w:val="20"/>
                <w:szCs w:val="20"/>
                <w:color w:val="auto"/>
              </w:rPr>
            </w:pPr>
            <w:r>
              <w:rPr>
                <w:rFonts w:ascii="Arial" w:cs="Arial" w:eastAsia="Arial" w:hAnsi="Arial"/>
                <w:sz w:val="20"/>
                <w:szCs w:val="20"/>
                <w:color w:val="auto"/>
              </w:rPr>
              <w:t>41000</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r>
              <w:rPr>
                <w:rFonts w:ascii="Arial" w:cs="Arial" w:eastAsia="Arial" w:hAnsi="Arial"/>
                <w:sz w:val="20"/>
                <w:szCs w:val="20"/>
                <w:color w:val="auto"/>
              </w:rPr>
              <w:t>Midlothian Cement</w:t>
            </w:r>
          </w:p>
        </w:tc>
        <w:tc>
          <w:tcPr>
            <w:tcW w:w="880" w:type="dxa"/>
            <w:vAlign w:val="bottom"/>
          </w:tcPr>
          <w:p>
            <w:pPr>
              <w:ind w:left="120"/>
              <w:spacing w:after="0"/>
              <w:rPr>
                <w:sz w:val="20"/>
                <w:szCs w:val="20"/>
                <w:color w:val="auto"/>
              </w:rPr>
            </w:pPr>
            <w:r>
              <w:rPr>
                <w:rFonts w:ascii="Arial" w:cs="Arial" w:eastAsia="Arial" w:hAnsi="Arial"/>
                <w:sz w:val="20"/>
                <w:szCs w:val="20"/>
                <w:color w:val="auto"/>
              </w:rPr>
              <w:t>71</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4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2060" w:type="dxa"/>
            <w:vAlign w:val="bottom"/>
            <w:shd w:val="clear" w:color="auto" w:fill="CFF0FC"/>
          </w:tcPr>
          <w:p>
            <w:pPr>
              <w:spacing w:after="0"/>
              <w:rPr>
                <w:sz w:val="16"/>
                <w:szCs w:val="16"/>
                <w:color w:val="auto"/>
              </w:rPr>
            </w:pPr>
          </w:p>
        </w:tc>
        <w:tc>
          <w:tcPr>
            <w:tcW w:w="8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34018</w:t>
            </w:r>
          </w:p>
        </w:tc>
        <w:tc>
          <w:tcPr>
            <w:tcW w:w="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8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59</w:t>
            </w:r>
          </w:p>
        </w:tc>
        <w:tc>
          <w:tcPr>
            <w:tcW w:w="5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6" w:right="339" w:bottom="150"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61"/>
        </w:trPr>
        <w:tc>
          <w:tcPr>
            <w:tcW w:w="2140" w:type="dxa"/>
            <w:vAlign w:val="bottom"/>
          </w:tcPr>
          <w:p>
            <w:pPr>
              <w:spacing w:after="0"/>
              <w:rPr>
                <w:sz w:val="22"/>
                <w:szCs w:val="22"/>
                <w:color w:val="auto"/>
              </w:rPr>
            </w:pPr>
          </w:p>
        </w:tc>
        <w:tc>
          <w:tcPr>
            <w:tcW w:w="760" w:type="dxa"/>
            <w:vAlign w:val="bottom"/>
            <w:vMerge w:val="restart"/>
          </w:tcPr>
          <w:p>
            <w:pPr>
              <w:ind w:left="40"/>
              <w:spacing w:after="0"/>
              <w:rPr>
                <w:sz w:val="20"/>
                <w:szCs w:val="20"/>
                <w:color w:val="auto"/>
              </w:rPr>
            </w:pPr>
            <w:r>
              <w:rPr>
                <w:rFonts w:ascii="Arial" w:cs="Arial" w:eastAsia="Arial" w:hAnsi="Arial"/>
                <w:sz w:val="20"/>
                <w:szCs w:val="20"/>
                <w:color w:val="auto"/>
              </w:rPr>
              <w:t>34012</w:t>
            </w: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gridSpan w:val="2"/>
          </w:tcPr>
          <w:p>
            <w:pPr>
              <w:ind w:left="320"/>
              <w:spacing w:after="0"/>
              <w:rPr>
                <w:sz w:val="20"/>
                <w:szCs w:val="20"/>
                <w:color w:val="auto"/>
              </w:rPr>
            </w:pPr>
            <w:r>
              <w:rPr>
                <w:rFonts w:ascii="Arial" w:cs="Arial" w:eastAsia="Arial" w:hAnsi="Arial"/>
                <w:sz w:val="20"/>
                <w:szCs w:val="20"/>
                <w:color w:val="auto"/>
                <w:w w:val="95"/>
              </w:rPr>
              <w:t>Appendix 1</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Mill Creek Quarry</w:t>
            </w:r>
          </w:p>
        </w:tc>
        <w:tc>
          <w:tcPr>
            <w:tcW w:w="760" w:type="dxa"/>
            <w:vAlign w:val="bottom"/>
          </w:tcPr>
          <w:p>
            <w:pPr>
              <w:ind w:left="40"/>
              <w:spacing w:after="0"/>
              <w:rPr>
                <w:sz w:val="20"/>
                <w:szCs w:val="20"/>
                <w:color w:val="auto"/>
              </w:rPr>
            </w:pPr>
            <w:r>
              <w:rPr>
                <w:rFonts w:ascii="Arial" w:cs="Arial" w:eastAsia="Arial" w:hAnsi="Arial"/>
                <w:sz w:val="20"/>
                <w:szCs w:val="20"/>
                <w:color w:val="auto"/>
              </w:rPr>
              <w:t>85</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41043</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North Austin Quarry</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80</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20"/>
                <w:szCs w:val="20"/>
                <w:color w:val="auto"/>
              </w:rPr>
              <w:t>North Bridgeport Quarry 41033</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(Chico Quarry)</w:t>
            </w:r>
          </w:p>
        </w:tc>
        <w:tc>
          <w:tcPr>
            <w:tcW w:w="760" w:type="dxa"/>
            <w:vAlign w:val="bottom"/>
          </w:tcPr>
          <w:p>
            <w:pPr>
              <w:ind w:left="40"/>
              <w:spacing w:after="0"/>
              <w:rPr>
                <w:sz w:val="20"/>
                <w:szCs w:val="20"/>
                <w:color w:val="auto"/>
              </w:rPr>
            </w:pPr>
            <w:r>
              <w:rPr>
                <w:rFonts w:ascii="Arial" w:cs="Arial" w:eastAsia="Arial" w:hAnsi="Arial"/>
                <w:sz w:val="20"/>
                <w:szCs w:val="20"/>
                <w:color w:val="auto"/>
              </w:rPr>
              <w:t>60</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16014</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17</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41013</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Poteet Sand</w:t>
            </w:r>
          </w:p>
        </w:tc>
        <w:tc>
          <w:tcPr>
            <w:tcW w:w="760" w:type="dxa"/>
            <w:vAlign w:val="bottom"/>
          </w:tcPr>
          <w:p>
            <w:pPr>
              <w:ind w:left="40"/>
              <w:spacing w:after="0"/>
              <w:rPr>
                <w:sz w:val="20"/>
                <w:szCs w:val="20"/>
                <w:color w:val="auto"/>
              </w:rPr>
            </w:pPr>
            <w:r>
              <w:rPr>
                <w:rFonts w:ascii="Arial" w:cs="Arial" w:eastAsia="Arial" w:hAnsi="Arial"/>
                <w:sz w:val="20"/>
                <w:szCs w:val="20"/>
                <w:color w:val="auto"/>
              </w:rPr>
              <w:t>42</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41035</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94</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41013</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San Pedro Quarry</w:t>
            </w:r>
          </w:p>
        </w:tc>
        <w:tc>
          <w:tcPr>
            <w:tcW w:w="760" w:type="dxa"/>
            <w:vAlign w:val="bottom"/>
          </w:tcPr>
          <w:p>
            <w:pPr>
              <w:ind w:left="40"/>
              <w:spacing w:after="0"/>
              <w:rPr>
                <w:sz w:val="20"/>
                <w:szCs w:val="20"/>
                <w:color w:val="auto"/>
              </w:rPr>
            </w:pPr>
            <w:r>
              <w:rPr>
                <w:rFonts w:ascii="Arial" w:cs="Arial" w:eastAsia="Arial" w:hAnsi="Arial"/>
                <w:sz w:val="20"/>
                <w:szCs w:val="20"/>
                <w:color w:val="auto"/>
              </w:rPr>
              <w:t>37</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Sawyer East Quarry</w:t>
            </w: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34018</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Portable</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09</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34016</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151</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Sawyer Quarry</w:t>
            </w:r>
          </w:p>
        </w:tc>
        <w:tc>
          <w:tcPr>
            <w:tcW w:w="760" w:type="dxa"/>
            <w:vAlign w:val="bottom"/>
          </w:tcPr>
          <w:p>
            <w:pPr>
              <w:ind w:left="40"/>
              <w:spacing w:after="0"/>
              <w:rPr>
                <w:sz w:val="20"/>
                <w:szCs w:val="20"/>
                <w:color w:val="auto"/>
              </w:rPr>
            </w:pPr>
            <w:r>
              <w:rPr>
                <w:rFonts w:ascii="Arial" w:cs="Arial" w:eastAsia="Arial" w:hAnsi="Arial"/>
                <w:sz w:val="20"/>
                <w:szCs w:val="20"/>
                <w:color w:val="auto"/>
              </w:rPr>
              <w:t>34</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41011</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Slaton Plant</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11</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2</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41041</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Smithson Valley Quarry</w:t>
            </w:r>
          </w:p>
        </w:tc>
        <w:tc>
          <w:tcPr>
            <w:tcW w:w="760" w:type="dxa"/>
            <w:vAlign w:val="bottom"/>
          </w:tcPr>
          <w:p>
            <w:pPr>
              <w:ind w:left="40"/>
              <w:spacing w:after="0"/>
              <w:rPr>
                <w:sz w:val="20"/>
                <w:szCs w:val="20"/>
                <w:color w:val="auto"/>
              </w:rPr>
            </w:pPr>
            <w:r>
              <w:rPr>
                <w:rFonts w:ascii="Arial" w:cs="Arial" w:eastAsia="Arial" w:hAnsi="Arial"/>
                <w:sz w:val="20"/>
                <w:szCs w:val="20"/>
                <w:color w:val="auto"/>
              </w:rPr>
              <w:t>08</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34016</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51</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line="194" w:lineRule="exact"/>
              <w:rPr>
                <w:sz w:val="20"/>
                <w:szCs w:val="20"/>
                <w:color w:val="auto"/>
              </w:rPr>
            </w:pPr>
            <w:r>
              <w:rPr>
                <w:rFonts w:ascii="Arial" w:cs="Arial" w:eastAsia="Arial" w:hAnsi="Arial"/>
                <w:sz w:val="20"/>
                <w:szCs w:val="20"/>
                <w:color w:val="auto"/>
              </w:rPr>
              <w:t>South Texas Port #2</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line="216" w:lineRule="exact"/>
              <w:rPr>
                <w:sz w:val="20"/>
                <w:szCs w:val="20"/>
                <w:color w:val="auto"/>
              </w:rPr>
            </w:pPr>
            <w:r>
              <w:rPr>
                <w:rFonts w:ascii="Arial" w:cs="Arial" w:eastAsia="Arial" w:hAnsi="Arial"/>
                <w:sz w:val="20"/>
                <w:szCs w:val="20"/>
                <w:color w:val="auto"/>
              </w:rPr>
              <w:t>(Gulf Coast Portable #2</w:t>
            </w:r>
          </w:p>
        </w:tc>
        <w:tc>
          <w:tcPr>
            <w:tcW w:w="760" w:type="dxa"/>
            <w:vAlign w:val="bottom"/>
          </w:tcPr>
          <w:p>
            <w:pPr>
              <w:ind w:left="40"/>
              <w:spacing w:after="0" w:line="216" w:lineRule="exact"/>
              <w:rPr>
                <w:sz w:val="20"/>
                <w:szCs w:val="20"/>
                <w:color w:val="auto"/>
              </w:rPr>
            </w:pPr>
            <w:r>
              <w:rPr>
                <w:rFonts w:ascii="Arial" w:cs="Arial" w:eastAsia="Arial" w:hAnsi="Arial"/>
                <w:sz w:val="20"/>
                <w:szCs w:val="20"/>
                <w:color w:val="auto"/>
              </w:rPr>
              <w:t>41042</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t>
            </w:r>
          </w:p>
        </w:tc>
        <w:tc>
          <w:tcPr>
            <w:tcW w:w="760" w:type="dxa"/>
            <w:vAlign w:val="bottom"/>
          </w:tcPr>
          <w:p>
            <w:pPr>
              <w:ind w:left="40"/>
              <w:spacing w:after="0"/>
              <w:rPr>
                <w:sz w:val="20"/>
                <w:szCs w:val="20"/>
                <w:color w:val="auto"/>
              </w:rPr>
            </w:pPr>
            <w:r>
              <w:rPr>
                <w:rFonts w:ascii="Arial" w:cs="Arial" w:eastAsia="Arial" w:hAnsi="Arial"/>
                <w:sz w:val="20"/>
                <w:szCs w:val="20"/>
                <w:color w:val="auto"/>
              </w:rPr>
              <w:t>04</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41028</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52</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41011</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Vealmoor Plant</w:t>
            </w:r>
          </w:p>
        </w:tc>
        <w:tc>
          <w:tcPr>
            <w:tcW w:w="760" w:type="dxa"/>
            <w:vAlign w:val="bottom"/>
          </w:tcPr>
          <w:p>
            <w:pPr>
              <w:ind w:left="40"/>
              <w:spacing w:after="0"/>
              <w:rPr>
                <w:sz w:val="20"/>
                <w:szCs w:val="20"/>
                <w:color w:val="auto"/>
              </w:rPr>
            </w:pPr>
            <w:r>
              <w:rPr>
                <w:rFonts w:ascii="Arial" w:cs="Arial" w:eastAsia="Arial" w:hAnsi="Arial"/>
                <w:sz w:val="20"/>
                <w:szCs w:val="20"/>
                <w:color w:val="auto"/>
              </w:rPr>
              <w:t>37</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1</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1</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34020</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49</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41043</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Webberville</w:t>
            </w:r>
          </w:p>
        </w:tc>
        <w:tc>
          <w:tcPr>
            <w:tcW w:w="760" w:type="dxa"/>
            <w:vAlign w:val="bottom"/>
          </w:tcPr>
          <w:p>
            <w:pPr>
              <w:ind w:left="40"/>
              <w:spacing w:after="0"/>
              <w:rPr>
                <w:sz w:val="20"/>
                <w:szCs w:val="20"/>
                <w:color w:val="auto"/>
              </w:rPr>
            </w:pPr>
            <w:r>
              <w:rPr>
                <w:rFonts w:ascii="Arial" w:cs="Arial" w:eastAsia="Arial" w:hAnsi="Arial"/>
                <w:sz w:val="20"/>
                <w:szCs w:val="20"/>
                <w:color w:val="auto"/>
              </w:rPr>
              <w:t>63</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rPr>
                <w:sz w:val="16"/>
                <w:szCs w:val="16"/>
                <w:color w:val="auto"/>
              </w:rPr>
            </w:pP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26000</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**Gabbs Mining Ops</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02</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33001</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Woodville - Stone</w:t>
            </w:r>
          </w:p>
        </w:tc>
        <w:tc>
          <w:tcPr>
            <w:tcW w:w="760" w:type="dxa"/>
            <w:vAlign w:val="bottom"/>
          </w:tcPr>
          <w:p>
            <w:pPr>
              <w:ind w:left="40"/>
              <w:spacing w:after="0"/>
              <w:rPr>
                <w:sz w:val="20"/>
                <w:szCs w:val="20"/>
                <w:color w:val="auto"/>
              </w:rPr>
            </w:pPr>
            <w:r>
              <w:rPr>
                <w:rFonts w:ascii="Arial" w:cs="Arial" w:eastAsia="Arial" w:hAnsi="Arial"/>
                <w:sz w:val="20"/>
                <w:szCs w:val="20"/>
                <w:color w:val="auto"/>
              </w:rPr>
              <w:t>56</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1</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Geology and</w:t>
            </w:r>
          </w:p>
        </w:tc>
        <w:tc>
          <w:tcPr>
            <w:tcW w:w="76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00B71</w:t>
            </w:r>
          </w:p>
        </w:tc>
        <w:tc>
          <w:tcPr>
            <w:tcW w:w="6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Exploration</w:t>
            </w:r>
          </w:p>
        </w:tc>
        <w:tc>
          <w:tcPr>
            <w:tcW w:w="760" w:type="dxa"/>
            <w:vAlign w:val="bottom"/>
            <w:shd w:val="clear" w:color="auto" w:fill="CFF0FC"/>
          </w:tcPr>
          <w:p>
            <w:pPr>
              <w:ind w:left="40"/>
              <w:spacing w:after="0"/>
              <w:rPr>
                <w:sz w:val="20"/>
                <w:szCs w:val="20"/>
                <w:color w:val="auto"/>
              </w:rPr>
            </w:pPr>
            <w:r>
              <w:rPr>
                <w:rFonts w:ascii="Arial" w:cs="Arial" w:eastAsia="Arial" w:hAnsi="Arial"/>
                <w:sz w:val="20"/>
                <w:szCs w:val="20"/>
                <w:color w:val="auto"/>
              </w:rPr>
              <w:t>27</w:t>
            </w:r>
          </w:p>
        </w:tc>
        <w:tc>
          <w:tcPr>
            <w:tcW w:w="6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no</w:t>
            </w:r>
          </w:p>
        </w:tc>
        <w:tc>
          <w:tcPr>
            <w:tcW w:w="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760" w:type="dxa"/>
            <w:vAlign w:val="bottom"/>
          </w:tcPr>
          <w:p>
            <w:pPr>
              <w:ind w:left="40"/>
              <w:spacing w:after="0" w:line="194" w:lineRule="exact"/>
              <w:rPr>
                <w:sz w:val="20"/>
                <w:szCs w:val="20"/>
                <w:color w:val="auto"/>
              </w:rPr>
            </w:pPr>
            <w:r>
              <w:rPr>
                <w:rFonts w:ascii="Arial" w:cs="Arial" w:eastAsia="Arial" w:hAnsi="Arial"/>
                <w:sz w:val="20"/>
                <w:szCs w:val="20"/>
                <w:color w:val="auto"/>
              </w:rPr>
              <w:t>00B93</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0</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Arial" w:cs="Arial" w:eastAsia="Arial" w:hAnsi="Arial"/>
                <w:sz w:val="20"/>
                <w:szCs w:val="20"/>
                <w:color w:val="auto"/>
              </w:rPr>
              <w:t>Salisbury Shop</w:t>
            </w:r>
          </w:p>
        </w:tc>
        <w:tc>
          <w:tcPr>
            <w:tcW w:w="760" w:type="dxa"/>
            <w:vAlign w:val="bottom"/>
          </w:tcPr>
          <w:p>
            <w:pPr>
              <w:ind w:left="40"/>
              <w:spacing w:after="0"/>
              <w:rPr>
                <w:sz w:val="20"/>
                <w:szCs w:val="20"/>
                <w:color w:val="auto"/>
              </w:rPr>
            </w:pPr>
            <w:r>
              <w:rPr>
                <w:rFonts w:ascii="Arial" w:cs="Arial" w:eastAsia="Arial" w:hAnsi="Arial"/>
                <w:sz w:val="20"/>
                <w:szCs w:val="20"/>
                <w:color w:val="auto"/>
              </w:rPr>
              <w:t>38</w:t>
            </w:r>
          </w:p>
        </w:tc>
        <w:tc>
          <w:tcPr>
            <w:tcW w:w="640" w:type="dxa"/>
            <w:vAlign w:val="bottom"/>
          </w:tcPr>
          <w:p>
            <w:pPr>
              <w:jc w:val="center"/>
              <w:ind w:right="2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3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00" w:type="dxa"/>
            <w:vAlign w:val="bottom"/>
          </w:tcPr>
          <w:p>
            <w:pPr>
              <w:ind w:left="100"/>
              <w:spacing w:after="0"/>
              <w:rPr>
                <w:sz w:val="20"/>
                <w:szCs w:val="20"/>
                <w:color w:val="auto"/>
              </w:rPr>
            </w:pPr>
            <w:r>
              <w:rPr>
                <w:rFonts w:ascii="Arial" w:cs="Arial" w:eastAsia="Arial" w:hAnsi="Arial"/>
                <w:sz w:val="20"/>
                <w:szCs w:val="20"/>
                <w:color w:val="auto"/>
              </w:rPr>
              <w:t>no</w:t>
            </w:r>
          </w:p>
        </w:tc>
        <w:tc>
          <w:tcPr>
            <w:tcW w:w="900" w:type="dxa"/>
            <w:vAlign w:val="bottom"/>
          </w:tcPr>
          <w:p>
            <w:pPr>
              <w:ind w:left="26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2"/>
        </w:trPr>
        <w:tc>
          <w:tcPr>
            <w:tcW w:w="2140" w:type="dxa"/>
            <w:vAlign w:val="bottom"/>
            <w:vMerge w:val="restart"/>
            <w:shd w:val="clear" w:color="auto" w:fill="CFF0FC"/>
          </w:tcPr>
          <w:p>
            <w:pPr>
              <w:spacing w:after="0"/>
              <w:rPr>
                <w:sz w:val="20"/>
                <w:szCs w:val="20"/>
                <w:color w:val="auto"/>
              </w:rPr>
            </w:pPr>
            <w:r>
              <w:rPr>
                <w:rFonts w:ascii="Arial" w:cs="Arial" w:eastAsia="Arial" w:hAnsi="Arial"/>
                <w:sz w:val="20"/>
                <w:szCs w:val="20"/>
                <w:b w:val="1"/>
                <w:bCs w:val="1"/>
                <w:color w:val="auto"/>
              </w:rPr>
              <w:t>TOTAL</w:t>
            </w:r>
          </w:p>
        </w:tc>
        <w:tc>
          <w:tcPr>
            <w:tcW w:w="76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center"/>
              <w:ind w:right="1"/>
              <w:spacing w:after="0"/>
              <w:rPr>
                <w:sz w:val="20"/>
                <w:szCs w:val="20"/>
                <w:color w:val="auto"/>
              </w:rPr>
            </w:pPr>
            <w:r>
              <w:rPr>
                <w:rFonts w:ascii="Arial" w:cs="Arial" w:eastAsia="Arial" w:hAnsi="Arial"/>
                <w:sz w:val="20"/>
                <w:szCs w:val="20"/>
                <w:b w:val="1"/>
                <w:bCs w:val="1"/>
                <w:color w:val="auto"/>
                <w:w w:val="98"/>
              </w:rPr>
              <w:t>14</w:t>
            </w:r>
          </w:p>
        </w:tc>
        <w:tc>
          <w:tcPr>
            <w:tcW w:w="680" w:type="dxa"/>
            <w:vAlign w:val="bottom"/>
            <w:vMerge w:val="restart"/>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700" w:type="dxa"/>
            <w:vAlign w:val="bottom"/>
            <w:vMerge w:val="restart"/>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0</w:t>
            </w:r>
          </w:p>
        </w:tc>
        <w:tc>
          <w:tcPr>
            <w:tcW w:w="680" w:type="dxa"/>
            <w:vAlign w:val="bottom"/>
            <w:vMerge w:val="restart"/>
            <w:shd w:val="clear" w:color="auto" w:fill="CFF0FC"/>
          </w:tcPr>
          <w:p>
            <w:pPr>
              <w:jc w:val="right"/>
              <w:ind w:right="201"/>
              <w:spacing w:after="0"/>
              <w:rPr>
                <w:sz w:val="20"/>
                <w:szCs w:val="20"/>
                <w:color w:val="auto"/>
              </w:rPr>
            </w:pPr>
            <w:r>
              <w:rPr>
                <w:rFonts w:ascii="Arial" w:cs="Arial" w:eastAsia="Arial" w:hAnsi="Arial"/>
                <w:sz w:val="20"/>
                <w:szCs w:val="20"/>
                <w:b w:val="1"/>
                <w:bCs w:val="1"/>
                <w:color w:val="auto"/>
              </w:rPr>
              <w:t>0</w:t>
            </w:r>
          </w:p>
        </w:tc>
        <w:tc>
          <w:tcPr>
            <w:tcW w:w="560" w:type="dxa"/>
            <w:vAlign w:val="bottom"/>
            <w:vMerge w:val="restart"/>
            <w:shd w:val="clear" w:color="auto" w:fill="CFF0FC"/>
          </w:tcPr>
          <w:p>
            <w:pPr>
              <w:jc w:val="right"/>
              <w:ind w:right="41"/>
              <w:spacing w:after="0"/>
              <w:rPr>
                <w:sz w:val="20"/>
                <w:szCs w:val="20"/>
                <w:color w:val="auto"/>
              </w:rPr>
            </w:pPr>
            <w:r>
              <w:rPr>
                <w:rFonts w:ascii="Arial" w:cs="Arial" w:eastAsia="Arial" w:hAnsi="Arial"/>
                <w:sz w:val="20"/>
                <w:szCs w:val="20"/>
                <w:b w:val="1"/>
                <w:bCs w:val="1"/>
                <w:color w:val="auto"/>
              </w:rPr>
              <w:t>0</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680" w:type="dxa"/>
            <w:vAlign w:val="bottom"/>
            <w:shd w:val="clear" w:color="auto" w:fill="CFF0FC"/>
          </w:tcPr>
          <w:p>
            <w:pPr>
              <w:jc w:val="right"/>
              <w:ind w:right="61"/>
              <w:spacing w:after="0" w:line="192" w:lineRule="exact"/>
              <w:rPr>
                <w:sz w:val="20"/>
                <w:szCs w:val="20"/>
                <w:color w:val="auto"/>
              </w:rPr>
            </w:pPr>
            <w:r>
              <w:rPr>
                <w:rFonts w:ascii="Arial" w:cs="Arial" w:eastAsia="Arial" w:hAnsi="Arial"/>
                <w:sz w:val="20"/>
                <w:szCs w:val="20"/>
                <w:b w:val="1"/>
                <w:bCs w:val="1"/>
                <w:color w:val="auto"/>
                <w:w w:val="99"/>
              </w:rPr>
              <w:t>14,20</w:t>
            </w:r>
          </w:p>
        </w:tc>
        <w:tc>
          <w:tcPr>
            <w:tcW w:w="380" w:type="dxa"/>
            <w:vAlign w:val="bottom"/>
            <w:vMerge w:val="restart"/>
            <w:shd w:val="clear" w:color="auto" w:fill="CFF0FC"/>
          </w:tcPr>
          <w:p>
            <w:pPr>
              <w:jc w:val="right"/>
              <w:ind w:right="21"/>
              <w:spacing w:after="0"/>
              <w:rPr>
                <w:sz w:val="20"/>
                <w:szCs w:val="20"/>
                <w:color w:val="auto"/>
              </w:rPr>
            </w:pPr>
            <w:r>
              <w:rPr>
                <w:rFonts w:ascii="Arial" w:cs="Arial" w:eastAsia="Arial" w:hAnsi="Arial"/>
                <w:sz w:val="20"/>
                <w:szCs w:val="20"/>
                <w:b w:val="1"/>
                <w:bCs w:val="1"/>
                <w:color w:val="auto"/>
              </w:rPr>
              <w:t>0</w:t>
            </w: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center"/>
              <w:ind w:left="41"/>
              <w:spacing w:after="0"/>
              <w:rPr>
                <w:sz w:val="20"/>
                <w:szCs w:val="20"/>
                <w:color w:val="auto"/>
              </w:rPr>
            </w:pPr>
            <w:r>
              <w:rPr>
                <w:rFonts w:ascii="Arial" w:cs="Arial" w:eastAsia="Arial" w:hAnsi="Arial"/>
                <w:sz w:val="20"/>
                <w:szCs w:val="20"/>
                <w:b w:val="1"/>
                <w:bCs w:val="1"/>
                <w:color w:val="auto"/>
                <w:w w:val="98"/>
              </w:rPr>
              <w:t>15</w:t>
            </w:r>
          </w:p>
        </w:tc>
        <w:tc>
          <w:tcPr>
            <w:tcW w:w="60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7</w:t>
            </w:r>
          </w:p>
        </w:tc>
        <w:tc>
          <w:tcPr>
            <w:tcW w:w="700" w:type="dxa"/>
            <w:vAlign w:val="bottom"/>
            <w:vMerge w:val="restart"/>
            <w:shd w:val="clear" w:color="auto" w:fill="CFF0FC"/>
          </w:tcPr>
          <w:p>
            <w:pPr>
              <w:jc w:val="center"/>
              <w:spacing w:after="0"/>
              <w:rPr>
                <w:sz w:val="20"/>
                <w:szCs w:val="20"/>
                <w:color w:val="auto"/>
              </w:rPr>
            </w:pPr>
            <w:r>
              <w:rPr>
                <w:rFonts w:ascii="Arial" w:cs="Arial" w:eastAsia="Arial" w:hAnsi="Arial"/>
                <w:sz w:val="20"/>
                <w:szCs w:val="20"/>
                <w:b w:val="1"/>
                <w:bCs w:val="1"/>
                <w:color w:val="auto"/>
                <w:w w:val="98"/>
              </w:rPr>
              <w:t>10</w:t>
            </w:r>
          </w:p>
        </w:tc>
        <w:tc>
          <w:tcPr>
            <w:tcW w:w="0" w:type="dxa"/>
            <w:vAlign w:val="bottom"/>
          </w:tcPr>
          <w:p>
            <w:pPr>
              <w:spacing w:after="0"/>
              <w:rPr>
                <w:sz w:val="1"/>
                <w:szCs w:val="1"/>
                <w:color w:val="auto"/>
              </w:rPr>
            </w:pPr>
          </w:p>
        </w:tc>
      </w:tr>
      <w:tr>
        <w:trPr>
          <w:trHeight w:val="240"/>
        </w:trPr>
        <w:tc>
          <w:tcPr>
            <w:tcW w:w="2140" w:type="dxa"/>
            <w:vAlign w:val="bottom"/>
            <w:vMerge w:val="continue"/>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rPr>
              <w:t>9</w:t>
            </w:r>
          </w:p>
        </w:tc>
        <w:tc>
          <w:tcPr>
            <w:tcW w:w="380" w:type="dxa"/>
            <w:vAlign w:val="bottom"/>
            <w:vMerge w:val="continue"/>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*Of the 15 legal actions pending on September 30, 2025, 13 were contests of citations or orders referenced in Subpart B of CFR Part 2700, which includes contests of citations and orders issued under Section 104 of the Mine Act and contests of imminent danger orders under Section 107 of the Mine Act, one was a contest of proposed penalties referenced in Subpart C of 29 CFR Part 2700, which are administrative proceedings before the Commission challenging a civil penalty that MSHA has proposed for the violation contained in a citation or order, and one was a contest of an order issued under Section 103 (K) of the Mine Act.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**Site acquired by the Company on July 25, 2025 as part of the acquisition of assets from Premier Magnesia, LLC.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***Bridgeport Stone Plant and Black Rock Quarry instituted in Q2 and previously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8" w:name="page69"/>
    <w:bookmarkEnd w:id="68"/>
    <w:p>
      <w:pPr>
        <w:ind w:left="9140"/>
        <w:spacing w:after="0"/>
        <w:rPr>
          <w:sz w:val="20"/>
          <w:szCs w:val="20"/>
          <w:color w:val="auto"/>
        </w:rPr>
      </w:pPr>
      <w:r>
        <w:rPr>
          <w:rFonts w:ascii="Arial" w:cs="Arial" w:eastAsia="Arial" w:hAnsi="Arial"/>
          <w:sz w:val="19"/>
          <w:szCs w:val="19"/>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1054100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6"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3"/>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95"/>
    </w:lvl>
  </w:abstractNum>
  <w:abstractNum w:abstractNumId="14">
    <w:nsid w:val="7C83E458"/>
    <w:multiLevelType w:val="hybridMultilevel"/>
    <w:lvl w:ilvl="0">
      <w:lvlJc w:val="left"/>
      <w:lvlText w:val="%1"/>
      <w:numFmt w:val="decimal"/>
      <w:start w:val="104"/>
    </w:lvl>
  </w:abstractNum>
  <w:abstractNum w:abstractNumId="15">
    <w:nsid w:val="257130A3"/>
    <w:multiLevelType w:val="hybridMultilevel"/>
    <w:lvl w:ilvl="0">
      <w:lvlJc w:val="left"/>
      <w:lvlText w:val="%1."/>
      <w:numFmt w:val="decimal"/>
      <w:start w:val="1"/>
    </w:lvl>
    <w:lvl w:ilvl="1">
      <w:lvlJc w:val="left"/>
      <w:lvlText w:val="%2."/>
      <w:numFmt w:val="lowerLetter"/>
      <w:start w:val="1"/>
    </w:lvl>
  </w:abstractNum>
  <w:abstractNum w:abstractNumId="16">
    <w:nsid w:val="62BBD95A"/>
    <w:multiLevelType w:val="hybridMultilevel"/>
    <w:lvl w:ilvl="0">
      <w:lvlJc w:val="left"/>
      <w:lvlText w:val="%1."/>
      <w:numFmt w:val="decimal"/>
      <w:start w:val="5"/>
    </w:lvl>
    <w:lvl w:ilvl="1">
      <w:lvlJc w:val="left"/>
      <w:lvlText w:val="%2."/>
      <w:numFmt w:val="lowerLetter"/>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5"/>
    </w:lvl>
    <w:lvl w:ilvl="1">
      <w:lvlJc w:val="left"/>
      <w:lvlText w:val="%2."/>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2025-11-04T14:59:10Z</dcterms:created>
  <dcterms:modified xsi:type="dcterms:W3CDTF">2025-11-04T14:59:10Z</dcterms:modified>
</cp:coreProperties>
</file>