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lm-20250331.htm"/>
      <w:bookmarkStart w:id="1" w:name="ksmlm20250331"/>
      <w:bookmarkEnd w:id="0"/>
      <w:bookmarkEnd w:id="1"/>
      <w:r>
        <w:rPr/>
        <w:t> </w:t>
      </w:r>
    </w:p>
    <w:p>
      <w:pPr>
        <w:pStyle w:val="TextBody"/>
        <w:bidi w:val="0"/>
        <w:jc w:val="center"/>
        <w:rPr>
          <w:rFonts w:ascii="sans-serif" w:hAnsi="sans-serif"/>
          <w:b/>
          <w:color w:val="000000"/>
          <w:sz w:val="22"/>
        </w:rPr>
      </w:pPr>
      <w:r>
        <w:rPr>
          <w:rFonts w:ascii="sans-serif" w:hAnsi="sans-serif"/>
          <w:b/>
          <w:color w:val="000000"/>
          <w:sz w:val="22"/>
        </w:rPr>
        <w:t>UNITED STATES</w:t>
      </w:r>
    </w:p>
    <w:p>
      <w:pPr>
        <w:pStyle w:val="TextBody"/>
        <w:bidi w:val="0"/>
        <w:jc w:val="center"/>
        <w:rPr>
          <w:rFonts w:ascii="sans-serif" w:hAnsi="sans-serif"/>
          <w:b/>
          <w:color w:val="000000"/>
          <w:sz w:val="22"/>
        </w:rPr>
      </w:pPr>
      <w:r>
        <w:rPr>
          <w:rFonts w:ascii="sans-serif" w:hAnsi="sans-serif"/>
          <w:b/>
          <w:color w:val="000000"/>
          <w:sz w:val="22"/>
        </w:rPr>
        <w:t>SECURITIES AND EXCHANGE COMMISSION</w:t>
      </w:r>
    </w:p>
    <w:p>
      <w:pPr>
        <w:pStyle w:val="TextBody"/>
        <w:bidi w:val="0"/>
        <w:jc w:val="center"/>
        <w:rPr>
          <w:rFonts w:ascii="sans-serif" w:hAnsi="sans-serif"/>
          <w:b/>
          <w:color w:val="000000"/>
          <w:sz w:val="22"/>
        </w:rPr>
      </w:pPr>
      <w:r>
        <w:rPr>
          <w:rFonts w:ascii="sans-serif" w:hAnsi="sans-serif"/>
          <w:b/>
          <w:color w:val="000000"/>
          <w:sz w:val="22"/>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sans-serif" w:hAnsi="sans-serif"/>
          <w:b/>
          <w:color w:val="000000"/>
          <w:sz w:val="22"/>
        </w:rPr>
      </w:pPr>
      <w:r>
        <w:rPr>
          <w:rFonts w:ascii="sans-serif" w:hAnsi="sans-serif"/>
          <w:b/>
          <w:color w:val="000000"/>
          <w:sz w:val="22"/>
        </w:rPr>
        <w:t>FORM 10-Q</w:t>
      </w:r>
    </w:p>
    <w:p>
      <w:pPr>
        <w:pStyle w:val="TextBody"/>
        <w:pBdr>
          <w:bottom w:val="single" w:sz="4" w:space="1" w:color="000000"/>
        </w:pBdr>
        <w:bidi w:val="0"/>
        <w:jc w:val="center"/>
        <w:rPr/>
      </w:pPr>
      <w:r>
        <w:rPr/>
        <w:t> </w:t>
      </w:r>
    </w:p>
    <w:p>
      <w:pPr>
        <w:pStyle w:val="TextBody"/>
        <w:bidi w:val="0"/>
        <w:jc w:val="both"/>
        <w:rPr>
          <w:rFonts w:ascii="sans-serif" w:hAnsi="sans-serif"/>
          <w:b/>
          <w:color w:val="000000"/>
          <w:sz w:val="16"/>
        </w:rPr>
      </w:pPr>
      <w:r>
        <w:rPr>
          <w:rFonts w:ascii="sans-serif" w:hAnsi="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QUARTERLY REPORT PURSUANT TO SECTION 13 OR 15(d) OF THE SECURITIES EXCHANGE ACT OF 1934</w:t>
            </w:r>
          </w:p>
        </w:tc>
      </w:tr>
    </w:tbl>
    <w:p>
      <w:pPr>
        <w:pStyle w:val="TextBody"/>
        <w:bidi w:val="0"/>
        <w:spacing w:before="60" w:after="283"/>
        <w:jc w:val="center"/>
        <w:rPr>
          <w:rFonts w:ascii="sans-serif" w:hAnsi="sans-serif"/>
          <w:b/>
          <w:color w:val="000000"/>
          <w:sz w:val="22"/>
        </w:rPr>
      </w:pPr>
      <w:r>
        <w:rPr>
          <w:rFonts w:ascii="sans-serif" w:hAnsi="sans-serif"/>
          <w:b/>
          <w:color w:val="000000"/>
          <w:sz w:val="22"/>
        </w:rPr>
        <w:t>For the quarterly period ended March 31, 2025</w:t>
      </w:r>
    </w:p>
    <w:p>
      <w:pPr>
        <w:pStyle w:val="TextBody"/>
        <w:bidi w:val="0"/>
        <w:spacing w:before="60" w:after="283"/>
        <w:jc w:val="center"/>
        <w:rPr>
          <w:rFonts w:ascii="sans-serif" w:hAnsi="sans-serif"/>
          <w:b/>
          <w:color w:val="000000"/>
          <w:sz w:val="22"/>
        </w:rPr>
      </w:pPr>
      <w:r>
        <w:rPr>
          <w:rFonts w:ascii="sans-serif" w:hAnsi="sans-serif"/>
          <w:b/>
          <w:color w:val="000000"/>
          <w:sz w:val="22"/>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sans-serif" w:hAnsi="sans-serif"/>
                <w:b/>
                <w:color w:val="000000"/>
                <w:sz w:val="22"/>
              </w:rPr>
            </w:pPr>
            <w:r>
              <w:rPr>
                <w:rFonts w:ascii="sans-serif" w:hAnsi="sans-serif"/>
                <w:b/>
                <w:color w:val="000000"/>
                <w:sz w:val="22"/>
              </w:rPr>
              <w:t>TRANSITION REPORT PURSUANT TO SECTION 13 OR 15(d) OF THE SECURITIES EXCHANGE ACT OF 1934</w:t>
            </w:r>
          </w:p>
        </w:tc>
      </w:tr>
    </w:tbl>
    <w:p>
      <w:pPr>
        <w:pStyle w:val="TextBody"/>
        <w:bidi w:val="0"/>
        <w:spacing w:before="60" w:after="283"/>
        <w:jc w:val="center"/>
        <w:rPr>
          <w:rFonts w:ascii="Calibri" w:hAnsi="Calibri"/>
          <w:sz w:val="22"/>
        </w:rPr>
      </w:pPr>
      <w:r>
        <w:rPr>
          <w:rFonts w:ascii="sans-serif" w:hAnsi="sans-serif"/>
          <w:b/>
          <w:color w:val="000000"/>
          <w:sz w:val="22"/>
        </w:rPr>
        <w:t>For the transition period from to</w:t>
      </w:r>
      <w:r>
        <w:rPr>
          <w:rFonts w:ascii="Calibri" w:hAnsi="Calibri"/>
          <w:color w:val="000000"/>
          <w:sz w:val="22"/>
        </w:rPr>
        <w:t xml:space="preserve"> </w:t>
      </w:r>
    </w:p>
    <w:p>
      <w:pPr>
        <w:pStyle w:val="TextBody"/>
        <w:bidi w:val="0"/>
        <w:spacing w:before="120" w:after="283"/>
        <w:jc w:val="center"/>
        <w:rPr>
          <w:rFonts w:ascii="sans-serif" w:hAnsi="sans-serif"/>
          <w:b/>
          <w:color w:val="000000"/>
          <w:sz w:val="22"/>
        </w:rPr>
      </w:pPr>
      <w:r>
        <w:rPr>
          <w:rFonts w:ascii="sans-serif" w:hAnsi="sans-serif"/>
          <w:b/>
          <w:color w:val="000000"/>
          <w:sz w:val="22"/>
        </w:rPr>
        <w:t>Commission File Number: 1-12744</w:t>
      </w:r>
    </w:p>
    <w:p>
      <w:pPr>
        <w:pStyle w:val="TextBody"/>
        <w:pBdr>
          <w:bottom w:val="single" w:sz="4" w:space="1" w:color="000000"/>
        </w:pBdr>
        <w:bidi w:val="0"/>
        <w:jc w:val="center"/>
        <w:rPr/>
      </w:pPr>
      <w:r>
        <w:rPr/>
        <w:t> </w:t>
      </w:r>
    </w:p>
    <w:p>
      <w:pPr>
        <w:pStyle w:val="TextBody"/>
        <w:bidi w:val="0"/>
        <w:spacing w:before="60" w:after="283"/>
        <w:jc w:val="center"/>
        <w:rPr>
          <w:rFonts w:ascii="sans-serif" w:hAnsi="sans-serif"/>
          <w:b/>
          <w:color w:val="000000"/>
          <w:sz w:val="22"/>
        </w:rPr>
      </w:pPr>
      <w:r>
        <w:rPr>
          <w:rFonts w:ascii="sans-serif" w:hAnsi="sans-serif"/>
          <w:b/>
          <w:color w:val="000000"/>
          <w:sz w:val="22"/>
        </w:rPr>
        <w:t>MARTIN MARIETTA MATERIALS, INC.</w:t>
      </w:r>
    </w:p>
    <w:p>
      <w:pPr>
        <w:pStyle w:val="TextBody"/>
        <w:bidi w:val="0"/>
        <w:jc w:val="center"/>
        <w:rPr>
          <w:rFonts w:ascii="sans-serif" w:hAnsi="sans-serif"/>
          <w:b/>
          <w:color w:val="000000"/>
          <w:sz w:val="22"/>
        </w:rPr>
      </w:pPr>
      <w:r>
        <w:rPr>
          <w:rFonts w:ascii="sans-serif" w:hAnsi="sans-serif"/>
          <w:b/>
          <w:color w:val="000000"/>
          <w:sz w:val="22"/>
        </w:rPr>
        <w:t>(Exact Name of Registrant as Specified in its Charter)</w:t>
      </w:r>
    </w:p>
    <w:p>
      <w:pPr>
        <w:pStyle w:val="TextBody"/>
        <w:pBdr>
          <w:bottom w:val="single" w:sz="4" w:space="1" w:color="000000"/>
        </w:pBdr>
        <w:bidi w:val="0"/>
        <w:jc w:val="center"/>
        <w:rPr/>
      </w:pPr>
      <w:r>
        <w:rPr/>
        <w:t> </w:t>
      </w:r>
    </w:p>
    <w:p>
      <w:pPr>
        <w:pStyle w:val="TextBody"/>
        <w:bidi w:val="0"/>
        <w:jc w:val="both"/>
        <w:rPr/>
      </w:pPr>
      <w:r>
        <w:rPr/>
        <w:t> </w:t>
      </w:r>
    </w:p>
    <w:tbl>
      <w:tblPr>
        <w:tblW w:w="7277" w:type="dxa"/>
        <w:jc w:val="left"/>
        <w:tblInd w:w="0" w:type="dxa"/>
        <w:tblLayout w:type="fixed"/>
        <w:tblCellMar>
          <w:top w:w="28" w:type="dxa"/>
          <w:left w:w="28" w:type="dxa"/>
          <w:bottom w:w="28" w:type="dxa"/>
          <w:right w:w="28" w:type="dxa"/>
        </w:tblCellMar>
      </w:tblPr>
      <w:tblGrid>
        <w:gridCol w:w="4576"/>
        <w:gridCol w:w="2701"/>
      </w:tblGrid>
      <w:tr>
        <w:trPr/>
        <w:tc>
          <w:tcPr>
            <w:tcW w:w="457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457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North Carolina</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56-1848578</w:t>
            </w:r>
          </w:p>
        </w:tc>
      </w:tr>
      <w:tr>
        <w:trPr/>
        <w:tc>
          <w:tcPr>
            <w:tcW w:w="457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(State or other jurisdiction of incorporation or organization)</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(I.R.S. Employer Identification No.)</w:t>
            </w:r>
          </w:p>
        </w:tc>
      </w:tr>
      <w:tr>
        <w:trPr/>
        <w:tc>
          <w:tcPr>
            <w:tcW w:w="4576" w:type="dxa"/>
            <w:tcBorders/>
            <w:tcMar>
              <w:top w:w="0" w:type="dxa"/>
              <w:left w:w="0" w:type="dxa"/>
              <w:bottom w:w="0" w:type="dxa"/>
              <w:right w:w="0" w:type="dxa"/>
            </w:tcMar>
            <w:vAlign w:val="center"/>
          </w:tcPr>
          <w:p>
            <w:pPr>
              <w:pStyle w:val="TableContents"/>
              <w:bidi w:val="0"/>
              <w:spacing w:before="0" w:after="15"/>
              <w:jc w:val="center"/>
              <w:rPr>
                <w:rFonts w:ascii="sans-serif" w:hAnsi="sans-serif"/>
                <w:b/>
                <w:color w:val="000000"/>
                <w:sz w:val="22"/>
              </w:rPr>
            </w:pPr>
            <w:r>
              <w:rPr>
                <w:rFonts w:ascii="sans-serif" w:hAnsi="sans-serif"/>
                <w:b/>
                <w:color w:val="000000"/>
                <w:sz w:val="22"/>
              </w:rPr>
              <w:t>4123 Parklake Avenue, Raleigh, NC</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27612</w:t>
            </w:r>
          </w:p>
        </w:tc>
      </w:tr>
      <w:tr>
        <w:trPr/>
        <w:tc>
          <w:tcPr>
            <w:tcW w:w="457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(Address of principal executive offices)</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(Zip Code)</w:t>
            </w:r>
          </w:p>
        </w:tc>
      </w:tr>
    </w:tbl>
    <w:p>
      <w:pPr>
        <w:pStyle w:val="TextBody"/>
        <w:bidi w:val="0"/>
        <w:spacing w:before="80" w:after="283"/>
        <w:jc w:val="center"/>
        <w:rPr>
          <w:rFonts w:ascii="sans-serif" w:hAnsi="sans-serif"/>
          <w:b/>
          <w:color w:val="000000"/>
          <w:sz w:val="22"/>
        </w:rPr>
      </w:pPr>
      <w:r>
        <w:rPr>
          <w:rFonts w:ascii="sans-serif" w:hAnsi="sans-serif"/>
          <w:b/>
          <w:color w:val="000000"/>
          <w:sz w:val="22"/>
        </w:rPr>
        <w:t>Registrant’s telephone number, including area code: (919) 781-4550</w:t>
      </w:r>
    </w:p>
    <w:p>
      <w:pPr>
        <w:pStyle w:val="TextBody"/>
        <w:pBdr>
          <w:bottom w:val="single" w:sz="4" w:space="1" w:color="000000"/>
        </w:pBdr>
        <w:bidi w:val="0"/>
        <w:jc w:val="center"/>
        <w:rPr/>
      </w:pPr>
      <w:r>
        <w:rPr/>
        <w:t> </w:t>
      </w:r>
    </w:p>
    <w:p>
      <w:pPr>
        <w:pStyle w:val="TextBody"/>
        <w:bidi w:val="0"/>
        <w:spacing w:before="80" w:after="283"/>
        <w:jc w:val="both"/>
        <w:rPr>
          <w:rFonts w:ascii="Calibri" w:hAnsi="Calibri"/>
          <w:sz w:val="22"/>
        </w:rPr>
      </w:pPr>
      <w:r>
        <w:rPr>
          <w:rFonts w:ascii="sans-serif" w:hAnsi="sans-serif"/>
          <w:color w:val="000000"/>
          <w:sz w:val="18"/>
        </w:rPr>
        <w:t>Securities registered pursuant to Section 12(b) of the Act:</w:t>
      </w:r>
      <w:r>
        <w:rPr>
          <w:rFonts w:ascii="Calibri" w:hAnsi="Calibri"/>
          <w:color w:val="000000"/>
          <w:sz w:val="22"/>
        </w:rPr>
        <w:t xml:space="preserve"> </w:t>
      </w:r>
    </w:p>
    <w:p>
      <w:pPr>
        <w:pStyle w:val="TextBody"/>
        <w:bidi w:val="0"/>
        <w:jc w:val="both"/>
        <w:rPr/>
      </w:pPr>
      <w:r>
        <w:rPr/>
        <w:t> </w:t>
      </w:r>
    </w:p>
    <w:tbl>
      <w:tblPr>
        <w:tblW w:w="8770" w:type="dxa"/>
        <w:jc w:val="left"/>
        <w:tblInd w:w="0" w:type="dxa"/>
        <w:tblLayout w:type="fixed"/>
        <w:tblCellMar>
          <w:top w:w="28" w:type="dxa"/>
          <w:left w:w="28" w:type="dxa"/>
          <w:bottom w:w="28" w:type="dxa"/>
          <w:right w:w="28" w:type="dxa"/>
        </w:tblCellMar>
      </w:tblPr>
      <w:tblGrid>
        <w:gridCol w:w="3151"/>
        <w:gridCol w:w="146"/>
        <w:gridCol w:w="1051"/>
        <w:gridCol w:w="146"/>
        <w:gridCol w:w="427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jc w:val="center"/>
              <w:rPr>
                <w:rFonts w:ascii="sans-serif" w:hAnsi="sans-serif"/>
                <w:b/>
                <w:color w:val="000000"/>
                <w:sz w:val="16"/>
              </w:rPr>
            </w:pPr>
            <w:r>
              <w:rPr>
                <w:rFonts w:ascii="sans-serif" w:hAnsi="sans-serif"/>
                <w:b/>
                <w:color w:val="000000"/>
                <w:sz w:val="16"/>
              </w:rPr>
              <w:t>Trading</w:t>
            </w:r>
          </w:p>
          <w:p>
            <w:pPr>
              <w:pStyle w:val="TableContents"/>
              <w:bidi w:val="0"/>
              <w:spacing w:before="0" w:after="283"/>
              <w:jc w:val="center"/>
              <w:rPr>
                <w:rFonts w:ascii="sans-serif" w:hAnsi="sans-serif"/>
                <w:b/>
                <w:color w:val="000000"/>
                <w:sz w:val="16"/>
              </w:rPr>
            </w:pPr>
            <w:r>
              <w:rPr>
                <w:rFonts w:ascii="sans-serif" w:hAnsi="sans-serif"/>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Name of each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(Par Value $0.01)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MLM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The New York Stock Exchange</w:t>
            </w:r>
          </w:p>
        </w:tc>
      </w:tr>
    </w:tbl>
    <w:p>
      <w:pPr>
        <w:pStyle w:val="TextBody"/>
        <w:bidi w:val="0"/>
        <w:spacing w:before="120" w:after="283"/>
        <w:jc w:val="both"/>
        <w:rPr>
          <w:rFonts w:ascii="Calibri" w:hAnsi="Calibri"/>
          <w:sz w:val="22"/>
        </w:rPr>
      </w:pPr>
      <w:r>
        <w:rPr>
          <w:rFonts w:ascii="sans-serif" w:hAnsi="sans-serif"/>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Calibri" w:hAnsi="Calibri"/>
          <w:color w:val="000000"/>
          <w:sz w:val="22"/>
        </w:rPr>
        <w:t xml:space="preserve"> ☒ </w:t>
      </w:r>
      <w:r>
        <w:rPr>
          <w:rFonts w:ascii="sans-serif" w:hAnsi="sans-serif"/>
          <w:color w:val="000000"/>
          <w:sz w:val="18"/>
        </w:rPr>
        <w:t>No ☐</w:t>
      </w:r>
    </w:p>
    <w:p>
      <w:pPr>
        <w:pStyle w:val="TextBody"/>
        <w:bidi w:val="0"/>
        <w:spacing w:before="80" w:after="283"/>
        <w:jc w:val="both"/>
        <w:rPr>
          <w:rFonts w:ascii="Calibri" w:hAnsi="Calibri"/>
          <w:sz w:val="22"/>
        </w:rPr>
      </w:pPr>
      <w:r>
        <w:rPr>
          <w:rFonts w:ascii="sans-serif" w:hAnsi="sans-serif"/>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Calibri" w:hAnsi="Calibri"/>
          <w:color w:val="000000"/>
          <w:sz w:val="22"/>
        </w:rPr>
        <w:t xml:space="preserve"> ☒ </w:t>
      </w:r>
      <w:r>
        <w:rPr>
          <w:rFonts w:ascii="sans-serif" w:hAnsi="sans-serif"/>
          <w:color w:val="000000"/>
          <w:sz w:val="18"/>
        </w:rPr>
        <w:t>No ☐</w:t>
      </w:r>
    </w:p>
    <w:p>
      <w:pPr>
        <w:pStyle w:val="TextBody"/>
        <w:bidi w:val="0"/>
        <w:spacing w:before="80" w:after="283"/>
        <w:jc w:val="both"/>
        <w:rPr>
          <w:rFonts w:ascii="sans-serif" w:hAnsi="sans-serif"/>
          <w:color w:val="000000"/>
          <w:sz w:val="18"/>
        </w:rPr>
      </w:pPr>
      <w:r>
        <w:rPr>
          <w:rFonts w:ascii="sans-serif" w:hAnsi="sans-serif"/>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6307" w:type="dxa"/>
        <w:jc w:val="left"/>
        <w:tblInd w:w="0" w:type="dxa"/>
        <w:tblLayout w:type="fixed"/>
        <w:tblCellMar>
          <w:top w:w="28" w:type="dxa"/>
          <w:left w:w="28" w:type="dxa"/>
          <w:bottom w:w="28" w:type="dxa"/>
          <w:right w:w="28" w:type="dxa"/>
        </w:tblCellMar>
      </w:tblPr>
      <w:tblGrid>
        <w:gridCol w:w="2611"/>
        <w:gridCol w:w="146"/>
        <w:gridCol w:w="316"/>
        <w:gridCol w:w="146"/>
        <w:gridCol w:w="2581"/>
        <w:gridCol w:w="146"/>
        <w:gridCol w:w="36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7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color w:val="000000"/>
          <w:sz w:val="18"/>
        </w:rPr>
      </w:pPr>
      <w:r>
        <w:rPr>
          <w:rFonts w:ascii="sans-serif" w:hAnsi="sans-serif"/>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Calibri" w:hAnsi="Calibri"/>
          <w:sz w:val="22"/>
        </w:rPr>
      </w:pPr>
      <w:r>
        <w:rPr>
          <w:rFonts w:ascii="sans-serif" w:hAnsi="sans-serif"/>
          <w:color w:val="000000"/>
          <w:sz w:val="18"/>
        </w:rPr>
        <w:t xml:space="preserve">Indicate by check mark whether the registrant is a shell company (as defined in Rule 12b-2 of the Exchange Act). Yes ☐ No </w:t>
      </w:r>
      <w:r>
        <w:rPr>
          <w:rFonts w:ascii="Calibri" w:hAnsi="Calibri"/>
          <w:color w:val="000000"/>
          <w:sz w:val="22"/>
        </w:rPr>
        <w:t>☒</w:t>
      </w:r>
    </w:p>
    <w:p>
      <w:pPr>
        <w:pStyle w:val="TextBody"/>
        <w:bidi w:val="0"/>
        <w:spacing w:before="100" w:after="283"/>
        <w:jc w:val="left"/>
        <w:rPr>
          <w:rFonts w:ascii="Calibri" w:hAnsi="Calibri"/>
          <w:sz w:val="22"/>
        </w:rPr>
      </w:pPr>
      <w:r>
        <w:rPr>
          <w:rFonts w:ascii="sans-serif" w:hAnsi="sans-serif"/>
          <w:color w:val="000000"/>
          <w:sz w:val="18"/>
        </w:rPr>
        <w:t>Indicate the number of shares outstanding of each of the issuer’s classes of Common Stock, as of the latest practicable date.</w:t>
      </w:r>
      <w:r>
        <w:rPr>
          <w:rFonts w:ascii="Calibri" w:hAnsi="Calibri"/>
          <w:color w:val="000000"/>
          <w:sz w:val="22"/>
        </w:rPr>
        <w:t xml:space="preserve"> </w:t>
      </w:r>
    </w:p>
    <w:p>
      <w:pPr>
        <w:pStyle w:val="TextBody"/>
        <w:bidi w:val="0"/>
        <w:jc w:val="left"/>
        <w:rPr/>
      </w:pPr>
      <w:r>
        <w:rPr/>
        <w:t> </w:t>
      </w:r>
    </w:p>
    <w:tbl>
      <w:tblPr>
        <w:tblW w:w="6411" w:type="dxa"/>
        <w:jc w:val="left"/>
        <w:tblInd w:w="0" w:type="dxa"/>
        <w:tblLayout w:type="fixed"/>
        <w:tblCellMar>
          <w:top w:w="28" w:type="dxa"/>
          <w:left w:w="28" w:type="dxa"/>
          <w:bottom w:w="28" w:type="dxa"/>
          <w:right w:w="28" w:type="dxa"/>
        </w:tblCellMar>
      </w:tblPr>
      <w:tblGrid>
        <w:gridCol w:w="3061"/>
        <w:gridCol w:w="109"/>
        <w:gridCol w:w="3241"/>
      </w:tblGrid>
      <w:tr>
        <w:trPr/>
        <w:tc>
          <w:tcPr>
            <w:tcW w:w="3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0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4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sans-serif" w:hAnsi="sans-serif"/>
                <w:b/>
                <w:color w:val="000000"/>
                <w:sz w:val="16"/>
              </w:rPr>
            </w:pPr>
            <w:r>
              <w:rPr>
                <w:rFonts w:ascii="sans-serif" w:hAnsi="sans-serif"/>
                <w:b/>
                <w:color w:val="000000"/>
                <w:sz w:val="16"/>
              </w:rPr>
              <w:t>Outstanding as of April 25, 2025</w:t>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60,285,411</w:t>
            </w:r>
          </w:p>
        </w:tc>
      </w:tr>
    </w:tbl>
    <w:p>
      <w:pPr>
        <w:pStyle w:val="TextBody"/>
        <w:bidi w:val="0"/>
        <w:spacing w:before="0" w:after="16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38"/>
        <w:gridCol w:w="146"/>
        <w:gridCol w:w="1021"/>
      </w:tblGrid>
      <w:tr>
        <w:trPr/>
        <w:tc>
          <w:tcPr>
            <w:tcW w:w="9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90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center"/>
              <w:rPr>
                <w:rFonts w:ascii="sans-serif" w:hAnsi="sans-serif"/>
                <w:color w:val="000000"/>
                <w:sz w:val="22"/>
              </w:rPr>
            </w:pPr>
            <w:r>
              <w:rPr>
                <w:rFonts w:ascii="sans-serif" w:hAnsi="sans-serif"/>
                <w:color w:val="000000"/>
                <w:sz w:val="22"/>
              </w:rPr>
              <w:t>Page</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240"/>
              <w:jc w:val="left"/>
              <w:rPr>
                <w:rFonts w:ascii="sans-serif" w:hAnsi="sans-serif"/>
                <w:color w:val="000000"/>
                <w:sz w:val="22"/>
              </w:rPr>
            </w:pPr>
            <w:r>
              <w:rPr>
                <w:rFonts w:ascii="sans-serif" w:hAnsi="sans-serif"/>
                <w:color w:val="000000"/>
                <w:sz w:val="22"/>
              </w:rPr>
              <w:t>Part I. Financial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1_financial_statements">
              <w:r>
                <w:rPr>
                  <w:rStyle w:val="InternetLink"/>
                  <w:rFonts w:ascii="sans-serif" w:hAnsi="sans-serif"/>
                  <w:color w:val="0000FF"/>
                  <w:sz w:val="22"/>
                  <w:u w:val="single"/>
                </w:rPr>
                <w:t>Item 1.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balancesheet">
              <w:r>
                <w:rPr>
                  <w:rStyle w:val="InternetLink"/>
                  <w:rFonts w:ascii="sans-serif" w:hAnsi="sans-serif"/>
                  <w:color w:val="0000FF"/>
                  <w:sz w:val="22"/>
                  <w:u w:val="single"/>
                </w:rPr>
                <w:t>Consolidated Balance Sheets – March 31, 2025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sans-serif" w:hAnsi="sans-serif"/>
                <w:color w:val="000000"/>
                <w:sz w:val="22"/>
              </w:rPr>
            </w:pPr>
            <w:r>
              <w:rPr>
                <w:rFonts w:ascii="sans-serif" w:hAnsi="sans-serif"/>
                <w:color w:val="000000"/>
                <w:sz w:val="22"/>
              </w:rPr>
              <w:t>3</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arningsstmt">
              <w:r>
                <w:rPr>
                  <w:rStyle w:val="InternetLink"/>
                  <w:rFonts w:ascii="sans-serif" w:hAnsi="sans-serif"/>
                  <w:color w:val="0000FF"/>
                  <w:sz w:val="22"/>
                  <w:u w:val="single"/>
                </w:rPr>
                <w:t>Consolidated Statements of Earnings and Comprehensive Earnings –</w:t>
              </w:r>
            </w:hyperlink>
            <w:hyperlink w:anchor="earningsstmt">
              <w:r>
                <w:rPr>
                  <w:rStyle w:val="InternetLink"/>
                  <w:rFonts w:ascii="Calibri" w:hAnsi="Calibri"/>
                  <w:color w:val="0000FF"/>
                  <w:sz w:val="22"/>
                </w:rPr>
                <w:t xml:space="preserve"> </w:t>
              </w:r>
            </w:hyperlink>
            <w:hyperlink w:anchor="cashflow">
              <w:r>
                <w:rPr>
                  <w:rStyle w:val="InternetLink"/>
                  <w:rFonts w:ascii="sans-serif" w:hAnsi="sans-serif"/>
                  <w:color w:val="0000FF"/>
                  <w:sz w:val="22"/>
                  <w:u w:val="single"/>
                </w:rPr>
                <w:t>Three Months Ended March 31, 2025 and 2024</w:t>
              </w:r>
            </w:hyperlink>
            <w:r>
              <w:rPr>
                <w:rFonts w:ascii="Calibri" w:hAnsi="Calibri"/>
                <w:color w:val="0000FF"/>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sans-serif" w:hAnsi="sans-serif"/>
                <w:color w:val="000000"/>
                <w:sz w:val="22"/>
              </w:rPr>
            </w:pPr>
            <w:r>
              <w:rPr>
                <w:rFonts w:ascii="sans-serif" w:hAnsi="sans-serif"/>
                <w:color w:val="000000"/>
                <w:sz w:val="22"/>
              </w:rPr>
              <w:t>4</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ashflow">
              <w:r>
                <w:rPr>
                  <w:rStyle w:val="InternetLink"/>
                  <w:rFonts w:ascii="sans-serif" w:hAnsi="sans-serif"/>
                  <w:color w:val="0000FF"/>
                  <w:sz w:val="22"/>
                  <w:u w:val="single"/>
                </w:rPr>
                <w:t>Consolidated Statements of Cash Flows – Three Months Ended March 31, 2025 and 2024</w:t>
              </w:r>
            </w:hyperlink>
            <w:hyperlink w:anchor="cashflow">
              <w:r>
                <w:rPr>
                  <w:rStyle w:val="InternetLink"/>
                  <w:rFonts w:ascii="Calibri" w:hAnsi="Calibri"/>
                  <w:color w:val="0000FF"/>
                  <w:sz w:val="22"/>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sans-serif" w:hAnsi="sans-serif"/>
                <w:color w:val="000000"/>
                <w:sz w:val="22"/>
              </w:rPr>
            </w:pPr>
            <w:r>
              <w:rPr>
                <w:rFonts w:ascii="sans-serif" w:hAnsi="sans-serif"/>
                <w:color w:val="000000"/>
                <w:sz w:val="22"/>
              </w:rPr>
              <w:t>5</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quitystatement">
              <w:r>
                <w:rPr>
                  <w:rStyle w:val="InternetLink"/>
                  <w:rFonts w:ascii="sans-serif" w:hAnsi="sans-serif"/>
                  <w:color w:val="0000FF"/>
                  <w:sz w:val="22"/>
                  <w:u w:val="single"/>
                </w:rPr>
                <w:t>Consolidated Statements of Total Equity –</w:t>
              </w:r>
            </w:hyperlink>
            <w:hyperlink w:anchor="equitystatement">
              <w:r>
                <w:rPr>
                  <w:rStyle w:val="InternetLink"/>
                  <w:rFonts w:ascii="Calibri" w:hAnsi="Calibri"/>
                  <w:color w:val="0000FF"/>
                  <w:sz w:val="22"/>
                </w:rPr>
                <w:t xml:space="preserve"> </w:t>
              </w:r>
            </w:hyperlink>
            <w:hyperlink w:anchor="cashflow">
              <w:r>
                <w:rPr>
                  <w:rStyle w:val="InternetLink"/>
                  <w:rFonts w:ascii="sans-serif" w:hAnsi="sans-serif"/>
                  <w:color w:val="0000FF"/>
                  <w:sz w:val="22"/>
                  <w:u w:val="single"/>
                </w:rPr>
                <w:t>Three Months Ended March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sans-serif" w:hAnsi="sans-serif"/>
                <w:color w:val="000000"/>
                <w:sz w:val="22"/>
              </w:rPr>
            </w:pPr>
            <w:r>
              <w:rPr>
                <w:rFonts w:ascii="sans-serif" w:hAnsi="sans-serif"/>
                <w:color w:val="000000"/>
                <w:sz w:val="22"/>
              </w:rPr>
              <w:t>6</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tes_to_consolidated_financial_statemen">
              <w:r>
                <w:rPr>
                  <w:rStyle w:val="InternetLink"/>
                  <w:rFonts w:ascii="sans-serif" w:hAnsi="sans-serif"/>
                  <w:color w:val="0000FF"/>
                  <w:sz w:val="22"/>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000000"/>
                <w:sz w:val="22"/>
              </w:rPr>
            </w:pPr>
            <w:r>
              <w:rPr>
                <w:rFonts w:ascii="sans-serif" w:hAnsi="sans-serif"/>
                <w:color w:val="000000"/>
                <w:sz w:val="22"/>
              </w:rPr>
              <w:t>7</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2_management_discussion_and_anal">
              <w:r>
                <w:rPr>
                  <w:rStyle w:val="InternetLink"/>
                  <w:rFonts w:ascii="sans-serif" w:hAnsi="sans-serif"/>
                  <w:color w:val="0000FF"/>
                  <w:sz w:val="22"/>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000000"/>
                <w:sz w:val="22"/>
              </w:rPr>
            </w:pPr>
            <w:r>
              <w:rPr>
                <w:rFonts w:ascii="sans-serif" w:hAnsi="sans-serif"/>
                <w:color w:val="000000"/>
                <w:sz w:val="22"/>
              </w:rPr>
              <w:t>21</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3_quantitative_and_qualitative">
              <w:r>
                <w:rPr>
                  <w:rStyle w:val="InternetLink"/>
                  <w:rFonts w:ascii="sans-serif" w:hAnsi="sans-serif"/>
                  <w:color w:val="0000FF"/>
                  <w:sz w:val="22"/>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000000"/>
                <w:sz w:val="22"/>
              </w:rPr>
            </w:pPr>
            <w:r>
              <w:rPr>
                <w:rFonts w:ascii="sans-serif" w:hAnsi="sans-serif"/>
                <w:color w:val="000000"/>
                <w:sz w:val="22"/>
              </w:rPr>
              <w:t>30</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4_controls_and_procedures">
              <w:r>
                <w:rPr>
                  <w:rStyle w:val="InternetLink"/>
                  <w:rFonts w:ascii="sans-serif" w:hAnsi="sans-serif"/>
                  <w:color w:val="0000FF"/>
                  <w:sz w:val="22"/>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sans-serif" w:hAnsi="sans-serif"/>
                <w:color w:val="000000"/>
                <w:sz w:val="22"/>
              </w:rPr>
            </w:pPr>
            <w:r>
              <w:rPr>
                <w:rFonts w:ascii="sans-serif" w:hAnsi="sans-serif"/>
                <w:color w:val="000000"/>
                <w:sz w:val="22"/>
              </w:rPr>
              <w:t>30</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240"/>
              <w:jc w:val="left"/>
              <w:rPr>
                <w:rFonts w:ascii="sans-serif" w:hAnsi="sans-serif"/>
                <w:color w:val="000000"/>
                <w:sz w:val="22"/>
              </w:rPr>
            </w:pPr>
            <w:r>
              <w:rPr>
                <w:rFonts w:ascii="sans-serif" w:hAnsi="sans-serif"/>
                <w:color w:val="000000"/>
                <w:sz w:val="22"/>
              </w:rPr>
              <w:t>Part II. Other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1_legal_proceedings">
              <w:r>
                <w:rPr>
                  <w:rStyle w:val="InternetLink"/>
                  <w:rFonts w:ascii="sans-serif" w:hAnsi="sans-serif"/>
                  <w:color w:val="0000FF"/>
                  <w:sz w:val="22"/>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000000"/>
                <w:sz w:val="22"/>
              </w:rPr>
            </w:pPr>
            <w:r>
              <w:rPr>
                <w:rFonts w:ascii="sans-serif" w:hAnsi="sans-serif"/>
                <w:color w:val="000000"/>
                <w:sz w:val="22"/>
              </w:rPr>
              <w:t>31</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1a_risk_factors">
              <w:r>
                <w:rPr>
                  <w:rStyle w:val="InternetLink"/>
                  <w:rFonts w:ascii="sans-serif" w:hAnsi="sans-serif"/>
                  <w:color w:val="0000FF"/>
                  <w:sz w:val="22"/>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000000"/>
                <w:sz w:val="22"/>
              </w:rPr>
            </w:pPr>
            <w:r>
              <w:rPr>
                <w:rFonts w:ascii="sans-serif" w:hAnsi="sans-serif"/>
                <w:color w:val="000000"/>
                <w:sz w:val="22"/>
              </w:rPr>
              <w:t>31</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2_unregistered_sales_of_equity">
              <w:r>
                <w:rPr>
                  <w:rStyle w:val="InternetLink"/>
                  <w:rFonts w:ascii="sans-serif" w:hAnsi="sans-serif"/>
                  <w:color w:val="0000FF"/>
                  <w:sz w:val="22"/>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000000"/>
                <w:sz w:val="22"/>
              </w:rPr>
            </w:pPr>
            <w:r>
              <w:rPr>
                <w:rFonts w:ascii="sans-serif" w:hAnsi="sans-serif"/>
                <w:color w:val="000000"/>
                <w:sz w:val="22"/>
              </w:rPr>
              <w:t>31</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4_mine_safety_disclosure">
              <w:r>
                <w:rPr>
                  <w:rStyle w:val="InternetLink"/>
                  <w:rFonts w:ascii="sans-serif" w:hAnsi="sans-serif"/>
                  <w:color w:val="0000FF"/>
                  <w:sz w:val="22"/>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000000"/>
                <w:sz w:val="22"/>
              </w:rPr>
            </w:pPr>
            <w:r>
              <w:rPr>
                <w:rFonts w:ascii="sans-serif" w:hAnsi="sans-serif"/>
                <w:color w:val="000000"/>
                <w:sz w:val="22"/>
              </w:rPr>
              <w:t>31</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5_other_information">
              <w:r>
                <w:rPr>
                  <w:rStyle w:val="InternetLink"/>
                  <w:rFonts w:ascii="sans-serif" w:hAnsi="sans-serif"/>
                  <w:color w:val="0000FF"/>
                  <w:sz w:val="22"/>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000000"/>
                <w:sz w:val="22"/>
              </w:rPr>
            </w:pPr>
            <w:r>
              <w:rPr>
                <w:rFonts w:ascii="sans-serif" w:hAnsi="sans-serif"/>
                <w:color w:val="000000"/>
                <w:sz w:val="22"/>
              </w:rPr>
              <w:t>31</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6_exhibits">
              <w:r>
                <w:rPr>
                  <w:rStyle w:val="InternetLink"/>
                  <w:rFonts w:ascii="sans-serif" w:hAnsi="sans-serif"/>
                  <w:color w:val="0000FF"/>
                  <w:sz w:val="22"/>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sans-serif" w:hAnsi="sans-serif"/>
                <w:color w:val="000000"/>
                <w:sz w:val="22"/>
              </w:rPr>
            </w:pPr>
            <w:r>
              <w:rPr>
                <w:rFonts w:ascii="sans-serif" w:hAnsi="sans-serif"/>
                <w:color w:val="000000"/>
                <w:sz w:val="22"/>
              </w:rPr>
              <w:t>32</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sans-serif" w:hAnsi="sans-serif"/>
                  <w:color w:val="0000FF"/>
                  <w:sz w:val="22"/>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sans-serif" w:hAnsi="sans-serif"/>
                <w:color w:val="000000"/>
                <w:sz w:val="22"/>
              </w:rPr>
            </w:pPr>
            <w:r>
              <w:rPr>
                <w:rFonts w:ascii="sans-serif" w:hAnsi="sans-serif"/>
                <w:color w:val="000000"/>
                <w:sz w:val="22"/>
              </w:rPr>
              <w:t>33</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Calibri" w:hAnsi="Calibri"/>
          <w:sz w:val="22"/>
        </w:rPr>
      </w:pPr>
      <w:r>
        <w:rPr>
          <w:rFonts w:ascii="sans-serif" w:hAnsi="sans-serif"/>
          <w:color w:val="000000"/>
          <w:sz w:val="22"/>
        </w:rPr>
        <w:t>Page 2</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PART I. FINANCIAL INFORMATION</w:t>
      </w:r>
    </w:p>
    <w:p>
      <w:pPr>
        <w:pStyle w:val="TextBody"/>
        <w:bidi w:val="0"/>
        <w:jc w:val="both"/>
        <w:rPr>
          <w:rFonts w:ascii="sans-serif" w:hAnsi="sans-serif"/>
          <w:color w:val="000000"/>
          <w:sz w:val="22"/>
        </w:rPr>
      </w:pPr>
      <w:bookmarkStart w:id="2" w:name="item_1_financial_statements"/>
      <w:bookmarkEnd w:id="2"/>
      <w:r>
        <w:rPr>
          <w:rFonts w:ascii="sans-serif" w:hAnsi="sans-serif"/>
          <w:color w:val="000000"/>
          <w:sz w:val="22"/>
        </w:rPr>
        <w:t>Item 1. Financial Statements.</w:t>
      </w:r>
    </w:p>
    <w:p>
      <w:pPr>
        <w:pStyle w:val="TextBody"/>
        <w:bidi w:val="0"/>
        <w:jc w:val="center"/>
        <w:rPr>
          <w:rFonts w:ascii="sans-serif" w:hAnsi="sans-serif"/>
          <w:color w:val="000000"/>
          <w:sz w:val="20"/>
        </w:rPr>
      </w:pPr>
      <w:bookmarkStart w:id="3" w:name="balancesheet"/>
      <w:bookmarkEnd w:id="3"/>
      <w:r>
        <w:rPr>
          <w:rFonts w:ascii="sans-serif" w:hAnsi="sans-serif"/>
          <w:color w:val="000000"/>
          <w:sz w:val="20"/>
        </w:rPr>
        <w:t>MARTIN MARIETTA MATERIALS, INC. AND CONSOLIDATED SUBSIDIARIES</w:t>
      </w:r>
    </w:p>
    <w:p>
      <w:pPr>
        <w:pStyle w:val="TextBody"/>
        <w:bidi w:val="0"/>
        <w:jc w:val="center"/>
        <w:rPr>
          <w:rFonts w:ascii="Calibri" w:hAnsi="Calibri"/>
          <w:sz w:val="22"/>
        </w:rPr>
      </w:pPr>
      <w:r>
        <w:rPr>
          <w:rFonts w:ascii="sans-serif" w:hAnsi="sans-serif"/>
          <w:color w:val="000000"/>
          <w:sz w:val="20"/>
        </w:rPr>
        <w:t>(UNAUDITED) CONSOLIDATED BALANCE SHEETS</w:t>
      </w:r>
      <w:r>
        <w:rPr>
          <w:rFonts w:ascii="Calibri" w:hAnsi="Calibri"/>
          <w:color w:val="000000"/>
          <w:sz w:val="22"/>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036"/>
        <w:gridCol w:w="146"/>
        <w:gridCol w:w="309"/>
        <w:gridCol w:w="993"/>
        <w:gridCol w:w="236"/>
        <w:gridCol w:w="208"/>
        <w:gridCol w:w="417"/>
        <w:gridCol w:w="1339"/>
        <w:gridCol w:w="166"/>
        <w:gridCol w:w="355"/>
      </w:tblGrid>
      <w:tr>
        <w:trPr/>
        <w:tc>
          <w:tcPr>
            <w:tcW w:w="6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7"/>
              </w:rPr>
            </w:pPr>
            <w:r>
              <w:rPr>
                <w:rFonts w:ascii="sans-serif" w:hAnsi="sans-serif"/>
                <w:color w:val="000000"/>
                <w:sz w:val="17"/>
              </w:rPr>
              <w:t>March 31,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7"/>
              </w:rPr>
            </w:pPr>
            <w:r>
              <w:rPr>
                <w:rFonts w:ascii="sans-serif" w:hAnsi="sans-serif"/>
                <w:color w:val="000000"/>
                <w:sz w:val="17"/>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7"/>
              </w:rPr>
            </w:pPr>
            <w:r>
              <w:rPr>
                <w:rFonts w:ascii="sans-serif" w:hAnsi="sans-serif"/>
                <w:color w:val="000000"/>
                <w:sz w:val="17"/>
              </w:rPr>
              <w:t>2025</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7"/>
              </w:rPr>
            </w:pPr>
            <w:r>
              <w:rPr>
                <w:rFonts w:ascii="sans-serif" w:hAnsi="sans-serif"/>
                <w:color w:val="000000"/>
                <w:sz w:val="17"/>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7"/>
              </w:rPr>
            </w:pPr>
            <w:r>
              <w:rPr>
                <w:rFonts w:ascii="sans-serif" w:hAnsi="sans-serif"/>
                <w:i/>
                <w:color w:val="000000"/>
                <w:sz w:val="17"/>
              </w:rPr>
              <w:t>(In Millions, Except Share and Par Value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101</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733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1,173</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96</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7"/>
              </w:rPr>
            </w:pPr>
            <w:r>
              <w:rPr>
                <w:rFonts w:ascii="sans-serif" w:hAnsi="sans-serif"/>
                <w:color w:val="000000"/>
                <w:sz w:val="17"/>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2,103</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2,542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15,187</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15,086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Allowances for depreciation, depletion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(5,092</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(4,977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Net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10,095</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10,109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3,773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Other 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721</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379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653</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7"/>
              </w:rPr>
            </w:pPr>
            <w:r>
              <w:rPr>
                <w:rFonts w:ascii="sans-serif" w:hAnsi="sans-serif"/>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17,724</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18,170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298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Accrued salaries, benefits and payroll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41</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Accrued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125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Accrued other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50</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69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125</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59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168</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7"/>
              </w:rPr>
            </w:pPr>
            <w:r>
              <w:rPr>
                <w:rFonts w:ascii="sans-serif" w:hAnsi="sans-serif"/>
                <w:color w:val="000000"/>
                <w:sz w:val="17"/>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935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5,289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5,288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1,172</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334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Noncurrent 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373</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537</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7"/>
              </w:rPr>
            </w:pPr>
            <w:r>
              <w:rPr>
                <w:rFonts w:ascii="sans-serif" w:hAnsi="sans-serif"/>
                <w:color w:val="000000"/>
                <w:sz w:val="17"/>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8,640</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8,714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Commitments and contingent liabilities -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Calibri" w:hAnsi="Calibri"/>
                <w:sz w:val="22"/>
              </w:rPr>
            </w:pPr>
            <w:r>
              <w:rPr>
                <w:rFonts w:ascii="sans-serif" w:hAnsi="sans-serif"/>
                <w:color w:val="000000"/>
                <w:sz w:val="17"/>
              </w:rPr>
              <w:t>Common stock, par value $0.01</w:t>
            </w:r>
            <w:r>
              <w:rPr>
                <w:rFonts w:ascii="Calibri" w:hAnsi="Calibri"/>
                <w:color w:val="000000"/>
                <w:sz w:val="22"/>
              </w:rPr>
              <w:t> </w:t>
            </w:r>
            <w:r>
              <w:rPr>
                <w:rFonts w:ascii="sans-serif" w:hAnsi="sans-serif"/>
                <w:color w:val="000000"/>
                <w:sz w:val="17"/>
              </w:rPr>
              <w:t>per share (60,278,790</w:t>
            </w:r>
            <w:r>
              <w:rPr>
                <w:rFonts w:ascii="Calibri" w:hAnsi="Calibri"/>
                <w:color w:val="000000"/>
                <w:sz w:val="22"/>
              </w:rPr>
              <w:t> </w:t>
            </w:r>
            <w:r>
              <w:rPr>
                <w:rFonts w:ascii="sans-serif" w:hAnsi="sans-serif"/>
                <w:color w:val="000000"/>
                <w:sz w:val="17"/>
              </w:rPr>
              <w:t>shares and 61,126,646</w:t>
            </w:r>
            <w:r>
              <w:rPr>
                <w:rFonts w:ascii="Calibri" w:hAnsi="Calibri"/>
                <w:color w:val="000000"/>
                <w:sz w:val="22"/>
              </w:rPr>
              <w:t> </w:t>
            </w:r>
            <w:r>
              <w:rPr>
                <w:rFonts w:ascii="sans-serif" w:hAnsi="sans-serif"/>
                <w:color w:val="000000"/>
                <w:sz w:val="17"/>
              </w:rPr>
              <w:t xml:space="preserve">shares </w:t>
              <w:br/>
              <w:t>   outstanding at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Calibri" w:hAnsi="Calibri"/>
                <w:sz w:val="22"/>
              </w:rPr>
            </w:pPr>
            <w:r>
              <w:rPr>
                <w:rFonts w:ascii="sans-serif" w:hAnsi="sans-serif"/>
                <w:color w:val="000000"/>
                <w:sz w:val="17"/>
              </w:rPr>
              <w:t>Preferred stock, par value $0.01</w:t>
            </w:r>
            <w:r>
              <w:rPr>
                <w:rFonts w:ascii="Calibri" w:hAnsi="Calibri"/>
                <w:color w:val="000000"/>
                <w:sz w:val="22"/>
              </w:rPr>
              <w:t> </w:t>
            </w:r>
            <w:r>
              <w:rPr>
                <w:rFonts w:ascii="sans-serif" w:hAnsi="sans-serif"/>
                <w:color w:val="000000"/>
                <w:sz w:val="17"/>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3,563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(12</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5,529</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5,915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7"/>
              </w:rPr>
            </w:pPr>
            <w:r>
              <w:rPr>
                <w:rFonts w:ascii="sans-serif" w:hAnsi="sans-serif"/>
                <w:color w:val="000000"/>
                <w:sz w:val="17"/>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9,081</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9,453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7"/>
              </w:rPr>
            </w:pPr>
            <w:r>
              <w:rPr>
                <w:rFonts w:ascii="sans-serif" w:hAnsi="sans-serif"/>
                <w:color w:val="000000"/>
                <w:sz w:val="17"/>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9,084</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9,456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7"/>
              </w:rPr>
            </w:pPr>
            <w:r>
              <w:rPr>
                <w:rFonts w:ascii="sans-serif" w:hAnsi="sans-serif"/>
                <w:color w:val="000000"/>
                <w:sz w:val="17"/>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17,724</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18,170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Calibri" w:hAnsi="Calibri"/>
          <w:sz w:val="22"/>
        </w:rPr>
      </w:pPr>
      <w:r>
        <w:rPr>
          <w:rFonts w:ascii="sans-serif" w:hAnsi="sans-serif"/>
          <w:i/>
          <w:color w:val="000000"/>
          <w:sz w:val="22"/>
        </w:rPr>
        <w:t>See accompanying notes to the consolidated financial statements.</w:t>
      </w:r>
      <w:r>
        <w:rPr>
          <w:rFonts w:ascii="Calibri" w:hAnsi="Calibri"/>
          <w:color w:val="000000"/>
          <w:sz w:val="22"/>
        </w:rPr>
        <w:t xml:space="preserve"> </w:t>
      </w:r>
    </w:p>
    <w:p>
      <w:pPr>
        <w:pStyle w:val="TextBody"/>
        <w:bidi w:val="0"/>
        <w:jc w:val="left"/>
        <w:rPr/>
      </w:pPr>
      <w:r>
        <w:rPr/>
        <w:t> </w:t>
      </w:r>
    </w:p>
    <w:p>
      <w:pPr>
        <w:pStyle w:val="TextBody"/>
        <w:bidi w:val="0"/>
        <w:jc w:val="center"/>
        <w:rPr>
          <w:rFonts w:ascii="Calibri" w:hAnsi="Calibri"/>
          <w:sz w:val="22"/>
        </w:rPr>
      </w:pPr>
      <w:r>
        <w:rPr>
          <w:rFonts w:ascii="sans-serif" w:hAnsi="sans-serif"/>
          <w:color w:val="000000"/>
          <w:sz w:val="22"/>
        </w:rPr>
        <w:t>Page 3</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MARTIN MARIETTA MATERIALS, INC. AND CONSOLIDATED SUBSIDIARIES</w:t>
      </w:r>
    </w:p>
    <w:p>
      <w:pPr>
        <w:pStyle w:val="TextBody"/>
        <w:bidi w:val="0"/>
        <w:jc w:val="center"/>
        <w:rPr>
          <w:rFonts w:ascii="sans-serif" w:hAnsi="sans-serif"/>
          <w:color w:val="000000"/>
          <w:sz w:val="20"/>
        </w:rPr>
      </w:pPr>
      <w:bookmarkStart w:id="4" w:name="earningsstmt"/>
      <w:bookmarkEnd w:id="4"/>
      <w:r>
        <w:rPr>
          <w:rFonts w:ascii="sans-serif" w:hAnsi="sans-serif"/>
          <w:color w:val="000000"/>
          <w:sz w:val="20"/>
        </w:rPr>
        <w:t>(UNAUDITED) CONSOLIDATED STATEMENTS OF EARNINGS AND COMPREHENSIVE EARNINGS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54"/>
        <w:gridCol w:w="146"/>
        <w:gridCol w:w="348"/>
        <w:gridCol w:w="998"/>
        <w:gridCol w:w="279"/>
        <w:gridCol w:w="224"/>
        <w:gridCol w:w="348"/>
        <w:gridCol w:w="1114"/>
        <w:gridCol w:w="594"/>
      </w:tblGrid>
      <w:tr>
        <w:trPr/>
        <w:tc>
          <w:tcPr>
            <w:tcW w:w="6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Three Months Ended</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March 31,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2025</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9"/>
              </w:rPr>
            </w:pPr>
            <w:r>
              <w:rPr>
                <w:rFonts w:ascii="sans-serif" w:hAnsi="sans-serif"/>
                <w:i/>
                <w:color w:val="000000"/>
                <w:sz w:val="19"/>
              </w:rPr>
              <w:t>(In Millions, Except Per Share Data)</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1,353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1,251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1,018</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979</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335</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272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130</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Acquisition, divestiture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operating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(1,287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Earnings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194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1,421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nonoperating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Earnings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1,414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368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Consolidated 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1,046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Less: Net earnings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Earnings Attributable to Martin Marietta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116</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1,045</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Consolidated Comprehensive Earnings (See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Consolidated comprehensive earnings attributable to Martin Marietta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117</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1,045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Comprehensive earnings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117</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1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1,046</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Earnings Attributable to Martin Marietta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9"/>
              </w:rPr>
            </w:pPr>
            <w:r>
              <w:rPr>
                <w:rFonts w:ascii="sans-serif" w:hAnsi="sans-serif"/>
                <w:color w:val="000000"/>
                <w:sz w:val="19"/>
              </w:rPr>
              <w:t>Basic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1.91</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16.92</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9"/>
              </w:rPr>
            </w:pPr>
            <w:r>
              <w:rPr>
                <w:rFonts w:ascii="sans-serif" w:hAnsi="sans-serif"/>
                <w:color w:val="000000"/>
                <w:sz w:val="19"/>
              </w:rPr>
              <w:t>Diluted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1.90</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1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16.87</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60.9</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61.8</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61.0</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62.0</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Calibri" w:hAnsi="Calibri"/>
          <w:sz w:val="22"/>
        </w:rPr>
      </w:pPr>
      <w:r>
        <w:rPr>
          <w:rFonts w:ascii="sans-serif" w:hAnsi="sans-serif"/>
          <w:i/>
          <w:color w:val="000000"/>
          <w:sz w:val="22"/>
        </w:rPr>
        <w:t>See accompanying notes to the consolidated financial statements.</w:t>
      </w:r>
      <w:r>
        <w:rPr>
          <w:rFonts w:ascii="Calibri" w:hAnsi="Calibri"/>
          <w:color w:val="000000"/>
          <w:sz w:val="22"/>
        </w:rPr>
        <w:t xml:space="preserve"> </w:t>
      </w:r>
    </w:p>
    <w:p>
      <w:pPr>
        <w:pStyle w:val="TextBody"/>
        <w:bidi w:val="0"/>
        <w:jc w:val="left"/>
        <w:rPr/>
      </w:pPr>
      <w:r>
        <w:rPr/>
        <w:t> </w:t>
      </w:r>
    </w:p>
    <w:p>
      <w:pPr>
        <w:pStyle w:val="TextBody"/>
        <w:bidi w:val="0"/>
        <w:jc w:val="center"/>
        <w:rPr>
          <w:rFonts w:ascii="Calibri" w:hAnsi="Calibri"/>
          <w:sz w:val="22"/>
        </w:rPr>
      </w:pPr>
      <w:r>
        <w:rPr>
          <w:rFonts w:ascii="sans-serif" w:hAnsi="sans-serif"/>
          <w:color w:val="000000"/>
          <w:sz w:val="22"/>
        </w:rPr>
        <w:t>Page 4</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MARTIN MARIETTA MATERIALS, INC. AND CONSOLIDATED SUBSIDIARIES</w:t>
      </w:r>
    </w:p>
    <w:p>
      <w:pPr>
        <w:pStyle w:val="TextBody"/>
        <w:bidi w:val="0"/>
        <w:jc w:val="center"/>
        <w:rPr>
          <w:rFonts w:ascii="sans-serif" w:hAnsi="sans-serif"/>
          <w:color w:val="000000"/>
          <w:sz w:val="20"/>
        </w:rPr>
      </w:pPr>
      <w:bookmarkStart w:id="5" w:name="cashflow"/>
      <w:bookmarkEnd w:id="5"/>
      <w:r>
        <w:rPr>
          <w:rFonts w:ascii="sans-serif" w:hAnsi="sans-serif"/>
          <w:color w:val="000000"/>
          <w:sz w:val="20"/>
        </w:rPr>
        <w:t>(UNAUDITED) CONSOLIDATED STATEMENTS OF CASH FLOWS</w:t>
      </w:r>
    </w:p>
    <w:p>
      <w:pPr>
        <w:pStyle w:val="TextBody"/>
        <w:bidi w:val="0"/>
        <w:jc w:val="center"/>
        <w:rPr/>
      </w:pPr>
      <w:r>
        <w:rPr/>
        <w:t> </w:t>
      </w:r>
    </w:p>
    <w:p>
      <w:pPr>
        <w:pStyle w:val="TextBody"/>
        <w:bidi w:val="0"/>
        <w:jc w:val="left"/>
        <w:rPr/>
      </w:pPr>
      <w:r>
        <w:rPr/>
        <w:t> </w:t>
      </w:r>
    </w:p>
    <w:tbl>
      <w:tblPr>
        <w:tblW w:w="9274" w:type="dxa"/>
        <w:jc w:val="left"/>
        <w:tblInd w:w="0" w:type="dxa"/>
        <w:tblLayout w:type="fixed"/>
        <w:tblCellMar>
          <w:top w:w="28" w:type="dxa"/>
          <w:left w:w="28" w:type="dxa"/>
          <w:bottom w:w="28" w:type="dxa"/>
          <w:right w:w="28" w:type="dxa"/>
        </w:tblCellMar>
      </w:tblPr>
      <w:tblGrid>
        <w:gridCol w:w="6421"/>
        <w:gridCol w:w="146"/>
        <w:gridCol w:w="230"/>
        <w:gridCol w:w="552"/>
        <w:gridCol w:w="184"/>
        <w:gridCol w:w="149"/>
        <w:gridCol w:w="230"/>
        <w:gridCol w:w="736"/>
        <w:gridCol w:w="626"/>
      </w:tblGrid>
      <w:tr>
        <w:trPr/>
        <w:tc>
          <w:tcPr>
            <w:tcW w:w="6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Three Months Ended</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March 31,</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0"/>
              </w:rPr>
            </w:pPr>
            <w:r>
              <w:rPr>
                <w:rFonts w:ascii="sans-serif" w:hAnsi="sans-serif"/>
                <w:i/>
                <w:color w:val="000000"/>
                <w:sz w:val="20"/>
              </w:rPr>
              <w:t>(Dollars in Millions)</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Consolidated 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1,046</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consolidated net earnings to net cash</w:t>
              <w:br/>
              <w:t>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depletion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Loss (Gain) on divestitures and sales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(1,333</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Noncash asset and portfolio rationalization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 xml:space="preserve">Changes in operating assets and liabilities, net of effects of </w:t>
              <w:br/>
              <w:t>   acquisitions and divestitures: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377</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(488</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divestitures and sales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2,107</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Investments in limited liability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investing activities,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for)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1,425</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Payments on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Shares withheld for employees’ income tax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financing activities,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for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(525</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1,368</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670</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1,282</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2,650</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i" w:hAnsi="Calibri"/>
          <w:sz w:val="22"/>
        </w:rPr>
      </w:pPr>
      <w:r>
        <w:rPr>
          <w:rFonts w:ascii="sans-serif" w:hAnsi="sans-serif"/>
          <w:i/>
          <w:color w:val="000000"/>
          <w:sz w:val="22"/>
        </w:rPr>
        <w:t>See accompanying notes to the consolidated financial statements.</w:t>
      </w:r>
      <w:r>
        <w:rPr>
          <w:rFonts w:ascii="Calibri" w:hAnsi="Calibri"/>
          <w:color w:val="000000"/>
          <w:sz w:val="22"/>
        </w:rPr>
        <w:t xml:space="preserve"> </w:t>
      </w:r>
    </w:p>
    <w:p>
      <w:pPr>
        <w:pStyle w:val="TextBody"/>
        <w:bidi w:val="0"/>
        <w:jc w:val="left"/>
        <w:rPr/>
      </w:pPr>
      <w:r>
        <w:rPr/>
        <w:t> </w:t>
      </w:r>
    </w:p>
    <w:p>
      <w:pPr>
        <w:pStyle w:val="TextBody"/>
        <w:bidi w:val="0"/>
        <w:jc w:val="center"/>
        <w:rPr>
          <w:rFonts w:ascii="Calibri" w:hAnsi="Calibri"/>
          <w:sz w:val="22"/>
        </w:rPr>
      </w:pPr>
      <w:r>
        <w:rPr>
          <w:rFonts w:ascii="sans-serif" w:hAnsi="sans-serif"/>
          <w:color w:val="000000"/>
          <w:sz w:val="22"/>
        </w:rPr>
        <w:t>Page 5</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MARTIN MARIETTA MATERIALS, INC. AND CONSOLIDATED SUBSIDIARIES</w:t>
      </w:r>
    </w:p>
    <w:p>
      <w:pPr>
        <w:pStyle w:val="TextBody"/>
        <w:bidi w:val="0"/>
        <w:jc w:val="center"/>
        <w:rPr>
          <w:rFonts w:ascii="sans-serif" w:hAnsi="sans-serif"/>
          <w:color w:val="000000"/>
          <w:sz w:val="20"/>
        </w:rPr>
      </w:pPr>
      <w:bookmarkStart w:id="6" w:name="equitystatement"/>
      <w:bookmarkEnd w:id="6"/>
      <w:r>
        <w:rPr>
          <w:rFonts w:ascii="sans-serif" w:hAnsi="sans-serif"/>
          <w:color w:val="000000"/>
          <w:sz w:val="20"/>
        </w:rPr>
        <w:t>(UNAUDITED) CONSOLIDATED STATEMENTS OF TOTAL EQUITY</w:t>
      </w:r>
    </w:p>
    <w:p>
      <w:pPr>
        <w:pStyle w:val="TextBody"/>
        <w:bidi w:val="0"/>
        <w:jc w:val="center"/>
        <w:rPr/>
      </w:pPr>
      <w:r>
        <w:rPr/>
        <w:t> </w:t>
      </w:r>
    </w:p>
    <w:tbl>
      <w:tblPr>
        <w:tblW w:w="12207" w:type="dxa"/>
        <w:jc w:val="left"/>
        <w:tblInd w:w="0" w:type="dxa"/>
        <w:tblLayout w:type="fixed"/>
        <w:tblCellMar>
          <w:top w:w="28" w:type="dxa"/>
          <w:left w:w="28" w:type="dxa"/>
          <w:bottom w:w="28" w:type="dxa"/>
          <w:right w:w="28" w:type="dxa"/>
        </w:tblCellMar>
      </w:tblPr>
      <w:tblGrid>
        <w:gridCol w:w="1406"/>
        <w:gridCol w:w="246"/>
        <w:gridCol w:w="146"/>
        <w:gridCol w:w="916"/>
        <w:gridCol w:w="166"/>
        <w:gridCol w:w="146"/>
        <w:gridCol w:w="266"/>
        <w:gridCol w:w="470"/>
        <w:gridCol w:w="146"/>
        <w:gridCol w:w="146"/>
        <w:gridCol w:w="233"/>
        <w:gridCol w:w="608"/>
        <w:gridCol w:w="166"/>
        <w:gridCol w:w="146"/>
        <w:gridCol w:w="439"/>
        <w:gridCol w:w="777"/>
        <w:gridCol w:w="166"/>
        <w:gridCol w:w="146"/>
        <w:gridCol w:w="208"/>
        <w:gridCol w:w="543"/>
        <w:gridCol w:w="166"/>
        <w:gridCol w:w="146"/>
        <w:gridCol w:w="303"/>
        <w:gridCol w:w="793"/>
        <w:gridCol w:w="166"/>
        <w:gridCol w:w="146"/>
        <w:gridCol w:w="423"/>
        <w:gridCol w:w="748"/>
        <w:gridCol w:w="366"/>
        <w:gridCol w:w="346"/>
        <w:gridCol w:w="196"/>
        <w:gridCol w:w="511"/>
        <w:gridCol w:w="411"/>
      </w:tblGrid>
      <w:tr>
        <w:trPr/>
        <w:tc>
          <w:tcPr>
            <w:tcW w:w="14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14"/>
              </w:rPr>
            </w:pPr>
            <w:r>
              <w:rPr>
                <w:rFonts w:ascii="sans-serif" w:hAnsi="sans-serif"/>
                <w:i/>
                <w:color w:val="000000"/>
                <w:sz w:val="14"/>
              </w:rPr>
              <w:t>(In Millions, Except Share and Per Share Data)</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4"/>
              </w:rPr>
            </w:pPr>
            <w:r>
              <w:rPr>
                <w:rFonts w:ascii="sans-serif" w:hAnsi="sans-serif"/>
                <w:color w:val="000000"/>
                <w:sz w:val="14"/>
              </w:rPr>
              <w:t>Shares of 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4"/>
              </w:rPr>
            </w:pPr>
            <w:r>
              <w:rPr>
                <w:rFonts w:ascii="sans-serif" w:hAnsi="sans-serif"/>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4"/>
              </w:rPr>
            </w:pPr>
            <w:r>
              <w:rPr>
                <w:rFonts w:ascii="sans-serif" w:hAnsi="sans-serif"/>
                <w:color w:val="000000"/>
                <w:sz w:val="14"/>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4"/>
              </w:rPr>
            </w:pPr>
            <w:r>
              <w:rPr>
                <w:rFonts w:ascii="sans-serif" w:hAnsi="sans-serif"/>
                <w:color w:val="000000"/>
                <w:sz w:val="14"/>
              </w:rPr>
              <w:t xml:space="preserve">Accumulated </w:t>
              <w:br/>
              <w:t xml:space="preserve">Other Comprehensive </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4"/>
              </w:rPr>
            </w:pPr>
            <w:r>
              <w:rPr>
                <w:rFonts w:ascii="sans-serif" w:hAnsi="sans-serif"/>
                <w:color w:val="000000"/>
                <w:sz w:val="14"/>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4"/>
              </w:rPr>
            </w:pPr>
            <w:r>
              <w:rPr>
                <w:rFonts w:ascii="sans-serif" w:hAnsi="sans-serif"/>
                <w:color w:val="000000"/>
                <w:sz w:val="14"/>
              </w:rPr>
              <w:t>Total Shareholders'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4"/>
              </w:rPr>
            </w:pPr>
            <w:r>
              <w:rPr>
                <w:rFonts w:ascii="sans-serif" w:hAnsi="sans-serif"/>
                <w:color w:val="000000"/>
                <w:sz w:val="14"/>
              </w:rPr>
              <w:t>Noncontrolling Interests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4"/>
              </w:rPr>
            </w:pPr>
            <w:r>
              <w:rPr>
                <w:rFonts w:ascii="sans-serif" w:hAnsi="sans-serif"/>
                <w:color w:val="000000"/>
                <w:sz w:val="14"/>
              </w:rPr>
              <w:t>Total 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Balance at December 31, 2023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61,821,421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8,036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4"/>
              </w:rPr>
            </w:pPr>
            <w:r>
              <w:rPr>
                <w:rFonts w:ascii="sans-serif" w:hAnsi="sans-serif"/>
                <w:color w:val="000000"/>
                <w:sz w:val="14"/>
              </w:rPr>
              <w:t>Consolidated net earnings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2"/>
              </w:rPr>
            </w:pPr>
            <w:r>
              <w:rPr>
                <w:rFonts w:ascii="sans-serif" w:hAnsi="sans-serif"/>
                <w:color w:val="000000"/>
                <w:sz w:val="14"/>
              </w:rPr>
              <w:t>Dividends declared ($0.74</w:t>
            </w:r>
            <w:r>
              <w:rPr>
                <w:rFonts w:ascii="Calibri" w:hAnsi="Calibri"/>
                <w:color w:val="000000"/>
                <w:sz w:val="22"/>
              </w:rPr>
              <w:t> </w:t>
            </w:r>
            <w:r>
              <w:rPr>
                <w:rFonts w:ascii="sans-serif" w:hAnsi="sans-serif"/>
                <w:color w:val="000000"/>
                <w:sz w:val="14"/>
              </w:rPr>
              <w:t xml:space="preserve">per </w:t>
              <w:br/>
              <w:t>  common share)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4"/>
              </w:rPr>
            </w:pPr>
            <w:r>
              <w:rPr>
                <w:rFonts w:ascii="sans-serif" w:hAnsi="sans-serif"/>
                <w:color w:val="000000"/>
                <w:sz w:val="14"/>
              </w:rPr>
              <w:t>)</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4"/>
              </w:rPr>
            </w:pPr>
            <w:r>
              <w:rPr>
                <w:rFonts w:ascii="sans-serif" w:hAnsi="sans-serif"/>
                <w:color w:val="000000"/>
                <w:sz w:val="14"/>
              </w:rPr>
              <w:t xml:space="preserve">Issuances of common stock for </w:t>
              <w:br/>
              <w:t>   stock award plans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74,145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4"/>
              </w:rPr>
            </w:pPr>
            <w:r>
              <w:rPr>
                <w:rFonts w:ascii="sans-serif" w:hAnsi="sans-serif"/>
                <w:color w:val="000000"/>
                <w:sz w:val="14"/>
              </w:rPr>
              <w:t xml:space="preserve">Shares withheld for employees' </w:t>
              <w:br/>
              <w:t>   income tax obligations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4"/>
              </w:rPr>
            </w:pPr>
            <w:r>
              <w:rPr>
                <w:rFonts w:ascii="sans-serif" w:hAnsi="sans-serif"/>
                <w:color w:val="000000"/>
                <w:sz w:val="14"/>
              </w:rPr>
              <w:t>)</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4"/>
              </w:rPr>
            </w:pPr>
            <w:r>
              <w:rPr>
                <w:rFonts w:ascii="sans-serif" w:hAnsi="sans-serif"/>
                <w:color w:val="000000"/>
                <w:sz w:val="14"/>
              </w:rPr>
              <w:t>Repurchases of common stock</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(255,601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4"/>
              </w:rPr>
            </w:pPr>
            <w:r>
              <w:rPr>
                <w:rFonts w:ascii="sans-serif" w:hAnsi="sans-serif"/>
                <w:color w:val="000000"/>
                <w:sz w:val="14"/>
              </w:rPr>
              <w:t>)</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4"/>
              </w:rPr>
            </w:pPr>
            <w:r>
              <w:rPr>
                <w:rFonts w:ascii="sans-serif" w:hAnsi="sans-serif"/>
                <w:color w:val="000000"/>
                <w:sz w:val="14"/>
              </w:rPr>
              <w:t xml:space="preserve">Stock-based compensation </w:t>
              <w:br/>
              <w: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4"/>
              </w:rPr>
            </w:pPr>
            <w:r>
              <w:rPr>
                <w:rFonts w:ascii="sans-serif" w:hAnsi="sans-serif"/>
                <w:color w:val="000000"/>
                <w:sz w:val="14"/>
              </w:rPr>
              <w:t xml:space="preserve">Distributions to owners of </w:t>
              <w:br/>
              <w:t>   noncontrolling interest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4"/>
              </w:rPr>
            </w:pPr>
            <w:r>
              <w:rPr>
                <w:rFonts w:ascii="sans-serif" w:hAnsi="sans-serif"/>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Balance at March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61,639,965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4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5,411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8,875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3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8,877</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Balance at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61,126,646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9,456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4"/>
              </w:rPr>
            </w:pPr>
            <w:r>
              <w:rPr>
                <w:rFonts w:ascii="sans-serif" w:hAnsi="sans-serif"/>
                <w:color w:val="000000"/>
                <w:sz w:val="14"/>
              </w:rPr>
              <w:t>Consolidated net earnings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4"/>
              </w:rPr>
            </w:pPr>
            <w:r>
              <w:rPr>
                <w:rFonts w:ascii="sans-serif" w:hAnsi="sans-serif"/>
                <w:color w:val="000000"/>
                <w:sz w:val="14"/>
              </w:rPr>
              <w:t xml:space="preserve">Other comprehensive earnings, </w:t>
              <w:br/>
              <w:t>   net of tax</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2"/>
              </w:rPr>
            </w:pPr>
            <w:r>
              <w:rPr>
                <w:rFonts w:ascii="sans-serif" w:hAnsi="sans-serif"/>
                <w:color w:val="000000"/>
                <w:sz w:val="14"/>
              </w:rPr>
              <w:t>Dividends declared ($0.79</w:t>
            </w:r>
            <w:r>
              <w:rPr>
                <w:rFonts w:ascii="Calibri" w:hAnsi="Calibri"/>
                <w:color w:val="000000"/>
                <w:sz w:val="22"/>
              </w:rPr>
              <w:t> </w:t>
            </w:r>
            <w:r>
              <w:rPr>
                <w:rFonts w:ascii="sans-serif" w:hAnsi="sans-serif"/>
                <w:color w:val="000000"/>
                <w:sz w:val="14"/>
              </w:rPr>
              <w:t xml:space="preserve">per </w:t>
              <w:br/>
              <w:t>  common share)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4"/>
              </w:rPr>
            </w:pPr>
            <w:r>
              <w:rPr>
                <w:rFonts w:ascii="sans-serif" w:hAnsi="sans-serif"/>
                <w:color w:val="000000"/>
                <w:sz w:val="14"/>
              </w:rPr>
              <w:t>)</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4"/>
              </w:rPr>
            </w:pPr>
            <w:r>
              <w:rPr>
                <w:rFonts w:ascii="sans-serif" w:hAnsi="sans-serif"/>
                <w:color w:val="000000"/>
                <w:sz w:val="14"/>
              </w:rPr>
              <w:t xml:space="preserve">Issuances of common stock for </w:t>
              <w:br/>
              <w:t>   stock award plans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62,975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4"/>
              </w:rPr>
            </w:pPr>
            <w:r>
              <w:rPr>
                <w:rFonts w:ascii="sans-serif" w:hAnsi="sans-serif"/>
                <w:color w:val="000000"/>
                <w:sz w:val="14"/>
              </w:rPr>
              <w:t xml:space="preserve">Shares withheld for employees' </w:t>
              <w:br/>
              <w:t>   income tax obligations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4"/>
              </w:rPr>
            </w:pPr>
            <w:r>
              <w:rPr>
                <w:rFonts w:ascii="sans-serif" w:hAnsi="sans-serif"/>
                <w:color w:val="000000"/>
                <w:sz w:val="14"/>
              </w:rPr>
              <w:t>)</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4"/>
              </w:rPr>
            </w:pPr>
            <w:r>
              <w:rPr>
                <w:rFonts w:ascii="sans-serif" w:hAnsi="sans-serif"/>
                <w:color w:val="000000"/>
                <w:sz w:val="14"/>
              </w:rPr>
              <w:t>Repurchases of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(910,831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4"/>
              </w:rPr>
            </w:pPr>
            <w:r>
              <w:rPr>
                <w:rFonts w:ascii="sans-serif" w:hAnsi="sans-serif"/>
                <w:color w:val="000000"/>
                <w:sz w:val="14"/>
              </w:rPr>
              <w:t>)</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4"/>
              </w:rPr>
            </w:pPr>
            <w:r>
              <w:rPr>
                <w:rFonts w:ascii="sans-serif" w:hAnsi="sans-serif"/>
                <w:color w:val="000000"/>
                <w:sz w:val="14"/>
              </w:rPr>
              <w:t xml:space="preserve">Stock-based compensation </w:t>
              <w:br/>
              <w: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Balance at March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60,278,790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9,084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both"/>
        <w:rPr/>
      </w:pPr>
      <w:r>
        <w:rPr/>
        <w:t> </w:t>
      </w:r>
    </w:p>
    <w:p>
      <w:pPr>
        <w:pStyle w:val="TextBody"/>
        <w:bidi w:val="0"/>
        <w:jc w:val="left"/>
        <w:rPr>
          <w:rFonts w:ascii="Calibri" w:hAnsi="Calibri"/>
          <w:sz w:val="22"/>
        </w:rPr>
      </w:pPr>
      <w:r>
        <w:rPr>
          <w:rFonts w:ascii="sans-serif" w:hAnsi="sans-serif"/>
          <w:i/>
          <w:color w:val="000000"/>
          <w:sz w:val="22"/>
        </w:rPr>
        <w:t>See accompanying notes to the consolidated financial statements.</w:t>
      </w:r>
      <w:r>
        <w:rPr>
          <w:rFonts w:ascii="Calibri" w:hAnsi="Calibri"/>
          <w:color w:val="000000"/>
          <w:sz w:val="22"/>
        </w:rPr>
        <w:t xml:space="preserve"> </w:t>
      </w:r>
    </w:p>
    <w:p>
      <w:pPr>
        <w:pStyle w:val="TextBody"/>
        <w:bidi w:val="0"/>
        <w:jc w:val="left"/>
        <w:rPr/>
      </w:pPr>
      <w:r>
        <w:rPr/>
        <w:t> </w:t>
      </w:r>
    </w:p>
    <w:p>
      <w:pPr>
        <w:pStyle w:val="TextBody"/>
        <w:bidi w:val="0"/>
        <w:jc w:val="center"/>
        <w:rPr>
          <w:rFonts w:ascii="Calibri" w:hAnsi="Calibri"/>
          <w:sz w:val="22"/>
        </w:rPr>
      </w:pPr>
      <w:r>
        <w:rPr>
          <w:rFonts w:ascii="sans-serif" w:hAnsi="sans-serif"/>
          <w:color w:val="000000"/>
          <w:sz w:val="22"/>
        </w:rPr>
        <w:t>Page 6</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Calibri" w:hAnsi="Calibri"/>
          <w:sz w:val="22"/>
        </w:rPr>
      </w:pPr>
      <w:bookmarkStart w:id="7" w:name="notes_to_consolidated_financial_statemen"/>
      <w:bookmarkEnd w:id="7"/>
      <w:r>
        <w:rPr>
          <w:rFonts w:ascii="sans-serif" w:hAnsi="sans-serif"/>
          <w:color w:val="000000"/>
          <w:sz w:val="22"/>
        </w:rPr>
        <w:t>(UNAUDITED) NOTES TO CONSOLIDATED FINANCIAL STATEMENTS</w:t>
      </w:r>
      <w:r>
        <w:rPr>
          <w:rFonts w:ascii="Calibri" w:hAnsi="Calibri"/>
          <w:color w:val="000000"/>
          <w:sz w:val="22"/>
        </w:rPr>
        <w:t xml:space="preserve"> </w:t>
      </w:r>
    </w:p>
    <w:p>
      <w:pPr>
        <w:pStyle w:val="TextBody"/>
        <w:bidi w:val="0"/>
        <w:spacing w:before="360" w:after="283"/>
        <w:jc w:val="left"/>
        <w:rPr>
          <w:rFonts w:ascii="Calibri" w:hAnsi="Calibri"/>
          <w:b/>
          <w:color w:val="000000"/>
          <w:sz w:val="22"/>
        </w:rPr>
      </w:pPr>
      <w:r>
        <w:rPr>
          <w:rFonts w:ascii="Calibri" w:hAnsi="Calibri"/>
          <w:b/>
          <w:color w:val="000000"/>
          <w:sz w:val="22"/>
        </w:rPr>
        <w:t>1.</w:t>
      </w:r>
    </w:p>
    <w:p>
      <w:pPr>
        <w:pStyle w:val="TextBody"/>
        <w:bidi w:val="0"/>
        <w:spacing w:before="360" w:after="283"/>
        <w:jc w:val="left"/>
        <w:rPr>
          <w:rFonts w:ascii="sans-serif" w:hAnsi="sans-serif"/>
          <w:b/>
          <w:color w:val="000000"/>
          <w:sz w:val="22"/>
        </w:rPr>
      </w:pPr>
      <w:r>
        <w:rPr>
          <w:rFonts w:ascii="sans-serif" w:hAnsi="sans-serif"/>
          <w:b/>
          <w:color w:val="000000"/>
          <w:sz w:val="22"/>
        </w:rPr>
        <w:t xml:space="preserve">Significant Accounting Policies </w:t>
      </w:r>
    </w:p>
    <w:p>
      <w:pPr>
        <w:pStyle w:val="Heading2"/>
        <w:bidi w:val="0"/>
        <w:spacing w:before="240" w:after="283"/>
        <w:jc w:val="left"/>
        <w:rPr>
          <w:rFonts w:ascii="Calibri" w:hAnsi="Calibri"/>
          <w:sz w:val="22"/>
        </w:rPr>
      </w:pPr>
      <w:r>
        <w:rPr>
          <w:rFonts w:ascii="sans-serif" w:hAnsi="sans-serif"/>
          <w:b/>
          <w:color w:val="000000"/>
          <w:sz w:val="22"/>
        </w:rPr>
        <w:t>Organization</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Martin Marietta Materials, Inc. (the Company or Martin Marietta) is a natural resource-based building materials company. As of March 31, 2025, the Company supplies aggregates (crushed stone, sand and gravel) through its network of approximately 390</w:t>
      </w:r>
      <w:r>
        <w:rPr>
          <w:rFonts w:ascii="Calibri" w:hAnsi="Calibri"/>
          <w:color w:val="000000"/>
          <w:sz w:val="22"/>
        </w:rPr>
        <w:t xml:space="preserve"> </w:t>
      </w:r>
      <w:r>
        <w:rPr>
          <w:rFonts w:ascii="sans-serif" w:hAnsi="sans-serif"/>
          <w:color w:val="000000"/>
          <w:sz w:val="22"/>
        </w:rPr>
        <w:t>quarries, mines and distribution yards in 28</w:t>
      </w:r>
      <w:r>
        <w:rPr>
          <w:rFonts w:ascii="Calibri" w:hAnsi="Calibri"/>
          <w:color w:val="000000"/>
          <w:sz w:val="22"/>
        </w:rPr>
        <w:t xml:space="preserve"> </w:t>
      </w:r>
      <w:r>
        <w:rPr>
          <w:rFonts w:ascii="sans-serif" w:hAnsi="sans-serif"/>
          <w:color w:val="000000"/>
          <w:sz w:val="22"/>
        </w:rPr>
        <w:t>states, Canada and The Bahamas. Martin Marietta also provides cement and downstream products and services, namely, ready mixed concrete, asphalt and paving, in vertically-integrated structured markets where the Company also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and ready mixed concrete, asphalt and paving product lines are reported collectively as the Building Materials business.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The Company’s Building Materials business includes two</w:t>
      </w:r>
      <w:r>
        <w:rPr>
          <w:rFonts w:ascii="Calibri" w:hAnsi="Calibri"/>
          <w:color w:val="000000"/>
          <w:sz w:val="22"/>
        </w:rPr>
        <w:t xml:space="preserve"> </w:t>
      </w:r>
      <w:r>
        <w:rPr>
          <w:rFonts w:ascii="sans-serif" w:hAnsi="sans-serif"/>
          <w:color w:val="000000"/>
          <w:sz w:val="22"/>
        </w:rPr>
        <w:t>reportable segments: East Group and West Group.</w:t>
      </w:r>
      <w:r>
        <w:rPr>
          <w:rFonts w:ascii="Calibri" w:hAnsi="Calibri"/>
          <w:color w:val="000000"/>
          <w:sz w:val="22"/>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59"/>
        <w:gridCol w:w="146"/>
        <w:gridCol w:w="2920"/>
        <w:gridCol w:w="146"/>
        <w:gridCol w:w="5034"/>
      </w:tblGrid>
      <w:tr>
        <w:trPr/>
        <w:tc>
          <w:tcPr>
            <w:tcW w:w="1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4"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6" w:space="0" w:color="000000"/>
            </w:tcBorders>
            <w:tcMar>
              <w:top w:w="0" w:type="dxa"/>
              <w:left w:w="0" w:type="dxa"/>
              <w:right w:w="0" w:type="dxa"/>
            </w:tcMar>
            <w:vAlign w:val="center"/>
          </w:tcPr>
          <w:p>
            <w:pPr>
              <w:pStyle w:val="TableContents"/>
              <w:bidi w:val="0"/>
              <w:spacing w:before="0" w:after="20"/>
              <w:jc w:val="center"/>
              <w:rPr>
                <w:rFonts w:ascii="sans-serif" w:hAnsi="sans-serif"/>
                <w:b/>
                <w:color w:val="000000"/>
                <w:sz w:val="22"/>
              </w:rPr>
            </w:pPr>
            <w:r>
              <w:rPr>
                <w:rFonts w:ascii="sans-serif" w:hAnsi="sans-serif"/>
                <w:b/>
                <w:color w:val="000000"/>
                <w:sz w:val="22"/>
              </w:rPr>
              <w:t>BUILDING MATERIALS BUSINESS</w:t>
            </w:r>
          </w:p>
        </w:tc>
      </w:tr>
      <w:tr>
        <w:trPr/>
        <w:tc>
          <w:tcPr>
            <w:tcW w:w="195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Reportable Segments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0" w:type="dxa"/>
            <w:tcBorders>
              <w:bottom w:val="single" w:sz="6" w:space="0" w:color="000000"/>
            </w:tcBorders>
            <w:tcMar>
              <w:top w:w="0" w:type="dxa"/>
              <w:left w:w="0" w:type="dxa"/>
              <w:right w:w="0" w:type="dxa"/>
            </w:tcMar>
            <w:vAlign w:val="center"/>
          </w:tcPr>
          <w:p>
            <w:pPr>
              <w:pStyle w:val="TableContents"/>
              <w:bidi w:val="0"/>
              <w:spacing w:before="0" w:after="20"/>
              <w:jc w:val="center"/>
              <w:rPr>
                <w:rFonts w:ascii="sans-serif" w:hAnsi="sans-serif"/>
                <w:color w:val="000000"/>
                <w:sz w:val="22"/>
              </w:rPr>
            </w:pPr>
            <w:r>
              <w:rPr>
                <w:rFonts w:ascii="sans-serif" w:hAnsi="sans-serif"/>
                <w:color w:val="000000"/>
                <w:sz w:val="22"/>
              </w:rPr>
              <w:t>East Group</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34" w:type="dxa"/>
            <w:tcBorders>
              <w:bottom w:val="single" w:sz="6" w:space="0" w:color="000000"/>
            </w:tcBorders>
            <w:tcMar>
              <w:top w:w="0" w:type="dxa"/>
              <w:left w:w="0" w:type="dxa"/>
              <w:right w:w="0" w:type="dxa"/>
            </w:tcMar>
            <w:vAlign w:val="center"/>
          </w:tcPr>
          <w:p>
            <w:pPr>
              <w:pStyle w:val="TableContents"/>
              <w:bidi w:val="0"/>
              <w:spacing w:before="0" w:after="20"/>
              <w:jc w:val="center"/>
              <w:rPr>
                <w:rFonts w:ascii="sans-serif" w:hAnsi="sans-serif"/>
                <w:color w:val="000000"/>
                <w:sz w:val="22"/>
              </w:rPr>
            </w:pPr>
            <w:r>
              <w:rPr>
                <w:rFonts w:ascii="sans-serif" w:hAnsi="sans-serif"/>
                <w:color w:val="000000"/>
                <w:sz w:val="22"/>
              </w:rPr>
              <w:t>West Group</w:t>
            </w:r>
          </w:p>
        </w:tc>
      </w:tr>
      <w:tr>
        <w:trPr/>
        <w:tc>
          <w:tcPr>
            <w:tcW w:w="195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Operating Locations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 xml:space="preserve">Alabama, Florida, Georgia, Indiana, </w:t>
              <w:br/>
              <w:t xml:space="preserve">Iowa, Kansas, Kentucky, Maryland, </w:t>
              <w:br/>
              <w:t xml:space="preserve">Minnesota, Missouri, </w:t>
              <w:br/>
              <w:t>Nebraska, North Carolina, Ohio,</w:t>
              <w:br/>
              <w:t xml:space="preserve">Pennsylvania, South Carolina, </w:t>
              <w:br/>
              <w:t xml:space="preserve">Tennessee, Virginia, West Virginia, </w:t>
              <w:br/>
              <w:t>Nova Scotia and The Bahamas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tcBorders/>
            <w:tcMar>
              <w:top w:w="0" w:type="dxa"/>
              <w:left w:w="0" w:type="dxa"/>
              <w:bottom w:w="0" w:type="dxa"/>
              <w:right w:w="0" w:type="dxa"/>
            </w:tcMar>
            <w:vAlign w:val="center"/>
          </w:tcPr>
          <w:p>
            <w:pPr>
              <w:pStyle w:val="TableContents"/>
              <w:bidi w:val="0"/>
              <w:jc w:val="center"/>
              <w:rPr>
                <w:rFonts w:ascii="Calibri" w:hAnsi="Calibri"/>
                <w:sz w:val="22"/>
              </w:rPr>
            </w:pPr>
            <w:r>
              <w:rPr>
                <w:rFonts w:ascii="sans-serif" w:hAnsi="sans-serif"/>
                <w:color w:val="000000"/>
                <w:sz w:val="22"/>
              </w:rPr>
              <w:t>Arizona, Arkansas, California, Colorado, Louisiana, Oklahoma, Texas, Utah,</w:t>
              <w:br/>
              <w:t>Washington and Wyoming</w:t>
            </w:r>
            <w:r>
              <w:rPr>
                <w:rFonts w:ascii="Calibri" w:hAnsi="Calibri"/>
                <w:color w:val="000000"/>
                <w:sz w:val="22"/>
              </w:rPr>
              <w:t xml:space="preserve"> </w:t>
            </w:r>
          </w:p>
          <w:p>
            <w:pPr>
              <w:pStyle w:val="TableContents"/>
              <w:bidi w:val="0"/>
              <w:spacing w:before="0" w:after="283"/>
              <w:jc w:val="center"/>
              <w:rPr/>
            </w:pPr>
            <w:r>
              <w:rPr/>
              <w:t> </w:t>
            </w:r>
          </w:p>
        </w:tc>
      </w:tr>
      <w:tr>
        <w:trPr/>
        <w:tc>
          <w:tcPr>
            <w:tcW w:w="19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3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5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Product Lines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0"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Aggregates and Asphalt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3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Aggregates, Cement and Ready Mixed Concrete, Asphalt and Paving</w:t>
            </w:r>
          </w:p>
        </w:tc>
      </w:tr>
    </w:tbl>
    <w:p>
      <w:pPr>
        <w:pStyle w:val="TextBody"/>
        <w:bidi w:val="0"/>
        <w:spacing w:before="200" w:after="283"/>
        <w:jc w:val="both"/>
        <w:rPr>
          <w:rFonts w:ascii="Calibri" w:hAnsi="Calibri"/>
          <w:sz w:val="22"/>
        </w:rPr>
      </w:pPr>
      <w:r>
        <w:rPr>
          <w:rFonts w:ascii="sans-serif" w:hAnsi="sans-serif"/>
          <w:color w:val="000000"/>
          <w:sz w:val="22"/>
        </w:rPr>
        <w:t>The Company’s Magnesia Specialties business, which represents a separate reportable segment, has manufacturing facilities in Manistee, Michigan, and Woodville, Ohio. The Magnesia Specialties business produces magnesia-based chemicals products used in industrial, agricultural and environmental applications, and dolomitic lime sold primarily to customers for steel production and soil stabilization.</w:t>
      </w:r>
      <w:r>
        <w:rPr>
          <w:rFonts w:ascii="Calibri" w:hAnsi="Calibri"/>
          <w:color w:val="000000"/>
          <w:sz w:val="22"/>
        </w:rPr>
        <w:t xml:space="preserve"> </w:t>
      </w:r>
    </w:p>
    <w:p>
      <w:pPr>
        <w:pStyle w:val="Heading2"/>
        <w:bidi w:val="0"/>
        <w:spacing w:before="240" w:after="283"/>
        <w:jc w:val="left"/>
        <w:rPr>
          <w:rFonts w:ascii="Calibri" w:hAnsi="Calibri"/>
          <w:sz w:val="22"/>
        </w:rPr>
      </w:pPr>
      <w:r>
        <w:rPr>
          <w:rFonts w:ascii="sans-serif" w:hAnsi="sans-serif"/>
          <w:b/>
          <w:color w:val="000000"/>
          <w:sz w:val="22"/>
        </w:rPr>
        <w:t>Basis of Presentation and Use of Estimates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The Company has continued to follow the accounting policies set forth in the audited consolidated financial statements and related notes thereto included in the Company’s Annual Report on Form 10-K for the year ended December 31, 2024.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months ended March 31, 2025 are not necessarily indicative of the results expected for other interim periods or the full year. The consolidated balance sheet at December 31, 2024 has been derived from the audited consolidated financial statements at that date but does not include all of the information and notes required by U.S. GAAP for complete financial statements. These</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Page 7</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consolidated financial statements should be read in conjunction with the audited consolidated financial statements and notes thereto included in the Company’s Annual Report on Form 10-K for the year ended December 31, 2024.</w:t>
      </w:r>
    </w:p>
    <w:p>
      <w:pPr>
        <w:pStyle w:val="TextBody"/>
        <w:bidi w:val="0"/>
        <w:spacing w:before="120" w:after="283"/>
        <w:jc w:val="both"/>
        <w:rPr>
          <w:rFonts w:ascii="sans-serif" w:hAnsi="sans-serif"/>
          <w:color w:val="000000"/>
          <w:sz w:val="22"/>
        </w:rPr>
      </w:pPr>
      <w:r>
        <w:rPr>
          <w:rFonts w:ascii="sans-serif" w:hAnsi="sans-serif"/>
          <w:color w:val="000000"/>
          <w:sz w:val="22"/>
        </w:rPr>
        <w:t>The preparation of the Company’s consolidated financial statements requires management to make certain estimates and assumptions about future events. As future events and their effects cannot be fully determined with precision, actual results could differ significantly from estimates. Changes in estimates are reflected in the consolidated financial statements in the period in which the change in estimate occurs.</w:t>
      </w:r>
    </w:p>
    <w:p>
      <w:pPr>
        <w:pStyle w:val="TextBody"/>
        <w:bidi w:val="0"/>
        <w:jc w:val="both"/>
        <w:rPr/>
      </w:pPr>
      <w:r>
        <w:rPr/>
        <w:t> </w:t>
      </w:r>
    </w:p>
    <w:p>
      <w:pPr>
        <w:pStyle w:val="Heading2"/>
        <w:bidi w:val="0"/>
        <w:spacing w:before="240" w:after="283"/>
        <w:jc w:val="left"/>
        <w:rPr>
          <w:rFonts w:ascii="Calibri" w:hAnsi="Calibri"/>
          <w:sz w:val="22"/>
        </w:rPr>
      </w:pPr>
      <w:r>
        <w:rPr>
          <w:rFonts w:ascii="sans-serif" w:hAnsi="sans-serif"/>
          <w:b/>
          <w:color w:val="000000"/>
          <w:sz w:val="22"/>
        </w:rPr>
        <w:t>Consolidated Comprehensive Earnings and Accumulated Other Comprehensive Loss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Consolidated comprehensive earnings consist of consolidated net earnings, adjustments for the funded status of pension and postretirement benefit plans and foreign currency translation adjustments, and are presented in the Company’s consolidated statements of earnings and comprehensive earnings.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Consolidated comprehensive earnings attributable to Martin Marietta are as follows:</w:t>
      </w:r>
      <w:r>
        <w:rPr>
          <w:rFonts w:ascii="Calibri" w:hAnsi="Calibri"/>
          <w:color w:val="000000"/>
          <w:sz w:val="22"/>
        </w:rPr>
        <w:t xml:space="preserve"> </w:t>
      </w:r>
    </w:p>
    <w:p>
      <w:pPr>
        <w:pStyle w:val="TextBody"/>
        <w:bidi w:val="0"/>
        <w:jc w:val="left"/>
        <w:rPr/>
      </w:pPr>
      <w:r>
        <w:rPr/>
        <w:t> </w:t>
      </w:r>
    </w:p>
    <w:tbl>
      <w:tblPr>
        <w:tblW w:w="7881" w:type="dxa"/>
        <w:jc w:val="left"/>
        <w:tblInd w:w="0" w:type="dxa"/>
        <w:tblLayout w:type="fixed"/>
        <w:tblCellMar>
          <w:top w:w="28" w:type="dxa"/>
          <w:left w:w="28" w:type="dxa"/>
          <w:bottom w:w="28" w:type="dxa"/>
          <w:right w:w="28" w:type="dxa"/>
        </w:tblCellMar>
      </w:tblPr>
      <w:tblGrid>
        <w:gridCol w:w="5086"/>
        <w:gridCol w:w="146"/>
        <w:gridCol w:w="294"/>
        <w:gridCol w:w="639"/>
        <w:gridCol w:w="167"/>
        <w:gridCol w:w="167"/>
        <w:gridCol w:w="294"/>
        <w:gridCol w:w="897"/>
        <w:gridCol w:w="19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earnings attributable to Martin Marietta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comprehensive earnings,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xml:space="preserve">Consolidated comprehensive earnings </w:t>
              <w:br/>
              <w:t>   attributable to Martin Marietta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117</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Calibri" w:hAnsi="Calibri"/>
          <w:sz w:val="22"/>
        </w:rPr>
      </w:pPr>
      <w:r>
        <w:rPr>
          <w:rFonts w:ascii="sans-serif" w:hAnsi="sans-serif"/>
          <w:color w:val="000000"/>
          <w:sz w:val="22"/>
        </w:rPr>
        <w:t>Accumulated other comprehensive loss consists of unrecognized gains and losses related to the funded status of the pension and postretirement benefit plans and foreign currency translation adjustments and is presented on the Company’s consolidated balance sheets.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Page 8</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200" w:after="283"/>
        <w:jc w:val="both"/>
        <w:rPr>
          <w:rFonts w:ascii="Calibri" w:hAnsi="Calibri"/>
          <w:sz w:val="22"/>
        </w:rPr>
      </w:pPr>
      <w:r>
        <w:rPr>
          <w:rFonts w:ascii="sans-serif" w:hAnsi="sans-serif"/>
          <w:color w:val="000000"/>
          <w:sz w:val="22"/>
        </w:rPr>
        <w:t>The components of the changes in accumulated other comprehensive loss, net of tax, are as follows:</w:t>
      </w:r>
      <w:r>
        <w:rPr>
          <w:rFonts w:ascii="Calibri" w:hAnsi="Calibri"/>
          <w:color w:val="000000"/>
          <w:sz w:val="22"/>
        </w:rPr>
        <w:t xml:space="preserve"> </w:t>
      </w:r>
    </w:p>
    <w:tbl>
      <w:tblPr>
        <w:tblW w:w="10205" w:type="dxa"/>
        <w:jc w:val="left"/>
        <w:tblInd w:w="0" w:type="dxa"/>
        <w:tblLayout w:type="fixed"/>
        <w:tblCellMar>
          <w:top w:w="28" w:type="dxa"/>
          <w:left w:w="28" w:type="dxa"/>
          <w:bottom w:w="28" w:type="dxa"/>
          <w:right w:w="28" w:type="dxa"/>
        </w:tblCellMar>
      </w:tblPr>
      <w:tblGrid>
        <w:gridCol w:w="3420"/>
        <w:gridCol w:w="146"/>
        <w:gridCol w:w="789"/>
        <w:gridCol w:w="1478"/>
        <w:gridCol w:w="181"/>
        <w:gridCol w:w="146"/>
        <w:gridCol w:w="588"/>
        <w:gridCol w:w="847"/>
        <w:gridCol w:w="181"/>
        <w:gridCol w:w="146"/>
        <w:gridCol w:w="715"/>
        <w:gridCol w:w="1339"/>
        <w:gridCol w:w="229"/>
      </w:tblGrid>
      <w:tr>
        <w:trPr/>
        <w:tc>
          <w:tcPr>
            <w:tcW w:w="3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i/>
                <w:color w:val="000000"/>
                <w:sz w:val="21"/>
              </w:rPr>
            </w:pPr>
            <w:r>
              <w:rPr>
                <w:rFonts w:ascii="sans-serif" w:hAnsi="sans-serif"/>
                <w:i/>
                <w:color w:val="000000"/>
                <w:sz w:val="21"/>
              </w:rPr>
              <w:t>(Dollars in Millions)</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1"/>
              </w:rPr>
            </w:pPr>
            <w:r>
              <w:rPr>
                <w:rFonts w:ascii="sans-serif" w:hAnsi="sans-serif"/>
                <w:color w:val="000000"/>
                <w:sz w:val="21"/>
              </w:rPr>
              <w:t>Pension and</w:t>
              <w:br/>
              <w:t>Postretirement Benefit Plans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1"/>
              </w:rPr>
            </w:pPr>
            <w:r>
              <w:rPr>
                <w:rFonts w:ascii="sans-serif" w:hAnsi="sans-serif"/>
                <w:color w:val="000000"/>
                <w:sz w:val="21"/>
              </w:rPr>
              <w:t>Foreign Currency</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1"/>
              </w:rPr>
            </w:pPr>
            <w:r>
              <w:rPr>
                <w:rFonts w:ascii="sans-serif" w:hAnsi="sans-serif"/>
                <w:color w:val="000000"/>
                <w:sz w:val="21"/>
              </w:rPr>
              <w:t>Accumulated</w:t>
              <w:br/>
              <w:t>Other Comprehensive</w:t>
              <w:br/>
              <w:t>Loss</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1"/>
              </w:rPr>
            </w:pPr>
            <w:r>
              <w:rPr>
                <w:rFonts w:ascii="sans-serif" w:hAnsi="sans-serif"/>
                <w:color w:val="000000"/>
                <w:sz w:val="21"/>
              </w:rPr>
              <w:t>Three Months Ended March 31, 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Amounts reclassified from accumulated other</w:t>
              <w:br/>
              <w:t>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Other comprehensive earnings,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(12</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1"/>
              </w:rPr>
            </w:pPr>
            <w:r>
              <w:rPr>
                <w:rFonts w:ascii="sans-serif" w:hAnsi="sans-serif"/>
                <w:color w:val="000000"/>
                <w:sz w:val="21"/>
              </w:rPr>
              <w:t>Three Months Ended March 31, 2024</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(49</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 xml:space="preserve">Other comprehensive loss before reclassifications,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 xml:space="preserve">Amounts reclassified from accumulated other </w:t>
              <w:br/>
              <w:t>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Other comprehensive earnings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(49</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bl>
    <w:p>
      <w:pPr>
        <w:pStyle w:val="TextBody"/>
        <w:bidi w:val="0"/>
        <w:spacing w:before="200" w:after="283"/>
        <w:jc w:val="both"/>
        <w:rPr>
          <w:rFonts w:ascii="Calibri" w:hAnsi="Calibri"/>
          <w:sz w:val="22"/>
        </w:rPr>
      </w:pPr>
      <w:r>
        <w:rPr>
          <w:rFonts w:ascii="sans-serif" w:hAnsi="sans-serif"/>
          <w:color w:val="000000"/>
          <w:sz w:val="22"/>
        </w:rPr>
        <w:t>Changes in net noncurrent deferred tax assets related to accumulated other comprehensive loss are as follows:</w:t>
      </w:r>
      <w:r>
        <w:rPr>
          <w:rFonts w:ascii="Calibri" w:hAnsi="Calibri"/>
          <w:color w:val="000000"/>
          <w:sz w:val="22"/>
        </w:rPr>
        <w:t xml:space="preserve"> </w:t>
      </w:r>
    </w:p>
    <w:p>
      <w:pPr>
        <w:pStyle w:val="TextBody"/>
        <w:bidi w:val="0"/>
        <w:jc w:val="left"/>
        <w:rPr/>
      </w:pPr>
      <w:r>
        <w:rPr/>
        <w:t> </w:t>
      </w:r>
    </w:p>
    <w:tbl>
      <w:tblPr>
        <w:tblW w:w="9266" w:type="dxa"/>
        <w:jc w:val="left"/>
        <w:tblInd w:w="0" w:type="dxa"/>
        <w:tblLayout w:type="fixed"/>
        <w:tblCellMar>
          <w:top w:w="28" w:type="dxa"/>
          <w:left w:w="28" w:type="dxa"/>
          <w:bottom w:w="28" w:type="dxa"/>
          <w:right w:w="28" w:type="dxa"/>
        </w:tblCellMar>
      </w:tblPr>
      <w:tblGrid>
        <w:gridCol w:w="4081"/>
        <w:gridCol w:w="146"/>
        <w:gridCol w:w="736"/>
        <w:gridCol w:w="1169"/>
        <w:gridCol w:w="564"/>
        <w:gridCol w:w="419"/>
        <w:gridCol w:w="736"/>
        <w:gridCol w:w="1174"/>
        <w:gridCol w:w="24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Pension and Postretirement Benefit Plans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xml:space="preserve">Tax effect of other comprehensive </w:t>
              <w:br/>
              <w: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40</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Calibri" w:hAnsi="Calibri"/>
          <w:sz w:val="22"/>
        </w:rPr>
      </w:pPr>
      <w:r>
        <w:rPr>
          <w:rFonts w:ascii="sans-serif" w:hAnsi="sans-serif"/>
          <w:color w:val="000000"/>
          <w:sz w:val="22"/>
        </w:rPr>
        <w:t>Reclassifications out of accumulated other comprehensive loss are as follows:</w:t>
      </w:r>
      <w:r>
        <w:rPr>
          <w:rFonts w:ascii="Calibri" w:hAnsi="Calibri"/>
          <w:color w:val="000000"/>
          <w:sz w:val="22"/>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7"/>
        <w:gridCol w:w="146"/>
        <w:gridCol w:w="395"/>
        <w:gridCol w:w="501"/>
        <w:gridCol w:w="284"/>
        <w:gridCol w:w="211"/>
        <w:gridCol w:w="395"/>
        <w:gridCol w:w="501"/>
        <w:gridCol w:w="196"/>
        <w:gridCol w:w="146"/>
        <w:gridCol w:w="3903"/>
      </w:tblGrid>
      <w:tr>
        <w:trPr/>
        <w:tc>
          <w:tcPr>
            <w:tcW w:w="3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3" w:type="dxa"/>
            <w:tcBorders/>
            <w:vAlign w:val="center"/>
          </w:tcPr>
          <w:p>
            <w:pPr>
              <w:pStyle w:val="TableContents"/>
              <w:bidi w:val="0"/>
              <w:spacing w:before="0" w:after="283"/>
              <w:jc w:val="left"/>
              <w:rPr>
                <w:sz w:val="4"/>
                <w:szCs w:val="4"/>
              </w:rPr>
            </w:pPr>
            <w:r>
              <w:rPr>
                <w:sz w:val="4"/>
                <w:szCs w:val="4"/>
              </w:rPr>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Affected line items in the consolidated</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statements of earnings</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and comprehensive earnings</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3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Pension and postretirement</w:t>
              <w:br/>
              <w:t>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Amortization of prior 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nonoperating income, net</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Income tax expense</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 w:hAnsi="Calibri"/>
          <w:sz w:val="22"/>
        </w:rPr>
      </w:pPr>
      <w:r>
        <w:rPr>
          <w:rFonts w:ascii="sans-serif" w:hAnsi="sans-serif"/>
          <w:color w:val="000000"/>
          <w:sz w:val="22"/>
        </w:rPr>
        <w:t>Page 9</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Heading2"/>
        <w:bidi w:val="0"/>
        <w:spacing w:before="240" w:after="283"/>
        <w:jc w:val="left"/>
        <w:rPr>
          <w:rFonts w:ascii="Calibri" w:hAnsi="Calibri"/>
          <w:sz w:val="22"/>
        </w:rPr>
      </w:pPr>
      <w:r>
        <w:rPr>
          <w:rFonts w:ascii="sans-serif" w:hAnsi="sans-serif"/>
          <w:b/>
          <w:color w:val="000000"/>
          <w:sz w:val="22"/>
        </w:rPr>
        <w:t>Earnings per Common Share</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The numerator for basic and diluted earnings per common share is net earnings attributable to Martin Marietta.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The following table reconciles the denominator for basic and diluted earnings per common share:</w:t>
      </w:r>
      <w:r>
        <w:rPr>
          <w:rFonts w:ascii="Calibri" w:hAnsi="Calibri"/>
          <w:color w:val="000000"/>
          <w:sz w:val="22"/>
        </w:rPr>
        <w:t xml:space="preserve"> </w:t>
      </w:r>
    </w:p>
    <w:p>
      <w:pPr>
        <w:pStyle w:val="TextBody"/>
        <w:bidi w:val="0"/>
        <w:jc w:val="left"/>
        <w:rPr/>
      </w:pPr>
      <w:r>
        <w:rPr/>
        <w:t> </w:t>
      </w:r>
    </w:p>
    <w:tbl>
      <w:tblPr>
        <w:tblW w:w="9201" w:type="dxa"/>
        <w:jc w:val="left"/>
        <w:tblInd w:w="0" w:type="dxa"/>
        <w:tblLayout w:type="fixed"/>
        <w:tblCellMar>
          <w:top w:w="28" w:type="dxa"/>
          <w:left w:w="28" w:type="dxa"/>
          <w:bottom w:w="28" w:type="dxa"/>
          <w:right w:w="28" w:type="dxa"/>
        </w:tblCellMar>
      </w:tblPr>
      <w:tblGrid>
        <w:gridCol w:w="6406"/>
        <w:gridCol w:w="146"/>
        <w:gridCol w:w="194"/>
        <w:gridCol w:w="841"/>
        <w:gridCol w:w="194"/>
        <w:gridCol w:w="194"/>
        <w:gridCol w:w="194"/>
        <w:gridCol w:w="841"/>
        <w:gridCol w:w="191"/>
      </w:tblGrid>
      <w:tr>
        <w:trPr/>
        <w:tc>
          <w:tcPr>
            <w:tcW w:w="6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Basic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Effect of dilutive employee and director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Diluted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240" w:after="283"/>
        <w:jc w:val="left"/>
        <w:rPr>
          <w:rFonts w:ascii="sans-serif" w:hAnsi="sans-serif"/>
          <w:b/>
          <w:color w:val="000000"/>
          <w:sz w:val="22"/>
        </w:rPr>
      </w:pPr>
      <w:r>
        <w:rPr>
          <w:rFonts w:ascii="sans-serif" w:hAnsi="sans-serif"/>
          <w:b/>
          <w:color w:val="000000"/>
          <w:sz w:val="22"/>
        </w:rPr>
        <w:t>New Accounting Pronouncements</w:t>
      </w:r>
    </w:p>
    <w:p>
      <w:pPr>
        <w:pStyle w:val="TextBody"/>
        <w:bidi w:val="0"/>
        <w:spacing w:before="120" w:after="283"/>
        <w:jc w:val="both"/>
        <w:rPr>
          <w:rFonts w:ascii="Calibri" w:hAnsi="Calibri"/>
          <w:sz w:val="22"/>
        </w:rPr>
      </w:pPr>
      <w:r>
        <w:rPr>
          <w:rFonts w:ascii="sans-serif" w:hAnsi="sans-serif"/>
          <w:color w:val="000000"/>
          <w:sz w:val="22"/>
        </w:rPr>
        <w:t xml:space="preserve">In December 2023, the FASB issued ASU 2023-09, </w:t>
      </w:r>
      <w:r>
        <w:rPr>
          <w:rFonts w:ascii="sans-serif" w:hAnsi="sans-serif"/>
          <w:i/>
          <w:color w:val="000000"/>
          <w:sz w:val="22"/>
        </w:rPr>
        <w:t>Income Taxes (Topic 740): Improvements to Income Tax Disclosures</w:t>
      </w:r>
      <w:r>
        <w:rPr>
          <w:rFonts w:ascii="sans-serif" w:hAnsi="sans-serif"/>
          <w:color w:val="000000"/>
          <w:sz w:val="22"/>
        </w:rPr>
        <w:t>, which focuses on the rate reconciliation and income taxes paid. ASU 2023-09 requires public entities to disclose, on an annual basis, a tabular tax rate reconciliation using both percentages and currency amounts, broken out into specified categories. Certain reconciling items are further broken out by nature and jurisdiction to the extent those items exceed a specified threshold. Additionally, all entities are required to disclose income taxes paid, net of refunds received, disaggregated by federal, state/local, and foreign taxes and by individual jurisdiction if the amount is at least 5% of total income tax payments, net of refunds received. The ASU also requires additional qualitative disclosures. ASU 2023-09 is effective prospectively for annual periods beginning after December 15, 2024, and early adoption and retrospective application are permitted. The ASU will impact the Company's income tax disclosures beginning with the financial statements included in the 2025 Annual Report on Form 10-K, but will have no impact on its results of operations, cash flows or financial condition.</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 xml:space="preserve">In November 2024, the FASB issued ASU 2024-03, </w:t>
      </w:r>
      <w:r>
        <w:rPr>
          <w:rFonts w:ascii="sans-serif" w:hAnsi="sans-serif"/>
          <w:i/>
          <w:color w:val="000000"/>
          <w:sz w:val="22"/>
        </w:rPr>
        <w:t>Income Statement - Reporting Comprehensive Income - Expense Disaggregation Disclosures (Subtopic 220-40): Disaggregation of Income Statement Expenses</w:t>
      </w:r>
      <w:r>
        <w:rPr>
          <w:rFonts w:ascii="Calibri" w:hAnsi="Calibri"/>
          <w:color w:val="000000"/>
          <w:sz w:val="22"/>
        </w:rPr>
        <w:t xml:space="preserve"> </w:t>
      </w:r>
      <w:r>
        <w:rPr>
          <w:rFonts w:ascii="sans-serif" w:hAnsi="sans-serif"/>
          <w:color w:val="000000"/>
          <w:sz w:val="22"/>
        </w:rPr>
        <w:t>(DISE), which requires public entities to disaggregate any relevant expense caption presented on the face of the income statement within continuing operations into the following required natural expense categories, as applicable: (1) purchases of inventory, (2) employee compensation, (3) depreciation, (4) intangible asset amortization, and (5) depreciation, depletion and amortization recognized as part of oil- and gas-producing activities or other depletion expenses. These disclosures must be made in a tabular format in the footnotes to the financial statements. The new standard does not change the requirements for the presentation of expenses on the face of the statement of earnings. The ASU is effective prospectively for annual reporting periods beginning after December 15, 2026 and interim reporting periods beginning after December 15, 2027, and early adoption and retrospective application are permitted. The ASU will impact the Company's expense disclosures beginning with the financial statements included in the 2027 Annual Report on Form 10-K, but will have no impact on its results of operations, cash flows or financial condition.</w:t>
      </w:r>
    </w:p>
    <w:p>
      <w:pPr>
        <w:pStyle w:val="TextBody"/>
        <w:bidi w:val="0"/>
        <w:jc w:val="center"/>
        <w:rPr>
          <w:rFonts w:ascii="Calibri" w:hAnsi="Calibri"/>
          <w:sz w:val="22"/>
        </w:rPr>
      </w:pPr>
      <w:r>
        <w:rPr>
          <w:rFonts w:ascii="sans-serif" w:hAnsi="sans-serif"/>
          <w:color w:val="000000"/>
          <w:sz w:val="22"/>
        </w:rPr>
        <w:t>Page 10</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Heading2"/>
        <w:bidi w:val="0"/>
        <w:spacing w:before="240" w:after="283"/>
        <w:jc w:val="left"/>
        <w:rPr>
          <w:rFonts w:ascii="sans-serif" w:hAnsi="sans-serif"/>
          <w:b/>
          <w:color w:val="000000"/>
          <w:sz w:val="22"/>
        </w:rPr>
      </w:pPr>
      <w:r>
        <w:rPr>
          <w:rFonts w:ascii="sans-serif" w:hAnsi="sans-serif"/>
          <w:b/>
          <w:color w:val="000000"/>
          <w:sz w:val="22"/>
        </w:rPr>
        <w:t>Reclassifications</w:t>
      </w:r>
    </w:p>
    <w:p>
      <w:pPr>
        <w:pStyle w:val="TextBody"/>
        <w:bidi w:val="0"/>
        <w:spacing w:before="120" w:after="283"/>
        <w:jc w:val="both"/>
        <w:rPr>
          <w:rFonts w:ascii="sans-serif" w:hAnsi="sans-serif"/>
          <w:color w:val="000000"/>
          <w:sz w:val="22"/>
        </w:rPr>
      </w:pPr>
      <w:r>
        <w:rPr>
          <w:rFonts w:ascii="sans-serif" w:hAnsi="sans-serif"/>
          <w:color w:val="000000"/>
          <w:sz w:val="22"/>
        </w:rPr>
        <w:t>Certain reclassifications have been made in the Company's financial statements of the prior year to conform to the current-year presentation. The reclassifications had no impact on the Company’s previously reported results of operations, financial condition or cash flows.</w:t>
      </w:r>
    </w:p>
    <w:p>
      <w:pPr>
        <w:pStyle w:val="TextBody"/>
        <w:bidi w:val="0"/>
        <w:spacing w:before="240" w:after="283"/>
        <w:jc w:val="both"/>
        <w:rPr>
          <w:rFonts w:ascii="Calibri" w:hAnsi="Calibri"/>
          <w:b/>
          <w:color w:val="000000"/>
          <w:sz w:val="22"/>
        </w:rPr>
      </w:pPr>
      <w:r>
        <w:rPr>
          <w:rFonts w:ascii="Calibri" w:hAnsi="Calibri"/>
          <w:b/>
          <w:color w:val="000000"/>
          <w:sz w:val="22"/>
        </w:rPr>
        <w:t>2.</w:t>
      </w:r>
    </w:p>
    <w:p>
      <w:pPr>
        <w:pStyle w:val="TextBody"/>
        <w:bidi w:val="0"/>
        <w:spacing w:before="240" w:after="283"/>
        <w:jc w:val="both"/>
        <w:rPr>
          <w:rFonts w:ascii="sans-serif" w:hAnsi="sans-serif"/>
          <w:b/>
          <w:color w:val="000000"/>
          <w:sz w:val="22"/>
        </w:rPr>
      </w:pPr>
      <w:r>
        <w:rPr>
          <w:rFonts w:ascii="sans-serif" w:hAnsi="sans-serif"/>
          <w:b/>
          <w:color w:val="000000"/>
          <w:sz w:val="22"/>
        </w:rPr>
        <w:t xml:space="preserve">Business Combinations and Divestitures </w:t>
      </w:r>
    </w:p>
    <w:p>
      <w:pPr>
        <w:pStyle w:val="Heading2"/>
        <w:bidi w:val="0"/>
        <w:spacing w:before="240" w:after="283"/>
        <w:jc w:val="left"/>
        <w:rPr>
          <w:rFonts w:ascii="sans-serif" w:hAnsi="sans-serif"/>
          <w:b/>
          <w:color w:val="000000"/>
          <w:sz w:val="22"/>
        </w:rPr>
      </w:pPr>
      <w:r>
        <w:rPr>
          <w:rFonts w:ascii="sans-serif" w:hAnsi="sans-serif"/>
          <w:b/>
          <w:color w:val="000000"/>
          <w:sz w:val="22"/>
        </w:rPr>
        <w:t>Business Combinations</w:t>
      </w:r>
    </w:p>
    <w:p>
      <w:pPr>
        <w:pStyle w:val="TextBody"/>
        <w:bidi w:val="0"/>
        <w:spacing w:before="120" w:after="283"/>
        <w:jc w:val="both"/>
        <w:rPr>
          <w:rFonts w:ascii="Calibri" w:hAnsi="Calibri"/>
          <w:sz w:val="22"/>
        </w:rPr>
      </w:pPr>
      <w:r>
        <w:rPr>
          <w:rFonts w:ascii="sans-serif" w:hAnsi="sans-serif"/>
          <w:b/>
          <w:i/>
          <w:color w:val="000000"/>
          <w:sz w:val="22"/>
        </w:rPr>
        <w:t xml:space="preserve">Blue Water Industries LLC. </w:t>
      </w:r>
      <w:r>
        <w:rPr>
          <w:rFonts w:ascii="sans-serif" w:hAnsi="sans-serif"/>
          <w:color w:val="000000"/>
          <w:sz w:val="22"/>
        </w:rPr>
        <w:t>On April 5, 2024, the Company completed the acquisition of 20</w:t>
      </w:r>
      <w:r>
        <w:rPr>
          <w:rFonts w:ascii="Calibri" w:hAnsi="Calibri"/>
          <w:color w:val="000000"/>
          <w:sz w:val="22"/>
        </w:rPr>
        <w:t xml:space="preserve"> </w:t>
      </w:r>
      <w:r>
        <w:rPr>
          <w:rFonts w:ascii="sans-serif" w:hAnsi="sans-serif"/>
          <w:color w:val="000000"/>
          <w:sz w:val="22"/>
        </w:rPr>
        <w:t>active aggregates operations in Alabama, South Carolina, South Florida, Tennessee, and Virginia from affiliates of Blue Water Industries LLC (BWI Southeast) for $2.05</w:t>
      </w:r>
      <w:r>
        <w:rPr>
          <w:rFonts w:ascii="Calibri" w:hAnsi="Calibri"/>
          <w:color w:val="000000"/>
          <w:sz w:val="22"/>
        </w:rPr>
        <w:t xml:space="preserve"> </w:t>
      </w:r>
      <w:r>
        <w:rPr>
          <w:rFonts w:ascii="sans-serif" w:hAnsi="sans-serif"/>
          <w:color w:val="000000"/>
          <w:sz w:val="22"/>
        </w:rPr>
        <w:t>billion in cash. The BWI Southeast acquisition complements Martin Marietta’s existing geographic footprint in the southeast region by expanding into new growth platforms in target markets including Tennessee and South Florida. The results from the acquired operations are reported in the Company's East Group.</w:t>
      </w:r>
    </w:p>
    <w:p>
      <w:pPr>
        <w:pStyle w:val="TextBody"/>
        <w:bidi w:val="0"/>
        <w:spacing w:before="120" w:after="283"/>
        <w:jc w:val="both"/>
        <w:rPr>
          <w:rFonts w:ascii="sans-serif" w:hAnsi="sans-serif"/>
          <w:color w:val="000000"/>
          <w:sz w:val="22"/>
        </w:rPr>
      </w:pPr>
      <w:r>
        <w:rPr>
          <w:rFonts w:ascii="sans-serif" w:hAnsi="sans-serif"/>
          <w:color w:val="000000"/>
          <w:sz w:val="22"/>
        </w:rPr>
        <w:t>The Company determined the acquisition-date fair values of assets acquired and liabilities assumed. The Company has recorded preliminary fair values of the assets acquired and liabilities assumed, which are subject to additional reviews that are not yet complete. As such, these amounts are subject to change during the measurement period, which extends no longer than one year from the consummation date, and remains open as of March 31, 2025. Specific accounts subject to ongoing purchase accounting adjustments include, but are not limited to, goodwill and deferred income taxes. The goodwill generated by the transaction is not deductible for income tax purposes.</w:t>
      </w:r>
    </w:p>
    <w:p>
      <w:pPr>
        <w:pStyle w:val="TextBody"/>
        <w:bidi w:val="0"/>
        <w:spacing w:before="120" w:after="283"/>
        <w:jc w:val="both"/>
        <w:rPr>
          <w:rFonts w:ascii="sans-serif" w:hAnsi="sans-serif"/>
          <w:color w:val="000000"/>
          <w:sz w:val="22"/>
        </w:rPr>
      </w:pPr>
      <w:r>
        <w:rPr>
          <w:rFonts w:ascii="sans-serif" w:hAnsi="sans-serif"/>
          <w:color w:val="000000"/>
          <w:sz w:val="22"/>
        </w:rPr>
        <w:t>The following is a summary of the preliminary estimated fair values of the assets acquired and liabilities assumed as of April 5, 2024 (dollars in millions):</w:t>
      </w:r>
    </w:p>
    <w:p>
      <w:pPr>
        <w:pStyle w:val="TextBody"/>
        <w:bidi w:val="0"/>
        <w:jc w:val="both"/>
        <w:rPr/>
      </w:pPr>
      <w:r>
        <w:rPr/>
        <w:t> </w:t>
      </w:r>
    </w:p>
    <w:tbl>
      <w:tblPr>
        <w:tblW w:w="6185" w:type="dxa"/>
        <w:jc w:val="left"/>
        <w:tblInd w:w="0" w:type="dxa"/>
        <w:tblLayout w:type="fixed"/>
        <w:tblCellMar>
          <w:top w:w="28" w:type="dxa"/>
          <w:left w:w="28" w:type="dxa"/>
          <w:bottom w:w="28" w:type="dxa"/>
          <w:right w:w="28" w:type="dxa"/>
        </w:tblCellMar>
      </w:tblPr>
      <w:tblGrid>
        <w:gridCol w:w="4611"/>
        <w:gridCol w:w="146"/>
        <w:gridCol w:w="256"/>
        <w:gridCol w:w="781"/>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2"/>
              </w:rPr>
            </w:pPr>
            <w:r>
              <w:rPr>
                <w:rFonts w:ascii="sans-serif" w:hAnsi="sans-serif"/>
                <w:color w:val="000000"/>
                <w:sz w:val="22"/>
              </w:rPr>
              <w:t xml:space="preserve">Property, plant and equipment </w:t>
            </w:r>
            <w:r>
              <w:rPr>
                <w:rFonts w:ascii="sans-serif" w:hAnsi="sans-serif"/>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Intangible assets, other than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identifiable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Calibri" w:hAnsi="Calibri"/>
          <w:sz w:val="22"/>
        </w:rPr>
      </w:pPr>
      <w:r>
        <w:rPr>
          <w:rFonts w:ascii="sans-serif" w:hAnsi="sans-serif"/>
          <w:color w:val="000000"/>
          <w:sz w:val="15"/>
        </w:rPr>
        <w:t>1</w:t>
      </w:r>
      <w:r>
        <w:rPr>
          <w:rFonts w:ascii="Calibri" w:hAnsi="Calibri"/>
          <w:color w:val="000000"/>
          <w:sz w:val="22"/>
        </w:rPr>
        <w:t xml:space="preserve"> </w:t>
      </w:r>
      <w:r>
        <w:rPr>
          <w:rFonts w:ascii="sans-serif" w:hAnsi="sans-serif"/>
          <w:color w:val="000000"/>
          <w:sz w:val="15"/>
        </w:rPr>
        <w:t>Includes mineral reserves of $1.9</w:t>
      </w:r>
      <w:r>
        <w:rPr>
          <w:rFonts w:ascii="Calibri" w:hAnsi="Calibri"/>
          <w:color w:val="000000"/>
          <w:sz w:val="22"/>
        </w:rPr>
        <w:t xml:space="preserve"> </w:t>
      </w:r>
      <w:r>
        <w:rPr>
          <w:rFonts w:ascii="sans-serif" w:hAnsi="sans-serif"/>
          <w:color w:val="000000"/>
          <w:sz w:val="15"/>
        </w:rPr>
        <w:t>billion.</w:t>
      </w:r>
    </w:p>
    <w:p>
      <w:pPr>
        <w:pStyle w:val="TextBody"/>
        <w:bidi w:val="0"/>
        <w:jc w:val="center"/>
        <w:rPr>
          <w:rFonts w:ascii="Calibri" w:hAnsi="Calibri"/>
          <w:sz w:val="22"/>
        </w:rPr>
      </w:pPr>
      <w:r>
        <w:rPr>
          <w:rFonts w:ascii="sans-serif" w:hAnsi="sans-serif"/>
          <w:color w:val="000000"/>
          <w:sz w:val="22"/>
        </w:rPr>
        <w:t>Page 11</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120" w:after="120"/>
        <w:jc w:val="both"/>
        <w:rPr>
          <w:rFonts w:ascii="Calibri" w:hAnsi="Calibri"/>
          <w:sz w:val="22"/>
        </w:rPr>
      </w:pPr>
      <w:r>
        <w:rPr>
          <w:rFonts w:ascii="sans-serif" w:hAnsi="sans-serif"/>
          <w:b/>
          <w:i/>
          <w:color w:val="000000"/>
          <w:sz w:val="22"/>
        </w:rPr>
        <w:t xml:space="preserve">Albert Frei &amp; Sons, Inc. </w:t>
      </w:r>
      <w:r>
        <w:rPr>
          <w:rFonts w:ascii="sans-serif" w:hAnsi="sans-serif"/>
          <w:color w:val="000000"/>
          <w:sz w:val="22"/>
        </w:rPr>
        <w:t>On January 12, 2024, the Company acquired Albert Frei &amp; Sons, Inc., a leading aggregates producer in Colorado. This acquisition provides more than 60 years</w:t>
      </w:r>
      <w:r>
        <w:rPr>
          <w:rFonts w:ascii="Calibri" w:hAnsi="Calibri"/>
          <w:color w:val="000000"/>
          <w:sz w:val="22"/>
        </w:rPr>
        <w:t xml:space="preserve"> </w:t>
      </w:r>
      <w:r>
        <w:rPr>
          <w:rFonts w:ascii="sans-serif" w:hAnsi="sans-serif"/>
          <w:color w:val="000000"/>
          <w:sz w:val="22"/>
        </w:rPr>
        <w:t>(at current production levels) of high-quality, hard rock reserves to better serve new and existing customers and enhances the Company's aggregates platform in the Denver metropolitan area. The Company determined the acquisition-date fair values of the assets acquired and liabilities assumed. As of December 31, 2024, the measurement period was closed. The goodwill generated by the transaction is not deductible for income tax purposes. The acquisition is reported in the Company's West Group and is immaterial for pro-forma financial statement disclosures.</w:t>
      </w:r>
    </w:p>
    <w:p>
      <w:pPr>
        <w:pStyle w:val="TextBody"/>
        <w:bidi w:val="0"/>
        <w:spacing w:before="0" w:after="120"/>
        <w:jc w:val="both"/>
        <w:rPr>
          <w:rFonts w:ascii="Calibri" w:hAnsi="Calibri"/>
          <w:sz w:val="22"/>
        </w:rPr>
      </w:pPr>
      <w:r>
        <w:rPr>
          <w:rFonts w:ascii="sans-serif" w:hAnsi="sans-serif"/>
          <w:b/>
          <w:i/>
          <w:color w:val="000000"/>
          <w:sz w:val="22"/>
        </w:rPr>
        <w:t>Youngquist Brothers Rock, LLC.</w:t>
      </w:r>
      <w:r>
        <w:rPr>
          <w:rFonts w:ascii="Calibri" w:hAnsi="Calibri"/>
          <w:color w:val="000000"/>
          <w:sz w:val="22"/>
        </w:rPr>
        <w:t xml:space="preserve"> </w:t>
      </w:r>
      <w:r>
        <w:rPr>
          <w:rFonts w:ascii="sans-serif" w:hAnsi="sans-serif"/>
          <w:color w:val="000000"/>
          <w:sz w:val="22"/>
        </w:rPr>
        <w:t>On October 25, 2024, the Company completed the acquisition of Youngquist Brothers Rock, LLC (YBR), a leading aggregates supplier in the Fort Myers, Florida area. This acquisition allows the Company to serve new and existing customers and enhances the Company's aggregates platform in South Florida. The Company has recorded preliminary fair values of the assets acquired and liabilities assumed, which are subject to additional reviews that are not yet complete. Thus, these amounts are subject to change during the measurement period, which extends no longer than one year from the consummation date, and remains open as of March 31, 2025. Specific accounts subject to ongoing purchase accounting adjustments, include, but are not limited to, property, plant and equipment; goodwill; other assets; and other liabilities. The goodwill generated by the transaction is deductible for income tax purposes. The acquisition is reported in the Company's East Group and is immaterial for pro-forma financial statement disclosures.</w:t>
      </w:r>
      <w:r>
        <w:rPr>
          <w:rFonts w:ascii="Calibri" w:hAnsi="Calibri"/>
          <w:color w:val="000000"/>
          <w:sz w:val="22"/>
        </w:rPr>
        <w:t xml:space="preserve"> </w:t>
      </w:r>
    </w:p>
    <w:p>
      <w:pPr>
        <w:pStyle w:val="TextBody"/>
        <w:bidi w:val="0"/>
        <w:spacing w:before="0" w:after="120"/>
        <w:jc w:val="both"/>
        <w:rPr>
          <w:rFonts w:ascii="Calibri" w:hAnsi="Calibri"/>
          <w:sz w:val="22"/>
        </w:rPr>
      </w:pPr>
      <w:r>
        <w:rPr>
          <w:rFonts w:ascii="sans-serif" w:hAnsi="sans-serif"/>
          <w:b/>
          <w:i/>
          <w:color w:val="000000"/>
          <w:sz w:val="22"/>
        </w:rPr>
        <w:t xml:space="preserve">R.E. Janes Gravel Co. </w:t>
      </w:r>
      <w:r>
        <w:rPr>
          <w:rFonts w:ascii="sans-serif" w:hAnsi="sans-serif"/>
          <w:color w:val="000000"/>
          <w:sz w:val="22"/>
        </w:rPr>
        <w:t>On December 13, 2024, the Company acquired R.E. Janes Gravel Co. (RE Janes), an aggregates bolt-on in Texas. The Company has recorded preliminary fair values of the assets acquired and liabilities assumed, which are subject to additional reviews that are not yet complete. Thus, these amounts are subject to change during the measurement period, which extends no longer than one year from the consummation date, and remains open as of March 31, 2025. Specific accounts subject to ongoing purchase accounting adjustments, include, but are not limited to, property, plant and equipment; goodwill; other assets; and other liabilities. The goodwill generated by the transaction is deductible for income tax purposes. The acquisition is reported in the Company's West Group and is immaterial for pro-forma financial statement disclosures.</w:t>
      </w:r>
    </w:p>
    <w:p>
      <w:pPr>
        <w:pStyle w:val="Heading2"/>
        <w:bidi w:val="0"/>
        <w:spacing w:before="120" w:after="283"/>
        <w:jc w:val="left"/>
        <w:rPr>
          <w:rFonts w:ascii="sans-serif" w:hAnsi="sans-serif"/>
          <w:b/>
          <w:color w:val="000000"/>
          <w:sz w:val="22"/>
        </w:rPr>
      </w:pPr>
      <w:r>
        <w:rPr>
          <w:rFonts w:ascii="sans-serif" w:hAnsi="sans-serif"/>
          <w:b/>
          <w:color w:val="000000"/>
          <w:sz w:val="22"/>
        </w:rPr>
        <w:t>Divestitures</w:t>
      </w:r>
    </w:p>
    <w:p>
      <w:pPr>
        <w:pStyle w:val="TextBody"/>
        <w:bidi w:val="0"/>
        <w:spacing w:before="120" w:after="120"/>
        <w:jc w:val="both"/>
        <w:rPr>
          <w:rFonts w:ascii="Calibri" w:hAnsi="Calibri"/>
          <w:sz w:val="22"/>
        </w:rPr>
      </w:pPr>
      <w:r>
        <w:rPr>
          <w:rFonts w:ascii="sans-serif" w:hAnsi="sans-serif"/>
          <w:color w:val="000000"/>
          <w:sz w:val="22"/>
        </w:rPr>
        <w:t>On February 9, 2024, the Company completed the sale of its South Texas cement business and certain of its related ready mixed concrete operations to CRH Americas Materials, Inc., a subsidiary of CRH plc, for $2.1</w:t>
      </w:r>
      <w:r>
        <w:rPr>
          <w:rFonts w:ascii="Calibri" w:hAnsi="Calibri"/>
          <w:color w:val="000000"/>
          <w:sz w:val="22"/>
        </w:rPr>
        <w:t xml:space="preserve"> </w:t>
      </w:r>
      <w:r>
        <w:rPr>
          <w:rFonts w:ascii="sans-serif" w:hAnsi="sans-serif"/>
          <w:color w:val="000000"/>
          <w:sz w:val="22"/>
        </w:rPr>
        <w:t>billion in cash plus normal customary closing adjustments. Specifically, the divested facilities included the Hunter cement plant in New Braunfels, Texas, related cement distribution terminals and 20</w:t>
      </w:r>
      <w:r>
        <w:rPr>
          <w:rFonts w:ascii="Calibri" w:hAnsi="Calibri"/>
          <w:color w:val="000000"/>
          <w:sz w:val="22"/>
        </w:rPr>
        <w:t xml:space="preserve"> </w:t>
      </w:r>
      <w:r>
        <w:rPr>
          <w:rFonts w:ascii="sans-serif" w:hAnsi="sans-serif"/>
          <w:color w:val="000000"/>
          <w:sz w:val="22"/>
        </w:rPr>
        <w:t>ready mixed concrete plants that served the Austin and San Antonio region. The divestiture provided proceeds the Company used to consummate the BWI Southeast acquisition. The transaction resulted in a pretax gain of $1.3</w:t>
      </w:r>
      <w:r>
        <w:rPr>
          <w:rFonts w:ascii="Calibri" w:hAnsi="Calibri"/>
          <w:color w:val="000000"/>
          <w:sz w:val="22"/>
        </w:rPr>
        <w:t xml:space="preserve"> </w:t>
      </w:r>
      <w:r>
        <w:rPr>
          <w:rFonts w:ascii="sans-serif" w:hAnsi="sans-serif"/>
          <w:color w:val="000000"/>
          <w:sz w:val="22"/>
        </w:rPr>
        <w:t xml:space="preserve">billion, which is included in </w:t>
      </w:r>
      <w:r>
        <w:rPr>
          <w:rFonts w:ascii="sans-serif" w:hAnsi="sans-serif"/>
          <w:i/>
          <w:color w:val="000000"/>
          <w:sz w:val="22"/>
        </w:rPr>
        <w:t>Other operating (income) expense, net</w:t>
      </w:r>
      <w:r>
        <w:rPr>
          <w:rFonts w:ascii="sans-serif" w:hAnsi="sans-serif"/>
          <w:color w:val="000000"/>
          <w:sz w:val="22"/>
        </w:rPr>
        <w:t>, on the Company's consolidated statement of earnings and comprehensive earnings for the three months ended March 31, 2024 and is exclusive of transaction expenses incurred due to the divestiture. The divested operations and the gain on divestiture were reported in the West Group.</w:t>
      </w:r>
    </w:p>
    <w:p>
      <w:pPr>
        <w:pStyle w:val="TextBody"/>
        <w:bidi w:val="0"/>
        <w:jc w:val="center"/>
        <w:rPr>
          <w:rFonts w:ascii="Calibri" w:hAnsi="Calibri"/>
          <w:sz w:val="22"/>
        </w:rPr>
      </w:pPr>
      <w:r>
        <w:rPr>
          <w:rFonts w:ascii="sans-serif" w:hAnsi="sans-serif"/>
          <w:color w:val="000000"/>
          <w:sz w:val="22"/>
        </w:rPr>
        <w:t>Page 12</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360" w:after="283"/>
        <w:jc w:val="left"/>
        <w:rPr>
          <w:rFonts w:ascii="Calibri" w:hAnsi="Calibri"/>
          <w:b/>
          <w:color w:val="000000"/>
          <w:sz w:val="22"/>
        </w:rPr>
      </w:pPr>
      <w:r>
        <w:rPr>
          <w:rFonts w:ascii="Calibri" w:hAnsi="Calibri"/>
          <w:b/>
          <w:color w:val="000000"/>
          <w:sz w:val="22"/>
        </w:rPr>
        <w:t>3.</w:t>
      </w:r>
    </w:p>
    <w:p>
      <w:pPr>
        <w:pStyle w:val="TextBody"/>
        <w:bidi w:val="0"/>
        <w:spacing w:before="360" w:after="283"/>
        <w:jc w:val="left"/>
        <w:rPr>
          <w:rFonts w:ascii="sans-serif" w:hAnsi="sans-serif"/>
          <w:b/>
          <w:color w:val="000000"/>
          <w:sz w:val="22"/>
        </w:rPr>
      </w:pPr>
      <w:r>
        <w:rPr>
          <w:rFonts w:ascii="sans-serif" w:hAnsi="sans-serif"/>
          <w:b/>
          <w:color w:val="000000"/>
          <w:sz w:val="22"/>
        </w:rPr>
        <w:t>Goodwill</w:t>
      </w:r>
    </w:p>
    <w:p>
      <w:pPr>
        <w:pStyle w:val="TextBody"/>
        <w:bidi w:val="0"/>
        <w:spacing w:before="120" w:after="283"/>
        <w:jc w:val="both"/>
        <w:rPr>
          <w:rFonts w:ascii="sans-serif" w:hAnsi="sans-serif"/>
          <w:color w:val="000000"/>
          <w:sz w:val="22"/>
        </w:rPr>
      </w:pPr>
      <w:r>
        <w:rPr>
          <w:rFonts w:ascii="sans-serif" w:hAnsi="sans-serif"/>
          <w:color w:val="000000"/>
          <w:sz w:val="22"/>
        </w:rPr>
        <w:t>The following table shows the changes in goodwill by reportable segment and in total:</w:t>
      </w:r>
    </w:p>
    <w:p>
      <w:pPr>
        <w:pStyle w:val="TextBody"/>
        <w:bidi w:val="0"/>
        <w:jc w:val="both"/>
        <w:rPr/>
      </w:pPr>
      <w:r>
        <w:rPr/>
        <w:t> </w:t>
      </w:r>
    </w:p>
    <w:tbl>
      <w:tblPr>
        <w:tblW w:w="8973" w:type="dxa"/>
        <w:jc w:val="left"/>
        <w:tblInd w:w="0" w:type="dxa"/>
        <w:tblLayout w:type="fixed"/>
        <w:tblCellMar>
          <w:top w:w="28" w:type="dxa"/>
          <w:left w:w="28" w:type="dxa"/>
          <w:bottom w:w="28" w:type="dxa"/>
          <w:right w:w="28" w:type="dxa"/>
        </w:tblCellMar>
      </w:tblPr>
      <w:tblGrid>
        <w:gridCol w:w="4891"/>
        <w:gridCol w:w="146"/>
        <w:gridCol w:w="256"/>
        <w:gridCol w:w="781"/>
        <w:gridCol w:w="196"/>
        <w:gridCol w:w="146"/>
        <w:gridCol w:w="256"/>
        <w:gridCol w:w="781"/>
        <w:gridCol w:w="146"/>
        <w:gridCol w:w="146"/>
        <w:gridCol w:w="256"/>
        <w:gridCol w:w="781"/>
        <w:gridCol w:w="19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East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Group</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Adjustments to purchase price allocations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1,030</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2,743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3,773</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Calibri" w:hAnsi="Calibri"/>
          <w:b/>
          <w:color w:val="000000"/>
          <w:sz w:val="22"/>
        </w:rPr>
      </w:pPr>
      <w:r>
        <w:rPr>
          <w:rFonts w:ascii="Calibri" w:hAnsi="Calibri"/>
          <w:b/>
          <w:color w:val="000000"/>
          <w:sz w:val="22"/>
        </w:rPr>
        <w:t>4.</w:t>
      </w:r>
    </w:p>
    <w:p>
      <w:pPr>
        <w:pStyle w:val="TextBody"/>
        <w:bidi w:val="0"/>
        <w:spacing w:before="360" w:after="283"/>
        <w:jc w:val="left"/>
        <w:rPr>
          <w:rFonts w:ascii="sans-serif" w:hAnsi="sans-serif"/>
          <w:b/>
          <w:color w:val="000000"/>
          <w:sz w:val="22"/>
        </w:rPr>
      </w:pPr>
      <w:r>
        <w:rPr>
          <w:rFonts w:ascii="sans-serif" w:hAnsi="sans-serif"/>
          <w:b/>
          <w:color w:val="000000"/>
          <w:sz w:val="22"/>
        </w:rPr>
        <w:t xml:space="preserve">Inventories, Net </w:t>
      </w:r>
    </w:p>
    <w:p>
      <w:pPr>
        <w:pStyle w:val="TextBody"/>
        <w:bidi w:val="0"/>
        <w:jc w:val="left"/>
        <w:rPr/>
      </w:pPr>
      <w:r>
        <w:rPr/>
        <w:t> </w:t>
      </w:r>
    </w:p>
    <w:tbl>
      <w:tblPr>
        <w:tblW w:w="7375" w:type="dxa"/>
        <w:jc w:val="left"/>
        <w:tblInd w:w="0" w:type="dxa"/>
        <w:tblLayout w:type="fixed"/>
        <w:tblCellMar>
          <w:top w:w="28" w:type="dxa"/>
          <w:left w:w="28" w:type="dxa"/>
          <w:bottom w:w="28" w:type="dxa"/>
          <w:right w:w="28" w:type="dxa"/>
        </w:tblCellMar>
      </w:tblPr>
      <w:tblGrid>
        <w:gridCol w:w="3676"/>
        <w:gridCol w:w="146"/>
        <w:gridCol w:w="307"/>
        <w:gridCol w:w="938"/>
        <w:gridCol w:w="196"/>
        <w:gridCol w:w="146"/>
        <w:gridCol w:w="426"/>
        <w:gridCol w:w="1299"/>
        <w:gridCol w:w="24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Finished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Products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Supplies and expendable parts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Less: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1,173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1,115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Calibri" w:hAnsi="Calibri"/>
          <w:b/>
          <w:color w:val="000000"/>
          <w:sz w:val="22"/>
        </w:rPr>
      </w:pPr>
      <w:r>
        <w:rPr>
          <w:rFonts w:ascii="Calibri" w:hAnsi="Calibri"/>
          <w:b/>
          <w:color w:val="000000"/>
          <w:sz w:val="22"/>
        </w:rPr>
        <w:t>5.</w:t>
      </w:r>
    </w:p>
    <w:p>
      <w:pPr>
        <w:pStyle w:val="TextBody"/>
        <w:bidi w:val="0"/>
        <w:spacing w:before="360" w:after="283"/>
        <w:jc w:val="left"/>
        <w:rPr>
          <w:rFonts w:ascii="sans-serif" w:hAnsi="sans-serif"/>
          <w:b/>
          <w:color w:val="000000"/>
          <w:sz w:val="22"/>
        </w:rPr>
      </w:pPr>
      <w:r>
        <w:rPr>
          <w:rFonts w:ascii="sans-serif" w:hAnsi="sans-serif"/>
          <w:b/>
          <w:color w:val="000000"/>
          <w:sz w:val="22"/>
        </w:rPr>
        <w:t xml:space="preserve">Debt </w:t>
      </w:r>
    </w:p>
    <w:p>
      <w:pPr>
        <w:pStyle w:val="TextBody"/>
        <w:bidi w:val="0"/>
        <w:jc w:val="left"/>
        <w:rPr/>
      </w:pPr>
      <w:r>
        <w:rPr/>
        <w:t> </w:t>
      </w:r>
    </w:p>
    <w:tbl>
      <w:tblPr>
        <w:tblW w:w="7480" w:type="dxa"/>
        <w:jc w:val="left"/>
        <w:tblInd w:w="0" w:type="dxa"/>
        <w:tblLayout w:type="fixed"/>
        <w:tblCellMar>
          <w:top w:w="28" w:type="dxa"/>
          <w:left w:w="28" w:type="dxa"/>
          <w:bottom w:w="28" w:type="dxa"/>
          <w:right w:w="28" w:type="dxa"/>
        </w:tblCellMar>
      </w:tblPr>
      <w:tblGrid>
        <w:gridCol w:w="3781"/>
        <w:gridCol w:w="146"/>
        <w:gridCol w:w="307"/>
        <w:gridCol w:w="938"/>
        <w:gridCol w:w="196"/>
        <w:gridCol w:w="146"/>
        <w:gridCol w:w="426"/>
        <w:gridCol w:w="1299"/>
        <w:gridCol w:w="24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7% Debentures, due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3.450%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3.500% Senior Notes, due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2.500% Senior Notes, due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2.400% Senior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5.150% Senior Notes, due 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6.25% Senior Notes, due 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4.250% Senior Notes, due 2047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3.200% Senior Notes, due 2051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5.500% Senior Notes, due 2054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5,414</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5,413</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5,289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5,288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Calibri" w:hAnsi="Calibri"/>
          <w:sz w:val="22"/>
        </w:rPr>
      </w:pPr>
      <w:r>
        <w:rPr>
          <w:rFonts w:ascii="sans-serif" w:hAnsi="sans-serif"/>
          <w:color w:val="000000"/>
          <w:sz w:val="22"/>
        </w:rPr>
        <w:t>The Company has a credit agreement with JPMorgan Chase Bank, N.A., as Administrative Agent, Deutsche Bank Securities, Inc., PNC Bank, Truist Bank and Wells Fargo Bank, N.A., as Syndication Agents, and the lenders party thereto (the Credit Agreement), which provides for an $800</w:t>
      </w:r>
      <w:r>
        <w:rPr>
          <w:rFonts w:ascii="Calibri" w:hAnsi="Calibri"/>
          <w:color w:val="000000"/>
          <w:sz w:val="22"/>
        </w:rPr>
        <w:t xml:space="preserve"> </w:t>
      </w:r>
      <w:r>
        <w:rPr>
          <w:rFonts w:ascii="sans-serif" w:hAnsi="sans-serif"/>
          <w:color w:val="000000"/>
          <w:sz w:val="22"/>
        </w:rPr>
        <w:t>million five-year</w:t>
      </w:r>
      <w:r>
        <w:rPr>
          <w:rFonts w:ascii="Calibri" w:hAnsi="Calibri"/>
          <w:color w:val="000000"/>
          <w:sz w:val="22"/>
        </w:rPr>
        <w:t xml:space="preserve"> </w:t>
      </w:r>
      <w:r>
        <w:rPr>
          <w:rFonts w:ascii="sans-serif" w:hAnsi="sans-serif"/>
          <w:color w:val="000000"/>
          <w:sz w:val="22"/>
        </w:rPr>
        <w:t>senior unsecured revolving facility (the Revolving</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Page 13</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120" w:after="283"/>
        <w:jc w:val="both"/>
        <w:rPr>
          <w:rFonts w:ascii="Calibri" w:hAnsi="Calibri"/>
          <w:sz w:val="22"/>
        </w:rPr>
      </w:pPr>
      <w:r>
        <w:rPr>
          <w:rFonts w:ascii="sans-serif" w:hAnsi="sans-serif"/>
          <w:color w:val="000000"/>
          <w:sz w:val="22"/>
        </w:rPr>
        <w:t>Facility) with a maturity date of December 21, 2029. Borrowings under the Revolving Facility bear interest, at the Company’s option, at rates based upon the Secured Overnight Financing Rate (SOFR) or a base rate, plus, for each rate, a margin determined in accordance with a ratings-based pricing grid. Any outstanding principal amounts, together with interest accrued thereon, are due in full on that maturity date. There were no</w:t>
      </w:r>
      <w:r>
        <w:rPr>
          <w:rFonts w:ascii="Calibri" w:hAnsi="Calibri"/>
          <w:color w:val="000000"/>
          <w:sz w:val="22"/>
        </w:rPr>
        <w:t xml:space="preserve"> </w:t>
      </w:r>
      <w:r>
        <w:rPr>
          <w:rFonts w:ascii="sans-serif" w:hAnsi="sans-serif"/>
          <w:color w:val="000000"/>
          <w:sz w:val="22"/>
        </w:rPr>
        <w:t>borrowings outstanding under the Revolving Facility as of March 31, 2025 and December 31, 2024. Available borrowings under the Revolving Facility are reduced by any outstanding letters of credit issued by the Company under the Revolving Facility. At March 31, 2025 and December 31, 2024, the Company had $3</w:t>
      </w:r>
      <w:r>
        <w:rPr>
          <w:rFonts w:ascii="Calibri" w:hAnsi="Calibri"/>
          <w:color w:val="000000"/>
          <w:sz w:val="22"/>
        </w:rPr>
        <w:t xml:space="preserve"> </w:t>
      </w:r>
      <w:r>
        <w:rPr>
          <w:rFonts w:ascii="sans-serif" w:hAnsi="sans-serif"/>
          <w:color w:val="000000"/>
          <w:sz w:val="22"/>
        </w:rPr>
        <w:t>million of outstanding letters of credit issued under the Revolving Facility.</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The Credit Agreement requires the Company’s ratio of consolidated net debt-to-consolidated earnings before interest, taxes, depreciation, depletion and amortization (EBITDA), as defined, for the trailing-twelve months (the Ratio) to not exceed 3.50x as of the end of any fiscal quarter, provided that the Company may exclude from the Ratio any debt incurred in connection with certain acquisitions during the quarter or three preceding quarters so long as the Ratio calculated without such exclusion does not exceed 4.00x. Additionally, if no amounts are outstanding under the Revolving Facility or the Company's trade receivable securitization facility (discussed below), consolidated debt, as defined, which includes debt for which the Company is a guarantor, shall be reduced in an amount equal to the lesser of $500</w:t>
      </w:r>
      <w:r>
        <w:rPr>
          <w:rFonts w:ascii="Calibri" w:hAnsi="Calibri"/>
          <w:color w:val="000000"/>
          <w:sz w:val="22"/>
        </w:rPr>
        <w:t xml:space="preserve"> </w:t>
      </w:r>
      <w:r>
        <w:rPr>
          <w:rFonts w:ascii="sans-serif" w:hAnsi="sans-serif"/>
          <w:color w:val="000000"/>
          <w:sz w:val="22"/>
        </w:rPr>
        <w:t>million or the sum of the Company’s unrestricted cash and temporary investments, for purposes of the covenant calculation. The Company was in compliance with the Ratio at March 31, 2025.</w:t>
      </w:r>
    </w:p>
    <w:p>
      <w:pPr>
        <w:pStyle w:val="TextBody"/>
        <w:bidi w:val="0"/>
        <w:spacing w:before="120" w:after="283"/>
        <w:jc w:val="both"/>
        <w:rPr>
          <w:rFonts w:ascii="Calibri" w:hAnsi="Calibri"/>
          <w:sz w:val="22"/>
        </w:rPr>
      </w:pPr>
      <w:r>
        <w:rPr>
          <w:rFonts w:ascii="sans-serif" w:hAnsi="sans-serif"/>
          <w:color w:val="000000"/>
          <w:sz w:val="22"/>
        </w:rPr>
        <w:t>The Company, through a wholly-owned special-purpose subsidiary, has a $400</w:t>
      </w:r>
      <w:r>
        <w:rPr>
          <w:rFonts w:ascii="Calibri" w:hAnsi="Calibri"/>
          <w:color w:val="000000"/>
          <w:sz w:val="22"/>
        </w:rPr>
        <w:t xml:space="preserve"> </w:t>
      </w:r>
      <w:r>
        <w:rPr>
          <w:rFonts w:ascii="sans-serif" w:hAnsi="sans-serif"/>
          <w:color w:val="000000"/>
          <w:sz w:val="22"/>
        </w:rPr>
        <w:t>million trade receivable securitization facility (the Trade Receivable Facility) that matures on September 17, 2025. The Trade Receivable Facility, with Truist Bank, Regions Bank, First-Citizens Bank &amp; Trust Company, and certain other lenders that may become a party to the facility from time to time, is backed by eligible trade receivables, as defined. Borrowings are limited to the lesser of the facility limit or the borrowing base, as defined. These receivables are originated by the Company and then sold or contributed to the wholly-owned, special-purpose subsidiary. The Company continues to be responsible for the servicing and administration of the receivables purchased by the wholly-owned, special-purpose subsidiary. Borrowings under the Trade Receivable Facility bear interest at a rate equal to the Adjusted Term Secured Overnight Financing Rate (Adjusted Term SOFR), as defined, plus 0.8%. The Trade Receivable Facility contains a cross-default provision to the Company’s other debt agreements. Subject to certain conditions, including lenders providing the requisite commitments, the Trade Receivable Facility may be increased to a borrowing base not to exceed $500</w:t>
      </w:r>
      <w:r>
        <w:rPr>
          <w:rFonts w:ascii="Calibri" w:hAnsi="Calibri"/>
          <w:color w:val="000000"/>
          <w:sz w:val="22"/>
        </w:rPr>
        <w:t xml:space="preserve"> </w:t>
      </w:r>
      <w:r>
        <w:rPr>
          <w:rFonts w:ascii="sans-serif" w:hAnsi="sans-serif"/>
          <w:color w:val="000000"/>
          <w:sz w:val="22"/>
        </w:rPr>
        <w:t>million. There were no</w:t>
      </w:r>
      <w:r>
        <w:rPr>
          <w:rFonts w:ascii="Calibri" w:hAnsi="Calibri"/>
          <w:color w:val="000000"/>
          <w:sz w:val="22"/>
        </w:rPr>
        <w:t xml:space="preserve"> </w:t>
      </w:r>
      <w:r>
        <w:rPr>
          <w:rFonts w:ascii="sans-serif" w:hAnsi="sans-serif"/>
          <w:color w:val="000000"/>
          <w:sz w:val="22"/>
        </w:rPr>
        <w:t>borrowings outstanding under the Trade Receivable Facility as of March 31, 2025 and December 31, 2024.</w:t>
      </w:r>
      <w:r>
        <w:rPr>
          <w:rFonts w:ascii="Calibri" w:hAnsi="Calibri"/>
          <w:color w:val="000000"/>
          <w:sz w:val="22"/>
        </w:rPr>
        <w:t xml:space="preserve"> </w:t>
      </w:r>
    </w:p>
    <w:p>
      <w:pPr>
        <w:pStyle w:val="TextBody"/>
        <w:bidi w:val="0"/>
        <w:jc w:val="both"/>
        <w:rPr/>
      </w:pPr>
      <w:r>
        <w:rPr/>
        <w:t> </w:t>
      </w:r>
    </w:p>
    <w:p>
      <w:pPr>
        <w:pStyle w:val="TextBody"/>
        <w:bidi w:val="0"/>
        <w:spacing w:before="120" w:after="283"/>
        <w:jc w:val="both"/>
        <w:rPr>
          <w:rFonts w:ascii="Calibri" w:hAnsi="Calibri"/>
          <w:b/>
          <w:color w:val="000000"/>
          <w:sz w:val="22"/>
        </w:rPr>
      </w:pPr>
      <w:r>
        <w:rPr>
          <w:rFonts w:ascii="Calibri" w:hAnsi="Calibri"/>
          <w:b/>
          <w:color w:val="000000"/>
          <w:sz w:val="22"/>
        </w:rPr>
        <w:t>6.</w:t>
      </w:r>
    </w:p>
    <w:p>
      <w:pPr>
        <w:pStyle w:val="TextBody"/>
        <w:bidi w:val="0"/>
        <w:spacing w:before="120" w:after="283"/>
        <w:jc w:val="both"/>
        <w:rPr>
          <w:rFonts w:ascii="sans-serif" w:hAnsi="sans-serif"/>
          <w:b/>
          <w:color w:val="000000"/>
          <w:sz w:val="22"/>
        </w:rPr>
      </w:pPr>
      <w:r>
        <w:rPr>
          <w:rFonts w:ascii="sans-serif" w:hAnsi="sans-serif"/>
          <w:b/>
          <w:color w:val="000000"/>
          <w:sz w:val="22"/>
        </w:rPr>
        <w:t xml:space="preserve">Financial Instruments </w:t>
      </w:r>
    </w:p>
    <w:p>
      <w:pPr>
        <w:pStyle w:val="TextBody"/>
        <w:bidi w:val="0"/>
        <w:spacing w:before="120" w:after="283"/>
        <w:jc w:val="both"/>
        <w:rPr>
          <w:rFonts w:ascii="sans-serif" w:hAnsi="sans-serif"/>
          <w:color w:val="000000"/>
          <w:sz w:val="22"/>
        </w:rPr>
      </w:pPr>
      <w:r>
        <w:rPr>
          <w:rFonts w:ascii="sans-serif" w:hAnsi="sans-serif"/>
          <w:color w:val="000000"/>
          <w:sz w:val="22"/>
        </w:rPr>
        <w:t>The Company’s financial instruments include temporary cash investments, accounts receivable, accounts payable, publicly-registered long-term notes and debentures.</w:t>
      </w:r>
    </w:p>
    <w:p>
      <w:pPr>
        <w:pStyle w:val="TextBody"/>
        <w:bidi w:val="0"/>
        <w:spacing w:before="120" w:after="283"/>
        <w:jc w:val="both"/>
        <w:rPr>
          <w:rFonts w:ascii="Calibri" w:hAnsi="Calibri"/>
          <w:sz w:val="22"/>
        </w:rPr>
      </w:pPr>
      <w:r>
        <w:rPr>
          <w:rFonts w:ascii="sans-serif" w:hAnsi="sans-serif"/>
          <w:color w:val="000000"/>
          <w:sz w:val="22"/>
        </w:rPr>
        <w:t>Temporary cash investments are placed primarily in money market funds, money market demand deposit accounts and Eurodollar time deposit accounts with financial institutions. The Company’s cash equivalents have maturities of less than three months. Due to the short maturity of these investments, they are carried on the consolidated balance sheets at cost, which approximates fair value.</w:t>
      </w:r>
      <w:r>
        <w:rPr>
          <w:rFonts w:ascii="Calibri" w:hAnsi="Calibri"/>
          <w:color w:val="00000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Accounts receivable are due from a large number of customers, primarily in the construction industry, and are dispersed across wide geographic and economic regions. However, accounts receivable are more heavily concentrated in certain states, namely Texas, North Carolina, Colorado, California, Georgia, Florida, Minnesota, Arizona, South Carolina, and Iowa. The carrying values of accounts receivable approximate their fair values.</w:t>
      </w:r>
    </w:p>
    <w:p>
      <w:pPr>
        <w:pStyle w:val="TextBody"/>
        <w:bidi w:val="0"/>
        <w:jc w:val="center"/>
        <w:rPr>
          <w:rFonts w:ascii="Calibri" w:hAnsi="Calibri"/>
          <w:sz w:val="22"/>
        </w:rPr>
      </w:pPr>
      <w:r>
        <w:rPr>
          <w:rFonts w:ascii="sans-serif" w:hAnsi="sans-serif"/>
          <w:color w:val="000000"/>
          <w:sz w:val="22"/>
        </w:rPr>
        <w:t>Page 14</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120" w:after="283"/>
        <w:jc w:val="both"/>
        <w:rPr>
          <w:rFonts w:ascii="Calibri" w:hAnsi="Calibri"/>
          <w:sz w:val="22"/>
        </w:rPr>
      </w:pPr>
      <w:r>
        <w:rPr>
          <w:rFonts w:ascii="sans-serif" w:hAnsi="sans-serif"/>
          <w:color w:val="000000"/>
          <w:sz w:val="22"/>
        </w:rPr>
        <w:t>Accounts payable represent amounts owed to suppliers and vendors. The estimated carrying value of accounts payable approximates its fair value due to the short-term nature of the payables.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The carrying value and fair value of the Company’s debt were $5.4</w:t>
      </w:r>
      <w:r>
        <w:rPr>
          <w:rFonts w:ascii="Calibri" w:hAnsi="Calibri"/>
          <w:color w:val="000000"/>
          <w:sz w:val="22"/>
        </w:rPr>
        <w:t xml:space="preserve"> </w:t>
      </w:r>
      <w:r>
        <w:rPr>
          <w:rFonts w:ascii="sans-serif" w:hAnsi="sans-serif"/>
          <w:color w:val="000000"/>
          <w:sz w:val="22"/>
        </w:rPr>
        <w:t>billion</w:t>
      </w:r>
      <w:r>
        <w:rPr>
          <w:rFonts w:ascii="Calibri" w:hAnsi="Calibri"/>
          <w:color w:val="000000"/>
          <w:sz w:val="22"/>
        </w:rPr>
        <w:t xml:space="preserve"> </w:t>
      </w:r>
      <w:r>
        <w:rPr>
          <w:rFonts w:ascii="sans-serif" w:hAnsi="sans-serif"/>
          <w:color w:val="000000"/>
          <w:sz w:val="22"/>
        </w:rPr>
        <w:t>and $4.9</w:t>
      </w:r>
      <w:r>
        <w:rPr>
          <w:rFonts w:ascii="Calibri" w:hAnsi="Calibri"/>
          <w:color w:val="000000"/>
          <w:sz w:val="22"/>
        </w:rPr>
        <w:t xml:space="preserve"> </w:t>
      </w:r>
      <w:r>
        <w:rPr>
          <w:rFonts w:ascii="sans-serif" w:hAnsi="sans-serif"/>
          <w:color w:val="000000"/>
          <w:sz w:val="22"/>
        </w:rPr>
        <w:t>billion, respectively, at March 31, 2025 and $5.4</w:t>
      </w:r>
      <w:r>
        <w:rPr>
          <w:rFonts w:ascii="Calibri" w:hAnsi="Calibri"/>
          <w:color w:val="000000"/>
          <w:sz w:val="22"/>
        </w:rPr>
        <w:t xml:space="preserve"> </w:t>
      </w:r>
      <w:r>
        <w:rPr>
          <w:rFonts w:ascii="sans-serif" w:hAnsi="sans-serif"/>
          <w:color w:val="000000"/>
          <w:sz w:val="22"/>
        </w:rPr>
        <w:t>billion</w:t>
      </w:r>
      <w:r>
        <w:rPr>
          <w:rFonts w:ascii="Calibri" w:hAnsi="Calibri"/>
          <w:color w:val="000000"/>
          <w:sz w:val="22"/>
        </w:rPr>
        <w:t xml:space="preserve"> </w:t>
      </w:r>
      <w:r>
        <w:rPr>
          <w:rFonts w:ascii="sans-serif" w:hAnsi="sans-serif"/>
          <w:color w:val="000000"/>
          <w:sz w:val="22"/>
        </w:rPr>
        <w:t>and $4.8</w:t>
      </w:r>
      <w:r>
        <w:rPr>
          <w:rFonts w:ascii="Calibri" w:hAnsi="Calibri"/>
          <w:color w:val="000000"/>
          <w:sz w:val="22"/>
        </w:rPr>
        <w:t xml:space="preserve"> </w:t>
      </w:r>
      <w:r>
        <w:rPr>
          <w:rFonts w:ascii="sans-serif" w:hAnsi="sans-serif"/>
          <w:color w:val="000000"/>
          <w:sz w:val="22"/>
        </w:rPr>
        <w:t>billion, respectively, at December 31, 2024. The estimated fair value of the Company’s publicly-registered long-term debt was estimated based on Level 1 of the fair value hierarchy using quoted market prices.</w:t>
      </w:r>
      <w:r>
        <w:rPr>
          <w:rFonts w:ascii="Calibri" w:hAnsi="Calibri"/>
          <w:color w:val="000000"/>
          <w:sz w:val="22"/>
        </w:rPr>
        <w:t xml:space="preserve"> </w:t>
      </w:r>
    </w:p>
    <w:p>
      <w:pPr>
        <w:pStyle w:val="TextBody"/>
        <w:bidi w:val="0"/>
        <w:spacing w:before="360" w:after="283"/>
        <w:jc w:val="both"/>
        <w:rPr>
          <w:rFonts w:ascii="Calibri" w:hAnsi="Calibri"/>
          <w:b/>
          <w:color w:val="000000"/>
          <w:sz w:val="22"/>
        </w:rPr>
      </w:pPr>
      <w:r>
        <w:rPr>
          <w:rFonts w:ascii="Calibri" w:hAnsi="Calibri"/>
          <w:b/>
          <w:color w:val="000000"/>
          <w:sz w:val="22"/>
        </w:rPr>
        <w:t>7.</w:t>
      </w:r>
    </w:p>
    <w:p>
      <w:pPr>
        <w:pStyle w:val="TextBody"/>
        <w:bidi w:val="0"/>
        <w:spacing w:before="360" w:after="283"/>
        <w:jc w:val="both"/>
        <w:rPr>
          <w:rFonts w:ascii="sans-serif" w:hAnsi="sans-serif"/>
          <w:b/>
          <w:color w:val="000000"/>
          <w:sz w:val="22"/>
        </w:rPr>
      </w:pPr>
      <w:r>
        <w:rPr>
          <w:rFonts w:ascii="sans-serif" w:hAnsi="sans-serif"/>
          <w:b/>
          <w:color w:val="000000"/>
          <w:sz w:val="22"/>
        </w:rPr>
        <w:t xml:space="preserve">Income Taxes </w:t>
      </w:r>
    </w:p>
    <w:p>
      <w:pPr>
        <w:pStyle w:val="TextBody"/>
        <w:bidi w:val="0"/>
        <w:spacing w:before="120" w:after="283"/>
        <w:jc w:val="both"/>
        <w:rPr>
          <w:rFonts w:ascii="Calibri" w:hAnsi="Calibri"/>
          <w:sz w:val="22"/>
        </w:rPr>
      </w:pPr>
      <w:r>
        <w:rPr>
          <w:rFonts w:ascii="sans-serif" w:hAnsi="sans-serif"/>
          <w:color w:val="000000"/>
          <w:sz w:val="22"/>
        </w:rPr>
        <w:t>The Company's effective income tax rate reflects the effect of federal and state income taxes on earnings and the impact of differences in book and tax accounting arising primarily from the permanent tax benefits associated with the statutory depletion deduction for mineral reserves. The effective income tax rates were 21.3%</w:t>
      </w:r>
      <w:r>
        <w:rPr>
          <w:rFonts w:ascii="Calibri" w:hAnsi="Calibri"/>
          <w:color w:val="000000"/>
          <w:sz w:val="22"/>
        </w:rPr>
        <w:t xml:space="preserve"> </w:t>
      </w:r>
      <w:r>
        <w:rPr>
          <w:rFonts w:ascii="sans-serif" w:hAnsi="sans-serif"/>
          <w:color w:val="000000"/>
          <w:sz w:val="22"/>
        </w:rPr>
        <w:t>and 26.0%</w:t>
      </w:r>
      <w:r>
        <w:rPr>
          <w:rFonts w:ascii="Calibri" w:hAnsi="Calibri"/>
          <w:color w:val="000000"/>
          <w:sz w:val="22"/>
        </w:rPr>
        <w:t xml:space="preserve"> </w:t>
      </w:r>
      <w:r>
        <w:rPr>
          <w:rFonts w:ascii="sans-serif" w:hAnsi="sans-serif"/>
          <w:color w:val="000000"/>
          <w:sz w:val="22"/>
        </w:rPr>
        <w:t>for the three months ended March 31, 2025 and 2024, respectively. The higher 2024 effective income tax rate versus 2025 was driven by the impact of the February 2024 divestiture of the South Texas cement business and certain related ready mixed concrete operations, which reflected the write off of certain nondeductible goodwill and was treated as a discrete tax event.</w:t>
      </w:r>
    </w:p>
    <w:p>
      <w:pPr>
        <w:pStyle w:val="TextBody"/>
        <w:bidi w:val="0"/>
        <w:spacing w:before="120" w:after="283"/>
        <w:jc w:val="both"/>
        <w:rPr>
          <w:rFonts w:ascii="Calibri" w:hAnsi="Calibri"/>
          <w:sz w:val="22"/>
        </w:rPr>
      </w:pPr>
      <w:r>
        <w:rPr>
          <w:rFonts w:ascii="sans-serif" w:hAnsi="sans-serif"/>
          <w:color w:val="000000"/>
          <w:sz w:val="22"/>
        </w:rPr>
        <w:t>The Internal Revenue Service has provided certain disaster tax relief for North Carolina businesses affected by Hurricanes Debby and Helene, which allows the Company to defer estimated federal and certain state income, payroll and excise tax payments for the period from August 2024 through September 2025. The deferred obligation will be due September 25, 2025. The Company had deferred income tax payments of</w:t>
      </w:r>
      <w:r>
        <w:rPr>
          <w:rFonts w:ascii="Calibri" w:hAnsi="Calibri"/>
          <w:color w:val="000000"/>
          <w:sz w:val="22"/>
        </w:rPr>
        <w:t xml:space="preserve"> </w:t>
      </w:r>
      <w:r>
        <w:rPr>
          <w:rFonts w:ascii="sans-serif" w:hAnsi="sans-serif"/>
          <w:color w:val="000000"/>
          <w:sz w:val="22"/>
        </w:rPr>
        <w:t>$102</w:t>
      </w:r>
      <w:r>
        <w:rPr>
          <w:rFonts w:ascii="Calibri" w:hAnsi="Calibri"/>
          <w:color w:val="000000"/>
          <w:sz w:val="22"/>
        </w:rPr>
        <w:t xml:space="preserve"> </w:t>
      </w:r>
      <w:r>
        <w:rPr>
          <w:rFonts w:ascii="sans-serif" w:hAnsi="sans-serif"/>
          <w:color w:val="000000"/>
          <w:sz w:val="22"/>
        </w:rPr>
        <w:t>million under this provision as of March 31, 2025.</w:t>
      </w:r>
    </w:p>
    <w:p>
      <w:pPr>
        <w:pStyle w:val="TextBody"/>
        <w:bidi w:val="0"/>
        <w:spacing w:before="360" w:after="283"/>
        <w:jc w:val="both"/>
        <w:rPr>
          <w:rFonts w:ascii="Calibri" w:hAnsi="Calibri"/>
          <w:b/>
          <w:color w:val="000000"/>
          <w:sz w:val="22"/>
        </w:rPr>
      </w:pPr>
      <w:r>
        <w:rPr>
          <w:rFonts w:ascii="Calibri" w:hAnsi="Calibri"/>
          <w:b/>
          <w:color w:val="000000"/>
          <w:sz w:val="22"/>
        </w:rPr>
        <w:t>8.</w:t>
      </w:r>
    </w:p>
    <w:p>
      <w:pPr>
        <w:pStyle w:val="TextBody"/>
        <w:bidi w:val="0"/>
        <w:spacing w:before="360" w:after="283"/>
        <w:jc w:val="both"/>
        <w:rPr>
          <w:rFonts w:ascii="sans-serif" w:hAnsi="sans-serif"/>
          <w:b/>
          <w:color w:val="000000"/>
          <w:sz w:val="22"/>
        </w:rPr>
      </w:pPr>
      <w:r>
        <w:rPr>
          <w:rFonts w:ascii="sans-serif" w:hAnsi="sans-serif"/>
          <w:b/>
          <w:color w:val="000000"/>
          <w:sz w:val="22"/>
        </w:rPr>
        <w:t xml:space="preserve">Pension Benefits </w:t>
      </w:r>
    </w:p>
    <w:p>
      <w:pPr>
        <w:pStyle w:val="TextBody"/>
        <w:bidi w:val="0"/>
        <w:spacing w:before="120" w:after="283"/>
        <w:jc w:val="both"/>
        <w:rPr>
          <w:rFonts w:ascii="Calibri" w:hAnsi="Calibri"/>
          <w:sz w:val="22"/>
        </w:rPr>
      </w:pPr>
      <w:r>
        <w:rPr>
          <w:rFonts w:ascii="sans-serif" w:hAnsi="sans-serif"/>
          <w:color w:val="000000"/>
          <w:sz w:val="22"/>
        </w:rPr>
        <w:t>The net periodic benefit cost for pension benefits includes the following components:</w:t>
      </w:r>
      <w:r>
        <w:rPr>
          <w:rFonts w:ascii="Calibri" w:hAnsi="Calibri"/>
          <w:color w:val="000000"/>
          <w:sz w:val="22"/>
        </w:rPr>
        <w:t xml:space="preserve"> </w:t>
      </w:r>
    </w:p>
    <w:p>
      <w:pPr>
        <w:pStyle w:val="TextBody"/>
        <w:bidi w:val="0"/>
        <w:jc w:val="both"/>
        <w:rPr/>
      </w:pPr>
      <w:r>
        <w:rPr/>
        <w:t> </w:t>
      </w:r>
    </w:p>
    <w:tbl>
      <w:tblPr>
        <w:tblW w:w="7915" w:type="dxa"/>
        <w:jc w:val="left"/>
        <w:tblInd w:w="0" w:type="dxa"/>
        <w:tblLayout w:type="fixed"/>
        <w:tblCellMar>
          <w:top w:w="28" w:type="dxa"/>
          <w:left w:w="28" w:type="dxa"/>
          <w:bottom w:w="28" w:type="dxa"/>
          <w:right w:w="28" w:type="dxa"/>
        </w:tblCellMar>
      </w:tblPr>
      <w:tblGrid>
        <w:gridCol w:w="3856"/>
        <w:gridCol w:w="146"/>
        <w:gridCol w:w="509"/>
        <w:gridCol w:w="987"/>
        <w:gridCol w:w="390"/>
        <w:gridCol w:w="290"/>
        <w:gridCol w:w="509"/>
        <w:gridCol w:w="987"/>
        <w:gridCol w:w="24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 March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Expected return on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Amortization of prior 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Calibri" w:hAnsi="Calibri"/>
          <w:sz w:val="22"/>
        </w:rPr>
      </w:pPr>
      <w:r>
        <w:rPr>
          <w:rFonts w:ascii="sans-serif" w:hAnsi="sans-serif"/>
          <w:color w:val="000000"/>
          <w:sz w:val="22"/>
        </w:rPr>
        <w:t xml:space="preserve">The components of net periodic benefit cost, other than service cost, are included in the line item </w:t>
      </w:r>
      <w:r>
        <w:rPr>
          <w:rFonts w:ascii="sans-serif" w:hAnsi="sans-serif"/>
          <w:i/>
          <w:color w:val="000000"/>
          <w:sz w:val="22"/>
        </w:rPr>
        <w:t>Other nonoperating income, net</w:t>
      </w:r>
      <w:r>
        <w:rPr>
          <w:rFonts w:ascii="sans-serif" w:hAnsi="sans-serif"/>
          <w:color w:val="000000"/>
          <w:sz w:val="22"/>
        </w:rPr>
        <w:t xml:space="preserve">, in the consolidated statements of earnings and comprehensive earnings. Based on the roles of the employees, service cost is included in the </w:t>
      </w:r>
      <w:r>
        <w:rPr>
          <w:rFonts w:ascii="sans-serif" w:hAnsi="sans-serif"/>
          <w:i/>
          <w:color w:val="000000"/>
          <w:sz w:val="22"/>
        </w:rPr>
        <w:t>Cost of revenues</w:t>
      </w:r>
      <w:r>
        <w:rPr>
          <w:rFonts w:ascii="sans-serif" w:hAnsi="sans-serif"/>
          <w:color w:val="000000"/>
          <w:sz w:val="22"/>
        </w:rPr>
        <w:t xml:space="preserve"> or </w:t>
      </w:r>
      <w:r>
        <w:rPr>
          <w:rFonts w:ascii="sans-serif" w:hAnsi="sans-serif"/>
          <w:i/>
          <w:color w:val="000000"/>
          <w:sz w:val="22"/>
        </w:rPr>
        <w:t>Selling</w:t>
      </w:r>
      <w:r>
        <w:rPr>
          <w:rFonts w:ascii="sans-serif" w:hAnsi="sans-serif"/>
          <w:color w:val="000000"/>
          <w:sz w:val="22"/>
        </w:rPr>
        <w:t xml:space="preserve">, </w:t>
      </w:r>
      <w:r>
        <w:rPr>
          <w:rFonts w:ascii="sans-serif" w:hAnsi="sans-serif"/>
          <w:i/>
          <w:color w:val="000000"/>
          <w:sz w:val="22"/>
        </w:rPr>
        <w:t>general and administrative expenses</w:t>
      </w:r>
      <w:r>
        <w:rPr>
          <w:rFonts w:ascii="sans-serif" w:hAnsi="sans-serif"/>
          <w:color w:val="000000"/>
          <w:sz w:val="22"/>
        </w:rPr>
        <w:t xml:space="preserve"> line items in the consolidated statements of earnings and comprehensive earnings.</w:t>
      </w:r>
      <w:r>
        <w:rPr>
          <w:rFonts w:ascii="Calibri" w:hAnsi="Calibri"/>
          <w:color w:val="000000"/>
          <w:sz w:val="22"/>
        </w:rPr>
        <w:t xml:space="preserve"> </w:t>
      </w:r>
    </w:p>
    <w:p>
      <w:pPr>
        <w:pStyle w:val="TextBody"/>
        <w:bidi w:val="0"/>
        <w:spacing w:before="360" w:after="283"/>
        <w:jc w:val="both"/>
        <w:rPr>
          <w:rFonts w:ascii="Calibri" w:hAnsi="Calibri"/>
          <w:b/>
          <w:color w:val="000000"/>
          <w:sz w:val="22"/>
        </w:rPr>
      </w:pPr>
      <w:r>
        <w:rPr>
          <w:rFonts w:ascii="Calibri" w:hAnsi="Calibri"/>
          <w:b/>
          <w:color w:val="000000"/>
          <w:sz w:val="22"/>
        </w:rPr>
        <w:t>9.</w:t>
      </w:r>
    </w:p>
    <w:p>
      <w:pPr>
        <w:pStyle w:val="TextBody"/>
        <w:bidi w:val="0"/>
        <w:spacing w:before="360" w:after="283"/>
        <w:jc w:val="both"/>
        <w:rPr>
          <w:rFonts w:ascii="sans-serif" w:hAnsi="sans-serif"/>
          <w:b/>
          <w:color w:val="000000"/>
          <w:sz w:val="22"/>
        </w:rPr>
      </w:pPr>
      <w:r>
        <w:rPr>
          <w:rFonts w:ascii="sans-serif" w:hAnsi="sans-serif"/>
          <w:b/>
          <w:color w:val="000000"/>
          <w:sz w:val="22"/>
        </w:rPr>
        <w:t>Commitments and Contingencies</w:t>
      </w:r>
    </w:p>
    <w:p>
      <w:pPr>
        <w:pStyle w:val="Heading1"/>
        <w:bidi w:val="0"/>
        <w:spacing w:before="120" w:after="283"/>
        <w:jc w:val="left"/>
        <w:rPr>
          <w:rFonts w:ascii="Calibri" w:hAnsi="Calibri"/>
          <w:sz w:val="22"/>
        </w:rPr>
      </w:pPr>
      <w:r>
        <w:rPr>
          <w:rFonts w:ascii="sans-serif" w:hAnsi="sans-serif"/>
          <w:b/>
          <w:color w:val="000000"/>
          <w:sz w:val="22"/>
        </w:rPr>
        <w:t>Legal and Administrative Proceedings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The Company is engaged in certain legal and administrative proceedings incidental to its normal business activities, including proceedings relating to environmental matters. The Company considers various factors in assessing the probable outcome of each matter, including but not limited to the nature of existing legal proceedings and claims, the</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Page 15</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120" w:after="283"/>
        <w:jc w:val="both"/>
        <w:rPr>
          <w:rFonts w:ascii="Calibri" w:hAnsi="Calibri"/>
          <w:sz w:val="22"/>
        </w:rPr>
      </w:pPr>
      <w:r>
        <w:rPr>
          <w:rFonts w:ascii="sans-serif" w:hAnsi="sans-serif"/>
          <w:color w:val="000000"/>
          <w:sz w:val="22"/>
        </w:rPr>
        <w:t>asserted or possible damages, the jurisdiction and venue of the case and whether it is a jury trial, the progress of the case, existing law and precedent, the opinions or views of legal counsel and other advisers, the Company’s experience in similar cases and the experience of other companies, the facts available to the Company at the time of assessment, and how the Company intends to respond to the proceeding or claim. The Company’s assessment of these factors may change over time as proceedings or claims progress. The Company believes the probability is remote that the outcome of any currently pending legal or administrative proceeding will result in a material loss to the Company's financial condition, results of operations or cash flows, as a whole, based on currently available facts.</w:t>
      </w:r>
      <w:r>
        <w:rPr>
          <w:rFonts w:ascii="Calibri" w:hAnsi="Calibri"/>
          <w:color w:val="000000"/>
          <w:sz w:val="22"/>
        </w:rPr>
        <w:t xml:space="preserve"> </w:t>
      </w:r>
    </w:p>
    <w:p>
      <w:pPr>
        <w:pStyle w:val="Heading2"/>
        <w:bidi w:val="0"/>
        <w:spacing w:before="240" w:after="283"/>
        <w:jc w:val="left"/>
        <w:rPr>
          <w:rFonts w:ascii="sans-serif" w:hAnsi="sans-serif"/>
          <w:b/>
          <w:color w:val="000000"/>
          <w:sz w:val="22"/>
        </w:rPr>
      </w:pPr>
      <w:r>
        <w:rPr>
          <w:rFonts w:ascii="sans-serif" w:hAnsi="sans-serif"/>
          <w:b/>
          <w:color w:val="000000"/>
          <w:sz w:val="22"/>
        </w:rPr>
        <w:t>Letters of Credit</w:t>
      </w:r>
    </w:p>
    <w:p>
      <w:pPr>
        <w:pStyle w:val="TextBody"/>
        <w:bidi w:val="0"/>
        <w:spacing w:before="120" w:after="283"/>
        <w:jc w:val="both"/>
        <w:rPr>
          <w:rFonts w:ascii="Calibri" w:hAnsi="Calibri"/>
          <w:sz w:val="22"/>
        </w:rPr>
      </w:pPr>
      <w:r>
        <w:rPr>
          <w:rFonts w:ascii="sans-serif" w:hAnsi="sans-serif"/>
          <w:color w:val="000000"/>
          <w:sz w:val="22"/>
        </w:rPr>
        <w:t>In the normal course of business, the Company provides certain third parties with standby letter of credit agreements guaranteeing its payment for certain insurance claims, contract performance and permit requirements. At March 31, 2025, the Company was contingently liable for $37</w:t>
      </w:r>
      <w:r>
        <w:rPr>
          <w:rFonts w:ascii="Calibri" w:hAnsi="Calibri"/>
          <w:color w:val="000000"/>
          <w:sz w:val="22"/>
        </w:rPr>
        <w:t xml:space="preserve"> </w:t>
      </w:r>
      <w:r>
        <w:rPr>
          <w:rFonts w:ascii="sans-serif" w:hAnsi="sans-serif"/>
          <w:color w:val="000000"/>
          <w:sz w:val="22"/>
        </w:rPr>
        <w:t>million</w:t>
      </w:r>
      <w:r>
        <w:rPr>
          <w:rFonts w:ascii="Calibri" w:hAnsi="Calibri"/>
          <w:color w:val="000000"/>
          <w:sz w:val="22"/>
        </w:rPr>
        <w:t xml:space="preserve"> </w:t>
      </w:r>
      <w:r>
        <w:rPr>
          <w:rFonts w:ascii="sans-serif" w:hAnsi="sans-serif"/>
          <w:color w:val="000000"/>
          <w:sz w:val="22"/>
        </w:rPr>
        <w:t>in letters of credit.</w:t>
      </w:r>
    </w:p>
    <w:p>
      <w:pPr>
        <w:pStyle w:val="TextBody"/>
        <w:bidi w:val="0"/>
        <w:spacing w:before="360" w:after="283"/>
        <w:jc w:val="both"/>
        <w:rPr>
          <w:rFonts w:ascii="Calibri" w:hAnsi="Calibri"/>
          <w:b/>
          <w:color w:val="000000"/>
          <w:sz w:val="22"/>
        </w:rPr>
      </w:pPr>
      <w:r>
        <w:rPr>
          <w:rFonts w:ascii="Calibri" w:hAnsi="Calibri"/>
          <w:b/>
          <w:color w:val="000000"/>
          <w:sz w:val="22"/>
        </w:rPr>
        <w:t>10.</w:t>
      </w:r>
    </w:p>
    <w:p>
      <w:pPr>
        <w:pStyle w:val="TextBody"/>
        <w:bidi w:val="0"/>
        <w:spacing w:before="360" w:after="283"/>
        <w:jc w:val="both"/>
        <w:rPr>
          <w:rFonts w:ascii="sans-serif" w:hAnsi="sans-serif"/>
          <w:b/>
          <w:color w:val="000000"/>
          <w:sz w:val="22"/>
        </w:rPr>
      </w:pPr>
      <w:r>
        <w:rPr>
          <w:rFonts w:ascii="sans-serif" w:hAnsi="sans-serif"/>
          <w:b/>
          <w:color w:val="000000"/>
          <w:sz w:val="22"/>
        </w:rPr>
        <w:t>Segments</w:t>
      </w:r>
    </w:p>
    <w:p>
      <w:pPr>
        <w:pStyle w:val="TextBody"/>
        <w:bidi w:val="0"/>
        <w:spacing w:before="120" w:after="283"/>
        <w:jc w:val="both"/>
        <w:rPr>
          <w:rFonts w:ascii="Calibri" w:hAnsi="Calibri"/>
          <w:sz w:val="22"/>
        </w:rPr>
      </w:pPr>
      <w:r>
        <w:rPr>
          <w:rFonts w:ascii="sans-serif" w:hAnsi="sans-serif"/>
          <w:color w:val="000000"/>
          <w:sz w:val="22"/>
        </w:rPr>
        <w:t>The Building Materials business is comprised of four</w:t>
      </w:r>
      <w:r>
        <w:rPr>
          <w:rFonts w:ascii="Calibri" w:hAnsi="Calibri"/>
          <w:color w:val="000000"/>
          <w:sz w:val="22"/>
        </w:rPr>
        <w:t xml:space="preserve"> </w:t>
      </w:r>
      <w:r>
        <w:rPr>
          <w:rFonts w:ascii="sans-serif" w:hAnsi="sans-serif"/>
          <w:color w:val="000000"/>
          <w:sz w:val="22"/>
        </w:rPr>
        <w:t>divisions that represent individual operating segments. These operating segments are consolidated into two</w:t>
      </w:r>
      <w:r>
        <w:rPr>
          <w:rFonts w:ascii="Calibri" w:hAnsi="Calibri"/>
          <w:color w:val="000000"/>
          <w:sz w:val="22"/>
        </w:rPr>
        <w:t xml:space="preserve"> </w:t>
      </w:r>
      <w:r>
        <w:rPr>
          <w:rFonts w:ascii="sans-serif" w:hAnsi="sans-serif"/>
          <w:color w:val="000000"/>
          <w:sz w:val="22"/>
        </w:rPr>
        <w:t>reportable segments, the East Group and the West Group, for financial reporting purposes, as they meet the aggregation criteria. The Magnesia Specialties business represents an individual operating and reportable segment.</w:t>
      </w:r>
      <w:r>
        <w:rPr>
          <w:rFonts w:ascii="Calibri" w:hAnsi="Calibri"/>
          <w:color w:val="00000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Company’s Chief Operating Decision Maker (CODM) is the Chair, President and Chief Executive Officer. The CODM reviews results by reportable segment on a quarterly basis and allocates resources to achieve the Company’s strategic objectives based on an evaluation of each reportable segment’s performance. This evaluation is largely based on segment earnings from operations, as management believes this is the best metric of segment profitability and operating performance. Segment earnings from operations is also a measure in the determination of incentive compensation targets and awards. Segment earnings from operations include revenues less cost of revenues; selling, general and administrative expenses; other operating income and expenses, net; and exclude interest income and expense; other nonoperating income and expenses, net; and income tax expense. </w:t>
      </w:r>
    </w:p>
    <w:p>
      <w:pPr>
        <w:pStyle w:val="TextBody"/>
        <w:bidi w:val="0"/>
        <w:spacing w:before="120" w:after="283"/>
        <w:jc w:val="both"/>
        <w:rPr>
          <w:rFonts w:ascii="Calibri" w:hAnsi="Calibri"/>
          <w:sz w:val="22"/>
        </w:rPr>
      </w:pPr>
      <w:r>
        <w:rPr>
          <w:rFonts w:ascii="sans-serif" w:hAnsi="sans-serif"/>
          <w:color w:val="000000"/>
          <w:sz w:val="22"/>
        </w:rPr>
        <w:t>The significant expense categories shown below align with the segment-level information regularly provided to the CODM.</w:t>
      </w:r>
      <w:r>
        <w:rPr>
          <w:rFonts w:ascii="Calibri" w:hAnsi="Calibri"/>
          <w:color w:val="000000"/>
          <w:sz w:val="22"/>
        </w:rPr>
        <w:t xml:space="preserve"> </w:t>
      </w:r>
      <w:r>
        <w:rPr>
          <w:rFonts w:ascii="sans-serif" w:hAnsi="sans-serif"/>
          <w:color w:val="000000"/>
          <w:sz w:val="22"/>
        </w:rPr>
        <w:t>Other costs of revenues for each reportable segment include mainly repairs and maintenance, contract services, supplies and royalties.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Corporate loss from operations primarily includes depreciation and amortization; expenses for corporate administrative functions; acquisition, divestiture and integration expenses; and other nonrecurring income and expenses not attributable to operations of the Company's operating segments.</w:t>
      </w:r>
      <w:r>
        <w:rPr>
          <w:rFonts w:ascii="Calibri" w:hAnsi="Calibri"/>
          <w:color w:val="00000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The following tables display selected financial data for the Company’s reportable segments. Revenues, as presented on the consolidated statements of earnings and comprehensive earnings, reflect the elimination of intersegment revenues, which represent sales from one segment to another segment and are immaterial. Income tax expense is not allocated to the Company's reportable segments.</w:t>
      </w:r>
    </w:p>
    <w:p>
      <w:pPr>
        <w:pStyle w:val="TextBody"/>
        <w:bidi w:val="0"/>
        <w:spacing w:before="120" w:after="283"/>
        <w:jc w:val="both"/>
        <w:rPr>
          <w:rFonts w:ascii="Calibri" w:hAnsi="Calibri"/>
          <w:sz w:val="22"/>
        </w:rPr>
      </w:pPr>
      <w:r>
        <w:rPr>
          <w:rFonts w:ascii="sans-serif" w:hAnsi="sans-serif"/>
          <w:color w:val="000000"/>
          <w:sz w:val="22"/>
        </w:rPr>
        <w:t>Earnings from operations for the West Group for the three months ended March 31, 2024</w:t>
      </w:r>
      <w:r>
        <w:rPr>
          <w:rFonts w:ascii="Calibri" w:hAnsi="Calibri"/>
          <w:color w:val="000000"/>
          <w:sz w:val="22"/>
        </w:rPr>
        <w:t xml:space="preserve"> </w:t>
      </w:r>
      <w:r>
        <w:rPr>
          <w:rFonts w:ascii="sans-serif" w:hAnsi="sans-serif"/>
          <w:color w:val="000000"/>
          <w:sz w:val="22"/>
        </w:rPr>
        <w:t>included a $1.3</w:t>
      </w:r>
      <w:r>
        <w:rPr>
          <w:rFonts w:ascii="Calibri" w:hAnsi="Calibri"/>
          <w:color w:val="000000"/>
          <w:sz w:val="22"/>
        </w:rPr>
        <w:t xml:space="preserve"> </w:t>
      </w:r>
      <w:r>
        <w:rPr>
          <w:rFonts w:ascii="sans-serif" w:hAnsi="sans-serif"/>
          <w:color w:val="000000"/>
          <w:sz w:val="22"/>
        </w:rPr>
        <w:t>billion gain and $16</w:t>
      </w:r>
      <w:r>
        <w:rPr>
          <w:rFonts w:ascii="Calibri" w:hAnsi="Calibri"/>
          <w:color w:val="000000"/>
          <w:sz w:val="22"/>
        </w:rPr>
        <w:t xml:space="preserve"> </w:t>
      </w:r>
      <w:r>
        <w:rPr>
          <w:rFonts w:ascii="sans-serif" w:hAnsi="sans-serif"/>
          <w:color w:val="000000"/>
          <w:sz w:val="22"/>
        </w:rPr>
        <w:t>million in transaction expenses on the divestiture of the South Texas cement business and certain of its related ready mixed concrete operations (see Note 2) and a noncash asset and portfolio rationalization charge of $49</w:t>
      </w:r>
      <w:r>
        <w:rPr>
          <w:rFonts w:ascii="Calibri" w:hAnsi="Calibri"/>
          <w:color w:val="000000"/>
          <w:sz w:val="22"/>
        </w:rPr>
        <w:t xml:space="preserve"> </w:t>
      </w:r>
      <w:r>
        <w:rPr>
          <w:rFonts w:ascii="sans-serif" w:hAnsi="sans-serif"/>
          <w:color w:val="000000"/>
          <w:sz w:val="22"/>
        </w:rPr>
        <w:t>million (see Note 13).</w:t>
      </w:r>
    </w:p>
    <w:p>
      <w:pPr>
        <w:pStyle w:val="TextBody"/>
        <w:bidi w:val="0"/>
        <w:jc w:val="center"/>
        <w:rPr>
          <w:rFonts w:ascii="Calibri" w:hAnsi="Calibri"/>
          <w:sz w:val="22"/>
        </w:rPr>
      </w:pPr>
      <w:r>
        <w:rPr>
          <w:rFonts w:ascii="sans-serif" w:hAnsi="sans-serif"/>
          <w:color w:val="000000"/>
          <w:sz w:val="22"/>
        </w:rPr>
        <w:t>Page 16</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80"/>
        <w:gridCol w:w="146"/>
        <w:gridCol w:w="250"/>
        <w:gridCol w:w="517"/>
        <w:gridCol w:w="146"/>
        <w:gridCol w:w="146"/>
        <w:gridCol w:w="254"/>
        <w:gridCol w:w="525"/>
        <w:gridCol w:w="146"/>
        <w:gridCol w:w="146"/>
        <w:gridCol w:w="486"/>
        <w:gridCol w:w="744"/>
        <w:gridCol w:w="146"/>
        <w:gridCol w:w="146"/>
        <w:gridCol w:w="349"/>
        <w:gridCol w:w="1000"/>
        <w:gridCol w:w="146"/>
        <w:gridCol w:w="146"/>
        <w:gridCol w:w="346"/>
        <w:gridCol w:w="645"/>
        <w:gridCol w:w="181"/>
        <w:gridCol w:w="146"/>
        <w:gridCol w:w="226"/>
        <w:gridCol w:w="646"/>
        <w:gridCol w:w="396"/>
      </w:tblGrid>
      <w:tr>
        <w:trPr/>
        <w:tc>
          <w:tcPr>
            <w:tcW w:w="2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Three Months Ended March 31,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0"/>
              </w:rPr>
            </w:pPr>
            <w:r>
              <w:rPr>
                <w:rFonts w:ascii="sans-serif" w:hAnsi="sans-serif"/>
                <w:i/>
                <w:color w:val="000000"/>
                <w:sz w:val="20"/>
              </w:rPr>
              <w:t>(Dollars in Millions)</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East 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West 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Magnesia Specialties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Corporate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Labor and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Raw materials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 xml:space="preserve">Depreciation, depletion and amortization </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Energy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External freight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costs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 xml:space="preserve">Acquisition, divestiture and integration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operating expense,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Segment Earnings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Other nonoperating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218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Consolidated earnings before income tax expense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9"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83"/>
        <w:gridCol w:w="146"/>
        <w:gridCol w:w="242"/>
        <w:gridCol w:w="499"/>
        <w:gridCol w:w="181"/>
        <w:gridCol w:w="146"/>
        <w:gridCol w:w="232"/>
        <w:gridCol w:w="741"/>
        <w:gridCol w:w="181"/>
        <w:gridCol w:w="146"/>
        <w:gridCol w:w="463"/>
        <w:gridCol w:w="710"/>
        <w:gridCol w:w="146"/>
        <w:gridCol w:w="146"/>
        <w:gridCol w:w="298"/>
        <w:gridCol w:w="958"/>
        <w:gridCol w:w="181"/>
        <w:gridCol w:w="146"/>
        <w:gridCol w:w="346"/>
        <w:gridCol w:w="645"/>
        <w:gridCol w:w="181"/>
        <w:gridCol w:w="146"/>
        <w:gridCol w:w="226"/>
        <w:gridCol w:w="721"/>
        <w:gridCol w:w="395"/>
      </w:tblGrid>
      <w:tr>
        <w:trPr/>
        <w:tc>
          <w:tcPr>
            <w:tcW w:w="1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Three Months Ended March 31, 2024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9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0"/>
              </w:rPr>
            </w:pPr>
            <w:r>
              <w:rPr>
                <w:rFonts w:ascii="sans-serif" w:hAnsi="sans-serif"/>
                <w:i/>
                <w:color w:val="000000"/>
                <w:sz w:val="20"/>
              </w:rPr>
              <w:t>(Dollars in Millions)</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East Group</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West Group</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Magnesia Specialties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Total Reportable Segments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Corporate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Total</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9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1,251</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Labor and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Raw materials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 xml:space="preserve">Depreciation, depletion and amortization </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Energy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External freight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costs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435</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 xml:space="preserve">Acquisition, divestiture and integration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operating income,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(1,287</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9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Segment Earnings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Other nonoperating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98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Consolidated earnings before income tax expense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6"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1,414</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Calibri" w:hAnsi="Calibri"/>
          <w:sz w:val="22"/>
        </w:rPr>
      </w:pPr>
      <w:r>
        <w:rPr>
          <w:rFonts w:ascii="sans-serif" w:hAnsi="sans-serif"/>
          <w:color w:val="000000"/>
          <w:sz w:val="22"/>
        </w:rPr>
        <w:t>Page 17</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Assets employed by segment include assets directly identified with those operations. Corporate assets consist primarily of cash and cash equivalents; property, plant and equipment for corporate operations; and other assets not directly identifiable with a reportable segment.</w:t>
      </w:r>
    </w:p>
    <w:p>
      <w:pPr>
        <w:pStyle w:val="TextBody"/>
        <w:bidi w:val="0"/>
        <w:jc w:val="both"/>
        <w:rPr/>
      </w:pPr>
      <w:r>
        <w:rPr/>
        <w:t> </w:t>
      </w:r>
    </w:p>
    <w:tbl>
      <w:tblPr>
        <w:tblW w:w="6720" w:type="dxa"/>
        <w:jc w:val="left"/>
        <w:tblInd w:w="0" w:type="dxa"/>
        <w:tblLayout w:type="fixed"/>
        <w:tblCellMar>
          <w:top w:w="28" w:type="dxa"/>
          <w:left w:w="28" w:type="dxa"/>
          <w:bottom w:w="28" w:type="dxa"/>
          <w:right w:w="28" w:type="dxa"/>
        </w:tblCellMar>
      </w:tblPr>
      <w:tblGrid>
        <w:gridCol w:w="3121"/>
        <w:gridCol w:w="146"/>
        <w:gridCol w:w="268"/>
        <w:gridCol w:w="977"/>
        <w:gridCol w:w="146"/>
        <w:gridCol w:w="146"/>
        <w:gridCol w:w="371"/>
        <w:gridCol w:w="1354"/>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Assets employed: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East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8,452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Magnesia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16,662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17,724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18,170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456"/>
        <w:gridCol w:w="146"/>
        <w:gridCol w:w="321"/>
        <w:gridCol w:w="700"/>
        <w:gridCol w:w="183"/>
        <w:gridCol w:w="183"/>
        <w:gridCol w:w="321"/>
        <w:gridCol w:w="700"/>
        <w:gridCol w:w="195"/>
      </w:tblGrid>
      <w:tr>
        <w:trPr/>
        <w:tc>
          <w:tcPr>
            <w:tcW w:w="7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Total property additions, including the impact of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East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Magnesia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136</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578</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062" w:type="dxa"/>
        <w:jc w:val="left"/>
        <w:tblInd w:w="0" w:type="dxa"/>
        <w:tblLayout w:type="fixed"/>
        <w:tblCellMar>
          <w:top w:w="28" w:type="dxa"/>
          <w:left w:w="28" w:type="dxa"/>
          <w:bottom w:w="28" w:type="dxa"/>
          <w:right w:w="28" w:type="dxa"/>
        </w:tblCellMar>
      </w:tblPr>
      <w:tblGrid>
        <w:gridCol w:w="5266"/>
        <w:gridCol w:w="146"/>
        <w:gridCol w:w="369"/>
        <w:gridCol w:w="499"/>
        <w:gridCol w:w="210"/>
        <w:gridCol w:w="210"/>
        <w:gridCol w:w="369"/>
        <w:gridCol w:w="802"/>
        <w:gridCol w:w="19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Property additions through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West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pPr>
      <w:r>
        <w:rPr/>
        <w:t> </w:t>
      </w:r>
    </w:p>
    <w:p>
      <w:pPr>
        <w:pStyle w:val="TextBody"/>
        <w:bidi w:val="0"/>
        <w:jc w:val="center"/>
        <w:rPr>
          <w:rFonts w:ascii="Calibri" w:hAnsi="Calibri"/>
          <w:sz w:val="22"/>
        </w:rPr>
      </w:pPr>
      <w:r>
        <w:rPr>
          <w:rFonts w:ascii="sans-serif" w:hAnsi="sans-serif"/>
          <w:color w:val="000000"/>
          <w:sz w:val="22"/>
        </w:rPr>
        <w:t>Page 18</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360" w:after="283"/>
        <w:jc w:val="both"/>
        <w:rPr>
          <w:rFonts w:ascii="Calibri" w:hAnsi="Calibri"/>
          <w:b/>
          <w:color w:val="000000"/>
          <w:sz w:val="22"/>
        </w:rPr>
      </w:pPr>
      <w:r>
        <w:rPr>
          <w:rFonts w:ascii="Calibri" w:hAnsi="Calibri"/>
          <w:b/>
          <w:color w:val="000000"/>
          <w:sz w:val="22"/>
        </w:rPr>
        <w:t>11.</w:t>
      </w:r>
    </w:p>
    <w:p>
      <w:pPr>
        <w:pStyle w:val="TextBody"/>
        <w:bidi w:val="0"/>
        <w:spacing w:before="360" w:after="283"/>
        <w:jc w:val="both"/>
        <w:rPr>
          <w:rFonts w:ascii="sans-serif" w:hAnsi="sans-serif"/>
          <w:b/>
          <w:color w:val="000000"/>
          <w:sz w:val="22"/>
        </w:rPr>
      </w:pPr>
      <w:r>
        <w:rPr>
          <w:rFonts w:ascii="sans-serif" w:hAnsi="sans-serif"/>
          <w:b/>
          <w:color w:val="000000"/>
          <w:sz w:val="22"/>
        </w:rPr>
        <w:t>Revenues and Gross Profit</w:t>
      </w:r>
    </w:p>
    <w:p>
      <w:pPr>
        <w:pStyle w:val="TextBody"/>
        <w:bidi w:val="0"/>
        <w:spacing w:before="120" w:after="283"/>
        <w:jc w:val="both"/>
        <w:rPr>
          <w:rFonts w:ascii="Calibri" w:hAnsi="Calibri"/>
          <w:sz w:val="22"/>
        </w:rPr>
      </w:pPr>
      <w:r>
        <w:rPr>
          <w:rFonts w:ascii="sans-serif" w:hAnsi="sans-serif"/>
          <w:color w:val="000000"/>
          <w:sz w:val="22"/>
        </w:rPr>
        <w:t>The following tables, which are reconciled to consolidated amounts, provide revenues and gross profit (loss) by line of business: Building Materials (further divided by product line) and Magnesia Specialties.</w:t>
      </w:r>
      <w:r>
        <w:rPr>
          <w:rFonts w:ascii="Calibri" w:hAnsi="Calibri"/>
          <w:color w:val="000000"/>
          <w:sz w:val="22"/>
        </w:rPr>
        <w:t xml:space="preserve"> </w:t>
      </w:r>
      <w:r>
        <w:rPr>
          <w:rFonts w:ascii="sans-serif" w:hAnsi="sans-serif"/>
          <w:color w:val="000000"/>
          <w:sz w:val="22"/>
        </w:rPr>
        <w:t>Interproduct revenues represent sales from the aggregates product line to the cement and ready mixed concrete and asphalt and paving product lines.</w:t>
      </w:r>
      <w:r>
        <w:rPr>
          <w:rFonts w:ascii="Calibri" w:hAnsi="Calibri"/>
          <w:color w:val="000000"/>
          <w:sz w:val="22"/>
        </w:rPr>
        <w:t xml:space="preserve"> </w:t>
      </w:r>
    </w:p>
    <w:p>
      <w:pPr>
        <w:pStyle w:val="TextBody"/>
        <w:bidi w:val="0"/>
        <w:jc w:val="both"/>
        <w:rPr/>
      </w:pPr>
      <w:r>
        <w:rPr/>
        <w:t> </w:t>
      </w:r>
    </w:p>
    <w:tbl>
      <w:tblPr>
        <w:tblW w:w="7456" w:type="dxa"/>
        <w:jc w:val="left"/>
        <w:tblInd w:w="0" w:type="dxa"/>
        <w:tblLayout w:type="fixed"/>
        <w:tblCellMar>
          <w:top w:w="28" w:type="dxa"/>
          <w:left w:w="28" w:type="dxa"/>
          <w:bottom w:w="28" w:type="dxa"/>
          <w:right w:w="28" w:type="dxa"/>
        </w:tblCellMar>
      </w:tblPr>
      <w:tblGrid>
        <w:gridCol w:w="4266"/>
        <w:gridCol w:w="146"/>
        <w:gridCol w:w="260"/>
        <w:gridCol w:w="795"/>
        <w:gridCol w:w="199"/>
        <w:gridCol w:w="148"/>
        <w:gridCol w:w="260"/>
        <w:gridCol w:w="795"/>
        <w:gridCol w:w="196"/>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Aggregates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Cement and ready mixed concrete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Asphalt and paving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Less: interproduct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1,266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Magnesia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1,353</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1,251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Gross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Aggregates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Cement and ready mixed concrete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Asphalt and paving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Magnesia 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335</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Calibri" w:hAnsi="Calibri"/>
          <w:sz w:val="22"/>
        </w:rPr>
      </w:pPr>
      <w:r>
        <w:rPr>
          <w:rFonts w:ascii="sans-serif" w:hAnsi="sans-serif"/>
          <w:b/>
          <w:i/>
          <w:color w:val="000000"/>
          <w:sz w:val="22"/>
        </w:rPr>
        <w:t>Performance Obligations.</w:t>
      </w:r>
      <w:r>
        <w:rPr>
          <w:rFonts w:ascii="Calibri" w:hAnsi="Calibri"/>
          <w:color w:val="000000"/>
          <w:sz w:val="22"/>
        </w:rPr>
        <w:t xml:space="preserve"> </w:t>
      </w:r>
      <w:r>
        <w:rPr>
          <w:rFonts w:ascii="sans-serif" w:hAnsi="sans-serif"/>
          <w:color w:val="000000"/>
          <w:sz w:val="22"/>
        </w:rPr>
        <w:t>Performance obligations are contractual promises to transfer or provide a distinct good or service for a stated price. The Company’s product sales agreements are single-performance obligations that are satisfied at a point in time. Performance obligations within paving service agreements are satisfied over time, primarily ranging from one day to two years. Customer payments for the paving operations are based on a contractual billing schedule and are typically "paid-when-paid", meaning the Company is paid once the customer is paid.</w:t>
      </w:r>
    </w:p>
    <w:p>
      <w:pPr>
        <w:pStyle w:val="TextBody"/>
        <w:bidi w:val="0"/>
        <w:spacing w:before="120" w:after="283"/>
        <w:jc w:val="both"/>
        <w:rPr>
          <w:rFonts w:ascii="Calibri" w:hAnsi="Calibri"/>
          <w:sz w:val="22"/>
        </w:rPr>
      </w:pPr>
      <w:r>
        <w:rPr>
          <w:rFonts w:ascii="sans-serif" w:hAnsi="sans-serif"/>
          <w:color w:val="000000"/>
          <w:sz w:val="22"/>
        </w:rPr>
        <w:t>Future revenues from unsatisfied performance obligations at March 31, 2025 and 2024 were $297</w:t>
      </w:r>
      <w:r>
        <w:rPr>
          <w:rFonts w:ascii="Calibri" w:hAnsi="Calibri"/>
          <w:color w:val="000000"/>
          <w:sz w:val="22"/>
        </w:rPr>
        <w:t xml:space="preserve"> </w:t>
      </w:r>
      <w:r>
        <w:rPr>
          <w:rFonts w:ascii="sans-serif" w:hAnsi="sans-serif"/>
          <w:color w:val="000000"/>
          <w:sz w:val="22"/>
        </w:rPr>
        <w:t>million and $246</w:t>
      </w:r>
      <w:r>
        <w:rPr>
          <w:rFonts w:ascii="Calibri" w:hAnsi="Calibri"/>
          <w:color w:val="000000"/>
          <w:sz w:val="22"/>
        </w:rPr>
        <w:t xml:space="preserve"> </w:t>
      </w:r>
      <w:r>
        <w:rPr>
          <w:rFonts w:ascii="sans-serif" w:hAnsi="sans-serif"/>
          <w:color w:val="000000"/>
          <w:sz w:val="22"/>
        </w:rPr>
        <w:t>million, respectively, where the remaining periods to complete these obligations ranged from one month</w:t>
      </w:r>
      <w:r>
        <w:rPr>
          <w:rFonts w:ascii="Calibri" w:hAnsi="Calibri"/>
          <w:color w:val="000000"/>
          <w:sz w:val="22"/>
        </w:rPr>
        <w:t xml:space="preserve"> </w:t>
      </w:r>
      <w:r>
        <w:rPr>
          <w:rFonts w:ascii="sans-serif" w:hAnsi="sans-serif"/>
          <w:color w:val="000000"/>
          <w:sz w:val="22"/>
        </w:rPr>
        <w:t>to 33 months</w:t>
      </w:r>
      <w:r>
        <w:rPr>
          <w:rFonts w:ascii="Calibri" w:hAnsi="Calibri"/>
          <w:color w:val="000000"/>
          <w:sz w:val="22"/>
        </w:rPr>
        <w:t xml:space="preserve"> </w:t>
      </w:r>
      <w:r>
        <w:rPr>
          <w:rFonts w:ascii="sans-serif" w:hAnsi="sans-serif"/>
          <w:color w:val="000000"/>
          <w:sz w:val="22"/>
        </w:rPr>
        <w:t>and one month</w:t>
      </w:r>
      <w:r>
        <w:rPr>
          <w:rFonts w:ascii="Calibri" w:hAnsi="Calibri"/>
          <w:color w:val="000000"/>
          <w:sz w:val="22"/>
        </w:rPr>
        <w:t xml:space="preserve"> </w:t>
      </w:r>
      <w:r>
        <w:rPr>
          <w:rFonts w:ascii="sans-serif" w:hAnsi="sans-serif"/>
          <w:color w:val="000000"/>
          <w:sz w:val="22"/>
        </w:rPr>
        <w:t>to 21 months, respectively.</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b/>
          <w:i/>
          <w:color w:val="000000"/>
          <w:sz w:val="22"/>
        </w:rPr>
        <w:t>Service Revenues.</w:t>
      </w:r>
      <w:r>
        <w:rPr>
          <w:rFonts w:ascii="Calibri" w:hAnsi="Calibri"/>
          <w:color w:val="000000"/>
          <w:sz w:val="22"/>
        </w:rPr>
        <w:t xml:space="preserve"> </w:t>
      </w:r>
      <w:r>
        <w:rPr>
          <w:rFonts w:ascii="sans-serif" w:hAnsi="sans-serif"/>
          <w:color w:val="000000"/>
          <w:sz w:val="22"/>
        </w:rPr>
        <w:t>Service revenues, which include paving services located in California and Colorado, were $36</w:t>
      </w:r>
      <w:r>
        <w:rPr>
          <w:rFonts w:ascii="Calibri" w:hAnsi="Calibri"/>
          <w:color w:val="000000"/>
          <w:sz w:val="22"/>
        </w:rPr>
        <w:t xml:space="preserve"> </w:t>
      </w:r>
      <w:r>
        <w:rPr>
          <w:rFonts w:ascii="sans-serif" w:hAnsi="sans-serif"/>
          <w:color w:val="000000"/>
          <w:sz w:val="22"/>
        </w:rPr>
        <w:t>million and $26</w:t>
      </w:r>
      <w:r>
        <w:rPr>
          <w:rFonts w:ascii="Calibri" w:hAnsi="Calibri"/>
          <w:color w:val="000000"/>
          <w:sz w:val="22"/>
        </w:rPr>
        <w:t xml:space="preserve"> </w:t>
      </w:r>
      <w:r>
        <w:rPr>
          <w:rFonts w:ascii="sans-serif" w:hAnsi="sans-serif"/>
          <w:color w:val="000000"/>
          <w:sz w:val="22"/>
        </w:rPr>
        <w:t>million for the three months ended March 31, 2025 and 2024, respectively, and reported in the West Group.</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Page 19</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360" w:after="283"/>
        <w:jc w:val="both"/>
        <w:rPr>
          <w:rFonts w:ascii="Calibri" w:hAnsi="Calibri"/>
          <w:b/>
          <w:color w:val="000000"/>
          <w:sz w:val="22"/>
        </w:rPr>
      </w:pPr>
      <w:r>
        <w:rPr>
          <w:rFonts w:ascii="Calibri" w:hAnsi="Calibri"/>
          <w:b/>
          <w:color w:val="000000"/>
          <w:sz w:val="22"/>
        </w:rPr>
        <w:t>12.</w:t>
      </w:r>
    </w:p>
    <w:p>
      <w:pPr>
        <w:pStyle w:val="TextBody"/>
        <w:bidi w:val="0"/>
        <w:spacing w:before="360" w:after="283"/>
        <w:jc w:val="both"/>
        <w:rPr>
          <w:rFonts w:ascii="sans-serif" w:hAnsi="sans-serif"/>
          <w:b/>
          <w:color w:val="000000"/>
          <w:sz w:val="22"/>
        </w:rPr>
      </w:pPr>
      <w:r>
        <w:rPr>
          <w:rFonts w:ascii="sans-serif" w:hAnsi="sans-serif"/>
          <w:b/>
          <w:color w:val="000000"/>
          <w:sz w:val="22"/>
        </w:rPr>
        <w:t>Supplemental Cash Flow Information</w:t>
      </w:r>
    </w:p>
    <w:p>
      <w:pPr>
        <w:pStyle w:val="TextBody"/>
        <w:bidi w:val="0"/>
        <w:spacing w:before="120" w:after="283"/>
        <w:jc w:val="both"/>
        <w:rPr>
          <w:rFonts w:ascii="Calibri" w:hAnsi="Calibri"/>
          <w:sz w:val="22"/>
        </w:rPr>
      </w:pPr>
      <w:r>
        <w:rPr>
          <w:rFonts w:ascii="sans-serif" w:hAnsi="sans-serif"/>
          <w:color w:val="000000"/>
          <w:sz w:val="22"/>
        </w:rPr>
        <w:t>Noncash investing and financing activities are as follows:</w:t>
      </w:r>
      <w:r>
        <w:rPr>
          <w:rFonts w:ascii="Calibri" w:hAnsi="Calibri"/>
          <w:color w:val="000000"/>
          <w:sz w:val="22"/>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433"/>
        <w:gridCol w:w="146"/>
        <w:gridCol w:w="375"/>
        <w:gridCol w:w="592"/>
        <w:gridCol w:w="285"/>
        <w:gridCol w:w="212"/>
        <w:gridCol w:w="375"/>
        <w:gridCol w:w="592"/>
        <w:gridCol w:w="195"/>
      </w:tblGrid>
      <w:tr>
        <w:trPr/>
        <w:tc>
          <w:tcPr>
            <w:tcW w:w="7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Accrued liabilities for purchases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xml:space="preserve">Right-of-use assets obtained in exchange for new </w:t>
              <w:br/>
              <w: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Right-of-use assets obtained in exchange for</w:t>
              <w:br/>
              <w:t>   new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Remeasurement of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Remeasurement of 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Supplemental disclosures of cash flow information are as follows:</w:t>
      </w:r>
    </w:p>
    <w:p>
      <w:pPr>
        <w:pStyle w:val="TextBody"/>
        <w:bidi w:val="0"/>
        <w:jc w:val="both"/>
        <w:rPr/>
      </w:pPr>
      <w:r>
        <w:rPr/>
        <w:t> </w:t>
      </w:r>
    </w:p>
    <w:tbl>
      <w:tblPr>
        <w:tblW w:w="8421" w:type="dxa"/>
        <w:jc w:val="left"/>
        <w:tblInd w:w="0" w:type="dxa"/>
        <w:tblLayout w:type="fixed"/>
        <w:tblCellMar>
          <w:top w:w="28" w:type="dxa"/>
          <w:left w:w="28" w:type="dxa"/>
          <w:bottom w:w="28" w:type="dxa"/>
          <w:right w:w="28" w:type="dxa"/>
        </w:tblCellMar>
      </w:tblPr>
      <w:tblGrid>
        <w:gridCol w:w="5626"/>
        <w:gridCol w:w="146"/>
        <w:gridCol w:w="389"/>
        <w:gridCol w:w="618"/>
        <w:gridCol w:w="222"/>
        <w:gridCol w:w="222"/>
        <w:gridCol w:w="389"/>
        <w:gridCol w:w="618"/>
        <w:gridCol w:w="191"/>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paid for interest, net of capitalized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paid for 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160" w:after="283"/>
        <w:jc w:val="both"/>
        <w:rPr>
          <w:rFonts w:ascii="Calibri" w:hAnsi="Calibri"/>
          <w:b/>
          <w:color w:val="000000"/>
          <w:sz w:val="22"/>
        </w:rPr>
      </w:pPr>
      <w:r>
        <w:rPr>
          <w:rFonts w:ascii="Calibri" w:hAnsi="Calibri"/>
          <w:b/>
          <w:color w:val="000000"/>
          <w:sz w:val="22"/>
        </w:rPr>
        <w:t>13.</w:t>
      </w:r>
    </w:p>
    <w:p>
      <w:pPr>
        <w:pStyle w:val="TextBody"/>
        <w:bidi w:val="0"/>
        <w:spacing w:before="160" w:after="283"/>
        <w:jc w:val="both"/>
        <w:rPr>
          <w:rFonts w:ascii="sans-serif" w:hAnsi="sans-serif"/>
          <w:b/>
          <w:color w:val="000000"/>
          <w:sz w:val="22"/>
        </w:rPr>
      </w:pPr>
      <w:r>
        <w:rPr>
          <w:rFonts w:ascii="sans-serif" w:hAnsi="sans-serif"/>
          <w:b/>
          <w:color w:val="000000"/>
          <w:sz w:val="22"/>
        </w:rPr>
        <w:t>Other Operating (Expense) Income, Net</w:t>
      </w:r>
    </w:p>
    <w:p>
      <w:pPr>
        <w:pStyle w:val="TextBody"/>
        <w:bidi w:val="0"/>
        <w:spacing w:before="120" w:after="283"/>
        <w:jc w:val="both"/>
        <w:rPr>
          <w:rFonts w:ascii="Calibri" w:hAnsi="Calibri"/>
          <w:sz w:val="22"/>
        </w:rPr>
      </w:pPr>
      <w:r>
        <w:rPr>
          <w:rFonts w:ascii="sans-serif" w:hAnsi="sans-serif"/>
          <w:color w:val="000000"/>
          <w:sz w:val="22"/>
        </w:rPr>
        <w:t>Other operating income, net, is comprised generally of gains and losses on divestitures and the sale of assets; asset and portfolio rationalization charges; recoveries and losses related to certain customer accounts receivable; recoveries and losses on the resolution of contingency accruals; rental, royalty and services income; and accretion expense and depreciation expense related to asset retirement obligations. For the three months ended March 31, 2024, other operating income, net, included a $1.3</w:t>
      </w:r>
      <w:r>
        <w:rPr>
          <w:rFonts w:ascii="Calibri" w:hAnsi="Calibri"/>
          <w:color w:val="000000"/>
          <w:sz w:val="22"/>
        </w:rPr>
        <w:t xml:space="preserve"> </w:t>
      </w:r>
      <w:r>
        <w:rPr>
          <w:rFonts w:ascii="sans-serif" w:hAnsi="sans-serif"/>
          <w:color w:val="000000"/>
          <w:sz w:val="22"/>
        </w:rPr>
        <w:t>billion pretax gain on the divestiture of the South Texas cement business and certain of its related ready mixed concrete operations, which was partially offset by</w:t>
      </w:r>
      <w:r>
        <w:rPr>
          <w:rFonts w:ascii="Calibri" w:hAnsi="Calibri"/>
          <w:color w:val="000000"/>
          <w:sz w:val="22"/>
        </w:rPr>
        <w:t xml:space="preserve"> </w:t>
      </w:r>
      <w:r>
        <w:rPr>
          <w:rFonts w:ascii="sans-serif" w:hAnsi="sans-serif"/>
          <w:color w:val="000000"/>
          <w:sz w:val="22"/>
        </w:rPr>
        <w:t>a $49</w:t>
      </w:r>
      <w:r>
        <w:rPr>
          <w:rFonts w:ascii="Calibri" w:hAnsi="Calibri"/>
          <w:color w:val="000000"/>
          <w:sz w:val="22"/>
        </w:rPr>
        <w:t xml:space="preserve"> </w:t>
      </w:r>
      <w:r>
        <w:rPr>
          <w:rFonts w:ascii="sans-serif" w:hAnsi="sans-serif"/>
          <w:color w:val="000000"/>
          <w:sz w:val="22"/>
        </w:rPr>
        <w:t>million pretax, noncash asset and portfolio rationalization charge.</w:t>
      </w:r>
    </w:p>
    <w:p>
      <w:pPr>
        <w:pStyle w:val="TextBody"/>
        <w:bidi w:val="0"/>
        <w:spacing w:before="120" w:after="283"/>
        <w:jc w:val="both"/>
        <w:rPr>
          <w:rFonts w:ascii="Calibri" w:hAnsi="Calibri"/>
          <w:sz w:val="22"/>
        </w:rPr>
      </w:pPr>
      <w:r>
        <w:rPr>
          <w:rFonts w:ascii="sans-serif" w:hAnsi="sans-serif"/>
          <w:color w:val="000000"/>
          <w:sz w:val="22"/>
        </w:rPr>
        <w:t>The noncash asset and portfolio rationalization charge for the three months ended March 31, 2024</w:t>
      </w:r>
      <w:r>
        <w:rPr>
          <w:rFonts w:ascii="Calibri" w:hAnsi="Calibri"/>
          <w:color w:val="000000"/>
          <w:sz w:val="22"/>
        </w:rPr>
        <w:t xml:space="preserve"> </w:t>
      </w:r>
      <w:r>
        <w:rPr>
          <w:rFonts w:ascii="sans-serif" w:hAnsi="sans-serif"/>
          <w:color w:val="000000"/>
          <w:sz w:val="22"/>
        </w:rPr>
        <w:t>relates to the Company's decision to discontinue usage of certain long-haul distribution facilities to transport aggregates products into Colorado as the Albert Frei &amp; Sons, Inc. acquisition completed in January 2024 provides more economical, local aggregates supply. This charge, which is reported in the West Group, reflects the Company's evaluation of the recoverability of certain long-lived assets, including property, plant and equipment and operating lease right-of-use assets, for the cessation of these railroad operations.</w:t>
      </w:r>
    </w:p>
    <w:p>
      <w:pPr>
        <w:pStyle w:val="TextBody"/>
        <w:bidi w:val="0"/>
        <w:jc w:val="center"/>
        <w:rPr>
          <w:rFonts w:ascii="Calibri" w:hAnsi="Calibri"/>
          <w:sz w:val="22"/>
        </w:rPr>
      </w:pPr>
      <w:r>
        <w:rPr>
          <w:rFonts w:ascii="sans-serif" w:hAnsi="sans-serif"/>
          <w:color w:val="000000"/>
          <w:sz w:val="22"/>
        </w:rPr>
        <w:t>Page 20</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MANAGEMENT’S DISCUSSION AND ANALYSIS OF FINANCIAL CONDITION AND</w:t>
      </w:r>
    </w:p>
    <w:p>
      <w:pPr>
        <w:pStyle w:val="TextBody"/>
        <w:bidi w:val="0"/>
        <w:jc w:val="center"/>
        <w:rPr>
          <w:rFonts w:ascii="sans-serif" w:hAnsi="sans-serif"/>
          <w:color w:val="000000"/>
          <w:sz w:val="22"/>
        </w:rPr>
      </w:pPr>
      <w:r>
        <w:rPr>
          <w:rFonts w:ascii="sans-serif" w:hAnsi="sans-serif"/>
          <w:color w:val="000000"/>
          <w:sz w:val="22"/>
        </w:rPr>
        <w:t>RESULTS OF OPERATIONS</w:t>
      </w:r>
    </w:p>
    <w:p>
      <w:pPr>
        <w:pStyle w:val="TextBody"/>
        <w:bidi w:val="0"/>
        <w:jc w:val="left"/>
        <w:rPr/>
      </w:pPr>
      <w:r>
        <w:rPr/>
        <w:t> </w:t>
      </w:r>
    </w:p>
    <w:p>
      <w:pPr>
        <w:pStyle w:val="TextBody"/>
        <w:bidi w:val="0"/>
        <w:jc w:val="left"/>
        <w:rPr>
          <w:rFonts w:ascii="Calibri" w:hAnsi="Calibri"/>
          <w:sz w:val="22"/>
        </w:rPr>
      </w:pPr>
      <w:bookmarkStart w:id="8" w:name="item_2_management_discussion_and_anal"/>
      <w:bookmarkEnd w:id="8"/>
      <w:r>
        <w:rPr>
          <w:rFonts w:ascii="sans-serif" w:hAnsi="sans-serif"/>
          <w:color w:val="000000"/>
          <w:sz w:val="22"/>
        </w:rPr>
        <w:t>Item 2. Management’s Discussion and Analysis of Financial Condition and Results of Operations.</w:t>
      </w:r>
      <w:r>
        <w:rPr>
          <w:rFonts w:ascii="Calibri" w:hAnsi="Calibri"/>
          <w:color w:val="000000"/>
          <w:sz w:val="22"/>
        </w:rPr>
        <w:t xml:space="preserve"> </w:t>
      </w:r>
    </w:p>
    <w:p>
      <w:pPr>
        <w:pStyle w:val="TextBody"/>
        <w:bidi w:val="0"/>
        <w:jc w:val="left"/>
        <w:rPr>
          <w:rFonts w:ascii="Calibri" w:hAnsi="Calibri"/>
          <w:sz w:val="22"/>
        </w:rPr>
      </w:pPr>
      <w:r>
        <w:rPr>
          <w:rFonts w:ascii="sans-serif" w:hAnsi="sans-serif"/>
          <w:color w:val="000000"/>
          <w:sz w:val="22"/>
        </w:rPr>
        <w:t>OVERVIEW</w:t>
      </w:r>
      <w:r>
        <w:rPr>
          <w:rFonts w:ascii="Calibri" w:hAnsi="Calibri"/>
          <w:color w:val="00000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Martin Marietta Materials, Inc. (the Company or Martin Marietta) is a natural resource-based building materials company. As of March 31, 2025, the Company supplies aggregates (crushed stone, sand and gravel) through its network of approximately 390 quarries, mines and distribution yards in 28 states, Canada and The Bahamas. Martin Marietta also provides cement and downstream products, namely, ready mixed concrete, asphalt and paving services, in certain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and ready mixed concrete and asphalt and paving product lines are reported collectively as the Building Materials business.</w:t>
      </w:r>
    </w:p>
    <w:p>
      <w:pPr>
        <w:pStyle w:val="TextBody"/>
        <w:bidi w:val="0"/>
        <w:spacing w:before="120" w:after="283"/>
        <w:jc w:val="both"/>
        <w:rPr>
          <w:rFonts w:ascii="Calibri" w:hAnsi="Calibri"/>
          <w:sz w:val="22"/>
        </w:rPr>
      </w:pPr>
      <w:r>
        <w:rPr>
          <w:rFonts w:ascii="sans-serif" w:hAnsi="sans-serif"/>
          <w:color w:val="000000"/>
          <w:sz w:val="22"/>
        </w:rPr>
        <w:t>The Company’s Building Materials business includes two reportable segments: East Group and West Group.</w:t>
      </w:r>
      <w:r>
        <w:rPr>
          <w:rFonts w:ascii="Calibri" w:hAnsi="Calibri"/>
          <w:color w:val="000000"/>
          <w:sz w:val="22"/>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63"/>
        <w:gridCol w:w="146"/>
        <w:gridCol w:w="3034"/>
        <w:gridCol w:w="146"/>
        <w:gridCol w:w="4516"/>
      </w:tblGrid>
      <w:tr>
        <w:trPr/>
        <w:tc>
          <w:tcPr>
            <w:tcW w:w="2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6"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BUILDING MATERIALS BUSINESS</w:t>
            </w:r>
          </w:p>
        </w:tc>
      </w:tr>
      <w:tr>
        <w:trPr/>
        <w:tc>
          <w:tcPr>
            <w:tcW w:w="2363"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Reportable Segments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3034" w:type="dxa"/>
            <w:tcBorders>
              <w:bottom w:val="single" w:sz="6" w:space="0" w:color="000000"/>
            </w:tcBorders>
            <w:tcMar>
              <w:top w:w="0" w:type="dxa"/>
              <w:left w:w="0" w:type="dxa"/>
              <w:right w:w="0" w:type="dxa"/>
            </w:tcMar>
            <w:vAlign w:val="center"/>
          </w:tcPr>
          <w:p>
            <w:pPr>
              <w:pStyle w:val="TableContents"/>
              <w:bidi w:val="0"/>
              <w:spacing w:before="0" w:after="20"/>
              <w:jc w:val="center"/>
              <w:rPr>
                <w:rFonts w:ascii="sans-serif" w:hAnsi="sans-serif"/>
                <w:color w:val="000000"/>
                <w:sz w:val="22"/>
              </w:rPr>
            </w:pPr>
            <w:r>
              <w:rPr>
                <w:rFonts w:ascii="sans-serif" w:hAnsi="sans-serif"/>
                <w:color w:val="000000"/>
                <w:sz w:val="22"/>
              </w:rPr>
              <w:t>East Group</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4516" w:type="dxa"/>
            <w:tcBorders>
              <w:bottom w:val="single" w:sz="6" w:space="0" w:color="000000"/>
            </w:tcBorders>
            <w:tcMar>
              <w:top w:w="0" w:type="dxa"/>
              <w:left w:w="0" w:type="dxa"/>
              <w:right w:w="0" w:type="dxa"/>
            </w:tcMar>
            <w:vAlign w:val="center"/>
          </w:tcPr>
          <w:p>
            <w:pPr>
              <w:pStyle w:val="TableContents"/>
              <w:bidi w:val="0"/>
              <w:spacing w:before="0" w:after="20"/>
              <w:ind w:left="0" w:right="0" w:firstLine="240"/>
              <w:jc w:val="center"/>
              <w:rPr>
                <w:rFonts w:ascii="sans-serif" w:hAnsi="sans-serif"/>
                <w:color w:val="000000"/>
                <w:sz w:val="22"/>
              </w:rPr>
            </w:pPr>
            <w:r>
              <w:rPr>
                <w:rFonts w:ascii="sans-serif" w:hAnsi="sans-serif"/>
                <w:color w:val="000000"/>
                <w:sz w:val="22"/>
              </w:rPr>
              <w:t>West Group</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sans-serif" w:hAnsi="sans-serif"/>
                <w:color w:val="000000"/>
                <w:sz w:val="22"/>
              </w:rPr>
            </w:pPr>
            <w:r>
              <w:rPr>
                <w:rFonts w:ascii="sans-serif" w:hAnsi="sans-serif"/>
                <w:color w:val="000000"/>
                <w:sz w:val="22"/>
              </w:rPr>
              <w:t>Operating Locations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Alabama, Florida, Georgia, Indiana, Iowa,</w:t>
              <w:br/>
              <w:t>Kansas, Kentucky, Maryland,</w:t>
              <w:br/>
              <w:t xml:space="preserve">Minnesota, Missouri, Nebraska, </w:t>
              <w:br/>
              <w:t>North Carolina, Ohio, Pennsylvania,</w:t>
              <w:br/>
              <w:t>South Carolina, Tennessee, Virginia,</w:t>
              <w:br/>
              <w:t>West Virginia, Nova Scotia and The Bahamas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Calibri" w:hAnsi="Calibri"/>
                <w:sz w:val="22"/>
              </w:rPr>
            </w:pPr>
            <w:r>
              <w:rPr>
                <w:rFonts w:ascii="sans-serif" w:hAnsi="sans-serif"/>
                <w:color w:val="000000"/>
                <w:sz w:val="22"/>
              </w:rPr>
              <w:t>Arizona, Arkansas, California, Colorado, Louisiana, Oklahoma, Texas, Utah,</w:t>
              <w:br/>
              <w:t>Washington and Wyoming</w:t>
            </w:r>
            <w:r>
              <w:rPr>
                <w:rFonts w:ascii="Calibri" w:hAnsi="Calibri"/>
                <w:color w:val="000000"/>
                <w:sz w:val="22"/>
              </w:rPr>
              <w:t xml:space="preserve"> </w:t>
            </w:r>
          </w:p>
        </w:tc>
      </w:tr>
      <w:tr>
        <w:trPr/>
        <w:tc>
          <w:tcPr>
            <w:tcW w:w="2363" w:type="dxa"/>
            <w:tcBorders/>
            <w:tcMar>
              <w:top w:w="0" w:type="dxa"/>
              <w:left w:w="0" w:type="dxa"/>
              <w:bottom w:w="0" w:type="dxa"/>
              <w:right w:w="0" w:type="dxa"/>
            </w:tcMar>
            <w:vAlign w:val="center"/>
          </w:tcPr>
          <w:p>
            <w:pPr>
              <w:pStyle w:val="TableContents"/>
              <w:bidi w:val="0"/>
              <w:spacing w:before="0" w:after="283"/>
              <w:jc w:val="left"/>
              <w:rPr/>
            </w:pPr>
            <w:r>
              <w:rPr/>
              <w:t> </w:t>
            </w:r>
          </w:p>
        </w:tc>
        <w:tc>
          <w:tcPr>
            <w:tcW w:w="7842"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sans-serif" w:hAnsi="sans-serif"/>
                <w:color w:val="000000"/>
                <w:sz w:val="22"/>
              </w:rPr>
            </w:pPr>
            <w:r>
              <w:rPr>
                <w:rFonts w:ascii="sans-serif" w:hAnsi="sans-serif"/>
                <w:color w:val="000000"/>
                <w:sz w:val="22"/>
              </w:rPr>
              <w:t>Product Lines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Aggregates and Asphalt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jc w:val="center"/>
              <w:rPr>
                <w:rFonts w:ascii="Calibri" w:hAnsi="Calibri"/>
                <w:sz w:val="22"/>
              </w:rPr>
            </w:pPr>
            <w:r>
              <w:rPr>
                <w:rFonts w:ascii="sans-serif" w:hAnsi="sans-serif"/>
                <w:color w:val="000000"/>
                <w:sz w:val="22"/>
              </w:rPr>
              <w:t>Aggregates, Cement and Ready</w:t>
            </w:r>
            <w:r>
              <w:rPr>
                <w:rFonts w:ascii="Calibri" w:hAnsi="Calibri"/>
                <w:color w:val="000000"/>
                <w:sz w:val="22"/>
              </w:rPr>
              <w:t xml:space="preserve"> </w:t>
            </w:r>
          </w:p>
          <w:p>
            <w:pPr>
              <w:pStyle w:val="TableContents"/>
              <w:bidi w:val="0"/>
              <w:spacing w:before="0" w:after="283"/>
              <w:jc w:val="center"/>
              <w:rPr>
                <w:rFonts w:ascii="sans-serif" w:hAnsi="sans-serif"/>
                <w:color w:val="000000"/>
                <w:sz w:val="22"/>
              </w:rPr>
            </w:pPr>
            <w:r>
              <w:rPr>
                <w:rFonts w:ascii="sans-serif" w:hAnsi="sans-serif"/>
                <w:color w:val="000000"/>
                <w:sz w:val="22"/>
              </w:rPr>
              <w:t>Mixed Concrete, Asphalt and Paving Services</w:t>
            </w:r>
          </w:p>
        </w:tc>
      </w:tr>
      <w:tr>
        <w:trPr/>
        <w:tc>
          <w:tcPr>
            <w:tcW w:w="2363" w:type="dxa"/>
            <w:tcBorders/>
            <w:tcMar>
              <w:top w:w="0" w:type="dxa"/>
              <w:left w:w="0" w:type="dxa"/>
              <w:bottom w:w="0" w:type="dxa"/>
              <w:right w:w="0" w:type="dxa"/>
            </w:tcMar>
            <w:vAlign w:val="center"/>
          </w:tcPr>
          <w:p>
            <w:pPr>
              <w:pStyle w:val="TableContents"/>
              <w:bidi w:val="0"/>
              <w:spacing w:before="0" w:after="283"/>
              <w:jc w:val="left"/>
              <w:rPr/>
            </w:pPr>
            <w:r>
              <w:rPr/>
              <w:t> </w:t>
            </w:r>
          </w:p>
        </w:tc>
        <w:tc>
          <w:tcPr>
            <w:tcW w:w="7842"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sans-serif" w:hAnsi="sans-serif"/>
                <w:color w:val="000000"/>
                <w:sz w:val="22"/>
              </w:rPr>
            </w:pPr>
            <w:r>
              <w:rPr>
                <w:rFonts w:ascii="sans-serif" w:hAnsi="sans-serif"/>
                <w:color w:val="000000"/>
                <w:sz w:val="22"/>
              </w:rPr>
              <w:t>Facility Types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tcBorders/>
            <w:tcMar>
              <w:top w:w="0" w:type="dxa"/>
              <w:left w:w="0" w:type="dxa"/>
              <w:bottom w:w="0" w:type="dxa"/>
              <w:right w:w="0" w:type="dxa"/>
            </w:tcMar>
            <w:vAlign w:val="center"/>
          </w:tcPr>
          <w:p>
            <w:pPr>
              <w:pStyle w:val="TableContents"/>
              <w:bidi w:val="0"/>
              <w:jc w:val="center"/>
              <w:rPr>
                <w:rFonts w:ascii="Calibri" w:hAnsi="Calibri"/>
                <w:sz w:val="22"/>
              </w:rPr>
            </w:pPr>
            <w:r>
              <w:rPr>
                <w:rFonts w:ascii="sans-serif" w:hAnsi="sans-serif"/>
                <w:color w:val="000000"/>
                <w:sz w:val="22"/>
              </w:rPr>
              <w:t>Quarries, Mines, Asphalt Plants and</w:t>
            </w:r>
            <w:r>
              <w:rPr>
                <w:rFonts w:ascii="Calibri" w:hAnsi="Calibri"/>
                <w:color w:val="000000"/>
                <w:sz w:val="22"/>
              </w:rPr>
              <w:t xml:space="preserve"> </w:t>
            </w:r>
          </w:p>
          <w:p>
            <w:pPr>
              <w:pStyle w:val="TableContents"/>
              <w:bidi w:val="0"/>
              <w:spacing w:before="0" w:after="283"/>
              <w:jc w:val="center"/>
              <w:rPr>
                <w:rFonts w:ascii="sans-serif" w:hAnsi="sans-serif"/>
                <w:color w:val="000000"/>
                <w:sz w:val="22"/>
              </w:rPr>
            </w:pPr>
            <w:r>
              <w:rPr>
                <w:rFonts w:ascii="sans-serif" w:hAnsi="sans-serif"/>
                <w:color w:val="000000"/>
                <w:sz w:val="22"/>
              </w:rPr>
              <w:t>Distribution Facilities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jc w:val="center"/>
              <w:rPr>
                <w:rFonts w:ascii="sans-serif" w:hAnsi="sans-serif"/>
                <w:color w:val="000000"/>
                <w:sz w:val="22"/>
              </w:rPr>
            </w:pPr>
            <w:r>
              <w:rPr>
                <w:rFonts w:ascii="sans-serif" w:hAnsi="sans-serif"/>
                <w:color w:val="000000"/>
                <w:sz w:val="22"/>
              </w:rPr>
              <w:t>Quarries, Cement Plant, Asphalt Plants, Ready Mixed Concrete Plants and</w:t>
            </w:r>
          </w:p>
          <w:p>
            <w:pPr>
              <w:pStyle w:val="TableContents"/>
              <w:bidi w:val="0"/>
              <w:spacing w:before="0" w:after="20"/>
              <w:jc w:val="center"/>
              <w:rPr>
                <w:rFonts w:ascii="sans-serif" w:hAnsi="sans-serif"/>
                <w:color w:val="000000"/>
                <w:sz w:val="22"/>
              </w:rPr>
            </w:pPr>
            <w:r>
              <w:rPr>
                <w:rFonts w:ascii="sans-serif" w:hAnsi="sans-serif"/>
                <w:color w:val="000000"/>
                <w:sz w:val="22"/>
              </w:rPr>
              <w:t>Distribution Facilities</w:t>
            </w:r>
          </w:p>
        </w:tc>
      </w:tr>
      <w:tr>
        <w:trPr/>
        <w:tc>
          <w:tcPr>
            <w:tcW w:w="2363" w:type="dxa"/>
            <w:tcBorders/>
            <w:tcMar>
              <w:top w:w="0" w:type="dxa"/>
              <w:left w:w="0" w:type="dxa"/>
              <w:bottom w:w="0" w:type="dxa"/>
              <w:right w:w="0" w:type="dxa"/>
            </w:tcMar>
            <w:vAlign w:val="center"/>
          </w:tcPr>
          <w:p>
            <w:pPr>
              <w:pStyle w:val="TableContents"/>
              <w:bidi w:val="0"/>
              <w:spacing w:before="0" w:after="283"/>
              <w:jc w:val="left"/>
              <w:rPr/>
            </w:pPr>
            <w:r>
              <w:rPr/>
              <w:t> </w:t>
            </w:r>
          </w:p>
        </w:tc>
        <w:tc>
          <w:tcPr>
            <w:tcW w:w="7842" w:type="dxa"/>
            <w:gridSpan w:val="4"/>
            <w:tcBorders/>
            <w:tcMar>
              <w:top w:w="0" w:type="dxa"/>
              <w:left w:w="0" w:type="dxa"/>
              <w:bottom w:w="0" w:type="dxa"/>
              <w:right w:w="0" w:type="dxa"/>
            </w:tcMar>
            <w:vAlign w:val="center"/>
          </w:tcPr>
          <w:p>
            <w:pPr>
              <w:pStyle w:val="TableContents"/>
              <w:bidi w:val="0"/>
              <w:spacing w:before="0" w:after="283"/>
              <w:ind w:left="0" w:right="0" w:firstLine="97"/>
              <w:jc w:val="left"/>
              <w:rPr/>
            </w:pPr>
            <w:r>
              <w:rPr/>
              <w:t> </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97"/>
              <w:jc w:val="center"/>
              <w:rPr>
                <w:rFonts w:ascii="Calibri" w:hAnsi="Calibri"/>
                <w:sz w:val="22"/>
              </w:rPr>
            </w:pPr>
            <w:r>
              <w:rPr>
                <w:rFonts w:ascii="sans-serif" w:hAnsi="sans-serif"/>
                <w:color w:val="000000"/>
                <w:sz w:val="22"/>
              </w:rPr>
              <w:t>Modes of Transportation</w:t>
            </w:r>
            <w:r>
              <w:rPr>
                <w:rFonts w:ascii="Calibri" w:hAnsi="Calibri"/>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Truck, Railcar, Ship and Barge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Truck and Railcar</w:t>
            </w:r>
          </w:p>
        </w:tc>
      </w:tr>
    </w:tbl>
    <w:p>
      <w:pPr>
        <w:pStyle w:val="TextBody"/>
        <w:bidi w:val="0"/>
        <w:spacing w:before="200" w:after="283"/>
        <w:jc w:val="both"/>
        <w:rPr>
          <w:rFonts w:ascii="Calibri" w:hAnsi="Calibri"/>
          <w:sz w:val="22"/>
        </w:rPr>
      </w:pPr>
      <w:r>
        <w:rPr>
          <w:rFonts w:ascii="sans-serif" w:hAnsi="sans-serif"/>
          <w:color w:val="000000"/>
          <w:sz w:val="22"/>
        </w:rPr>
        <w:t>The Building Materials business is significantly affected by weather patterns, seasonal changes and other climate-related conditions. Production and shipment levels for aggregates, cement, ready mixed concrete and asphalt materials correlate with general construction activity levels, most of which occur in the spring, summer and fall. Thus, production and shipment levels vary by quarter. Excessive rainfall, drought, wildfire and extreme hot and cold temperatures can also jeopardize production, shipments and profitability in all markets served by the Company. Due to the potentially significant impact of weather on the Company’s operations, current-period results are not necessarily indicative of expected performance for other interim periods or the full year.</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industry.</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Page 21</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MANAGEMENT’S DISCUSSION AND ANALYSIS OF FINANCIAL CONDITION AND</w:t>
      </w:r>
    </w:p>
    <w:p>
      <w:pPr>
        <w:pStyle w:val="TextBody"/>
        <w:bidi w:val="0"/>
        <w:jc w:val="center"/>
        <w:rPr>
          <w:rFonts w:ascii="sans-serif" w:hAnsi="sans-serif"/>
          <w:color w:val="000000"/>
          <w:sz w:val="22"/>
        </w:rPr>
      </w:pPr>
      <w:r>
        <w:rPr>
          <w:rFonts w:ascii="sans-serif" w:hAnsi="sans-serif"/>
          <w:color w:val="00000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360" w:after="283"/>
        <w:jc w:val="left"/>
        <w:rPr>
          <w:rFonts w:ascii="Calibri" w:hAnsi="Calibri"/>
          <w:sz w:val="22"/>
        </w:rPr>
      </w:pPr>
      <w:r>
        <w:rPr>
          <w:rFonts w:ascii="sans-serif" w:hAnsi="sans-serif"/>
          <w:color w:val="000000"/>
          <w:sz w:val="22"/>
        </w:rPr>
        <w:t>CRITICAL ACCOUNTING POLICIES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The Company outlined its critical accounting policies in its Annual Report on Form 10-K for the year ended December 31, 2024. There were no changes to the Company’s critical accounting policies during the three months ended March 31, 2025.</w:t>
      </w:r>
      <w:r>
        <w:rPr>
          <w:rFonts w:ascii="Calibri" w:hAnsi="Calibri"/>
          <w:color w:val="000000"/>
          <w:sz w:val="22"/>
        </w:rPr>
        <w:t xml:space="preserve"> </w:t>
      </w:r>
    </w:p>
    <w:p>
      <w:pPr>
        <w:pStyle w:val="TextBody"/>
        <w:bidi w:val="0"/>
        <w:spacing w:before="240" w:after="283"/>
        <w:jc w:val="left"/>
        <w:rPr>
          <w:rFonts w:ascii="Calibri" w:hAnsi="Calibri"/>
          <w:sz w:val="22"/>
        </w:rPr>
      </w:pPr>
      <w:r>
        <w:rPr>
          <w:rFonts w:ascii="sans-serif" w:hAnsi="sans-serif"/>
          <w:color w:val="000000"/>
          <w:sz w:val="22"/>
        </w:rPr>
        <w:t>RESULTS OF OPERATIONS</w:t>
      </w:r>
      <w:r>
        <w:rPr>
          <w:rFonts w:ascii="Calibri" w:hAnsi="Calibri"/>
          <w:color w:val="00000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Earnings before interest; income taxes; depreciation, depletion and amortization; earnings/loss from nonconsolidated equity affiliates; acquisition, divestiture and integration expenses; the impact of selling acquired inventory after its markup to fair value as part of acquisition accounting (the Inventory Markup); nonrecurring gain on divestiture; and noncash asset and portfolio rationalization charge, or Adjusted EBITDA, is an indicator used by the Company and investors to evaluate the Company’s operating performance from period to period. The Company has elected to add back, for purposes of its Adjusted EBITDA calculation, acquisition, divestiture and integration expenses and the Inventory Markup only for transactions with consideration of $2.0 billion or more and expected acquisition, divestiture and integration expenses of at least $15 million.</w:t>
      </w:r>
    </w:p>
    <w:p>
      <w:pPr>
        <w:pStyle w:val="TextBody"/>
        <w:bidi w:val="0"/>
        <w:spacing w:before="120" w:after="283"/>
        <w:jc w:val="both"/>
        <w:rPr>
          <w:rFonts w:ascii="sans-serif" w:hAnsi="sans-serif"/>
          <w:color w:val="000000"/>
          <w:sz w:val="22"/>
        </w:rPr>
      </w:pPr>
      <w:r>
        <w:rPr>
          <w:rFonts w:ascii="sans-serif" w:hAnsi="sans-serif"/>
          <w:color w:val="000000"/>
          <w:sz w:val="22"/>
        </w:rPr>
        <w:t>Adjusted EBITDA is not defined by accounting principles generally accepted in the United States (GAAP) and, as such, should not be construed as an alternative to net earnings attributable to Martin Marietta, earnings from operations or operating cash flow. Since Adjusted EBITDA excludes some, but not all, items that affect net earnings and may vary among companies, Adjusted EBITDA as presented by the Company may not be comparable with similarly titled measures of other companies.</w:t>
      </w:r>
    </w:p>
    <w:p>
      <w:pPr>
        <w:pStyle w:val="TextBody"/>
        <w:bidi w:val="0"/>
        <w:spacing w:before="120" w:after="283"/>
        <w:jc w:val="both"/>
        <w:rPr>
          <w:rFonts w:ascii="sans-serif" w:hAnsi="sans-serif"/>
          <w:color w:val="000000"/>
          <w:sz w:val="22"/>
        </w:rPr>
      </w:pPr>
      <w:r>
        <w:rPr>
          <w:rFonts w:ascii="sans-serif" w:hAnsi="sans-serif"/>
          <w:color w:val="000000"/>
          <w:sz w:val="22"/>
        </w:rPr>
        <w:t>The following table presents a reconciliation of net earnings attributable to Martin Marietta to Adjusted EBITDA:</w:t>
      </w:r>
    </w:p>
    <w:p>
      <w:pPr>
        <w:pStyle w:val="TextBody"/>
        <w:bidi w:val="0"/>
        <w:jc w:val="both"/>
        <w:rPr/>
      </w:pPr>
      <w:r>
        <w:rPr/>
        <w:t> </w:t>
      </w:r>
    </w:p>
    <w:tbl>
      <w:tblPr>
        <w:tblW w:w="9142" w:type="dxa"/>
        <w:jc w:val="left"/>
        <w:tblInd w:w="0" w:type="dxa"/>
        <w:tblLayout w:type="fixed"/>
        <w:tblCellMar>
          <w:top w:w="28" w:type="dxa"/>
          <w:left w:w="28" w:type="dxa"/>
          <w:bottom w:w="28" w:type="dxa"/>
          <w:right w:w="28" w:type="dxa"/>
        </w:tblCellMar>
      </w:tblPr>
      <w:tblGrid>
        <w:gridCol w:w="6096"/>
        <w:gridCol w:w="146"/>
        <w:gridCol w:w="282"/>
        <w:gridCol w:w="613"/>
        <w:gridCol w:w="161"/>
        <w:gridCol w:w="161"/>
        <w:gridCol w:w="282"/>
        <w:gridCol w:w="960"/>
        <w:gridCol w:w="441"/>
      </w:tblGrid>
      <w:tr>
        <w:trPr/>
        <w:tc>
          <w:tcPr>
            <w:tcW w:w="6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earnings attributable to Martin Marietta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1,045</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 back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Interest expense, net of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51</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w:t>
            </w:r>
          </w:p>
        </w:tc>
        <w:tc>
          <w:tcPr>
            <w:tcW w:w="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Income tax expense for 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368</w:t>
            </w:r>
          </w:p>
        </w:tc>
        <w:tc>
          <w:tcPr>
            <w:tcW w:w="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 xml:space="preserve">Depreciation, depletion and amortization expense </w:t>
              <w:br/>
              <w:t xml:space="preserve">   and earnings/loss from nonconsolidated equity </w:t>
              <w:br/>
              <w:t>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152</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128</w:t>
            </w:r>
          </w:p>
        </w:tc>
        <w:tc>
          <w:tcPr>
            <w:tcW w:w="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Acquisition, divestiture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Nonrecurring gain on 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(1,331</w:t>
            </w:r>
          </w:p>
        </w:tc>
        <w:tc>
          <w:tcPr>
            <w:tcW w:w="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Noncash asset and portfolio rationalization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351</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291</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Calibri" w:hAnsi="Calibri"/>
          <w:sz w:val="22"/>
        </w:rPr>
      </w:pPr>
      <w:r>
        <w:rPr>
          <w:rFonts w:ascii="sans-serif" w:hAnsi="sans-serif"/>
          <w:color w:val="000000"/>
          <w:sz w:val="22"/>
        </w:rPr>
        <w:t>Page 22</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MANAGEMENT’S DISCUSSION AND ANALYSIS OF FINANCIAL CONDITION AND</w:t>
      </w:r>
    </w:p>
    <w:p>
      <w:pPr>
        <w:pStyle w:val="TextBody"/>
        <w:bidi w:val="0"/>
        <w:jc w:val="center"/>
        <w:rPr>
          <w:rFonts w:ascii="sans-serif" w:hAnsi="sans-serif"/>
          <w:color w:val="000000"/>
          <w:sz w:val="22"/>
        </w:rPr>
      </w:pPr>
      <w:r>
        <w:rPr>
          <w:rFonts w:ascii="sans-serif" w:hAnsi="sans-serif"/>
          <w:color w:val="00000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Calibri" w:hAnsi="Calibri"/>
          <w:sz w:val="22"/>
        </w:rPr>
      </w:pPr>
      <w:r>
        <w:rPr>
          <w:rFonts w:ascii="sans-serif" w:hAnsi="sans-serif"/>
          <w:color w:val="000000"/>
          <w:sz w:val="22"/>
        </w:rPr>
        <w:t>The following tables present revenues and gross profit (loss) for the Company and its reportable segments by product line for the three months ended March 31, 2025 and 2024. Gross profit (loss) is stated as a percentage of revenues of the Company, the relevant segment or the product line, as the case may be.</w:t>
      </w:r>
      <w:r>
        <w:rPr>
          <w:rFonts w:ascii="Calibri" w:hAnsi="Calibri"/>
          <w:color w:val="000000"/>
          <w:sz w:val="22"/>
        </w:rPr>
        <w:t xml:space="preserve"> </w:t>
      </w:r>
    </w:p>
    <w:p>
      <w:pPr>
        <w:pStyle w:val="TextBody"/>
        <w:bidi w:val="0"/>
        <w:jc w:val="both"/>
        <w:rPr/>
      </w:pPr>
      <w:r>
        <w:rPr/>
        <w:t> </w:t>
      </w:r>
    </w:p>
    <w:tbl>
      <w:tblPr>
        <w:tblW w:w="8453" w:type="dxa"/>
        <w:jc w:val="left"/>
        <w:tblInd w:w="0" w:type="dxa"/>
        <w:tblLayout w:type="fixed"/>
        <w:tblCellMar>
          <w:top w:w="28" w:type="dxa"/>
          <w:left w:w="28" w:type="dxa"/>
          <w:bottom w:w="28" w:type="dxa"/>
          <w:right w:w="28" w:type="dxa"/>
        </w:tblCellMar>
      </w:tblPr>
      <w:tblGrid>
        <w:gridCol w:w="4566"/>
        <w:gridCol w:w="146"/>
        <w:gridCol w:w="256"/>
        <w:gridCol w:w="781"/>
        <w:gridCol w:w="196"/>
        <w:gridCol w:w="146"/>
        <w:gridCol w:w="146"/>
        <w:gridCol w:w="146"/>
        <w:gridCol w:w="256"/>
        <w:gridCol w:w="781"/>
        <w:gridCol w:w="196"/>
        <w:gridCol w:w="146"/>
        <w:gridCol w:w="691"/>
      </w:tblGrid>
      <w:tr>
        <w:trPr/>
        <w:tc>
          <w:tcPr>
            <w:tcW w:w="4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 March 31,</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East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Asphalt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Less: Interproduct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East Group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West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Cement and ready mixed concrete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Asphalt and paving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Less: Interproduct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West Group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667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Magnesia 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1,353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1,251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91"/>
        <w:gridCol w:w="146"/>
        <w:gridCol w:w="317"/>
        <w:gridCol w:w="689"/>
        <w:gridCol w:w="196"/>
        <w:gridCol w:w="146"/>
        <w:gridCol w:w="1640"/>
        <w:gridCol w:w="146"/>
        <w:gridCol w:w="317"/>
        <w:gridCol w:w="689"/>
        <w:gridCol w:w="196"/>
        <w:gridCol w:w="146"/>
        <w:gridCol w:w="1686"/>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 March 31,</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 of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 of Revenues</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8"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(Dollars in Millions)</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Gross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rFonts w:ascii="sans-serif" w:hAnsi="sans-serif"/>
                <w:color w:val="000000"/>
                <w:sz w:val="22"/>
              </w:rPr>
            </w:pPr>
            <w:r>
              <w:rPr>
                <w:rFonts w:ascii="sans-serif" w:hAnsi="sans-serif"/>
                <w:color w:val="000000"/>
                <w:sz w:val="22"/>
              </w:rPr>
              <w:t>27%</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Cement and ready mixed concrete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center"/>
              <w:rPr>
                <w:rFonts w:ascii="sans-serif" w:hAnsi="sans-serif"/>
                <w:color w:val="000000"/>
                <w:sz w:val="22"/>
              </w:rPr>
            </w:pPr>
            <w:r>
              <w:rPr>
                <w:rFonts w:ascii="sans-serif" w:hAnsi="sans-serif"/>
                <w:color w:val="000000"/>
                <w:sz w:val="22"/>
              </w:rPr>
              <w:t>12%</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Asphalt and paving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(36%)</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21%</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Magnesia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36%</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22%</w:t>
            </w:r>
          </w:p>
        </w:tc>
      </w:tr>
    </w:tbl>
    <w:p>
      <w:pPr>
        <w:pStyle w:val="TextBody"/>
        <w:bidi w:val="0"/>
        <w:jc w:val="both"/>
        <w:rPr/>
      </w:pPr>
      <w:r>
        <w:rPr/>
        <w:t> </w:t>
      </w:r>
    </w:p>
    <w:p>
      <w:pPr>
        <w:pStyle w:val="TextBody"/>
        <w:bidi w:val="0"/>
        <w:jc w:val="both"/>
        <w:rPr/>
      </w:pPr>
      <w:r>
        <w:rPr/>
        <w:t> </w:t>
      </w:r>
    </w:p>
    <w:p>
      <w:pPr>
        <w:pStyle w:val="TextBody"/>
        <w:bidi w:val="0"/>
        <w:jc w:val="center"/>
        <w:rPr>
          <w:rFonts w:ascii="Calibri" w:hAnsi="Calibri"/>
          <w:sz w:val="22"/>
        </w:rPr>
      </w:pPr>
      <w:r>
        <w:rPr>
          <w:rFonts w:ascii="sans-serif" w:hAnsi="sans-serif"/>
          <w:color w:val="000000"/>
          <w:sz w:val="22"/>
        </w:rPr>
        <w:t>Page 23</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MANAGEMENT’S DISCUSSION AND ANALYSIS OF FINANCIAL CONDITION AND</w:t>
      </w:r>
    </w:p>
    <w:p>
      <w:pPr>
        <w:pStyle w:val="TextBody"/>
        <w:bidi w:val="0"/>
        <w:jc w:val="center"/>
        <w:rPr>
          <w:rFonts w:ascii="sans-serif" w:hAnsi="sans-serif"/>
          <w:color w:val="000000"/>
          <w:sz w:val="22"/>
        </w:rPr>
      </w:pPr>
      <w:r>
        <w:rPr>
          <w:rFonts w:ascii="sans-serif" w:hAnsi="sans-serif"/>
          <w:color w:val="00000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240" w:after="283"/>
        <w:jc w:val="left"/>
        <w:rPr>
          <w:rFonts w:ascii="Calibri" w:hAnsi="Calibri"/>
          <w:sz w:val="22"/>
        </w:rPr>
      </w:pPr>
      <w:r>
        <w:rPr>
          <w:rFonts w:ascii="sans-serif" w:hAnsi="sans-serif"/>
          <w:i/>
          <w:color w:val="000000"/>
          <w:sz w:val="22"/>
        </w:rPr>
        <w:t>Building Materials Business</w:t>
      </w:r>
      <w:r>
        <w:rPr>
          <w:rFonts w:ascii="Calibri" w:hAnsi="Calibri"/>
          <w:color w:val="000000"/>
          <w:sz w:val="22"/>
        </w:rPr>
        <w:t xml:space="preserve"> </w:t>
      </w:r>
    </w:p>
    <w:p>
      <w:pPr>
        <w:pStyle w:val="TextBody"/>
        <w:bidi w:val="0"/>
        <w:spacing w:before="120" w:after="120"/>
        <w:jc w:val="both"/>
        <w:rPr>
          <w:rFonts w:ascii="sans-serif" w:hAnsi="sans-serif"/>
          <w:color w:val="000000"/>
          <w:sz w:val="22"/>
        </w:rPr>
      </w:pPr>
      <w:r>
        <w:rPr>
          <w:rFonts w:ascii="sans-serif" w:hAnsi="sans-serif"/>
          <w:color w:val="000000"/>
          <w:sz w:val="22"/>
        </w:rPr>
        <w:t>The following table presents shipment data for the Building Materials business:</w:t>
      </w:r>
    </w:p>
    <w:p>
      <w:pPr>
        <w:pStyle w:val="TextBody"/>
        <w:bidi w:val="0"/>
        <w:jc w:val="both"/>
        <w:rPr/>
      </w:pPr>
      <w:r>
        <w:rPr/>
        <w:t> </w:t>
      </w:r>
    </w:p>
    <w:tbl>
      <w:tblPr>
        <w:tblW w:w="7894" w:type="dxa"/>
        <w:jc w:val="left"/>
        <w:tblInd w:w="0" w:type="dxa"/>
        <w:tblLayout w:type="fixed"/>
        <w:tblCellMar>
          <w:top w:w="28" w:type="dxa"/>
          <w:left w:w="28" w:type="dxa"/>
          <w:bottom w:w="28" w:type="dxa"/>
          <w:right w:w="28" w:type="dxa"/>
        </w:tblCellMar>
      </w:tblPr>
      <w:tblGrid>
        <w:gridCol w:w="4036"/>
        <w:gridCol w:w="146"/>
        <w:gridCol w:w="150"/>
        <w:gridCol w:w="651"/>
        <w:gridCol w:w="150"/>
        <w:gridCol w:w="150"/>
        <w:gridCol w:w="150"/>
        <w:gridCol w:w="651"/>
        <w:gridCol w:w="150"/>
        <w:gridCol w:w="150"/>
        <w:gridCol w:w="150"/>
        <w:gridCol w:w="744"/>
        <w:gridCol w:w="419"/>
        <w:gridCol w:w="197"/>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2"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 March 31,</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 Change</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(In Millions)</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Aggregates tons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36.6</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6.6</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Cement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(26.7</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Ready Mixed Concrete cubic yards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(6.9</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Asphalt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26.3</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Calibri" w:hAnsi="Calibri"/>
          <w:sz w:val="22"/>
        </w:rPr>
      </w:pPr>
      <w:r>
        <w:rPr>
          <w:rFonts w:ascii="sans-serif" w:hAnsi="sans-serif"/>
          <w:color w:val="000000"/>
          <w:sz w:val="22"/>
        </w:rPr>
        <w:t>First-quarter aggregates shipments increased 6.6% to 39.0 million tons due to contributions from acquisitions, partially offset by severe winter weather in January and February across many Southeast, Southwest and Midwest markets. As the winter weather abated in March, organic shipments increased double digits, reflecting underlying strength in key Sunbelt markets. Pricing momentum continued as average selling price (ASP) increased 6.8% to $23.77 per ton, inclusive of acquired operations.</w:t>
      </w:r>
      <w:r>
        <w:rPr>
          <w:rFonts w:ascii="Calibri" w:hAnsi="Calibri"/>
          <w:color w:val="000000"/>
          <w:sz w:val="22"/>
        </w:rPr>
        <w:t xml:space="preserve"> </w:t>
      </w:r>
    </w:p>
    <w:p>
      <w:pPr>
        <w:pStyle w:val="TextBody"/>
        <w:bidi w:val="0"/>
        <w:spacing w:before="200" w:after="283"/>
        <w:jc w:val="both"/>
        <w:rPr>
          <w:rFonts w:ascii="sans-serif" w:hAnsi="sans-serif"/>
          <w:color w:val="000000"/>
          <w:sz w:val="22"/>
        </w:rPr>
      </w:pPr>
      <w:r>
        <w:rPr>
          <w:rFonts w:ascii="sans-serif" w:hAnsi="sans-serif"/>
          <w:color w:val="000000"/>
          <w:sz w:val="22"/>
        </w:rPr>
        <w:t>Aggregates gross profit increased 24% to $297 million and gross margin expanded 260 basis points to 30%, driven by organic price/cost improvement and margin-accretive acquisitions. Aggregates gross profit per ton increased 16% to $7.60.</w:t>
      </w:r>
    </w:p>
    <w:p>
      <w:pPr>
        <w:pStyle w:val="TextBody"/>
        <w:bidi w:val="0"/>
        <w:spacing w:before="200" w:after="283"/>
        <w:jc w:val="both"/>
        <w:rPr>
          <w:rFonts w:ascii="Calibri" w:hAnsi="Calibri"/>
          <w:sz w:val="22"/>
        </w:rPr>
      </w:pPr>
      <w:r>
        <w:rPr>
          <w:rFonts w:ascii="sans-serif" w:hAnsi="sans-serif"/>
          <w:color w:val="000000"/>
          <w:sz w:val="22"/>
        </w:rPr>
        <w:t>Cement and ready mixed concrete revenues decreased 12% to $233 million compared with the prior-year quarter due to the February 2024 divestiture of the South Texas cement plant and related concrete operations, winter weather in February 2025 and slower residential demand. Gross profit decreased 23% to $24 million as the year-over-year gross profit improvement in cement was more than offset by a decline in ready mixed concrete gross profit due to higher raw material costs.</w:t>
      </w:r>
      <w:r>
        <w:rPr>
          <w:rFonts w:ascii="Calibri" w:hAnsi="Calibri"/>
          <w:color w:val="00000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Asphalt and paving revenues increased 37% from the prior-year quarter to $80 million due to increased asphalt shipments in California. Consistent with the Company's historical first-quarter trends, the business posted a gross loss of $23 million due to seasonal winter operational shutdowns in Minnesota and higher raw material costs in Colorado.</w:t>
      </w:r>
    </w:p>
    <w:p>
      <w:pPr>
        <w:pStyle w:val="TextBody"/>
        <w:bidi w:val="0"/>
        <w:spacing w:before="240" w:after="283"/>
        <w:jc w:val="left"/>
        <w:rPr>
          <w:rFonts w:ascii="sans-serif" w:hAnsi="sans-serif"/>
          <w:i/>
          <w:color w:val="000000"/>
          <w:sz w:val="22"/>
        </w:rPr>
      </w:pPr>
      <w:r>
        <w:rPr>
          <w:rFonts w:ascii="sans-serif" w:hAnsi="sans-serif"/>
          <w:i/>
          <w:color w:val="000000"/>
          <w:sz w:val="22"/>
        </w:rPr>
        <w:t>Aggregates End-Use Markets</w:t>
      </w:r>
    </w:p>
    <w:p>
      <w:pPr>
        <w:pStyle w:val="TextBody"/>
        <w:bidi w:val="0"/>
        <w:spacing w:before="200" w:after="283"/>
        <w:jc w:val="both"/>
        <w:rPr>
          <w:rFonts w:ascii="Calibri" w:hAnsi="Calibri"/>
          <w:sz w:val="22"/>
        </w:rPr>
      </w:pPr>
      <w:r>
        <w:rPr>
          <w:rFonts w:ascii="sans-serif" w:hAnsi="sans-serif"/>
          <w:color w:val="000000"/>
          <w:sz w:val="22"/>
        </w:rPr>
        <w:t>Aggregates shipments to the infrastructure market increased 3% quarter-over-quarter as contributions from operations acquired in 2024 more than offset weather-driven project delays. The infrastructure market accounted for 33% of first-quarter aggregates shipments.</w:t>
      </w:r>
      <w:r>
        <w:rPr>
          <w:rFonts w:ascii="Calibri" w:hAnsi="Calibri"/>
          <w:color w:val="000000"/>
          <w:sz w:val="22"/>
        </w:rPr>
        <w:t xml:space="preserve"> </w:t>
      </w:r>
    </w:p>
    <w:p>
      <w:pPr>
        <w:pStyle w:val="TextBody"/>
        <w:bidi w:val="0"/>
        <w:spacing w:before="200" w:after="283"/>
        <w:jc w:val="both"/>
        <w:rPr>
          <w:rFonts w:ascii="sans-serif" w:hAnsi="sans-serif"/>
          <w:color w:val="000000"/>
          <w:sz w:val="22"/>
        </w:rPr>
      </w:pPr>
      <w:r>
        <w:rPr>
          <w:rFonts w:ascii="sans-serif" w:hAnsi="sans-serif"/>
          <w:color w:val="000000"/>
          <w:sz w:val="22"/>
        </w:rPr>
        <w:t>Aggregates shipments to the nonresidential market increased 6%, reflecting contributions from acquired operations that more than offset declining warehouse construction and severe winter weather in many of the Company's markets. The nonresidential market represented 36% of first-quarter aggregates shipments.</w:t>
      </w:r>
    </w:p>
    <w:p>
      <w:pPr>
        <w:pStyle w:val="TextBody"/>
        <w:bidi w:val="0"/>
        <w:spacing w:before="200" w:after="283"/>
        <w:jc w:val="both"/>
        <w:rPr>
          <w:rFonts w:ascii="Calibri" w:hAnsi="Calibri"/>
          <w:sz w:val="22"/>
        </w:rPr>
      </w:pPr>
      <w:r>
        <w:rPr>
          <w:rFonts w:ascii="sans-serif" w:hAnsi="sans-serif"/>
          <w:color w:val="000000"/>
          <w:sz w:val="22"/>
        </w:rPr>
        <w:t>Aggregates shipments to the residential market increased 10%, driven by contributions from acquired operations. The Company continues to experience general softening in single-family housing within some markets resulting from affordability headwinds. The residential market accounted for 24% of first-quarter aggregates shipments.</w:t>
      </w:r>
      <w:r>
        <w:rPr>
          <w:rFonts w:ascii="Calibri" w:hAnsi="Calibri"/>
          <w:color w:val="000000"/>
          <w:sz w:val="22"/>
        </w:rPr>
        <w:t xml:space="preserve"> </w:t>
      </w:r>
    </w:p>
    <w:p>
      <w:pPr>
        <w:pStyle w:val="TextBody"/>
        <w:bidi w:val="0"/>
        <w:spacing w:before="200" w:after="283"/>
        <w:jc w:val="both"/>
        <w:rPr>
          <w:rFonts w:ascii="Calibri" w:hAnsi="Calibri"/>
          <w:sz w:val="22"/>
        </w:rPr>
      </w:pPr>
      <w:r>
        <w:rPr>
          <w:rFonts w:ascii="sans-serif" w:hAnsi="sans-serif"/>
          <w:color w:val="000000"/>
          <w:sz w:val="22"/>
        </w:rPr>
        <w:t>The ChemRock/Rail market accounted for the remaining 7% of first-quarter aggregates shipments. Volumes to this end use market increased 20% quarter-over-quarter due to robust agricultural lime and ballast shipments.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Page 24</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MANAGEMENT’S DISCUSSION AND ANALYSIS OF FINANCIAL CONDITION AND</w:t>
      </w:r>
    </w:p>
    <w:p>
      <w:pPr>
        <w:pStyle w:val="TextBody"/>
        <w:bidi w:val="0"/>
        <w:jc w:val="center"/>
        <w:rPr>
          <w:rFonts w:ascii="sans-serif" w:hAnsi="sans-serif"/>
          <w:color w:val="000000"/>
          <w:sz w:val="22"/>
        </w:rPr>
      </w:pPr>
      <w:r>
        <w:rPr>
          <w:rFonts w:ascii="sans-serif" w:hAnsi="sans-serif"/>
          <w:color w:val="00000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240" w:after="283"/>
        <w:jc w:val="left"/>
        <w:rPr>
          <w:rFonts w:ascii="Calibri" w:hAnsi="Calibri"/>
          <w:sz w:val="22"/>
        </w:rPr>
      </w:pPr>
      <w:r>
        <w:rPr>
          <w:rFonts w:ascii="sans-serif" w:hAnsi="sans-serif"/>
          <w:i/>
          <w:color w:val="000000"/>
          <w:sz w:val="22"/>
        </w:rPr>
        <w:t>Magnesia Specialties Business</w:t>
      </w:r>
      <w:r>
        <w:rPr>
          <w:rFonts w:ascii="Calibri" w:hAnsi="Calibri"/>
          <w:color w:val="00000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Magnesia Specialties first-quarter revenues of $87 million increased 8% and gross profit increased 33% to $38 million, due to pricing improvement and continued cost discipline.</w:t>
      </w:r>
    </w:p>
    <w:p>
      <w:pPr>
        <w:pStyle w:val="TextBody"/>
        <w:bidi w:val="0"/>
        <w:spacing w:before="240" w:after="283"/>
        <w:jc w:val="left"/>
        <w:rPr>
          <w:rFonts w:ascii="sans-serif" w:hAnsi="sans-serif"/>
          <w:i/>
          <w:color w:val="000000"/>
          <w:sz w:val="22"/>
        </w:rPr>
      </w:pPr>
      <w:r>
        <w:rPr>
          <w:rFonts w:ascii="sans-serif" w:hAnsi="sans-serif"/>
          <w:i/>
          <w:color w:val="000000"/>
          <w:sz w:val="22"/>
        </w:rPr>
        <w:t xml:space="preserve">Consolidated Operating Results </w:t>
      </w:r>
    </w:p>
    <w:p>
      <w:pPr>
        <w:pStyle w:val="TextBody"/>
        <w:bidi w:val="0"/>
        <w:spacing w:before="120" w:after="283"/>
        <w:jc w:val="both"/>
        <w:rPr>
          <w:rFonts w:ascii="sans-serif" w:hAnsi="sans-serif"/>
          <w:color w:val="000000"/>
          <w:sz w:val="22"/>
        </w:rPr>
      </w:pPr>
      <w:r>
        <w:rPr>
          <w:rFonts w:ascii="sans-serif" w:hAnsi="sans-serif"/>
          <w:color w:val="000000"/>
          <w:sz w:val="22"/>
        </w:rPr>
        <w:t>Consolidated SG&amp;A for the first quarter of 2025 was 9.6% of revenues compared with 9.5% in the prior-year quarter.</w:t>
      </w:r>
    </w:p>
    <w:p>
      <w:pPr>
        <w:pStyle w:val="TextBody"/>
        <w:bidi w:val="0"/>
        <w:spacing w:before="120" w:after="283"/>
        <w:jc w:val="both"/>
        <w:rPr>
          <w:rFonts w:ascii="sans-serif" w:hAnsi="sans-serif"/>
          <w:color w:val="000000"/>
          <w:sz w:val="22"/>
        </w:rPr>
      </w:pPr>
      <w:r>
        <w:rPr>
          <w:rFonts w:ascii="sans-serif" w:hAnsi="sans-serif"/>
          <w:color w:val="000000"/>
          <w:sz w:val="22"/>
        </w:rPr>
        <w:t>For the three months ended March 31, consolidated other operating expense (income), net, was expense of $9 million in 2025 and income of $1.3 billion in 2024. The 2024 amount included a $1.3 billion pretax gain on the divestiture of the South Texas cement business and certain of its related ready mixed concrete operations (the Divestiture; see Note 2 to the unaudited consolidated financial statements), which was partially offset by a $49 million pretax, noncash asset and portfolio rationalization charge (the Rationalization Charge; see Note 13 to the unaudited consolidated financial statements).</w:t>
      </w:r>
    </w:p>
    <w:p>
      <w:pPr>
        <w:pStyle w:val="TextBody"/>
        <w:bidi w:val="0"/>
        <w:spacing w:before="120" w:after="283"/>
        <w:jc w:val="both"/>
        <w:rPr>
          <w:rFonts w:ascii="Calibri" w:hAnsi="Calibri"/>
          <w:sz w:val="22"/>
        </w:rPr>
      </w:pPr>
      <w:r>
        <w:rPr>
          <w:rFonts w:ascii="sans-serif" w:hAnsi="sans-serif"/>
          <w:color w:val="000000"/>
          <w:sz w:val="22"/>
        </w:rPr>
        <w:t>Earnings from operations for the three months ended March 31 were $194 million in 2025 compared with $1.4 billion in 2024.</w:t>
      </w:r>
      <w:r>
        <w:rPr>
          <w:rFonts w:ascii="Calibri" w:hAnsi="Calibri"/>
          <w:color w:val="00000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For the first quarter, other nonoperating income, net, was $10 million and $33 million in 2025 and 2024, respectively, with the decrease resulting from lower interest income.</w:t>
      </w:r>
    </w:p>
    <w:p>
      <w:pPr>
        <w:pStyle w:val="TextBody"/>
        <w:bidi w:val="0"/>
        <w:spacing w:before="120" w:after="283"/>
        <w:jc w:val="both"/>
        <w:rPr>
          <w:rFonts w:ascii="sans-serif" w:hAnsi="sans-serif"/>
          <w:color w:val="000000"/>
          <w:sz w:val="22"/>
        </w:rPr>
      </w:pPr>
      <w:r>
        <w:rPr>
          <w:rFonts w:ascii="sans-serif" w:hAnsi="sans-serif"/>
          <w:color w:val="000000"/>
          <w:sz w:val="22"/>
        </w:rPr>
        <w:t>For the three months ended March 31, 2025 and 2024, the effective income tax rates were 21.3% and 26.0%, respectively. The higher 2024 effective income tax rate versus 2025 was driven by the Divestiture, which reflected the write-off of certain nondeductible goodwill and was treated as a discrete tax event.</w:t>
      </w:r>
    </w:p>
    <w:p>
      <w:pPr>
        <w:pStyle w:val="TextBody"/>
        <w:bidi w:val="0"/>
        <w:spacing w:before="120" w:after="283"/>
        <w:jc w:val="both"/>
        <w:rPr>
          <w:rFonts w:ascii="sans-serif" w:hAnsi="sans-serif"/>
          <w:color w:val="000000"/>
          <w:sz w:val="22"/>
        </w:rPr>
      </w:pPr>
      <w:r>
        <w:rPr>
          <w:rFonts w:ascii="sans-serif" w:hAnsi="sans-serif"/>
          <w:color w:val="000000"/>
          <w:sz w:val="22"/>
        </w:rPr>
        <w:t>For the three months ended March 31, net earnings attributable to Martin Marietta were $116 million, or $1.90 per diluted share, in 2025 compared with $1.0 billion, or $16.87 per diluted share, in 2024. First-quarter 2024 included an after-tax gain of $976 million, or $15.75 per diluted share, on the Divestiture and an after-tax loss of $37 million, or $0.59 per diluted share, for the Rationalization Charge. Earnings per diluted share for 2024 also included acquisition, divestiture and integration expenses of $0.22 per diluted share.</w:t>
      </w:r>
    </w:p>
    <w:p>
      <w:pPr>
        <w:pStyle w:val="TextBody"/>
        <w:bidi w:val="0"/>
        <w:spacing w:before="360" w:after="283"/>
        <w:jc w:val="left"/>
        <w:rPr>
          <w:rFonts w:ascii="Calibri" w:hAnsi="Calibri"/>
          <w:sz w:val="22"/>
        </w:rPr>
      </w:pPr>
      <w:r>
        <w:rPr>
          <w:rFonts w:ascii="sans-serif" w:hAnsi="sans-serif"/>
          <w:color w:val="000000"/>
          <w:sz w:val="22"/>
        </w:rPr>
        <w:t>LIQUIDITY AND CAPITAL RESOURCES</w:t>
      </w:r>
      <w:r>
        <w:rPr>
          <w:rFonts w:ascii="Calibri" w:hAnsi="Calibri"/>
          <w:color w:val="00000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Cash provided by operating activities for the three months ended March 31, 2025 and 2024 was $218 million and $172 million, respectively. Operating cash flow is substantially derived from consolidated net earnings before deducting depreciation, depletion and amortization, changes in working capital requirements, and, in 2024, the nonrecurring gain on divestiture.</w:t>
      </w:r>
    </w:p>
    <w:p>
      <w:pPr>
        <w:pStyle w:val="TextBody"/>
        <w:bidi w:val="0"/>
        <w:spacing w:before="120" w:after="283"/>
        <w:jc w:val="both"/>
        <w:rPr>
          <w:rFonts w:ascii="sans-serif" w:hAnsi="sans-serif"/>
          <w:color w:val="000000"/>
          <w:sz w:val="22"/>
        </w:rPr>
      </w:pPr>
      <w:r>
        <w:rPr>
          <w:rFonts w:ascii="sans-serif" w:hAnsi="sans-serif"/>
          <w:color w:val="000000"/>
          <w:sz w:val="22"/>
        </w:rPr>
        <w:t>The Internal Revenue Service has provided certain disaster tax relief for North Carolina businesses affected by Hurricanes Debby and Helene, which allows the Company to defer estimated federal and certain state income, payroll and excise tax payments for the period from August 2024 through September 2025. The deferred obligation will be due September 25, 2025. The Company deferred income tax payments of $102 million under this provision as of March 31, 2025.</w:t>
      </w:r>
    </w:p>
    <w:p>
      <w:pPr>
        <w:pStyle w:val="TextBody"/>
        <w:bidi w:val="0"/>
        <w:spacing w:before="200" w:after="283"/>
        <w:jc w:val="both"/>
        <w:rPr>
          <w:rFonts w:ascii="Calibri" w:hAnsi="Calibri"/>
          <w:sz w:val="22"/>
        </w:rPr>
      </w:pPr>
      <w:r>
        <w:rPr>
          <w:rFonts w:ascii="sans-serif" w:hAnsi="sans-serif"/>
          <w:color w:val="000000"/>
          <w:sz w:val="22"/>
        </w:rPr>
        <w:t>The seasonal nature of construction activity impacts the Company’s interim operating cash flow when compared with the full year. Full-year 2024 net cash provided by operating activities was $1.5 billion.</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During the three months ended March 31, 2025 and 2024, the Company paid $233 million and $200 million, respectively, for additions to property, plant and equipment.</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Page 25</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MANAGEMENT’S DISCUSSION AND ANALYSIS OF FINANCIAL CONDITION AND</w:t>
      </w:r>
    </w:p>
    <w:p>
      <w:pPr>
        <w:pStyle w:val="TextBody"/>
        <w:bidi w:val="0"/>
        <w:jc w:val="center"/>
        <w:rPr>
          <w:rFonts w:ascii="sans-serif" w:hAnsi="sans-serif"/>
          <w:color w:val="000000"/>
          <w:sz w:val="22"/>
        </w:rPr>
      </w:pPr>
      <w:r>
        <w:rPr>
          <w:rFonts w:ascii="sans-serif" w:hAnsi="sans-serif"/>
          <w:color w:val="00000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120" w:after="283"/>
        <w:jc w:val="both"/>
        <w:rPr>
          <w:rFonts w:ascii="Calibri" w:hAnsi="Calibri"/>
          <w:sz w:val="22"/>
        </w:rPr>
      </w:pPr>
      <w:r>
        <w:rPr>
          <w:rFonts w:ascii="sans-serif" w:hAnsi="sans-serif"/>
          <w:color w:val="000000"/>
          <w:sz w:val="22"/>
        </w:rPr>
        <w:t>During the first quarter of 2024, the Company received pretax cash proceeds of $2.1 billion from the Divestiture. On April 5, 2024, the Company used $2.05 billion of cash on hand to fund the acquisition of 20 active aggregates operations in Alabama, South Carolina, South Florida, Tennessee, and Virginia from affiliates of Blue Water Industries LLC.</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The Company can repurchase its common stock through open-market purchases pursuant to authority granted by its Board of Directors or through private transactions at such prices and upon such terms as the Chief Executive Officer deems appropriate. During the first three months of 2025, the Company repurchased 910,831 shares of common stock at an average price of $494.04 and an aggregate cost of $450 million. At March 31, 2025, 11.0 million shares of common stock remain under the Company’s repurchase authorization.</w:t>
      </w:r>
      <w:r>
        <w:rPr>
          <w:rFonts w:ascii="Calibri" w:hAnsi="Calibri"/>
          <w:color w:val="00000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The Company, through a wholly-owned special-purpose subsidiary, has a $400 million trade receivable securitization facility (the Trade Receivable Facility) that matures on September 17, 2025. The Trade Receivable Facility contains a cross-default provision to the Company’s other debt agreements.</w:t>
      </w:r>
    </w:p>
    <w:p>
      <w:pPr>
        <w:pStyle w:val="TextBody"/>
        <w:bidi w:val="0"/>
        <w:spacing w:before="120" w:after="283"/>
        <w:jc w:val="both"/>
        <w:rPr>
          <w:rFonts w:ascii="Calibri" w:hAnsi="Calibri"/>
          <w:sz w:val="22"/>
        </w:rPr>
      </w:pPr>
      <w:r>
        <w:rPr>
          <w:rFonts w:ascii="sans-serif" w:hAnsi="sans-serif"/>
          <w:color w:val="000000"/>
          <w:sz w:val="22"/>
        </w:rPr>
        <w:t>The Company has an $800 million five-year senior unsecured revolving facility (the Revolving Facility), which matures in December 2029. The Revolving Facility requires the Company’s ratio of consolidated net debt-to-consolidated EBITDA, as defined, for the trailing-twelve-month period (the Ratio) to not exceed 3.50 times as of the end of any fiscal quarter, provided that the Company may exclude from the Ratio debt incurred in connection with certain acquisitions during the quarter or the three preceding quarters so long as the Ratio calculated without such exclusion does not exceed 4.00 times. Additionally, if there are no amounts outstanding under the Revolving Facility and the Trade Receivable Facility, consolidated debt, including debt for which the Company is a guarantor, shall be reduced in an amount equal to the lesser of $500 million or the sum of the Company’s unrestricted cash and temporary investments, for purposes of the covenant calculation. The Company was in compliance with the Ratio at March 31, 2025. In the event of a default on the Ratio, the lenders can terminate the Revolving Facility and Trade Receivable Facility and declare any outstanding balances as immediately due.</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for payment of dividends for the foreseeable future and allow the repurchase of shares of the Company’s common stock. At March 31, 2025, there were no amounts outstanding under the Trade Receivable Facility or under the Revolving Facility, and the Company had $1.2 billion of unused borrowing capacity under its Revolving Facility and Trade Receivable Facility, subject to complying with the related leverage covenant. Historically, the Company has successfully extended the maturity dates of these credit facilities.</w:t>
      </w:r>
      <w:r>
        <w:rPr>
          <w:rFonts w:ascii="Calibri" w:hAnsi="Calibri"/>
          <w:color w:val="000000"/>
          <w:sz w:val="22"/>
        </w:rPr>
        <w:t xml:space="preserve"> </w:t>
      </w:r>
    </w:p>
    <w:p>
      <w:pPr>
        <w:pStyle w:val="TextBody"/>
        <w:bidi w:val="0"/>
        <w:spacing w:before="120" w:after="283"/>
        <w:jc w:val="left"/>
        <w:rPr>
          <w:rFonts w:ascii="Calibri" w:hAnsi="Calibri"/>
          <w:sz w:val="22"/>
        </w:rPr>
      </w:pPr>
      <w:r>
        <w:rPr>
          <w:rFonts w:ascii="sans-serif" w:hAnsi="sans-serif"/>
          <w:color w:val="000000"/>
          <w:sz w:val="22"/>
        </w:rPr>
        <w:t>TRENDS AND RISKS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The Company outlined the risks associated with its business in its Annual Report on Form 10-K for the year ended December 31, 2024. Management continues to evaluate its exposure to all operating risks on an ongoing basis.</w:t>
      </w:r>
      <w:r>
        <w:rPr>
          <w:rFonts w:ascii="Calibri" w:hAnsi="Calibri"/>
          <w:color w:val="000000"/>
          <w:sz w:val="22"/>
        </w:rPr>
        <w:t xml:space="preserve"> </w:t>
      </w:r>
    </w:p>
    <w:p>
      <w:pPr>
        <w:pStyle w:val="TextBody"/>
        <w:bidi w:val="0"/>
        <w:spacing w:before="120" w:after="283"/>
        <w:jc w:val="left"/>
        <w:rPr>
          <w:rFonts w:ascii="Calibri" w:hAnsi="Calibri"/>
          <w:sz w:val="22"/>
        </w:rPr>
      </w:pPr>
      <w:r>
        <w:rPr>
          <w:rFonts w:ascii="sans-serif" w:hAnsi="sans-serif"/>
          <w:color w:val="000000"/>
          <w:sz w:val="22"/>
        </w:rPr>
        <w:t>OTHER MATTERS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 xml:space="preserve">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t>
      </w:r>
      <w:r>
        <w:rPr>
          <w:rFonts w:ascii="sans-serif" w:hAnsi="sans-serif"/>
          <w:sz w:val="22"/>
        </w:rPr>
        <w:t>www.martinmarietta.com</w:t>
      </w:r>
      <w:r>
        <w:rPr>
          <w:rFonts w:ascii="Calibri" w:hAnsi="Calibri"/>
          <w:color w:val="000000"/>
          <w:sz w:val="22"/>
        </w:rPr>
        <w:t xml:space="preserve"> </w:t>
      </w:r>
      <w:r>
        <w:rPr>
          <w:rFonts w:ascii="sans-serif" w:hAnsi="sans-serif"/>
          <w:color w:val="000000"/>
          <w:sz w:val="22"/>
        </w:rPr>
        <w:t xml:space="preserve">and are also available at the SEC’s website at </w:t>
      </w:r>
      <w:r>
        <w:rPr>
          <w:rFonts w:ascii="sans-serif" w:hAnsi="sans-serif"/>
          <w:sz w:val="22"/>
        </w:rPr>
        <w:t>www.sec.gov</w:t>
      </w:r>
      <w:r>
        <w:rPr>
          <w:rFonts w:ascii="sans-serif" w:hAnsi="sans-serif"/>
          <w:color w:val="000000"/>
          <w:sz w:val="22"/>
        </w:rPr>
        <w:t>. You may also write or call the Company’s Corporate Secretary, who will provide copies of such reports.</w:t>
      </w:r>
    </w:p>
    <w:p>
      <w:pPr>
        <w:pStyle w:val="TextBody"/>
        <w:bidi w:val="0"/>
        <w:jc w:val="center"/>
        <w:rPr>
          <w:rFonts w:ascii="Calibri" w:hAnsi="Calibri"/>
          <w:sz w:val="22"/>
        </w:rPr>
      </w:pPr>
      <w:r>
        <w:rPr>
          <w:rFonts w:ascii="sans-serif" w:hAnsi="sans-serif"/>
          <w:color w:val="000000"/>
          <w:sz w:val="22"/>
        </w:rPr>
        <w:t>Page 26</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MANAGEMENT’S DISCUSSION AND ANALYSIS OF FINANCIAL CONDITION AND</w:t>
      </w:r>
    </w:p>
    <w:p>
      <w:pPr>
        <w:pStyle w:val="TextBody"/>
        <w:bidi w:val="0"/>
        <w:jc w:val="center"/>
        <w:rPr>
          <w:rFonts w:ascii="sans-serif" w:hAnsi="sans-serif"/>
          <w:color w:val="000000"/>
          <w:sz w:val="22"/>
        </w:rPr>
      </w:pPr>
      <w:r>
        <w:rPr>
          <w:rFonts w:ascii="sans-serif" w:hAnsi="sans-serif"/>
          <w:color w:val="00000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provide the investor with the Company’s expectations or forecasts of future events. You can identify these statements by the fact that they do not relate only to historical or current facts. They may use words such as “anticipate,” “may,” “expect,” “should,” “believe,” “project,” “intend,” “will,” and other words of similar meaning in connection with future events or future operating or financial performance. Any, or all of, management’s forward-looking statements herein and in other publications may turn out to be wrong.</w:t>
      </w:r>
    </w:p>
    <w:p>
      <w:pPr>
        <w:pStyle w:val="TextBody"/>
        <w:bidi w:val="0"/>
        <w:spacing w:before="120" w:after="283"/>
        <w:jc w:val="both"/>
        <w:rPr>
          <w:rFonts w:ascii="Calibri" w:hAnsi="Calibri"/>
          <w:sz w:val="22"/>
        </w:rPr>
      </w:pPr>
      <w:r>
        <w:rPr>
          <w:rFonts w:ascii="sans-serif" w:hAnsi="sans-serif"/>
          <w:color w:val="000000"/>
          <w:sz w:val="22"/>
        </w:rPr>
        <w:t>The Company’s outlook is subject to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Form 10-Q include, but are not limited to:</w:t>
      </w:r>
      <w:r>
        <w:rPr>
          <w:rFonts w:ascii="Calibri" w:hAnsi="Calibri"/>
          <w:color w:val="000000"/>
          <w:sz w:val="22"/>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ability of the Company to face challenges, including shipment declines resulting from economic and weather events beyond the Company's control;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a widespread decline in aggregates pricing, including a decline in aggregates shipment volume negatively affecting aggregates price;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the history of both cement and ready mixed concrete being subject to significant changes in supply, demand and price fluctuations;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the termination, capping and/or reduction or suspension of the federal and/or state fuel tax(es) or other revenue related to public construction;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the impact of the new Administration on the amount available under and timing of federal and state infrastructure spending;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the level and timing of federal, state or local transportation or infrastructure or public projects funding and any issues arising from such federal and state budgets, most particularly in Texas, North Carolina, Colorado, California, Georgia, Florida, Minnesota, Arizona, South Carolina and Iowa;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the United States Congress’ inability to reach agreement among themselves or with the Executive Branch on policy issues that impact the federal budget;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the ability of states and/or other entities to finance approved projects either with tax revenues or alternative financing structures;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levels of construction spending in the markets the Company serves;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a reduction in defense spending and the subsequent impact on construction activity on or near military bases;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a decline in energy-related construction activity resulting from a sustained period of low global oil prices or changes in oil production patterns or capital spending in response to such a decline, particularly in Texas;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sustained high mortgage interest rates and other factors that have resulted in a slowdown in private construction in some geographies;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unfavorable weather conditions, particularly Atlantic Ocean, Pacific Ocean and Gulf Coast storm and hurricane activity, wildfires, the late start to spring or the early onset of winter and the impact of a drought, excessive rainfall or extreme temperatures in the markets served by the Company, any of which can significantly affect production schedules, volumes, product and/or geographic mix and profitability;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the volatility of fuel and energy costs, particularly diesel fuel, electricity, natural gas and the impact on the cost, or the availability generally, of other consumables, namely steel, explosives, tires and conveyor belts, and with respect to the Company’s Magnesia Specialties business, natural gas;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continued increases in the cost of other repair and supply parts;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 xml:space="preserve">construction labor shortages and/or supply chain challenges; </w:t>
      </w:r>
    </w:p>
    <w:p>
      <w:pPr>
        <w:pStyle w:val="TextBody"/>
        <w:bidi w:val="0"/>
        <w:jc w:val="center"/>
        <w:rPr>
          <w:rFonts w:ascii="Calibri" w:hAnsi="Calibri"/>
          <w:sz w:val="22"/>
        </w:rPr>
      </w:pPr>
      <w:r>
        <w:rPr>
          <w:rFonts w:ascii="sans-serif" w:hAnsi="sans-serif"/>
          <w:color w:val="000000"/>
          <w:sz w:val="22"/>
        </w:rPr>
        <w:t>Page 27</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MANAGEMENT’S DISCUSSION AND ANALYSIS OF FINANCIAL CONDITION AND</w:t>
      </w:r>
    </w:p>
    <w:p>
      <w:pPr>
        <w:pStyle w:val="TextBody"/>
        <w:bidi w:val="0"/>
        <w:jc w:val="center"/>
        <w:rPr>
          <w:rFonts w:ascii="sans-serif" w:hAnsi="sans-serif"/>
          <w:color w:val="000000"/>
          <w:sz w:val="22"/>
        </w:rPr>
      </w:pPr>
      <w:r>
        <w:rPr>
          <w:rFonts w:ascii="sans-serif" w:hAnsi="sans-serif"/>
          <w:color w:val="00000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unexpected equipment failures, unscheduled maintenance, industrial accident or other prolonged and/or significant disruption to production facilities;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the resiliency and potential declines of the Company's various construction end-use markets;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the potential negative impacts of outbreak of diseases, epidemic or pandemic, or similar public health threat, or fear of such event, and its related economic or societal response, including any impact on the Company's suppliers, customers or other business partners as well as on its employees;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the performance of the United States economy;</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Governmental regulation, including environmental laws and climate change regulations at both the state and federal levels;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transportation availability or a sustained reduction in capital investment by the railroads, notably the availability of railcars, locomotive power and the condition of rail infrastructure to move trains to supply the Company’s Texas, Southeast and Gulf Coast markets, including the movement of essential dolomitic lime for magnesia chemicals to the Company’s plant in Manistee, Michigan and its customers;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increased transportation costs, including increases from higher or fluctuating passed-through energy costs or fuel surcharges, and other costs to comply with tightening regulations, as well as higher volumes of rail and water shipments;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availability of trucks and licensed drivers for transport of the Company’s materials;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availability and cost of construction equipment in the United States;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weakening in the steel industry markets served by the Company’s dolomitic lime products;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potential impact on costs, supply chain, oil and gas prices, or other matters relating to geopolitical conflicts, including the war between Russia and Ukraine, the war in Israel and related conflict in the Middle East and any potential conflict between China and Taiwan;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trade disputes with one or more nations impacting the U.S. economy, including the impact of tariffs;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unplanned changes in costs or realignment of customers that introduce volatility to earnings, including that of the Magnesia Specialties business;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proper functioning of information technology and automated operating systems to manage or support operations;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inflation and its effect on both production and interest costs;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the concentration of customers in construction markets and the increased risk of potential losses on customer receivables;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the impact of the level of demand in the Company’s end-use markets, production levels and management of production costs on the operating leverage and therefore profitability of the Company;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the possibility that the expected synergies from acquisitions will not be realized or will not be realized within the expected time period, including achieving anticipated profitability to maintain compliance with the Company’s leverage ratio debt covenants;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the strategic benefits, outlook, performance and opportunities expected as a result of acquisitions and portfolio optimization will not be realized;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changes in tax laws, the interpretation of such laws and/or administrative practices, including acquisitions or divestitures, that would increase the Company’s tax rate;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violation of the Company’s debt covenants if price and/or volumes return to previous levels of instability;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cybersecurity risks;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downward pressure on the Company’s common stock price and its impact on goodwill impairment evaluations;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the possibility of a reduction of the Company’s credit rating to non-investment grade; and</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 xml:space="preserve">other risk factors listed from time to time found in the Company’s filings with the SEC. </w:t>
      </w:r>
    </w:p>
    <w:p>
      <w:pPr>
        <w:pStyle w:val="TextBody"/>
        <w:bidi w:val="0"/>
        <w:jc w:val="center"/>
        <w:rPr>
          <w:rFonts w:ascii="Calibri" w:hAnsi="Calibri"/>
          <w:sz w:val="22"/>
        </w:rPr>
      </w:pPr>
      <w:r>
        <w:rPr>
          <w:rFonts w:ascii="sans-serif" w:hAnsi="sans-serif"/>
          <w:color w:val="000000"/>
          <w:sz w:val="22"/>
        </w:rPr>
        <w:t>Page 28</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80" w:after="283"/>
        <w:jc w:val="center"/>
        <w:rPr>
          <w:rFonts w:ascii="sans-serif" w:hAnsi="sans-serif"/>
          <w:color w:val="000000"/>
          <w:sz w:val="22"/>
        </w:rPr>
      </w:pPr>
      <w:r>
        <w:rPr>
          <w:rFonts w:ascii="sans-serif" w:hAnsi="sans-serif"/>
          <w:color w:val="000000"/>
          <w:sz w:val="22"/>
        </w:rPr>
        <w:t>MANAGEMENT’S DISCUSSION AND ANALYSIS OF FINANCIAL CONDITION AND</w:t>
      </w:r>
    </w:p>
    <w:p>
      <w:pPr>
        <w:pStyle w:val="TextBody"/>
        <w:bidi w:val="0"/>
        <w:jc w:val="center"/>
        <w:rPr>
          <w:rFonts w:ascii="sans-serif" w:hAnsi="sans-serif"/>
          <w:color w:val="000000"/>
          <w:sz w:val="22"/>
        </w:rPr>
      </w:pPr>
      <w:r>
        <w:rPr>
          <w:rFonts w:ascii="sans-serif" w:hAnsi="sans-serif"/>
          <w:color w:val="00000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You should consider these forward-looking statements in light of risk factors discussed in the Company’s Annual Report on Form 10-K for the year ended December 31, 2024 and other periodic filings made with the SEC. All of the Company’s forward-looking statements should be considered in light of these factors. In addition, other risks and uncertainties not presently known to the Company or that the Company considers immaterial could affect the accuracy of its forward-looking statements, or adversely affect or be material to the Company. The Company assumes no obligation to update any such forward-looking statements.</w:t>
      </w:r>
    </w:p>
    <w:p>
      <w:pPr>
        <w:pStyle w:val="TextBody"/>
        <w:bidi w:val="0"/>
        <w:spacing w:before="120" w:after="283"/>
        <w:jc w:val="left"/>
        <w:rPr>
          <w:rFonts w:ascii="Calibri" w:hAnsi="Calibri"/>
          <w:sz w:val="22"/>
        </w:rPr>
      </w:pPr>
      <w:r>
        <w:rPr>
          <w:rFonts w:ascii="sans-serif" w:hAnsi="sans-serif"/>
          <w:color w:val="000000"/>
          <w:sz w:val="22"/>
        </w:rPr>
        <w:t>INVESTOR ACCESS TO COMPANY FILINGS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Shareholders may obtain, without charge, a copy of Martin Marietta’s Annual Report on Form 10-K, as filed with the Securities and Exchange Commission for the fiscal year ended December 31, 2024, by writing to:</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Martin Marietta</w:t>
      </w:r>
      <w:r>
        <w:rPr>
          <w:rFonts w:ascii="Calibri" w:hAnsi="Calibri"/>
          <w:color w:val="000000"/>
          <w:sz w:val="22"/>
        </w:rPr>
        <w:t xml:space="preserve"> </w:t>
      </w:r>
    </w:p>
    <w:p>
      <w:pPr>
        <w:pStyle w:val="TextBody"/>
        <w:bidi w:val="0"/>
        <w:jc w:val="both"/>
        <w:rPr>
          <w:rFonts w:ascii="Calibri" w:hAnsi="Calibri"/>
          <w:sz w:val="22"/>
        </w:rPr>
      </w:pPr>
      <w:r>
        <w:rPr>
          <w:rFonts w:ascii="sans-serif" w:hAnsi="sans-serif"/>
          <w:color w:val="000000"/>
          <w:sz w:val="22"/>
        </w:rPr>
        <w:t>Attn: Corporate Secretary</w:t>
      </w:r>
      <w:r>
        <w:rPr>
          <w:rFonts w:ascii="Calibri" w:hAnsi="Calibri"/>
          <w:color w:val="000000"/>
          <w:sz w:val="22"/>
        </w:rPr>
        <w:t xml:space="preserve"> </w:t>
      </w:r>
    </w:p>
    <w:p>
      <w:pPr>
        <w:pStyle w:val="TextBody"/>
        <w:bidi w:val="0"/>
        <w:jc w:val="both"/>
        <w:rPr>
          <w:rFonts w:ascii="Calibri" w:hAnsi="Calibri"/>
          <w:sz w:val="22"/>
        </w:rPr>
      </w:pPr>
      <w:r>
        <w:rPr>
          <w:rFonts w:ascii="sans-serif" w:hAnsi="sans-serif"/>
          <w:color w:val="000000"/>
          <w:sz w:val="22"/>
        </w:rPr>
        <w:t>4123 Parklake Avenue</w:t>
      </w:r>
      <w:r>
        <w:rPr>
          <w:rFonts w:ascii="Calibri" w:hAnsi="Calibri"/>
          <w:color w:val="000000"/>
          <w:sz w:val="22"/>
        </w:rPr>
        <w:t xml:space="preserve"> </w:t>
      </w:r>
    </w:p>
    <w:p>
      <w:pPr>
        <w:pStyle w:val="TextBody"/>
        <w:bidi w:val="0"/>
        <w:jc w:val="both"/>
        <w:rPr>
          <w:rFonts w:ascii="Calibri" w:hAnsi="Calibri"/>
          <w:sz w:val="22"/>
        </w:rPr>
      </w:pPr>
      <w:r>
        <w:rPr>
          <w:rFonts w:ascii="sans-serif" w:hAnsi="sans-serif"/>
          <w:color w:val="000000"/>
          <w:sz w:val="22"/>
        </w:rPr>
        <w:t>Raleigh, North Carolina 27612</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Telephone: (919) 510-4736</w:t>
      </w:r>
      <w:r>
        <w:rPr>
          <w:rFonts w:ascii="Calibri" w:hAnsi="Calibri"/>
          <w:color w:val="000000"/>
          <w:sz w:val="22"/>
        </w:rPr>
        <w:t xml:space="preserve"> </w:t>
      </w:r>
    </w:p>
    <w:p>
      <w:pPr>
        <w:pStyle w:val="TextBody"/>
        <w:bidi w:val="0"/>
        <w:jc w:val="both"/>
        <w:rPr>
          <w:rFonts w:ascii="Calibri" w:hAnsi="Calibri"/>
          <w:sz w:val="22"/>
        </w:rPr>
      </w:pPr>
      <w:r>
        <w:rPr>
          <w:rFonts w:ascii="sans-serif" w:hAnsi="sans-serif"/>
          <w:color w:val="000000"/>
          <w:sz w:val="22"/>
        </w:rPr>
        <w:t>Website address: www.martinmarietta.com</w:t>
      </w:r>
      <w:r>
        <w:rPr>
          <w:rFonts w:ascii="Calibri" w:hAnsi="Calibri"/>
          <w:color w:val="00000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Information included on the Company’s website is not incorporated into, or otherwise creates a part of, this report.</w:t>
      </w:r>
    </w:p>
    <w:p>
      <w:pPr>
        <w:pStyle w:val="TextBody"/>
        <w:bidi w:val="0"/>
        <w:jc w:val="center"/>
        <w:rPr>
          <w:rFonts w:ascii="Calibri" w:hAnsi="Calibri"/>
          <w:sz w:val="22"/>
        </w:rPr>
      </w:pPr>
      <w:r>
        <w:rPr>
          <w:rFonts w:ascii="sans-serif" w:hAnsi="sans-serif"/>
          <w:color w:val="000000"/>
          <w:sz w:val="22"/>
        </w:rPr>
        <w:t>Page 29</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spacing w:before="360" w:after="283"/>
        <w:jc w:val="left"/>
        <w:rPr>
          <w:rFonts w:ascii="Calibri" w:hAnsi="Calibri"/>
          <w:sz w:val="22"/>
        </w:rPr>
      </w:pPr>
      <w:bookmarkStart w:id="9" w:name="item_3_quantitative_and_qualitative"/>
      <w:bookmarkEnd w:id="9"/>
      <w:r>
        <w:rPr>
          <w:rFonts w:ascii="sans-serif" w:hAnsi="sans-serif"/>
          <w:color w:val="000000"/>
          <w:sz w:val="22"/>
        </w:rPr>
        <w:t>Item 3. Quantitative and Qualitative Disclosures About Market Risk.</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The Company’s operations are highly dependent upon the interest rate-sensitive construction and steelmaking industries. Consequently, these marketplaces could experience lower levels of economic activity in an environment of rising interest rates or escalating costs.</w:t>
      </w:r>
      <w:r>
        <w:rPr>
          <w:rFonts w:ascii="Calibri" w:hAnsi="Calibri"/>
          <w:color w:val="000000"/>
          <w:sz w:val="22"/>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Management has considered the current economic environment and its potential impact to the Company's business. Demand for aggregates products, particularly in the infrastructure construction market, is affected by federal, state and local budget and deficit issues. Further, delays or cancellations of capital projects in the nonresidential and residential construction markets could occur if companies and consumers are unable to obtain affordable financing for construction projects or if consumer confidence is eroded by economic uncertainty.</w:t>
      </w:r>
    </w:p>
    <w:p>
      <w:pPr>
        <w:pStyle w:val="TextBody"/>
        <w:bidi w:val="0"/>
        <w:spacing w:before="120" w:after="283"/>
        <w:jc w:val="both"/>
        <w:rPr>
          <w:rFonts w:ascii="sans-serif" w:hAnsi="sans-serif"/>
          <w:color w:val="000000"/>
          <w:sz w:val="22"/>
        </w:rPr>
      </w:pPr>
      <w:r>
        <w:rPr>
          <w:rFonts w:ascii="sans-serif" w:hAnsi="sans-serif"/>
          <w:color w:val="000000"/>
          <w:sz w:val="22"/>
        </w:rPr>
        <w:t>Demand in the nonresidential and residential construction markets, which combined accounted for 60% of aggregates shipments for the three months ended March 31, 2025, is affected by interest rates. While unchanged since December 31, 2024, the target federal funds rate remains above historical levels.</w:t>
      </w:r>
    </w:p>
    <w:p>
      <w:pPr>
        <w:pStyle w:val="TextBody"/>
        <w:bidi w:val="0"/>
        <w:spacing w:before="120" w:after="283"/>
        <w:jc w:val="both"/>
        <w:rPr>
          <w:rFonts w:ascii="Calibri" w:hAnsi="Calibri"/>
          <w:sz w:val="22"/>
        </w:rPr>
      </w:pPr>
      <w:r>
        <w:rPr>
          <w:rFonts w:ascii="sans-serif" w:hAnsi="sans-serif"/>
          <w:color w:val="000000"/>
          <w:sz w:val="22"/>
        </w:rPr>
        <w:t>Aside from these inherent risks from within its operations, the Company’s earnings are also affected by changes in short-term interest rates and changes in enacted tax laws.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i/>
          <w:color w:val="000000"/>
          <w:sz w:val="22"/>
        </w:rPr>
        <w:t xml:space="preserve">Variable-Rate Borrowing Facilities. </w:t>
      </w:r>
      <w:r>
        <w:rPr>
          <w:rFonts w:ascii="sans-serif" w:hAnsi="sans-serif"/>
          <w:color w:val="000000"/>
          <w:sz w:val="22"/>
        </w:rPr>
        <w:t>At March 31, 2025, the Company had an $800 million Revolving Facility and a $400 million Trade Receivable Facility. Borrowings under these facilities bear interest at a variable interest rate. There were no borrowings outstanding on either facility at March 31, 2025. However, any future borrowings under the credit facilities or outstanding variable-rate debt are exposed to interest rate risk.</w:t>
      </w:r>
    </w:p>
    <w:p>
      <w:pPr>
        <w:pStyle w:val="TextBody"/>
        <w:bidi w:val="0"/>
        <w:spacing w:before="120" w:after="283"/>
        <w:jc w:val="both"/>
        <w:rPr>
          <w:rFonts w:ascii="Calibri" w:hAnsi="Calibri"/>
          <w:sz w:val="22"/>
        </w:rPr>
      </w:pPr>
      <w:r>
        <w:rPr>
          <w:rFonts w:ascii="sans-serif" w:hAnsi="sans-serif"/>
          <w:i/>
          <w:color w:val="000000"/>
          <w:sz w:val="22"/>
        </w:rPr>
        <w:t xml:space="preserve">Pension Expense. </w:t>
      </w:r>
      <w:r>
        <w:rPr>
          <w:rFonts w:ascii="sans-serif" w:hAnsi="sans-serif"/>
          <w:color w:val="000000"/>
          <w:sz w:val="22"/>
        </w:rPr>
        <w:t>The Company’s results of operations are affected by its pension expense. Assumptions that affect pension expense include 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2024.</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i/>
          <w:color w:val="000000"/>
          <w:sz w:val="22"/>
        </w:rPr>
        <w:t xml:space="preserve">Income Tax. </w:t>
      </w:r>
      <w:r>
        <w:rPr>
          <w:rFonts w:ascii="sans-serif" w:hAnsi="sans-serif"/>
          <w:color w:val="000000"/>
          <w:sz w:val="22"/>
        </w:rPr>
        <w:t>Any changes in enacted tax laws, rules or regulatory or judicial interpretations, or any change in the pronouncements relating to accounting for income taxes could materially impact the Company’s effective tax rate, tax payments, cash flow, financial condition and results of operations.</w:t>
      </w:r>
    </w:p>
    <w:p>
      <w:pPr>
        <w:pStyle w:val="TextBody"/>
        <w:bidi w:val="0"/>
        <w:spacing w:before="120" w:after="283"/>
        <w:jc w:val="both"/>
        <w:rPr>
          <w:rFonts w:ascii="Calibri" w:hAnsi="Calibri"/>
          <w:sz w:val="22"/>
        </w:rPr>
      </w:pPr>
      <w:r>
        <w:rPr>
          <w:rFonts w:ascii="sans-serif" w:hAnsi="sans-serif"/>
          <w:i/>
          <w:color w:val="000000"/>
          <w:sz w:val="22"/>
        </w:rPr>
        <w:t>Energy Costs</w:t>
      </w:r>
      <w:r>
        <w:rPr>
          <w:rFonts w:ascii="sans-serif" w:hAnsi="sans-serif"/>
          <w:color w:val="000000"/>
          <w:sz w:val="22"/>
        </w:rPr>
        <w:t>. Energy costs, including diesel fuel, natural gas, electricity, coal and petroleum coke, represent significant production costs of the Company. The Company may be unable to pass along increases in the costs of energy to customers in the form of price increases for the Company’s products. The cement product line and Magnesia Specialties business each have varying fixed-price agreements for a portion of their 2025 energy requirements. A hypothetical 10% change in the Company’s energy prices in 2025 as compared with 2024, assuming comparable volumes, would change 2025 energy expense by $32 million.</w:t>
      </w:r>
      <w:r>
        <w:rPr>
          <w:rFonts w:ascii="Calibri" w:hAnsi="Calibri"/>
          <w:color w:val="000000"/>
          <w:sz w:val="22"/>
        </w:rPr>
        <w:t xml:space="preserve"> </w:t>
      </w:r>
    </w:p>
    <w:p>
      <w:pPr>
        <w:pStyle w:val="TextBody"/>
        <w:bidi w:val="0"/>
        <w:spacing w:before="240" w:after="283"/>
        <w:jc w:val="left"/>
        <w:rPr>
          <w:rFonts w:ascii="Calibri" w:hAnsi="Calibri"/>
          <w:sz w:val="22"/>
        </w:rPr>
      </w:pPr>
      <w:bookmarkStart w:id="10" w:name="item_4_controls_and_procedures"/>
      <w:bookmarkEnd w:id="10"/>
      <w:r>
        <w:rPr>
          <w:rFonts w:ascii="sans-serif" w:hAnsi="sans-serif"/>
          <w:color w:val="000000"/>
          <w:sz w:val="22"/>
        </w:rPr>
        <w:t>Item 4. Controls and Procedures.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i/>
          <w:color w:val="000000"/>
          <w:sz w:val="22"/>
        </w:rPr>
        <w:t xml:space="preserve">Evaluation of Disclosure Controls and Procedures. </w:t>
      </w:r>
      <w:r>
        <w:rPr>
          <w:rFonts w:ascii="sans-serif" w:hAnsi="sans-serif"/>
          <w:color w:val="000000"/>
          <w:sz w:val="22"/>
        </w:rPr>
        <w:t>As of March 31, 2025, an evaluation was performed under the supervision and with the 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March 31, 2025. There were no changes in the Company’s internal control over financial reporting during the most recently completed fiscal quarter that materially affected, or are reasonably likely to materially affect, the Company’s internal control over financial reporting.</w:t>
      </w:r>
    </w:p>
    <w:p>
      <w:pPr>
        <w:pStyle w:val="TextBody"/>
        <w:bidi w:val="0"/>
        <w:jc w:val="center"/>
        <w:rPr>
          <w:rFonts w:ascii="Calibri" w:hAnsi="Calibri"/>
          <w:sz w:val="22"/>
        </w:rPr>
      </w:pPr>
      <w:r>
        <w:rPr>
          <w:rFonts w:ascii="sans-serif" w:hAnsi="sans-serif"/>
          <w:color w:val="000000"/>
          <w:sz w:val="22"/>
        </w:rPr>
        <w:t>Page 30</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jc w:val="center"/>
        <w:rPr>
          <w:rFonts w:ascii="sans-serif" w:hAnsi="sans-serif"/>
          <w:color w:val="000000"/>
          <w:sz w:val="22"/>
        </w:rPr>
      </w:pPr>
      <w:r>
        <w:rPr>
          <w:rFonts w:ascii="sans-serif" w:hAnsi="sans-serif"/>
          <w:color w:val="000000"/>
          <w:sz w:val="22"/>
        </w:rPr>
        <w:t>PART II. OTHER INFORMATION</w:t>
      </w:r>
    </w:p>
    <w:p>
      <w:pPr>
        <w:pStyle w:val="TextBody"/>
        <w:bidi w:val="0"/>
        <w:jc w:val="both"/>
        <w:rPr/>
      </w:pPr>
      <w:r>
        <w:rPr/>
        <w:t> </w:t>
      </w:r>
    </w:p>
    <w:p>
      <w:pPr>
        <w:pStyle w:val="TextBody"/>
        <w:bidi w:val="0"/>
        <w:spacing w:before="240" w:after="283"/>
        <w:jc w:val="left"/>
        <w:rPr>
          <w:rFonts w:ascii="Calibri" w:hAnsi="Calibri"/>
          <w:sz w:val="22"/>
        </w:rPr>
      </w:pPr>
      <w:bookmarkStart w:id="11" w:name="item_1_legal_proceedings"/>
      <w:bookmarkEnd w:id="11"/>
      <w:r>
        <w:rPr>
          <w:rFonts w:ascii="sans-serif" w:hAnsi="sans-serif"/>
          <w:color w:val="000000"/>
          <w:sz w:val="22"/>
          <w:u w:val="single"/>
        </w:rPr>
        <w:t>Item 1. Legal Proceedings.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 xml:space="preserve">See </w:t>
      </w:r>
      <w:r>
        <w:rPr>
          <w:rFonts w:ascii="sans-serif" w:hAnsi="sans-serif"/>
          <w:color w:val="0000FF"/>
          <w:sz w:val="22"/>
          <w:u w:val="single"/>
        </w:rPr>
        <w:t>Note 9 Commitments and Contingencies, Legal and Administrative Proceedings</w:t>
      </w:r>
      <w:r>
        <w:rPr>
          <w:rFonts w:ascii="Calibri" w:hAnsi="Calibri"/>
          <w:color w:val="000000"/>
          <w:sz w:val="22"/>
        </w:rPr>
        <w:t xml:space="preserve"> </w:t>
      </w:r>
      <w:r>
        <w:rPr>
          <w:rFonts w:ascii="sans-serif" w:hAnsi="sans-serif"/>
          <w:color w:val="000000"/>
          <w:sz w:val="22"/>
        </w:rPr>
        <w:t>of this Form 10-Q.</w:t>
      </w:r>
      <w:r>
        <w:rPr>
          <w:rFonts w:ascii="Calibri" w:hAnsi="Calibri"/>
          <w:color w:val="000000"/>
          <w:sz w:val="22"/>
        </w:rPr>
        <w:t xml:space="preserve"> </w:t>
      </w:r>
    </w:p>
    <w:p>
      <w:pPr>
        <w:pStyle w:val="TextBody"/>
        <w:bidi w:val="0"/>
        <w:spacing w:before="240" w:after="283"/>
        <w:jc w:val="left"/>
        <w:rPr>
          <w:rFonts w:ascii="Calibri" w:hAnsi="Calibri"/>
          <w:sz w:val="22"/>
        </w:rPr>
      </w:pPr>
      <w:bookmarkStart w:id="12" w:name="item_1a_risk_factors"/>
      <w:bookmarkEnd w:id="12"/>
      <w:r>
        <w:rPr>
          <w:rFonts w:ascii="sans-serif" w:hAnsi="sans-serif"/>
          <w:color w:val="000000"/>
          <w:sz w:val="22"/>
          <w:u w:val="single"/>
        </w:rPr>
        <w:t>Item 1A. Risk Factors.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 xml:space="preserve">Reference is made to </w:t>
      </w:r>
      <w:r>
        <w:rPr>
          <w:rFonts w:ascii="sans-serif" w:hAnsi="sans-serif"/>
          <w:i/>
          <w:color w:val="000000"/>
          <w:sz w:val="22"/>
        </w:rPr>
        <w:t xml:space="preserve">Part I. Item 1A. Risk Factors and Forward-Looking Statements </w:t>
      </w:r>
      <w:r>
        <w:rPr>
          <w:rFonts w:ascii="sans-serif" w:hAnsi="sans-serif"/>
          <w:color w:val="000000"/>
          <w:sz w:val="22"/>
        </w:rPr>
        <w:t>of the Martin Marietta Annual Report on Form 10-K for the year ended December 31, 2024.</w:t>
      </w:r>
      <w:r>
        <w:rPr>
          <w:rFonts w:ascii="Calibri" w:hAnsi="Calibri"/>
          <w:color w:val="000000"/>
          <w:sz w:val="22"/>
        </w:rPr>
        <w:t xml:space="preserve"> </w:t>
      </w:r>
    </w:p>
    <w:p>
      <w:pPr>
        <w:pStyle w:val="TextBody"/>
        <w:bidi w:val="0"/>
        <w:spacing w:before="240" w:after="283"/>
        <w:jc w:val="left"/>
        <w:rPr>
          <w:rFonts w:ascii="Calibri" w:hAnsi="Calibri"/>
          <w:sz w:val="22"/>
        </w:rPr>
      </w:pPr>
      <w:bookmarkStart w:id="13" w:name="item_2_unregistered_sales_of_equity"/>
      <w:bookmarkEnd w:id="13"/>
      <w:r>
        <w:rPr>
          <w:rFonts w:ascii="sans-serif" w:hAnsi="sans-serif"/>
          <w:color w:val="000000"/>
          <w:sz w:val="22"/>
          <w:u w:val="single"/>
        </w:rPr>
        <w:t>Item 2. Unregistered Sales of Equity Securities and Use of Proceeds.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ISSUER PURCHASES OF EQUITY SECURITIES</w:t>
      </w:r>
      <w:r>
        <w:rPr>
          <w:rFonts w:ascii="Calibri" w:hAnsi="Calibri"/>
          <w:color w:val="000000"/>
          <w:sz w:val="22"/>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24"/>
        <w:gridCol w:w="146"/>
        <w:gridCol w:w="242"/>
        <w:gridCol w:w="1259"/>
        <w:gridCol w:w="146"/>
        <w:gridCol w:w="146"/>
        <w:gridCol w:w="290"/>
        <w:gridCol w:w="986"/>
        <w:gridCol w:w="146"/>
        <w:gridCol w:w="146"/>
        <w:gridCol w:w="322"/>
        <w:gridCol w:w="1533"/>
        <w:gridCol w:w="146"/>
        <w:gridCol w:w="146"/>
        <w:gridCol w:w="200"/>
        <w:gridCol w:w="1631"/>
        <w:gridCol w:w="196"/>
      </w:tblGrid>
      <w:tr>
        <w:trPr/>
        <w:tc>
          <w:tcPr>
            <w:tcW w:w="2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Total 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Maximum Number of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Purchased as Part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Shares that May Yet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Total 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Average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Publicly Announced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be Purchased Under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the Plans or Programs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January 1, 2025 - January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11,935,338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February 1, 2025 - February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589,331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589,331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11,346,007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March 1, 2025 -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11,024,507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2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910,831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5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910,831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Calibri" w:hAnsi="Calibri"/>
          <w:sz w:val="22"/>
        </w:rPr>
      </w:pPr>
      <w:r>
        <w:rPr>
          <w:rFonts w:ascii="sans-serif" w:hAnsi="sans-serif"/>
          <w:color w:val="000000"/>
          <w:sz w:val="22"/>
        </w:rPr>
        <w:t>Reference is made to the Company's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r>
        <w:rPr>
          <w:rFonts w:ascii="Calibri" w:hAnsi="Calibri"/>
          <w:color w:val="000000"/>
          <w:sz w:val="22"/>
        </w:rPr>
        <w:t xml:space="preserve"> </w:t>
      </w:r>
    </w:p>
    <w:p>
      <w:pPr>
        <w:pStyle w:val="TextBody"/>
        <w:bidi w:val="0"/>
        <w:spacing w:before="240" w:after="283"/>
        <w:jc w:val="left"/>
        <w:rPr>
          <w:rFonts w:ascii="Calibri" w:hAnsi="Calibri"/>
          <w:sz w:val="22"/>
        </w:rPr>
      </w:pPr>
      <w:bookmarkStart w:id="14" w:name="item_4_mine_safety_disclosure"/>
      <w:bookmarkEnd w:id="14"/>
      <w:r>
        <w:rPr>
          <w:rFonts w:ascii="sans-serif" w:hAnsi="sans-serif"/>
          <w:color w:val="000000"/>
          <w:sz w:val="22"/>
          <w:u w:val="single"/>
        </w:rPr>
        <w:t>Item 4. Mine Safety Disclosures.</w:t>
      </w:r>
      <w:r>
        <w:rPr>
          <w:rFonts w:ascii="Calibri" w:hAnsi="Calibri"/>
          <w:color w:val="000000"/>
          <w:sz w:val="22"/>
        </w:rPr>
        <w:t xml:space="preserve"> </w:t>
      </w:r>
    </w:p>
    <w:p>
      <w:pPr>
        <w:pStyle w:val="TextBody"/>
        <w:bidi w:val="0"/>
        <w:spacing w:before="120" w:after="283"/>
        <w:jc w:val="both"/>
        <w:rPr>
          <w:rFonts w:ascii="Calibri" w:hAnsi="Calibri"/>
          <w:sz w:val="22"/>
        </w:rPr>
      </w:pPr>
      <w:r>
        <w:rPr>
          <w:rFonts w:ascii="sans-serif" w:hAnsi="sans-serif"/>
          <w:color w:val="000000"/>
          <w:sz w:val="22"/>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r>
        <w:rPr>
          <w:rFonts w:ascii="Calibri" w:hAnsi="Calibri"/>
          <w:color w:val="000000"/>
          <w:sz w:val="22"/>
        </w:rPr>
        <w:t xml:space="preserve"> </w:t>
      </w:r>
    </w:p>
    <w:p>
      <w:pPr>
        <w:pStyle w:val="TextBody"/>
        <w:bidi w:val="0"/>
        <w:spacing w:before="240" w:after="283"/>
        <w:jc w:val="left"/>
        <w:rPr>
          <w:rFonts w:ascii="sans-serif" w:hAnsi="sans-serif"/>
          <w:color w:val="000000"/>
          <w:sz w:val="22"/>
          <w:u w:val="single"/>
        </w:rPr>
      </w:pPr>
      <w:bookmarkStart w:id="15" w:name="item_5_other_information"/>
      <w:bookmarkEnd w:id="15"/>
      <w:r>
        <w:rPr>
          <w:rFonts w:ascii="sans-serif" w:hAnsi="sans-serif"/>
          <w:color w:val="000000"/>
          <w:sz w:val="22"/>
          <w:u w:val="single"/>
        </w:rPr>
        <w:t>Item 5. Other Information</w:t>
      </w:r>
    </w:p>
    <w:p>
      <w:pPr>
        <w:pStyle w:val="TextBody"/>
        <w:bidi w:val="0"/>
        <w:spacing w:before="120" w:after="283"/>
        <w:jc w:val="both"/>
        <w:rPr>
          <w:rFonts w:ascii="Calibri" w:hAnsi="Calibri"/>
          <w:sz w:val="22"/>
        </w:rPr>
      </w:pPr>
      <w:r>
        <w:rPr>
          <w:rFonts w:ascii="sans-serif" w:hAnsi="sans-serif"/>
          <w:color w:val="000000"/>
          <w:sz w:val="22"/>
        </w:rPr>
        <w:t>During the three months ended March 31, 2025, no director or officer of the Company adopted</w:t>
      </w:r>
      <w:r>
        <w:rPr>
          <w:rFonts w:ascii="Calibri" w:hAnsi="Calibri"/>
          <w:color w:val="000000"/>
          <w:sz w:val="22"/>
        </w:rPr>
        <w:t xml:space="preserve"> </w:t>
      </w:r>
      <w:r>
        <w:rPr>
          <w:rFonts w:ascii="sans-serif" w:hAnsi="sans-serif"/>
          <w:color w:val="000000"/>
          <w:sz w:val="22"/>
        </w:rPr>
        <w:t>or terminated</w:t>
      </w:r>
      <w:r>
        <w:rPr>
          <w:rFonts w:ascii="Calibri" w:hAnsi="Calibri"/>
          <w:color w:val="000000"/>
          <w:sz w:val="22"/>
        </w:rPr>
        <w:t xml:space="preserve"> </w:t>
      </w:r>
      <w:r>
        <w:rPr>
          <w:rFonts w:ascii="sans-serif" w:hAnsi="sans-serif"/>
          <w:color w:val="000000"/>
          <w:sz w:val="22"/>
        </w:rPr>
        <w:t>a "Rule 10b5-1 trading arrangement" or "non-Rule 10b5-1 trading arrangement," as each term is defined in Item 408(a) of Regulation S-K.</w:t>
      </w:r>
      <w:r>
        <w:rPr>
          <w:rFonts w:ascii="Calibri" w:hAnsi="Calibri"/>
          <w:color w:val="000000"/>
          <w:sz w:val="22"/>
        </w:rPr>
        <w:t xml:space="preserve">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Calibri" w:hAnsi="Calibri"/>
          <w:sz w:val="22"/>
        </w:rPr>
      </w:pPr>
      <w:r>
        <w:rPr>
          <w:rFonts w:ascii="sans-serif" w:hAnsi="sans-serif"/>
          <w:color w:val="000000"/>
          <w:sz w:val="22"/>
        </w:rPr>
        <w:t>Page 31</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center"/>
        <w:rPr>
          <w:rFonts w:ascii="Calibri" w:hAnsi="Calibri"/>
          <w:sz w:val="22"/>
        </w:rPr>
      </w:pPr>
      <w:r>
        <w:rPr>
          <w:rFonts w:ascii="sans-serif" w:hAnsi="sans-serif"/>
          <w:color w:val="000000"/>
          <w:sz w:val="22"/>
        </w:rPr>
        <w:t>MARTIN MARIETTA MATERIALS, INC. AND CONSOLIDATED SUBSIDIARIES</w:t>
      </w:r>
      <w:r>
        <w:rPr>
          <w:rFonts w:ascii="Calibri" w:hAnsi="Calibri"/>
          <w:color w:val="000000"/>
          <w:sz w:val="22"/>
        </w:rPr>
        <w:t xml:space="preserve"> </w:t>
      </w:r>
    </w:p>
    <w:p>
      <w:pPr>
        <w:pStyle w:val="TextBody"/>
        <w:bidi w:val="0"/>
        <w:jc w:val="center"/>
        <w:rPr>
          <w:rFonts w:ascii="Calibri" w:hAnsi="Calibri"/>
          <w:sz w:val="22"/>
        </w:rPr>
      </w:pPr>
      <w:r>
        <w:rPr>
          <w:rFonts w:ascii="sans-serif" w:hAnsi="sans-serif"/>
          <w:color w:val="000000"/>
          <w:sz w:val="22"/>
        </w:rPr>
        <w:t>FORM 10-Q</w:t>
      </w:r>
      <w:r>
        <w:rPr>
          <w:rFonts w:ascii="Calibri" w:hAnsi="Calibri"/>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March 31, 2025</w:t>
      </w:r>
    </w:p>
    <w:p>
      <w:pPr>
        <w:pStyle w:val="TextBody"/>
        <w:bidi w:val="0"/>
        <w:jc w:val="center"/>
        <w:rPr>
          <w:rFonts w:ascii="sans-serif" w:hAnsi="sans-serif"/>
          <w:color w:val="000000"/>
          <w:sz w:val="22"/>
        </w:rPr>
      </w:pPr>
      <w:r>
        <w:rPr>
          <w:rFonts w:ascii="sans-serif" w:hAnsi="sans-serif"/>
          <w:color w:val="000000"/>
          <w:sz w:val="22"/>
        </w:rPr>
        <w:t>PART II. OTHER INFORMATION</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spacing w:before="240" w:after="283"/>
        <w:jc w:val="left"/>
        <w:rPr>
          <w:rFonts w:ascii="Calibri" w:hAnsi="Calibri"/>
          <w:sz w:val="22"/>
        </w:rPr>
      </w:pPr>
      <w:bookmarkStart w:id="16" w:name="item_6_exhibits"/>
      <w:bookmarkEnd w:id="16"/>
      <w:r>
        <w:rPr>
          <w:rFonts w:ascii="sans-serif" w:hAnsi="sans-serif"/>
          <w:color w:val="000000"/>
          <w:sz w:val="22"/>
          <w:u w:val="single"/>
        </w:rPr>
        <w:t>Item 6. Exhibits.</w:t>
      </w:r>
      <w:r>
        <w:rPr>
          <w:rFonts w:ascii="Calibri" w:hAnsi="Calibri"/>
          <w:color w:val="000000"/>
          <w:sz w:val="22"/>
        </w:rPr>
        <w:t xml:space="preserve"> </w:t>
      </w:r>
    </w:p>
    <w:tbl>
      <w:tblPr>
        <w:tblW w:w="10205" w:type="dxa"/>
        <w:jc w:val="left"/>
        <w:tblInd w:w="0" w:type="dxa"/>
        <w:tblLayout w:type="fixed"/>
        <w:tblCellMar>
          <w:top w:w="28" w:type="dxa"/>
          <w:left w:w="28" w:type="dxa"/>
          <w:bottom w:w="28" w:type="dxa"/>
          <w:right w:w="28" w:type="dxa"/>
        </w:tblCellMar>
      </w:tblPr>
      <w:tblGrid>
        <w:gridCol w:w="1057"/>
        <w:gridCol w:w="146"/>
        <w:gridCol w:w="9002"/>
      </w:tblGrid>
      <w:tr>
        <w:trPr/>
        <w:tc>
          <w:tcPr>
            <w:tcW w:w="10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02" w:type="dxa"/>
            <w:tcBorders/>
            <w:vAlign w:val="center"/>
          </w:tcPr>
          <w:p>
            <w:pPr>
              <w:pStyle w:val="TableContents"/>
              <w:bidi w:val="0"/>
              <w:spacing w:before="0" w:after="283"/>
              <w:jc w:val="left"/>
              <w:rPr>
                <w:sz w:val="4"/>
                <w:szCs w:val="4"/>
              </w:rPr>
            </w:pPr>
            <w:r>
              <w:rPr>
                <w:sz w:val="4"/>
                <w:szCs w:val="4"/>
              </w:rPr>
            </w:r>
          </w:p>
        </w:tc>
      </w:tr>
      <w:tr>
        <w:trPr/>
        <w:tc>
          <w:tcPr>
            <w:tcW w:w="105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2"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sans-serif" w:hAnsi="sans-serif"/>
                <w:color w:val="000000"/>
                <w:sz w:val="22"/>
              </w:rPr>
            </w:pPr>
            <w:r>
              <w:rPr>
                <w:rFonts w:ascii="sans-serif" w:hAnsi="sans-serif"/>
                <w:color w:val="000000"/>
                <w:sz w:val="22"/>
              </w:rPr>
              <w:t>Document</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hyperlink w:anchor="mlm-ex31_01.htm">
              <w:r>
                <w:rPr>
                  <w:rStyle w:val="InternetLink"/>
                  <w:rFonts w:ascii="sans-serif" w:hAnsi="sans-serif"/>
                  <w:color w:val="0000FF"/>
                  <w:sz w:val="22"/>
                  <w:u w:val="single"/>
                </w:rPr>
                <w:t>31.01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Certification dated April 30, 2025 of Chief Executive Officer pursuant to Securities and Exchange Act of 1934 Rule 13a-14 as adopted pursuant to Section 302 of the Sarbanes-Oxley Act of 2002</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hyperlink w:anchor="mlm-ex31_02.htm">
              <w:r>
                <w:rPr>
                  <w:rStyle w:val="InternetLink"/>
                  <w:rFonts w:ascii="sans-serif" w:hAnsi="sans-serif"/>
                  <w:color w:val="0000FF"/>
                  <w:sz w:val="22"/>
                  <w:u w:val="single"/>
                </w:rPr>
                <w:t>31.02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Certification dated April 30, 2025 of Chief Financial Officer pursuant to Securities and Exchange Act of 1934 Rule 13a-14 as adopted pursuant to Section 302 of the Sarbanes-Oxley Act of 2002</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hyperlink w:anchor="mlm-ex32_01.htm">
              <w:r>
                <w:rPr>
                  <w:rStyle w:val="InternetLink"/>
                  <w:rFonts w:ascii="sans-serif" w:hAnsi="sans-serif"/>
                  <w:color w:val="0000FF"/>
                  <w:sz w:val="22"/>
                  <w:u w:val="single"/>
                </w:rPr>
                <w:t>32.01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Written Statement dated April 30, 2025 of Chief Executive Officer required by 18 U.S.C. 1350, as adopted pursuant to Section 906 of the Sarbanes-Oxley Act of 2002</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hyperlink w:anchor="mlm-ex32_02.htm">
              <w:r>
                <w:rPr>
                  <w:rStyle w:val="InternetLink"/>
                  <w:rFonts w:ascii="sans-serif" w:hAnsi="sans-serif"/>
                  <w:color w:val="0000FF"/>
                  <w:sz w:val="22"/>
                  <w:u w:val="single"/>
                </w:rPr>
                <w:t>32.02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Written Statement dated April 30, 2025 of Chief Financial Officer required by 18 U.S.C. 1350, as adopted pursuant to Section 906 of the Sarbanes-Oxley Act of 2002</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hyperlink w:anchor="mlm-ex95.htm">
              <w:r>
                <w:rPr>
                  <w:rStyle w:val="InternetLink"/>
                  <w:rFonts w:ascii="sans-serif" w:hAnsi="sans-serif"/>
                  <w:color w:val="0000FF"/>
                  <w:sz w:val="22"/>
                  <w:u w:val="single"/>
                </w:rPr>
                <w:t>95</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Mine Safety Disclosures</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Instance Document – The instance document does not appear in the Interactive Data File because its XBRL tags are embedded within the Inline XBRL document.</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Schema Document</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Calculation Linkbase Document</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Label Linkbase Document</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Presentation Linkbase Document</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Definition Linkbase</w:t>
            </w:r>
          </w:p>
        </w:tc>
      </w:tr>
      <w:tr>
        <w:trPr/>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Cover Page Interactive Data File (formatted as inline XBRL and contained in Exhibit 101)</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00"/>
        <w:jc w:val="both"/>
        <w:rPr/>
      </w:pPr>
      <w:r>
        <w:rPr/>
        <w:t> </w:t>
      </w:r>
    </w:p>
    <w:p>
      <w:pPr>
        <w:pStyle w:val="TextBody"/>
        <w:bidi w:val="0"/>
        <w:jc w:val="center"/>
        <w:rPr>
          <w:rFonts w:ascii="Calibri" w:hAnsi="Calibri"/>
          <w:sz w:val="22"/>
        </w:rPr>
      </w:pPr>
      <w:r>
        <w:rPr>
          <w:rFonts w:ascii="sans-serif" w:hAnsi="sans-serif"/>
          <w:color w:val="000000"/>
          <w:sz w:val="22"/>
        </w:rPr>
        <w:t>Page 32</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00"/>
        <w:jc w:val="center"/>
        <w:rPr>
          <w:rFonts w:ascii="sans-serif" w:hAnsi="sans-serif"/>
          <w:color w:val="000000"/>
          <w:sz w:val="22"/>
        </w:rPr>
      </w:pPr>
      <w:bookmarkStart w:id="17" w:name="signatures"/>
      <w:bookmarkEnd w:id="17"/>
      <w:r>
        <w:rPr>
          <w:rFonts w:ascii="sans-serif" w:hAnsi="sans-serif"/>
          <w:color w:val="000000"/>
          <w:sz w:val="22"/>
        </w:rPr>
        <w:t>SIGNATURES</w:t>
      </w:r>
    </w:p>
    <w:p>
      <w:pPr>
        <w:pStyle w:val="TextBody"/>
        <w:bidi w:val="0"/>
        <w:jc w:val="both"/>
        <w:rPr>
          <w:rFonts w:ascii="Calibri" w:hAnsi="Calibri"/>
          <w:sz w:val="22"/>
        </w:rPr>
      </w:pPr>
      <w:r>
        <w:rPr>
          <w:rFonts w:ascii="sans-serif" w:hAnsi="sans-serif"/>
          <w:color w:val="000000"/>
          <w:sz w:val="22"/>
        </w:rPr>
        <w:t>Pursuant to the requirements of the Securities Exchange Act of 1934, the registrant has duly caused this report to be signed on its behalf by the undersigned thereunto duly authorized.</w:t>
      </w:r>
      <w:r>
        <w:rPr>
          <w:rFonts w:ascii="Calibri" w:hAnsi="Calibri"/>
          <w:color w:val="000000"/>
          <w:sz w:val="22"/>
        </w:rPr>
        <w:t xml:space="preserve"> </w:t>
      </w:r>
    </w:p>
    <w:tbl>
      <w:tblPr>
        <w:tblW w:w="9254" w:type="dxa"/>
        <w:jc w:val="left"/>
        <w:tblInd w:w="0" w:type="dxa"/>
        <w:tblLayout w:type="fixed"/>
        <w:tblCellMar>
          <w:top w:w="28" w:type="dxa"/>
          <w:left w:w="28" w:type="dxa"/>
          <w:bottom w:w="28" w:type="dxa"/>
          <w:right w:w="28" w:type="dxa"/>
        </w:tblCellMar>
      </w:tblPr>
      <w:tblGrid>
        <w:gridCol w:w="2446"/>
        <w:gridCol w:w="466"/>
        <w:gridCol w:w="146"/>
        <w:gridCol w:w="6196"/>
      </w:tblGrid>
      <w:tr>
        <w:trPr/>
        <w:tc>
          <w:tcPr>
            <w:tcW w:w="24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96"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MARTIN MARIETTA MATERIALS, INC.</w:t>
            </w:r>
          </w:p>
        </w:tc>
      </w:tr>
      <w:tr>
        <w:trPr/>
        <w:tc>
          <w:tcPr>
            <w:tcW w:w="2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(Registrant)</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Date: April 30, 2025</w:t>
            </w:r>
          </w:p>
        </w:tc>
        <w:tc>
          <w:tcPr>
            <w:tcW w:w="4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Robert J. Cardin</w:t>
            </w:r>
          </w:p>
        </w:tc>
      </w:tr>
      <w:tr>
        <w:trPr/>
        <w:tc>
          <w:tcPr>
            <w:tcW w:w="2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Robert J. Cardin</w:t>
            </w:r>
          </w:p>
        </w:tc>
      </w:tr>
      <w:tr>
        <w:trPr/>
        <w:tc>
          <w:tcPr>
            <w:tcW w:w="2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Senior Vice President, Interim Chief Financial Officer,</w:t>
            </w:r>
          </w:p>
        </w:tc>
      </w:tr>
      <w:tr>
        <w:trPr/>
        <w:tc>
          <w:tcPr>
            <w:tcW w:w="2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2"/>
              </w:rPr>
              <w:t>Controller and Chief Accounting Officer (Authorized</w:t>
            </w:r>
            <w:r>
              <w:rPr>
                <w:rFonts w:ascii="Calibri" w:hAnsi="Calibri"/>
                <w:color w:val="000000"/>
                <w:sz w:val="22"/>
              </w:rPr>
              <w:t xml:space="preserve">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Officer and Principal Financial Officer)</w:t>
            </w:r>
          </w:p>
        </w:tc>
      </w:tr>
    </w:tbl>
    <w:p>
      <w:pPr>
        <w:pStyle w:val="TextBody"/>
        <w:bidi w:val="0"/>
        <w:jc w:val="both"/>
        <w:rPr/>
      </w:pPr>
      <w:r>
        <w:rPr/>
        <w:t> </w:t>
      </w:r>
    </w:p>
    <w:p>
      <w:pPr>
        <w:pStyle w:val="TextBody"/>
        <w:bidi w:val="0"/>
        <w:jc w:val="both"/>
        <w:rPr/>
      </w:pPr>
      <w:r>
        <w:rPr/>
        <w:t> </w:t>
      </w:r>
    </w:p>
    <w:p>
      <w:pPr>
        <w:pStyle w:val="TextBody"/>
        <w:bidi w:val="0"/>
        <w:jc w:val="center"/>
        <w:rPr>
          <w:rFonts w:ascii="Calibri" w:hAnsi="Calibri"/>
          <w:sz w:val="22"/>
        </w:rPr>
      </w:pPr>
      <w:r>
        <w:rPr>
          <w:rFonts w:ascii="sans-serif" w:hAnsi="sans-serif"/>
          <w:color w:val="000000"/>
          <w:sz w:val="22"/>
        </w:rPr>
        <w:t>Page 33</w:t>
      </w:r>
      <w:r>
        <w:rPr>
          <w:rFonts w:ascii="Calibri" w:hAnsi="Calibri"/>
          <w:color w:val="000000"/>
          <w:sz w:val="22"/>
        </w:rPr>
        <w:t xml:space="preserve"> </w:t>
      </w:r>
      <w:r>
        <w:rPr>
          <w:rFonts w:ascii="sans-serif" w:hAnsi="sans-serif"/>
          <w:color w:val="000000"/>
          <w:sz w:val="22"/>
        </w:rPr>
        <w:t>of 33</w:t>
      </w:r>
    </w:p>
    <w:p>
      <w:pPr>
        <w:pStyle w:val="HorizontalLine"/>
        <w:pBdr>
          <w:bottom w:val="double" w:sz="2" w:space="0" w:color="808080"/>
        </w:pBdr>
        <w:bidi w:val="0"/>
        <w:spacing w:before="0" w:after="283"/>
        <w:jc w:val="left"/>
        <w:rPr/>
      </w:pPr>
      <w:r>
        <w:rPr/>
      </w:r>
    </w:p>
    <w:p>
      <w:pPr>
        <w:pStyle w:val="TextBody"/>
        <w:bidi w:val="0"/>
        <w:jc w:val="left"/>
        <w:rPr/>
      </w:pPr>
      <w:bookmarkStart w:id="18" w:name="mlm-ex31_01.htm"/>
      <w:bookmarkStart w:id="19" w:name="ksmlmex31_01"/>
      <w:bookmarkEnd w:id="18"/>
      <w:bookmarkEnd w:id="19"/>
      <w:r>
        <w:rPr/>
        <w:t> </w:t>
      </w:r>
      <w:r>
        <w:br w:type="page"/>
      </w:r>
    </w:p>
    <w:p>
      <w:pPr>
        <w:pStyle w:val="Heading1"/>
        <w:bidi w:val="0"/>
        <w:jc w:val="right"/>
        <w:rPr/>
      </w:pPr>
      <w:r>
        <w:rPr/>
        <w:t> </w:t>
      </w:r>
    </w:p>
    <w:p>
      <w:pPr>
        <w:pStyle w:val="Heading1"/>
        <w:bidi w:val="0"/>
        <w:jc w:val="right"/>
        <w:rPr/>
      </w:pPr>
      <w:r>
        <w:rPr/>
        <w:t> </w:t>
      </w:r>
    </w:p>
    <w:p>
      <w:pPr>
        <w:pStyle w:val="Heading1"/>
        <w:bidi w:val="0"/>
        <w:jc w:val="right"/>
        <w:rPr>
          <w:rFonts w:ascii="sans-serif" w:hAnsi="sans-serif"/>
          <w:b/>
          <w:color w:val="000000"/>
          <w:sz w:val="22"/>
        </w:rPr>
      </w:pPr>
      <w:r>
        <w:rPr>
          <w:rFonts w:ascii="sans-serif" w:hAnsi="sans-serif"/>
          <w:b/>
          <w:color w:val="000000"/>
          <w:sz w:val="22"/>
        </w:rPr>
        <w:t>EXHIBIT 31.01</w:t>
      </w:r>
    </w:p>
    <w:p>
      <w:pPr>
        <w:pStyle w:val="TextBody"/>
        <w:bidi w:val="0"/>
        <w:jc w:val="both"/>
        <w:rPr/>
      </w:pPr>
      <w:r>
        <w:rPr/>
        <w:t> </w:t>
      </w:r>
    </w:p>
    <w:p>
      <w:pPr>
        <w:pStyle w:val="TextBody"/>
        <w:bidi w:val="0"/>
        <w:jc w:val="both"/>
        <w:rPr/>
      </w:pPr>
      <w:r>
        <w:rPr/>
        <w:t> </w:t>
      </w:r>
    </w:p>
    <w:p>
      <w:pPr>
        <w:pStyle w:val="TextBody"/>
        <w:bidi w:val="0"/>
        <w:jc w:val="center"/>
        <w:rPr>
          <w:rFonts w:ascii="sans-serif" w:hAnsi="sans-serif"/>
          <w:b/>
          <w:color w:val="000000"/>
          <w:sz w:val="22"/>
        </w:rPr>
      </w:pPr>
      <w:r>
        <w:rPr>
          <w:rFonts w:ascii="sans-serif" w:hAnsi="sans-serif"/>
          <w:b/>
          <w:color w:val="000000"/>
          <w:sz w:val="22"/>
        </w:rPr>
        <w:t>CERTIFICATION PURSUANT TO SECURITIES AND EXCHANGE ACT OF 1934 RULE 13a-14 AS ADOPTED PURSUANT TO SECTION 302 OF SARBANES-OXLEY ACT OF 2002</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 C. Howard Nye, certify that:</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1.</w:t>
      </w:r>
    </w:p>
    <w:p>
      <w:pPr>
        <w:pStyle w:val="TextBody"/>
        <w:bidi w:val="0"/>
        <w:jc w:val="both"/>
        <w:rPr>
          <w:rFonts w:ascii="sans-serif" w:hAnsi="sans-serif"/>
          <w:color w:val="000000"/>
          <w:sz w:val="22"/>
        </w:rPr>
      </w:pPr>
      <w:r>
        <w:rPr>
          <w:rFonts w:ascii="sans-serif" w:hAnsi="sans-serif"/>
          <w:color w:val="000000"/>
          <w:sz w:val="22"/>
        </w:rPr>
        <w:t>I have reviewed this Form 10-Q of Martin Marietta Materials, Inc.;</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2.</w:t>
      </w:r>
    </w:p>
    <w:p>
      <w:pPr>
        <w:pStyle w:val="TextBody"/>
        <w:bidi w:val="0"/>
        <w:jc w:val="both"/>
        <w:rPr>
          <w:rFonts w:ascii="sans-serif" w:hAnsi="sans-serif"/>
          <w:color w:val="000000"/>
          <w:sz w:val="22"/>
        </w:rPr>
      </w:pPr>
      <w:r>
        <w:rPr>
          <w:rFonts w:ascii="sans-serif" w:hAnsi="sans-serif"/>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3.</w:t>
      </w:r>
    </w:p>
    <w:p>
      <w:pPr>
        <w:pStyle w:val="TextBody"/>
        <w:bidi w:val="0"/>
        <w:jc w:val="both"/>
        <w:rPr>
          <w:rFonts w:ascii="sans-serif" w:hAnsi="sans-serif"/>
          <w:color w:val="000000"/>
          <w:sz w:val="22"/>
        </w:rPr>
      </w:pPr>
      <w:r>
        <w:rPr>
          <w:rFonts w:ascii="sans-serif" w:hAnsi="sans-serif"/>
          <w:color w:val="000000"/>
          <w:sz w:val="22"/>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4.</w:t>
      </w:r>
    </w:p>
    <w:p>
      <w:pPr>
        <w:pStyle w:val="TextBody"/>
        <w:bidi w:val="0"/>
        <w:jc w:val="both"/>
        <w:rPr>
          <w:rFonts w:ascii="sans-serif" w:hAnsi="sans-serif"/>
          <w:color w:val="000000"/>
          <w:sz w:val="22"/>
        </w:rPr>
      </w:pPr>
      <w:r>
        <w:rPr>
          <w:rFonts w:ascii="sans-serif" w:hAnsi="sans-serif"/>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a.</w:t>
      </w:r>
    </w:p>
    <w:p>
      <w:pPr>
        <w:pStyle w:val="TextBody"/>
        <w:bidi w:val="0"/>
        <w:jc w:val="both"/>
        <w:rPr>
          <w:rFonts w:ascii="sans-serif" w:hAnsi="sans-serif"/>
          <w:color w:val="000000"/>
          <w:sz w:val="22"/>
        </w:rPr>
      </w:pPr>
      <w:r>
        <w:rPr>
          <w:rFonts w:ascii="sans-serif" w:hAnsi="sans-serif"/>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b.</w:t>
      </w:r>
    </w:p>
    <w:p>
      <w:pPr>
        <w:pStyle w:val="TextBody"/>
        <w:bidi w:val="0"/>
        <w:jc w:val="both"/>
        <w:rPr>
          <w:rFonts w:ascii="sans-serif" w:hAnsi="sans-serif"/>
          <w:color w:val="000000"/>
          <w:sz w:val="22"/>
        </w:rPr>
      </w:pPr>
      <w:r>
        <w:rPr>
          <w:rFonts w:ascii="sans-serif" w:hAnsi="sans-serif"/>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c.</w:t>
      </w:r>
    </w:p>
    <w:p>
      <w:pPr>
        <w:pStyle w:val="TextBody"/>
        <w:bidi w:val="0"/>
        <w:jc w:val="both"/>
        <w:rPr>
          <w:rFonts w:ascii="sans-serif" w:hAnsi="sans-serif"/>
          <w:color w:val="000000"/>
          <w:sz w:val="22"/>
        </w:rPr>
      </w:pPr>
      <w:r>
        <w:rPr>
          <w:rFonts w:ascii="sans-serif" w:hAnsi="sans-serif"/>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d.</w:t>
      </w:r>
    </w:p>
    <w:p>
      <w:pPr>
        <w:pStyle w:val="TextBody"/>
        <w:bidi w:val="0"/>
        <w:jc w:val="both"/>
        <w:rPr>
          <w:rFonts w:ascii="sans-serif" w:hAnsi="sans-serif"/>
          <w:color w:val="000000"/>
          <w:sz w:val="22"/>
        </w:rPr>
      </w:pPr>
      <w:r>
        <w:rPr>
          <w:rFonts w:ascii="sans-serif" w:hAnsi="sans-serif"/>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5.</w:t>
      </w:r>
    </w:p>
    <w:p>
      <w:pPr>
        <w:pStyle w:val="TextBody"/>
        <w:bidi w:val="0"/>
        <w:jc w:val="both"/>
        <w:rPr>
          <w:rFonts w:ascii="sans-serif" w:hAnsi="sans-serif"/>
          <w:color w:val="000000"/>
          <w:sz w:val="22"/>
        </w:rPr>
      </w:pPr>
      <w:r>
        <w:rPr>
          <w:rFonts w:ascii="sans-serif" w:hAnsi="sans-serif"/>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a.</w:t>
      </w:r>
    </w:p>
    <w:p>
      <w:pPr>
        <w:pStyle w:val="TextBody"/>
        <w:bidi w:val="0"/>
        <w:jc w:val="both"/>
        <w:rPr>
          <w:rFonts w:ascii="sans-serif" w:hAnsi="sans-serif"/>
          <w:color w:val="000000"/>
          <w:sz w:val="22"/>
        </w:rPr>
      </w:pPr>
      <w:r>
        <w:rPr>
          <w:rFonts w:ascii="sans-serif" w:hAnsi="sans-serif"/>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b.</w:t>
      </w:r>
    </w:p>
    <w:p>
      <w:pPr>
        <w:pStyle w:val="TextBody"/>
        <w:bidi w:val="0"/>
        <w:jc w:val="both"/>
        <w:rPr>
          <w:rFonts w:ascii="sans-serif" w:hAnsi="sans-serif"/>
          <w:color w:val="000000"/>
          <w:sz w:val="22"/>
        </w:rPr>
      </w:pPr>
      <w:r>
        <w:rPr>
          <w:rFonts w:ascii="sans-serif" w:hAnsi="sans-serif"/>
          <w:color w:val="000000"/>
          <w:sz w:val="22"/>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6100" w:type="dxa"/>
        <w:jc w:val="left"/>
        <w:tblInd w:w="0" w:type="dxa"/>
        <w:tblLayout w:type="fixed"/>
        <w:tblCellMar>
          <w:top w:w="28" w:type="dxa"/>
          <w:left w:w="28" w:type="dxa"/>
          <w:bottom w:w="28" w:type="dxa"/>
          <w:right w:w="28" w:type="dxa"/>
        </w:tblCellMar>
      </w:tblPr>
      <w:tblGrid>
        <w:gridCol w:w="2446"/>
        <w:gridCol w:w="146"/>
        <w:gridCol w:w="466"/>
        <w:gridCol w:w="146"/>
        <w:gridCol w:w="2896"/>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Date: April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C. Howard Nye</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 Howard Nye</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Chair, President and</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Chief Executive Officer</w:t>
            </w:r>
          </w:p>
        </w:tc>
      </w:tr>
    </w:tbl>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mlm-ex31_02.htm"/>
      <w:bookmarkStart w:id="21" w:name="ksmlmex31_02"/>
      <w:bookmarkEnd w:id="20"/>
      <w:bookmarkEnd w:id="21"/>
      <w:r>
        <w:rPr/>
        <w:t> </w:t>
      </w:r>
      <w:r>
        <w:br w:type="page"/>
      </w:r>
    </w:p>
    <w:p>
      <w:pPr>
        <w:pStyle w:val="TextBody"/>
        <w:bidi w:val="0"/>
        <w:jc w:val="right"/>
        <w:rPr/>
      </w:pPr>
      <w:r>
        <w:rPr/>
        <w:t> </w:t>
      </w:r>
    </w:p>
    <w:p>
      <w:pPr>
        <w:pStyle w:val="TextBody"/>
        <w:bidi w:val="0"/>
        <w:jc w:val="right"/>
        <w:rPr/>
      </w:pPr>
      <w:r>
        <w:rPr/>
        <w:t> </w:t>
      </w:r>
    </w:p>
    <w:p>
      <w:pPr>
        <w:pStyle w:val="TextBody"/>
        <w:bidi w:val="0"/>
        <w:jc w:val="right"/>
        <w:rPr>
          <w:rFonts w:ascii="sans-serif" w:hAnsi="sans-serif"/>
          <w:b/>
          <w:color w:val="000000"/>
          <w:sz w:val="22"/>
        </w:rPr>
      </w:pPr>
      <w:r>
        <w:rPr>
          <w:rFonts w:ascii="sans-serif" w:hAnsi="sans-serif"/>
          <w:b/>
          <w:color w:val="000000"/>
          <w:sz w:val="22"/>
        </w:rPr>
        <w:t>EXHIBIT 31.02</w:t>
      </w:r>
    </w:p>
    <w:p>
      <w:pPr>
        <w:pStyle w:val="TextBody"/>
        <w:bidi w:val="0"/>
        <w:jc w:val="both"/>
        <w:rPr/>
      </w:pPr>
      <w:r>
        <w:rPr/>
        <w:t> </w:t>
      </w:r>
    </w:p>
    <w:p>
      <w:pPr>
        <w:pStyle w:val="TextBody"/>
        <w:bidi w:val="0"/>
        <w:jc w:val="both"/>
        <w:rPr/>
      </w:pPr>
      <w:r>
        <w:rPr/>
        <w:t> </w:t>
      </w:r>
    </w:p>
    <w:p>
      <w:pPr>
        <w:pStyle w:val="TextBody"/>
        <w:bidi w:val="0"/>
        <w:jc w:val="center"/>
        <w:rPr>
          <w:rFonts w:ascii="sans-serif" w:hAnsi="sans-serif"/>
          <w:b/>
          <w:color w:val="000000"/>
          <w:sz w:val="22"/>
        </w:rPr>
      </w:pPr>
      <w:r>
        <w:rPr>
          <w:rFonts w:ascii="sans-serif" w:hAnsi="sans-serif"/>
          <w:b/>
          <w:color w:val="000000"/>
          <w:sz w:val="22"/>
        </w:rPr>
        <w:t>CERTIFICATION PURSUANT TO SECURITIES AND EXCHANGE ACT OF 1934 RULE 13a-14 AS ADOPTED PURSUANT TO SECTION 302 OF SARBANES-OXLEY ACT OF 2002</w:t>
      </w:r>
    </w:p>
    <w:p>
      <w:pPr>
        <w:pStyle w:val="TextBody"/>
        <w:bidi w:val="0"/>
        <w:jc w:val="both"/>
        <w:rPr/>
      </w:pPr>
      <w:r>
        <w:rPr/>
        <w:t>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I, Robert J. Cardin, certify that:</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1.</w:t>
      </w:r>
    </w:p>
    <w:p>
      <w:pPr>
        <w:pStyle w:val="TextBody"/>
        <w:bidi w:val="0"/>
        <w:jc w:val="both"/>
        <w:rPr>
          <w:rFonts w:ascii="sans-serif" w:hAnsi="sans-serif"/>
          <w:color w:val="000000"/>
          <w:sz w:val="22"/>
        </w:rPr>
      </w:pPr>
      <w:r>
        <w:rPr>
          <w:rFonts w:ascii="sans-serif" w:hAnsi="sans-serif"/>
          <w:color w:val="000000"/>
          <w:sz w:val="22"/>
        </w:rPr>
        <w:t>I have reviewed this Form 10-Q of Martin Marietta Materials, Inc.;</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2.</w:t>
      </w:r>
    </w:p>
    <w:p>
      <w:pPr>
        <w:pStyle w:val="TextBody"/>
        <w:bidi w:val="0"/>
        <w:jc w:val="both"/>
        <w:rPr>
          <w:rFonts w:ascii="sans-serif" w:hAnsi="sans-serif"/>
          <w:color w:val="000000"/>
          <w:sz w:val="22"/>
        </w:rPr>
      </w:pPr>
      <w:r>
        <w:rPr>
          <w:rFonts w:ascii="sans-serif" w:hAnsi="sans-serif"/>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3.</w:t>
      </w:r>
    </w:p>
    <w:p>
      <w:pPr>
        <w:pStyle w:val="TextBody"/>
        <w:bidi w:val="0"/>
        <w:jc w:val="both"/>
        <w:rPr>
          <w:rFonts w:ascii="sans-serif" w:hAnsi="sans-serif"/>
          <w:color w:val="000000"/>
          <w:sz w:val="22"/>
        </w:rPr>
      </w:pPr>
      <w:r>
        <w:rPr>
          <w:rFonts w:ascii="sans-serif" w:hAnsi="sans-serif"/>
          <w:color w:val="000000"/>
          <w:sz w:val="22"/>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4.</w:t>
      </w:r>
    </w:p>
    <w:p>
      <w:pPr>
        <w:pStyle w:val="TextBody"/>
        <w:bidi w:val="0"/>
        <w:jc w:val="both"/>
        <w:rPr>
          <w:rFonts w:ascii="sans-serif" w:hAnsi="sans-serif"/>
          <w:color w:val="000000"/>
          <w:sz w:val="22"/>
        </w:rPr>
      </w:pPr>
      <w:r>
        <w:rPr>
          <w:rFonts w:ascii="sans-serif" w:hAnsi="sans-serif"/>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a.</w:t>
      </w:r>
    </w:p>
    <w:p>
      <w:pPr>
        <w:pStyle w:val="TextBody"/>
        <w:bidi w:val="0"/>
        <w:jc w:val="both"/>
        <w:rPr>
          <w:rFonts w:ascii="sans-serif" w:hAnsi="sans-serif"/>
          <w:color w:val="000000"/>
          <w:sz w:val="22"/>
        </w:rPr>
      </w:pPr>
      <w:r>
        <w:rPr>
          <w:rFonts w:ascii="sans-serif" w:hAnsi="sans-serif"/>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b.</w:t>
      </w:r>
    </w:p>
    <w:p>
      <w:pPr>
        <w:pStyle w:val="TextBody"/>
        <w:bidi w:val="0"/>
        <w:jc w:val="both"/>
        <w:rPr>
          <w:rFonts w:ascii="sans-serif" w:hAnsi="sans-serif"/>
          <w:color w:val="000000"/>
          <w:sz w:val="22"/>
        </w:rPr>
      </w:pPr>
      <w:r>
        <w:rPr>
          <w:rFonts w:ascii="sans-serif" w:hAnsi="sans-serif"/>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c.</w:t>
      </w:r>
    </w:p>
    <w:p>
      <w:pPr>
        <w:pStyle w:val="TextBody"/>
        <w:bidi w:val="0"/>
        <w:jc w:val="both"/>
        <w:rPr>
          <w:rFonts w:ascii="sans-serif" w:hAnsi="sans-serif"/>
          <w:color w:val="000000"/>
          <w:sz w:val="22"/>
        </w:rPr>
      </w:pPr>
      <w:r>
        <w:rPr>
          <w:rFonts w:ascii="sans-serif" w:hAnsi="sans-serif"/>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d.</w:t>
      </w:r>
    </w:p>
    <w:p>
      <w:pPr>
        <w:pStyle w:val="TextBody"/>
        <w:bidi w:val="0"/>
        <w:jc w:val="both"/>
        <w:rPr>
          <w:rFonts w:ascii="sans-serif" w:hAnsi="sans-serif"/>
          <w:color w:val="000000"/>
          <w:sz w:val="22"/>
        </w:rPr>
      </w:pPr>
      <w:r>
        <w:rPr>
          <w:rFonts w:ascii="sans-serif" w:hAnsi="sans-serif"/>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5.</w:t>
      </w:r>
    </w:p>
    <w:p>
      <w:pPr>
        <w:pStyle w:val="TextBody"/>
        <w:bidi w:val="0"/>
        <w:jc w:val="both"/>
        <w:rPr>
          <w:rFonts w:ascii="sans-serif" w:hAnsi="sans-serif"/>
          <w:color w:val="000000"/>
          <w:sz w:val="22"/>
        </w:rPr>
      </w:pPr>
      <w:r>
        <w:rPr>
          <w:rFonts w:ascii="sans-serif" w:hAnsi="sans-serif"/>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a.</w:t>
      </w:r>
    </w:p>
    <w:p>
      <w:pPr>
        <w:pStyle w:val="TextBody"/>
        <w:bidi w:val="0"/>
        <w:jc w:val="both"/>
        <w:rPr/>
      </w:pPr>
      <w:r>
        <w:rPr>
          <w:rFonts w:ascii="sans-serif" w:hAnsi="sans-serif"/>
          <w:caps/>
          <w:color w:val="000000"/>
          <w:sz w:val="22"/>
        </w:rPr>
        <w:t>a</w:t>
      </w:r>
      <w:r>
        <w:rPr>
          <w:rFonts w:ascii="sans-serif" w:hAnsi="sans-serif"/>
          <w:color w:val="000000"/>
          <w:sz w:val="22"/>
        </w:rPr>
        <w:t>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b.</w:t>
      </w:r>
    </w:p>
    <w:p>
      <w:pPr>
        <w:pStyle w:val="TextBody"/>
        <w:bidi w:val="0"/>
        <w:jc w:val="both"/>
        <w:rPr>
          <w:rFonts w:ascii="sans-serif" w:hAnsi="sans-serif"/>
          <w:color w:val="000000"/>
          <w:sz w:val="22"/>
        </w:rPr>
      </w:pPr>
      <w:r>
        <w:rPr>
          <w:rFonts w:ascii="sans-serif" w:hAnsi="sans-serif"/>
          <w:color w:val="000000"/>
          <w:sz w:val="22"/>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pPr>
      <w:r>
        <w:rPr/>
        <w:t> </w:t>
      </w:r>
    </w:p>
    <w:tbl>
      <w:tblPr>
        <w:tblW w:w="9220" w:type="dxa"/>
        <w:jc w:val="left"/>
        <w:tblInd w:w="0" w:type="dxa"/>
        <w:tblLayout w:type="fixed"/>
        <w:tblCellMar>
          <w:top w:w="28" w:type="dxa"/>
          <w:left w:w="28" w:type="dxa"/>
          <w:bottom w:w="28" w:type="dxa"/>
          <w:right w:w="28" w:type="dxa"/>
        </w:tblCellMar>
      </w:tblPr>
      <w:tblGrid>
        <w:gridCol w:w="2446"/>
        <w:gridCol w:w="146"/>
        <w:gridCol w:w="466"/>
        <w:gridCol w:w="146"/>
        <w:gridCol w:w="6016"/>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6"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Date: April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Robert J. Cardin</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Robert J. Cardin</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Senior Vice President, Interim Chief Financial</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2"/>
              </w:rPr>
              <w:t>Officer, Controller and Chief Accounting Officer</w:t>
            </w:r>
            <w:r>
              <w:rPr>
                <w:rFonts w:ascii="Times New Roman" w:hAnsi="Times New Roman"/>
                <w:color w:val="000000"/>
                <w:sz w:val="22"/>
              </w:rPr>
              <w:t xml:space="preserve">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(Authorized Officer and Principal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jc w:val="right"/>
        <w:rPr>
          <w:rFonts w:ascii="sans-serif" w:hAnsi="sans-serif"/>
          <w:b/>
          <w:color w:val="000000"/>
          <w:sz w:val="22"/>
        </w:rPr>
      </w:pPr>
      <w:bookmarkStart w:id="22" w:name="mlm-ex32_01.htm"/>
      <w:bookmarkStart w:id="23" w:name="ksmlmex32_01"/>
      <w:bookmarkEnd w:id="22"/>
      <w:bookmarkEnd w:id="23"/>
      <w:r>
        <w:rPr>
          <w:rFonts w:ascii="sans-serif" w:hAnsi="sans-serif"/>
          <w:b/>
          <w:color w:val="000000"/>
          <w:sz w:val="22"/>
        </w:rPr>
        <w:t>EXHIBIT 32.01</w:t>
      </w:r>
      <w:r>
        <w:br w:type="page"/>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Written Statement Pursuant to 18 U.S.C. 1350,</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As Adopted Pursuant to Section 906 of the Sarbanes-Oxley Act of 2002</w:t>
      </w:r>
    </w:p>
    <w:p>
      <w:pPr>
        <w:pStyle w:val="TextBody"/>
        <w:bidi w:val="0"/>
        <w:jc w:val="center"/>
        <w:rPr/>
      </w:pPr>
      <w:r>
        <w:rPr/>
        <w:t> </w:t>
      </w:r>
    </w:p>
    <w:p>
      <w:pPr>
        <w:pStyle w:val="TextBody"/>
        <w:bidi w:val="0"/>
        <w:jc w:val="both"/>
        <w:rPr>
          <w:rFonts w:ascii="sans-serif" w:hAnsi="sans-serif"/>
          <w:color w:val="000000"/>
          <w:sz w:val="22"/>
        </w:rPr>
      </w:pPr>
      <w:r>
        <w:rPr>
          <w:rFonts w:ascii="sans-serif" w:hAnsi="sans-serif"/>
          <w:color w:val="000000"/>
          <w:sz w:val="22"/>
        </w:rPr>
        <w:t>In connection with the Quarterly Report on Form 10-Q for the period ended March 31, 2025 (the “Report”) of Martin Marietta Materials, Inc. (the “Registrant”), as filed with the Securities and Exchange Commission on the date hereof, I, C. Howard Nye, the Chief Executive Officer of the Registrant, certify, to the best of my knowledge, that:</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(1)</w:t>
      </w:r>
    </w:p>
    <w:p>
      <w:pPr>
        <w:pStyle w:val="TextBody"/>
        <w:bidi w:val="0"/>
        <w:jc w:val="both"/>
        <w:rPr>
          <w:rFonts w:ascii="sans-serif" w:hAnsi="sans-serif"/>
          <w:color w:val="000000"/>
          <w:sz w:val="22"/>
        </w:rPr>
      </w:pPr>
      <w:r>
        <w:rPr>
          <w:rFonts w:ascii="sans-serif" w:hAnsi="sans-serif"/>
          <w:color w:val="000000"/>
          <w:sz w:val="22"/>
        </w:rPr>
        <w:t>the Report fully complies with the requirements of Section 13(a) or 15(d) of the Securities Exchange Act of 1934, as amended; and</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(2)</w:t>
      </w:r>
    </w:p>
    <w:p>
      <w:pPr>
        <w:pStyle w:val="TextBody"/>
        <w:bidi w:val="0"/>
        <w:jc w:val="both"/>
        <w:rPr>
          <w:rFonts w:ascii="sans-serif" w:hAnsi="sans-serif"/>
          <w:color w:val="000000"/>
          <w:sz w:val="22"/>
        </w:rPr>
      </w:pPr>
      <w:r>
        <w:rPr>
          <w:rFonts w:ascii="sans-serif" w:hAnsi="sans-serif"/>
          <w:color w:val="000000"/>
          <w:sz w:val="22"/>
        </w:rPr>
        <w:t>the information contained in the Report fairly presents, in all material respects, the financial condition and results of operations of the Registrant.</w:t>
      </w:r>
    </w:p>
    <w:p>
      <w:pPr>
        <w:pStyle w:val="TextBody"/>
        <w:bidi w:val="0"/>
        <w:jc w:val="left"/>
        <w:rPr/>
      </w:pPr>
      <w:r>
        <w:rPr/>
        <w:t> </w:t>
      </w:r>
    </w:p>
    <w:p>
      <w:pPr>
        <w:pStyle w:val="TextBody"/>
        <w:bidi w:val="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283"/>
              <w:jc w:val="left"/>
              <w:rPr>
                <w:sz w:val="4"/>
                <w:szCs w:val="4"/>
              </w:rPr>
            </w:pPr>
            <w:r>
              <w:rPr>
                <w:sz w:val="4"/>
                <w:szCs w:val="4"/>
              </w:rPr>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/s/ C. Howard Nye</w:t>
            </w:r>
            <w:r>
              <w:rPr>
                <w:rFonts w:ascii="Times New Roman" w:hAnsi="Times New Roman"/>
                <w:color w:val="000000"/>
                <w:sz w:val="22"/>
              </w:rPr>
              <w:t xml:space="preserve">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 Howard Nye</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Chair, President and</w:t>
            </w:r>
          </w:p>
        </w:tc>
      </w:tr>
      <w:tr>
        <w:trPr/>
        <w:tc>
          <w:tcPr>
            <w:tcW w:w="29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Chief Executive Officer</w:t>
            </w:r>
          </w:p>
        </w:tc>
      </w:tr>
    </w:tbl>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Dated: April 30, 2025</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Heading1"/>
        <w:bidi w:val="0"/>
        <w:jc w:val="right"/>
        <w:rPr>
          <w:rFonts w:ascii="sans-serif" w:hAnsi="sans-serif"/>
          <w:b/>
          <w:color w:val="000000"/>
          <w:sz w:val="22"/>
        </w:rPr>
      </w:pPr>
      <w:bookmarkStart w:id="24" w:name="mlm-ex32_02.htm"/>
      <w:bookmarkStart w:id="25" w:name="ksmlmex32_02"/>
      <w:bookmarkEnd w:id="24"/>
      <w:bookmarkEnd w:id="25"/>
      <w:r>
        <w:rPr>
          <w:rFonts w:ascii="sans-serif" w:hAnsi="sans-serif"/>
          <w:b/>
          <w:color w:val="000000"/>
          <w:sz w:val="22"/>
        </w:rPr>
        <w:t>EXHIBIT 32.02</w:t>
      </w:r>
      <w:r>
        <w:br w:type="page"/>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Written Statement Pursuant to 18 U.S.C. 1350,</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As Adopted Pursuant to Section 906 of the Sarbanes-Oxley Act of 2002</w:t>
      </w:r>
    </w:p>
    <w:p>
      <w:pPr>
        <w:pStyle w:val="TextBody"/>
        <w:bidi w:val="0"/>
        <w:jc w:val="center"/>
        <w:rPr/>
      </w:pPr>
      <w:r>
        <w:rPr/>
        <w:t> </w:t>
      </w:r>
    </w:p>
    <w:p>
      <w:pPr>
        <w:pStyle w:val="TextBody"/>
        <w:bidi w:val="0"/>
        <w:jc w:val="both"/>
        <w:rPr>
          <w:rFonts w:ascii="sans-serif" w:hAnsi="sans-serif"/>
          <w:color w:val="000000"/>
          <w:sz w:val="22"/>
        </w:rPr>
      </w:pPr>
      <w:r>
        <w:rPr>
          <w:rFonts w:ascii="sans-serif" w:hAnsi="sans-serif"/>
          <w:color w:val="000000"/>
          <w:sz w:val="22"/>
        </w:rPr>
        <w:t>In connection with the Quarterly Report on Form 10-Q for the period ended March 31, 2025 (the “Report”) of Martin Marietta Materials, Inc. (the “Registrant”), as filed with the Securities and Exchange Commission on the date hereof, I, Robert J. Cardin, the Interim Chief Financial Officer, Controller and Chief Accounting Officer of the Registrant, certify, to the best of my knowledge, that:</w:t>
      </w:r>
    </w:p>
    <w:p>
      <w:pPr>
        <w:pStyle w:val="TextBody"/>
        <w:bidi w:val="0"/>
        <w:jc w:val="left"/>
        <w:rPr/>
      </w:pPr>
      <w:r>
        <w:rPr/>
        <w:t> </w:t>
      </w:r>
    </w:p>
    <w:p>
      <w:pPr>
        <w:pStyle w:val="TextBody"/>
        <w:bidi w:val="0"/>
        <w:spacing w:before="0" w:after="0"/>
        <w:jc w:val="both"/>
        <w:rPr>
          <w:rFonts w:ascii="Calibri" w:hAnsi="Calibri"/>
          <w:color w:val="000000"/>
          <w:sz w:val="22"/>
        </w:rPr>
      </w:pPr>
      <w:r>
        <w:rPr>
          <w:rFonts w:ascii="Calibri" w:hAnsi="Calibri"/>
          <w:color w:val="000000"/>
          <w:sz w:val="22"/>
        </w:rPr>
        <w:t>(1)</w:t>
      </w:r>
    </w:p>
    <w:p>
      <w:pPr>
        <w:pStyle w:val="TextBody"/>
        <w:bidi w:val="0"/>
        <w:jc w:val="both"/>
        <w:rPr>
          <w:rFonts w:ascii="sans-serif" w:hAnsi="sans-serif"/>
          <w:color w:val="000000"/>
          <w:sz w:val="22"/>
        </w:rPr>
      </w:pPr>
      <w:r>
        <w:rPr>
          <w:rFonts w:ascii="sans-serif" w:hAnsi="sans-serif"/>
          <w:color w:val="000000"/>
          <w:sz w:val="22"/>
        </w:rPr>
        <w:t>the Report fully complies with the requirements of Section 13(a) or 15(d) of the Securities Exchange Act of 1934, as amended; and</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(2)</w:t>
      </w:r>
    </w:p>
    <w:p>
      <w:pPr>
        <w:pStyle w:val="TextBody"/>
        <w:bidi w:val="0"/>
        <w:jc w:val="both"/>
        <w:rPr>
          <w:rFonts w:ascii="sans-serif" w:hAnsi="sans-serif"/>
          <w:color w:val="000000"/>
          <w:sz w:val="22"/>
        </w:rPr>
      </w:pPr>
      <w:r>
        <w:rPr>
          <w:rFonts w:ascii="sans-serif" w:hAnsi="sans-serif"/>
          <w:color w:val="000000"/>
          <w:sz w:val="22"/>
        </w:rPr>
        <w:t>the information contained in the Report fairly presents, in all material respects, the financial condition and results of operations of the Registrant.</w:t>
      </w:r>
    </w:p>
    <w:p>
      <w:pPr>
        <w:pStyle w:val="TextBody"/>
        <w:bidi w:val="0"/>
        <w:jc w:val="both"/>
        <w:rPr/>
      </w:pPr>
      <w:r>
        <w:rPr/>
        <w:t> </w:t>
      </w:r>
    </w:p>
    <w:p>
      <w:pPr>
        <w:pStyle w:val="TextBody"/>
        <w:bidi w:val="0"/>
        <w:jc w:val="both"/>
        <w:rPr/>
      </w:pPr>
      <w:r>
        <w:rPr/>
        <w:t> </w:t>
      </w:r>
    </w:p>
    <w:tbl>
      <w:tblPr>
        <w:tblW w:w="6151" w:type="dxa"/>
        <w:jc w:val="left"/>
        <w:tblInd w:w="0" w:type="dxa"/>
        <w:tblLayout w:type="fixed"/>
        <w:tblCellMar>
          <w:top w:w="28" w:type="dxa"/>
          <w:left w:w="28" w:type="dxa"/>
          <w:bottom w:w="28" w:type="dxa"/>
          <w:right w:w="28" w:type="dxa"/>
        </w:tblCellMar>
      </w:tblPr>
      <w:tblGrid>
        <w:gridCol w:w="6151"/>
      </w:tblGrid>
      <w:tr>
        <w:trPr/>
        <w:tc>
          <w:tcPr>
            <w:tcW w:w="6151" w:type="dxa"/>
            <w:tcBorders/>
            <w:vAlign w:val="center"/>
          </w:tcPr>
          <w:p>
            <w:pPr>
              <w:pStyle w:val="TableContents"/>
              <w:bidi w:val="0"/>
              <w:spacing w:before="0" w:after="283"/>
              <w:jc w:val="left"/>
              <w:rPr>
                <w:sz w:val="4"/>
                <w:szCs w:val="4"/>
              </w:rPr>
            </w:pPr>
            <w:r>
              <w:rPr>
                <w:sz w:val="4"/>
                <w:szCs w:val="4"/>
              </w:rPr>
            </w:r>
          </w:p>
        </w:tc>
      </w:tr>
      <w:tr>
        <w:trPr/>
        <w:tc>
          <w:tcPr>
            <w:tcW w:w="6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Robert J. Cardin</w:t>
            </w:r>
          </w:p>
        </w:tc>
      </w:tr>
      <w:tr>
        <w:trPr/>
        <w:tc>
          <w:tcPr>
            <w:tcW w:w="61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Robert J. Cardin</w:t>
            </w:r>
          </w:p>
        </w:tc>
      </w:tr>
      <w:tr>
        <w:trPr/>
        <w:tc>
          <w:tcPr>
            <w:tcW w:w="61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Senior Vice President, Interim Chief Financial Officer,</w:t>
            </w:r>
          </w:p>
        </w:tc>
      </w:tr>
      <w:tr>
        <w:trPr/>
        <w:tc>
          <w:tcPr>
            <w:tcW w:w="615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2"/>
              </w:rPr>
              <w:t>Controller and Chief Accounting Officer</w:t>
            </w:r>
            <w:r>
              <w:rPr>
                <w:rFonts w:ascii="Times New Roman" w:hAnsi="Times New Roman"/>
                <w:color w:val="000000"/>
                <w:sz w:val="22"/>
              </w:rPr>
              <w:t xml:space="preserve"> </w:t>
            </w:r>
          </w:p>
        </w:tc>
      </w:tr>
      <w:tr>
        <w:trPr/>
        <w:tc>
          <w:tcPr>
            <w:tcW w:w="61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(Authorized Officer and Principal Financial Officer)</w:t>
            </w:r>
          </w:p>
        </w:tc>
      </w:tr>
    </w:tbl>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Dated: April 30, 2025</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bookmarkStart w:id="26" w:name="mlm-ex95.htm"/>
      <w:bookmarkStart w:id="27" w:name="ksmlmex95"/>
      <w:bookmarkEnd w:id="26"/>
      <w:bookmarkEnd w:id="27"/>
      <w:r>
        <w:rPr>
          <w:rFonts w:ascii="sans-serif" w:hAnsi="sans-serif"/>
          <w:color w:val="000000"/>
          <w:sz w:val="22"/>
        </w:rPr>
        <w:t>Appendix 1</w:t>
      </w:r>
      <w:r>
        <w:br w:type="page"/>
      </w:r>
    </w:p>
    <w:p>
      <w:pPr>
        <w:pStyle w:val="Heading1"/>
        <w:bidi w:val="0"/>
        <w:jc w:val="right"/>
        <w:rPr>
          <w:rFonts w:ascii="sans-serif" w:hAnsi="sans-serif"/>
          <w:b/>
          <w:color w:val="000000"/>
          <w:sz w:val="22"/>
        </w:rPr>
      </w:pPr>
      <w:r>
        <w:rPr>
          <w:rFonts w:ascii="sans-serif" w:hAnsi="sans-serif"/>
          <w:b/>
          <w:color w:val="000000"/>
          <w:sz w:val="22"/>
        </w:rPr>
        <w:t>EXHIBIT 95</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MINE SAFETY DISCLOSURES</w:t>
      </w:r>
    </w:p>
    <w:p>
      <w:pPr>
        <w:pStyle w:val="TextBody"/>
        <w:bidi w:val="0"/>
        <w:jc w:val="center"/>
        <w:rPr/>
      </w:pPr>
      <w:r>
        <w:rPr/>
        <w:t> </w:t>
      </w:r>
    </w:p>
    <w:p>
      <w:pPr>
        <w:pStyle w:val="TextBody"/>
        <w:bidi w:val="0"/>
        <w:jc w:val="both"/>
        <w:rPr>
          <w:rFonts w:ascii="sans-serif" w:hAnsi="sans-serif"/>
          <w:color w:val="000000"/>
          <w:sz w:val="22"/>
        </w:rPr>
      </w:pPr>
      <w:r>
        <w:rPr>
          <w:rFonts w:ascii="sans-serif" w:hAnsi="sans-serif"/>
          <w:color w:val="000000"/>
          <w:sz w:val="22"/>
        </w:rPr>
        <w:t>The operation of the Company’s domestic aggregates quarries and mines is subject to regulation by the federal Mine Safety and Health Administration (MSHA) under the Federal Mine Safety and Health Act of 1977 (the Mine Act). MSHA inspects the Company’s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they are sometimes dismissed.</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(i.e., underground or surface), (ii) the number of citations issued will vary from inspector to inspector and location to location, and (iii) citations and orders can be contested and appealed, and in that process, may be reduced in severity and amount, and are sometimes dismissed.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Company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Company’s quarries and mines operated outside the United States.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Company presents the following items regarding certain mining safety and health matters for the three months ended March 31, 2025:</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Total number of violations of mandatory health or safety standards that could significantly and substantially contribute to the cause and effect of a mine safety or health hazard under section 104 of the Mine Act for which the Company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pStyle w:val="TextBody"/>
        <w:bidi w:val="0"/>
        <w:spacing w:before="220" w:after="283"/>
        <w:jc w:val="both"/>
        <w:rPr>
          <w:color w:val="000000"/>
        </w:rPr>
      </w:pPr>
      <w:r>
        <w:rPr>
          <w:color w:val="000000"/>
        </w:rPr>
        <w:t>•</w:t>
      </w:r>
    </w:p>
    <w:p>
      <w:pPr>
        <w:pStyle w:val="TextBody"/>
        <w:bidi w:val="0"/>
        <w:spacing w:before="220" w:after="283"/>
        <w:jc w:val="both"/>
        <w:rPr>
          <w:rFonts w:ascii="sans-serif" w:hAnsi="sans-serif"/>
          <w:color w:val="000000"/>
          <w:sz w:val="22"/>
        </w:rPr>
      </w:pPr>
      <w:r>
        <w:rPr>
          <w:rFonts w:ascii="sans-serif" w:hAnsi="sans-serif"/>
          <w:color w:val="000000"/>
          <w:sz w:val="22"/>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 xml:space="preserve">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Appendix 1</w:t>
      </w:r>
    </w:p>
    <w:p>
      <w:pPr>
        <w:pStyle w:val="TextBody"/>
        <w:bidi w:val="0"/>
        <w:jc w:val="both"/>
        <w:rPr>
          <w:rFonts w:ascii="sans-serif" w:hAnsi="sans-serif"/>
          <w:color w:val="000000"/>
          <w:sz w:val="22"/>
        </w:rPr>
      </w:pPr>
      <w:r>
        <w:rPr>
          <w:rFonts w:ascii="sans-serif" w:hAnsi="sans-serif"/>
          <w:color w:val="000000"/>
          <w:sz w:val="22"/>
        </w:rPr>
        <w:t>or health hazard, but the conditions do not cause imminent danger, and the MSHA inspector finds that the violation is caused by an unwarranted failure of the operator to comply with the health and safety standards.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Legal actions before the Federal Mine Safety and Health Review Commissions pending as of the last day of period.</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Legal actions before the Federal Mine Safety and Health Review Commissions initiated during period.</w:t>
      </w:r>
    </w:p>
    <w:p>
      <w:pPr>
        <w:pStyle w:val="TextBody"/>
        <w:bidi w:val="0"/>
        <w:jc w:val="left"/>
        <w:rPr/>
      </w:pPr>
      <w:r>
        <w:rPr/>
        <w:t> </w:t>
      </w:r>
    </w:p>
    <w:p>
      <w:pPr>
        <w:pStyle w:val="TextBody"/>
        <w:bidi w:val="0"/>
        <w:jc w:val="both"/>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sans-serif" w:hAnsi="sans-serif"/>
          <w:color w:val="000000"/>
          <w:sz w:val="22"/>
        </w:rPr>
      </w:pPr>
      <w:r>
        <w:rPr>
          <w:rFonts w:ascii="sans-serif" w:hAnsi="sans-serif"/>
          <w:color w:val="000000"/>
          <w:sz w:val="22"/>
        </w:rPr>
        <w:t>Legal actions before the Federal Mine Safety and Health Review Commissions resolved during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p>
      <w:pPr>
        <w:pStyle w:val="TextBody"/>
        <w:bidi w:val="0"/>
        <w:jc w:val="both"/>
        <w:rPr>
          <w:rFonts w:ascii="Times New Roman" w:hAnsi="Times New Roman"/>
          <w:sz w:val="20"/>
        </w:rPr>
      </w:pPr>
      <w:bookmarkStart w:id="28" w:name="eolpage172"/>
      <w:bookmarkEnd w:id="28"/>
      <w:r>
        <w:rPr>
          <w:rFonts w:ascii="sans-serif" w:hAnsi="sans-serif"/>
          <w:color w:val="000000"/>
          <w:sz w:val="22"/>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Appendix 1</w:t>
      </w:r>
    </w:p>
    <w:p>
      <w:pPr>
        <w:pStyle w:val="TextBody"/>
        <w:bidi w:val="0"/>
        <w:jc w:val="both"/>
        <w:rPr>
          <w:rFonts w:ascii="sans-serif" w:hAnsi="sans-serif"/>
          <w:color w:val="000000"/>
          <w:sz w:val="22"/>
        </w:rPr>
      </w:pPr>
      <w:r>
        <w:rPr>
          <w:rFonts w:ascii="sans-serif" w:hAnsi="sans-serif"/>
          <w:color w:val="000000"/>
          <w:sz w:val="22"/>
        </w:rPr>
        <w:t>penalties they have received from MSHA, or complaints of discrimination by miners under Section 105 of the Mine Act. Appendix 1 shows, for each of the Company’s quarries and mines identified, as of March 31, 2025,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pStyle w:val="TextBody"/>
        <w:bidi w:val="0"/>
        <w:jc w:val="both"/>
        <w:rPr/>
      </w:pPr>
      <w:r>
        <w:rPr/>
        <w:t> </w:t>
      </w:r>
    </w:p>
    <w:p>
      <w:pPr>
        <w:pStyle w:val="TextBody"/>
        <w:bidi w:val="0"/>
        <w:jc w:val="both"/>
        <w:rPr>
          <w:rFonts w:ascii="sans-serif" w:hAnsi="sans-serif"/>
          <w:color w:val="000000"/>
          <w:sz w:val="22"/>
        </w:rPr>
      </w:pPr>
      <w:bookmarkStart w:id="29" w:name="fis_unidentified_table_109"/>
      <w:bookmarkEnd w:id="29"/>
      <w:r>
        <w:rPr>
          <w:rFonts w:ascii="sans-serif" w:hAnsi="sans-serif"/>
          <w:color w:val="000000"/>
          <w:sz w:val="22"/>
        </w:rPr>
        <w:t>Appendix 1 attached.</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Appendix 1</w:t>
      </w:r>
    </w:p>
    <w:tbl>
      <w:tblPr>
        <w:tblW w:w="17530" w:type="dxa"/>
        <w:jc w:val="left"/>
        <w:tblInd w:w="0" w:type="dxa"/>
        <w:tblLayout w:type="fixed"/>
        <w:tblCellMar>
          <w:top w:w="28" w:type="dxa"/>
          <w:left w:w="28" w:type="dxa"/>
          <w:bottom w:w="28" w:type="dxa"/>
          <w:right w:w="28" w:type="dxa"/>
        </w:tblCellMar>
      </w:tblPr>
      <w:tblGrid>
        <w:gridCol w:w="1456"/>
        <w:gridCol w:w="1156"/>
        <w:gridCol w:w="1231"/>
        <w:gridCol w:w="1051"/>
        <w:gridCol w:w="1051"/>
        <w:gridCol w:w="1051"/>
        <w:gridCol w:w="1051"/>
        <w:gridCol w:w="539"/>
        <w:gridCol w:w="1172"/>
        <w:gridCol w:w="146"/>
        <w:gridCol w:w="1276"/>
        <w:gridCol w:w="1261"/>
        <w:gridCol w:w="1261"/>
        <w:gridCol w:w="1156"/>
        <w:gridCol w:w="1366"/>
        <w:gridCol w:w="1306"/>
      </w:tblGrid>
      <w:tr>
        <w:trPr/>
        <w:tc>
          <w:tcPr>
            <w:tcW w:w="14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Location</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MSHA ID</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Section 104 S&amp;S Citations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Section 104(b) Orders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Section 104(d) Citations and Orders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Section 110(b)(2) Violations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Section 107(a) Orders (#)</w:t>
            </w:r>
          </w:p>
        </w:tc>
        <w:tc>
          <w:tcPr>
            <w:tcW w:w="17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Total Dollar Value of MSHA Assessment/ $Proposed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Total Number of Mining Related Fatalities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Received Notice of Pattern of Violation Under Section 104(e) (yes/no)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Received Notice of Potential to have Pattern under Section 104(e) (yes/no)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Legal Actions Pending as of Last Day of Period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Legal Actions Instituted During Period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Legal Actions Resolved During Period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Abingdon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4400003</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Alexander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3101636</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Allsboro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0102014</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Amelia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4407372</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American Stone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3100189</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Anderson Creek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4402963</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Appling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0901083</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Arrowood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3100059</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Asheboro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3100066</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Auburn Al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0100006</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Auburn GA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0900436</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Augusta GA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0900065</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Bakers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3100071</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Ball Ground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0900955</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Belgrade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3100064</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Benson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3101979</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Berkeley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3800072</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Bessemer City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3101105</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Bonds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3101963</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Boonesboro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1800024</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Burlington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3100042</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Caldwell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3101869</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Calhoun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4003395</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Calhoun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3800716</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Castle Hayne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3100063</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Cayce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3800016</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Appendix 1</w:t>
      </w:r>
    </w:p>
    <w:tbl>
      <w:tblPr>
        <w:tblW w:w="8516" w:type="dxa"/>
        <w:jc w:val="left"/>
        <w:tblInd w:w="0" w:type="dxa"/>
        <w:tblLayout w:type="fixed"/>
        <w:tblCellMar>
          <w:top w:w="28" w:type="dxa"/>
          <w:left w:w="28" w:type="dxa"/>
          <w:bottom w:w="28" w:type="dxa"/>
          <w:right w:w="28" w:type="dxa"/>
        </w:tblCellMar>
      </w:tblPr>
      <w:tblGrid>
        <w:gridCol w:w="3031"/>
        <w:gridCol w:w="1156"/>
        <w:gridCol w:w="256"/>
        <w:gridCol w:w="256"/>
        <w:gridCol w:w="256"/>
        <w:gridCol w:w="256"/>
        <w:gridCol w:w="256"/>
        <w:gridCol w:w="256"/>
        <w:gridCol w:w="796"/>
        <w:gridCol w:w="146"/>
        <w:gridCol w:w="256"/>
        <w:gridCol w:w="391"/>
        <w:gridCol w:w="391"/>
        <w:gridCol w:w="256"/>
        <w:gridCol w:w="256"/>
        <w:gridCol w:w="301"/>
      </w:tblGrid>
      <w:tr>
        <w:trPr/>
        <w:tc>
          <w:tcPr>
            <w:tcW w:w="303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Central Rock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Charlotte Portable Plant 1</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3102341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Charlotte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Chattanooga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4003159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Churchville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1800012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Clarks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3102009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Coy Stone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4002465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Cumming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0900460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Denver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3101971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Doswell Quarry VA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4400045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Douglasville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0900024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East Alamance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3102021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Edgefield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3800738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Edmund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3800662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Elizabethton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4003075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Forks of The River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4001610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Fort Myers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0801203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Fountain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Franklin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3102130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Frederick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1800013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Fuquay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3102055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Garner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Georgetown II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3800525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Grasselli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4003131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Greenback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4002488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Greensboro Portable Plt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3102336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Hickory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Homer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0900958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Huntsville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0102660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I-75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4001247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Jamestown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Jefferson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0901106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Junction City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0901029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Kannapolis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Kent Sand &amp;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1800745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Appendix 1</w:t>
      </w:r>
    </w:p>
    <w:tbl>
      <w:tblPr>
        <w:tblW w:w="8186" w:type="dxa"/>
        <w:jc w:val="left"/>
        <w:tblInd w:w="0" w:type="dxa"/>
        <w:tblLayout w:type="fixed"/>
        <w:tblCellMar>
          <w:top w:w="28" w:type="dxa"/>
          <w:left w:w="28" w:type="dxa"/>
          <w:bottom w:w="28" w:type="dxa"/>
          <w:right w:w="28" w:type="dxa"/>
        </w:tblCellMar>
      </w:tblPr>
      <w:tblGrid>
        <w:gridCol w:w="2941"/>
        <w:gridCol w:w="1156"/>
        <w:gridCol w:w="256"/>
        <w:gridCol w:w="256"/>
        <w:gridCol w:w="256"/>
        <w:gridCol w:w="256"/>
        <w:gridCol w:w="256"/>
        <w:gridCol w:w="256"/>
        <w:gridCol w:w="556"/>
        <w:gridCol w:w="146"/>
        <w:gridCol w:w="256"/>
        <w:gridCol w:w="391"/>
        <w:gridCol w:w="391"/>
        <w:gridCol w:w="256"/>
        <w:gridCol w:w="256"/>
        <w:gridCol w:w="301"/>
      </w:tblGrid>
      <w:tr>
        <w:trPr/>
        <w:tc>
          <w:tcPr>
            <w:tcW w:w="294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Kings Mountain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Lemon Springs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3101104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Lithonia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0900023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Loamy Sand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3800721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Locust Mount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4000122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Maiden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3102125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Mallard Creek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3102006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Matthews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3102084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Maylene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0100634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Medford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1800035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Midlothian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4403767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Midway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4001169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Misc Greensboro District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00B8611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Monterey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4000798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Morgan County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0901126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Newton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0900899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North Columbia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3800146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North East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1800417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O'Neal Plant Co 19</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0103076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Old Charleston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3800702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Onslow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3102120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Palmetto Sand Company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3800710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Paulding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0901107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Perry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0801083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Pinesburg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1800021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Pomona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Raleigh Durham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3101941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Red Hill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4400072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Red Oak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0900069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Reidsville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Riverbend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4003224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Rock Hill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3800026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Rocky Point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3101956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Ruby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0900074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Salem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3800758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Appendix 1</w:t>
      </w:r>
    </w:p>
    <w:tbl>
      <w:tblPr>
        <w:tblW w:w="9101" w:type="dxa"/>
        <w:jc w:val="left"/>
        <w:tblInd w:w="0" w:type="dxa"/>
        <w:tblLayout w:type="fixed"/>
        <w:tblCellMar>
          <w:top w:w="28" w:type="dxa"/>
          <w:left w:w="28" w:type="dxa"/>
          <w:bottom w:w="28" w:type="dxa"/>
          <w:right w:w="28" w:type="dxa"/>
        </w:tblCellMar>
      </w:tblPr>
      <w:tblGrid>
        <w:gridCol w:w="3856"/>
        <w:gridCol w:w="1156"/>
        <w:gridCol w:w="256"/>
        <w:gridCol w:w="256"/>
        <w:gridCol w:w="256"/>
        <w:gridCol w:w="256"/>
        <w:gridCol w:w="256"/>
        <w:gridCol w:w="256"/>
        <w:gridCol w:w="556"/>
        <w:gridCol w:w="146"/>
        <w:gridCol w:w="256"/>
        <w:gridCol w:w="391"/>
        <w:gridCol w:w="391"/>
        <w:gridCol w:w="256"/>
        <w:gridCol w:w="256"/>
        <w:gridCol w:w="301"/>
      </w:tblGrid>
      <w:tr>
        <w:trPr/>
        <w:tc>
          <w:tcPr>
            <w:tcW w:w="38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Salem Stone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3102038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SDI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0801336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Six Mile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0901144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 Marys Sand Company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0901199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Statesville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Texas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1800009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Thomasville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3101475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Tri Cities Airport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4001657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Tyrone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0900306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Unicoi</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4002075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Vance Quarry Co 19</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0103022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Warfordsburg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3600168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Warrenton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0900580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Watauga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4000124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Wilmington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3101308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Wilson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3102230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Woodleaf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3100069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(45) North Indianapolis SURFACE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1200002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Alden Portable Plant #2</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1302033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Alden Portable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1302037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Alden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1300228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Ames Mine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1300014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Apple Grove S 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3301676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Belmont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1201911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Bowling Green North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1500065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Bowling Green South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1500025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Burning Springs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4608862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Carmel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1202124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Cedar Rapids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1300122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Cedarville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3304072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Cloverdale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1201744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Cumberland Quarry (Kentucky)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1500037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Des Moines Portable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1300150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Des Moines Portable #2 Primary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1300932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DES MOINES PORTABLE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1302504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Appendix 1</w:t>
      </w:r>
    </w:p>
    <w:tbl>
      <w:tblPr>
        <w:tblW w:w="9116" w:type="dxa"/>
        <w:jc w:val="left"/>
        <w:tblInd w:w="0" w:type="dxa"/>
        <w:tblLayout w:type="fixed"/>
        <w:tblCellMar>
          <w:top w:w="28" w:type="dxa"/>
          <w:left w:w="28" w:type="dxa"/>
          <w:bottom w:w="28" w:type="dxa"/>
          <w:right w:w="28" w:type="dxa"/>
        </w:tblCellMar>
      </w:tblPr>
      <w:tblGrid>
        <w:gridCol w:w="3631"/>
        <w:gridCol w:w="1156"/>
        <w:gridCol w:w="256"/>
        <w:gridCol w:w="256"/>
        <w:gridCol w:w="256"/>
        <w:gridCol w:w="256"/>
        <w:gridCol w:w="256"/>
        <w:gridCol w:w="256"/>
        <w:gridCol w:w="796"/>
        <w:gridCol w:w="146"/>
        <w:gridCol w:w="256"/>
        <w:gridCol w:w="391"/>
        <w:gridCol w:w="391"/>
        <w:gridCol w:w="256"/>
        <w:gridCol w:w="256"/>
        <w:gridCol w:w="301"/>
      </w:tblGrid>
      <w:tr>
        <w:trPr/>
        <w:tc>
          <w:tcPr>
            <w:tcW w:w="363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Dubois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2501046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Durham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1301225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 Town Sand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3304279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Earlham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1302123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Elk River Wash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2101218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Fairfield Sand &amp;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3301396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Ferguson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1300124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Fort Calhoun Mine UG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2501300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Fort Dodge Mine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1300032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Greenwood Quarry New</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2300141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Harlan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1500071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Hartford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1500095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Iowa Grading Plant 854</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1302126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Iowa Grading 2</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1302316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Johnson County Sand &amp;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1202506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Kentucky Ave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1201762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Kokomo Mine UG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1202105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Kokomo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1202203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Kokomo Stone (Surface)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1200142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Lebanon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4003012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Linn County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1302208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Malcom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1300112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Midwest Division OH</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00A2354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MN Portable # 1</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2101112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MN Portable # 2</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2101593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MN Portable # 3</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2103147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MN Portable # 4</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2103287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MN Portable # 5</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2101110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MN Portable # 6</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2103120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MN Portable # 7</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2103355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MN Portable # 8</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2101843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MN Reclamation</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2103690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Moore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1302188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Murfreesboro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4000053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New Miami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3304383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Appendix 1</w:t>
      </w:r>
    </w:p>
    <w:tbl>
      <w:tblPr>
        <w:tblW w:w="10016" w:type="dxa"/>
        <w:jc w:val="left"/>
        <w:tblInd w:w="0" w:type="dxa"/>
        <w:tblLayout w:type="fixed"/>
        <w:tblCellMar>
          <w:top w:w="28" w:type="dxa"/>
          <w:left w:w="28" w:type="dxa"/>
          <w:bottom w:w="28" w:type="dxa"/>
          <w:right w:w="28" w:type="dxa"/>
        </w:tblCellMar>
      </w:tblPr>
      <w:tblGrid>
        <w:gridCol w:w="4531"/>
        <w:gridCol w:w="1156"/>
        <w:gridCol w:w="256"/>
        <w:gridCol w:w="256"/>
        <w:gridCol w:w="256"/>
        <w:gridCol w:w="256"/>
        <w:gridCol w:w="256"/>
        <w:gridCol w:w="256"/>
        <w:gridCol w:w="796"/>
        <w:gridCol w:w="146"/>
        <w:gridCol w:w="256"/>
        <w:gridCol w:w="391"/>
        <w:gridCol w:w="391"/>
        <w:gridCol w:w="256"/>
        <w:gridCol w:w="256"/>
        <w:gridCol w:w="301"/>
      </w:tblGrid>
      <w:tr>
        <w:trPr/>
        <w:tc>
          <w:tcPr>
            <w:tcW w:w="453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Noblesville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1201994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Noblesville Stone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1202176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6,703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North Indianapolis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1201993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5,295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North Valley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2501271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Ohio District Portable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3304793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Ottawa Quarry New</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1401590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Pedersen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1302192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Perkinsville Sand 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1202378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Petersburg Ky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1516895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Phillipsburg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3300006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Portland Quarry (Alden Portable Wash)</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1302122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Putnam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1202242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Raccoon River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1302315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Randolph Mine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2302308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Reasnor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1300814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Saylorville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1302290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Shamrock SG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3304011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Smyrna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4002940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Spring Valley Cook Rd SG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3304534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 Cloud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2100081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Stamper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2302232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Stones River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4003415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Sully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1300063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Sunflower Qy Co 61</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1401556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Troy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3301678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Walterloo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2501314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Waverly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1202038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Weeping Water Mine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2500998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West Center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2501231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Xenia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3301393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Yellow Medicine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2100033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Bennett Sand &amp;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0500929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Clarkdale Sand &amp;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0202524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Clayton</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0400159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Appendix 1</w:t>
      </w:r>
    </w:p>
    <w:tbl>
      <w:tblPr>
        <w:tblW w:w="9041" w:type="dxa"/>
        <w:jc w:val="left"/>
        <w:tblInd w:w="0" w:type="dxa"/>
        <w:tblLayout w:type="fixed"/>
        <w:tblCellMar>
          <w:top w:w="28" w:type="dxa"/>
          <w:left w:w="28" w:type="dxa"/>
          <w:bottom w:w="28" w:type="dxa"/>
          <w:right w:w="28" w:type="dxa"/>
        </w:tblCellMar>
      </w:tblPr>
      <w:tblGrid>
        <w:gridCol w:w="3796"/>
        <w:gridCol w:w="1156"/>
        <w:gridCol w:w="256"/>
        <w:gridCol w:w="256"/>
        <w:gridCol w:w="256"/>
        <w:gridCol w:w="256"/>
        <w:gridCol w:w="256"/>
        <w:gridCol w:w="256"/>
        <w:gridCol w:w="556"/>
        <w:gridCol w:w="146"/>
        <w:gridCol w:w="256"/>
        <w:gridCol w:w="391"/>
        <w:gridCol w:w="391"/>
        <w:gridCol w:w="256"/>
        <w:gridCol w:w="256"/>
        <w:gridCol w:w="301"/>
      </w:tblGrid>
      <w:tr>
        <w:trPr/>
        <w:tc>
          <w:tcPr>
            <w:tcW w:w="37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Coolidge Plant 65</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0203173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Eagle Valley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0404758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Granite Canyon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4800018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Greeley 35th Sand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0504613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Guernsey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4800004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Hassayampa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0202679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Hatchery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0500954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Hughson AGG &amp; HMA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0401769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Irwindale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0401838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Lakeside Vigilante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0402685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Maitri Road Sand &amp; Gravel Oper</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0404157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Merced AGG &amp; HMA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0402841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Milford Quarry Utah</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4202177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Miramar Recycle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0402911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Northern Portable Crushing #10</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0504531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Northern Portable Plant 17</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0504735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Northern Portable Plant 4</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4801565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Pacific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4500844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Parkdale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0504635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Parsons Sand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0503215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Penrose Sand and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0504509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Pier 92 Marine Aggregates</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0405261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Platte Sand and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0504418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Portable Plant 1</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0504359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Portable Plant 11</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0503984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Portable Plant 21</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0504520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Red Canyon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0504136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Rich Sand &amp;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0504186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River Ranch AGG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0202646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Riverbend Sand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0504841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Salughterhouse AGG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0402251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San Andreas AGG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0400539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Sanger AGG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0405799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Santa Margarita Aggregates</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0401616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Santee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0405564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Appendix 1</w:t>
      </w:r>
    </w:p>
    <w:tbl>
      <w:tblPr>
        <w:tblW w:w="9251" w:type="dxa"/>
        <w:jc w:val="left"/>
        <w:tblInd w:w="0" w:type="dxa"/>
        <w:tblLayout w:type="fixed"/>
        <w:tblCellMar>
          <w:top w:w="28" w:type="dxa"/>
          <w:left w:w="28" w:type="dxa"/>
          <w:bottom w:w="28" w:type="dxa"/>
          <w:right w:w="28" w:type="dxa"/>
        </w:tblCellMar>
      </w:tblPr>
      <w:tblGrid>
        <w:gridCol w:w="3616"/>
        <w:gridCol w:w="1156"/>
        <w:gridCol w:w="256"/>
        <w:gridCol w:w="256"/>
        <w:gridCol w:w="256"/>
        <w:gridCol w:w="256"/>
        <w:gridCol w:w="256"/>
        <w:gridCol w:w="256"/>
        <w:gridCol w:w="946"/>
        <w:gridCol w:w="146"/>
        <w:gridCol w:w="256"/>
        <w:gridCol w:w="391"/>
        <w:gridCol w:w="391"/>
        <w:gridCol w:w="256"/>
        <w:gridCol w:w="256"/>
        <w:gridCol w:w="301"/>
      </w:tblGrid>
      <w:tr>
        <w:trPr/>
        <w:tc>
          <w:tcPr>
            <w:tcW w:w="36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Sisquoc Aggregates</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0401959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 Agg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0500860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Sunol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0401859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18,828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Taft Sand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0504526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Tidewater Oakland Marine Agg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0403002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Walstrum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0503935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Yavapai AGG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0201222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51 Sand &amp;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4105381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Beckmann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4101335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Bedrock Sand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4103283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Bells Savoy SG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4104019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Black Rock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0300011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Black Spur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4104159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Bridgeport Stone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4100007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Broken Bow SG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3400460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Davis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3401299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Garfield SG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4103909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Garwood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4102886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GMS</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000C335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Hatton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0301614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Helotes</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4103137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Highway 211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4103829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Hondo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4104708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Hugo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3400061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Hunter Stone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4105230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Idabel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3400507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Jones Mill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0301586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Liberty Ranch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4105268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Medina Rock Rail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4105170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Merkel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4103848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Midlothian Cement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4100071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Mill Creek Limestone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3401859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Mill Creek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3401285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North Austin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4104380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Appendix 1</w:t>
      </w:r>
    </w:p>
    <w:tbl>
      <w:tblPr>
        <w:tblW w:w="10205" w:type="dxa"/>
        <w:jc w:val="left"/>
        <w:tblInd w:w="0" w:type="dxa"/>
        <w:tblLayout w:type="fixed"/>
        <w:tblCellMar>
          <w:top w:w="28" w:type="dxa"/>
          <w:left w:w="28" w:type="dxa"/>
          <w:bottom w:w="28" w:type="dxa"/>
          <w:right w:w="28" w:type="dxa"/>
        </w:tblCellMar>
      </w:tblPr>
      <w:tblGrid>
        <w:gridCol w:w="4270"/>
        <w:gridCol w:w="1156"/>
        <w:gridCol w:w="406"/>
        <w:gridCol w:w="256"/>
        <w:gridCol w:w="256"/>
        <w:gridCol w:w="256"/>
        <w:gridCol w:w="256"/>
        <w:gridCol w:w="256"/>
        <w:gridCol w:w="946"/>
        <w:gridCol w:w="146"/>
        <w:gridCol w:w="256"/>
        <w:gridCol w:w="391"/>
        <w:gridCol w:w="391"/>
        <w:gridCol w:w="406"/>
        <w:gridCol w:w="256"/>
        <w:gridCol w:w="301"/>
      </w:tblGrid>
      <w:tr>
        <w:trPr/>
        <w:tc>
          <w:tcPr>
            <w:tcW w:w="427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North Bridgeport Quarry (Chico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4103360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Perryville Aggregates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1601417</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Poteet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4101342</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Rio Medina</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4103594</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San Pedro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4101337</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Sawyer East Quarry Portable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3401809</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Sawyer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3401634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Slaton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4101111</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Smithson Valley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4104108</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Snyder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3401651</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South Texas Port #2 (Gulf Coast Portable #2 )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4104204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Tin Top SG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4102852</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Vealmoor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4101137</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Washita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3402049</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Webberville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4104363</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Woodworth Aggregates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1601070</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Woodville - Stone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3300156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Geology and Exploration</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00B7127</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Salisbury Shop</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00B9338</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TOTAL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43,278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5</w:t>
            </w:r>
          </w:p>
        </w:tc>
      </w:tr>
    </w:tbl>
    <w:p>
      <w:pPr>
        <w:pStyle w:val="TextBody"/>
        <w:bidi w:val="0"/>
        <w:spacing w:before="220" w:after="283"/>
        <w:jc w:val="both"/>
        <w:rPr>
          <w:rFonts w:ascii="Times New Roman" w:hAnsi="Times New Roman"/>
          <w:sz w:val="20"/>
        </w:rPr>
      </w:pPr>
      <w:r>
        <w:rPr>
          <w:rFonts w:ascii="sans-serif" w:hAnsi="sans-serif"/>
          <w:color w:val="000000"/>
          <w:sz w:val="22"/>
        </w:rPr>
        <w:t>*</w:t>
      </w:r>
      <w:r>
        <w:rPr>
          <w:rFonts w:ascii="Times New Roman" w:hAnsi="Times New Roman"/>
          <w:color w:val="000000"/>
          <w:sz w:val="20"/>
        </w:rPr>
        <w:t xml:space="preserve"> </w:t>
      </w:r>
      <w:r>
        <w:rPr>
          <w:rFonts w:ascii="sans-serif" w:hAnsi="sans-serif"/>
          <w:color w:val="000000"/>
          <w:sz w:val="22"/>
        </w:rPr>
        <w:t>Of the 16 legal actions pending on March 31, 2025, four were contests of citations or orders referenced in Subpart B of CFR Part 2700, which includes contests of citations and orders issued under Section 104 of the Mine Act and contests of imminent danger orders under Section 107 of the Mine Act, ten were contests of proposed penalties referenced in Subpart C of 29 CFR Part 2700, which are administrative proceedings before the Commission challenging a civil penalty that MSHA has proposed for the violation contained in a citation or order, and two were a contest of an order issued under Section 103 (K) of the Mine Act.</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Calibri">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20390</Words>
  <Characters>98152</Characters>
  <CharactersWithSpaces>116091</CharactersWithSpaces>
  <Paragraphs>10176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