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15</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15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Amendment No. 13 filed thereto on January 12, 2012 and Amendment No. 14 filed thereto on January 19,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has also filed a Registration Statement on Form S-4 on December 12, 2011, of which the Offer to Exchange forms a part.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(a)(5)(DD)</w:t>
      </w:r>
      <w:r>
        <w:rPr>
          <w:sz w:val="20"/>
          <w:szCs w:val="20"/>
          <w:color w:val="auto"/>
        </w:rPr>
        <w:tab/>
      </w:r>
      <w:r>
        <w:rPr>
          <w:rFonts w:ascii="Arial" w:cs="Arial" w:eastAsia="Arial" w:hAnsi="Arial"/>
          <w:sz w:val="18"/>
          <w:szCs w:val="18"/>
          <w:color w:val="auto"/>
        </w:rPr>
        <w:t>Statement of Martin Marietta Materials, Inc. (incorporated by reference to Martin Marietta’s Rule 425 filing on January 20,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Offer to Exchange (incorporated by reference to the Martin Marietta’s Registration Statement on Form S-4 filed on December 12, 2011)</w:t>
      </w:r>
    </w:p>
    <w:p>
      <w:pPr>
        <w:spacing w:after="0" w:line="151"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Transcript of presentation given on January 11, 2012 (incorporated by reference to Martin Marietta’s Rule 425 filing dated January 12, 2012)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ectPr>
          <w:pgSz w:w="11900" w:h="16838" w:orient="portrait"/>
          <w:cols w:equalWidth="0" w:num="2">
            <w:col w:w="780" w:space="440"/>
            <w:col w:w="9900"/>
          </w:cols>
          <w:pgMar w:left="240" w:top="131" w:right="53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120"/>
      </w:cols>
      <w:pgMar w:left="24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2019-12-20T20:03:24Z</dcterms:created>
  <dcterms:modified xsi:type="dcterms:W3CDTF">2019-12-20T20:03:24Z</dcterms:modified>
</cp:coreProperties>
</file>