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2"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128270</wp:posOffset>
            </wp:positionV>
            <wp:extent cx="1419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-95885</wp:posOffset>
            </wp:positionV>
            <wp:extent cx="1419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ind w:left="3880" w:right="1640" w:hanging="3859"/>
        <w:spacing w:after="0" w:line="288"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9" w:lineRule="exact"/>
        <w:rPr>
          <w:sz w:val="24"/>
          <w:szCs w:val="24"/>
          <w:color w:val="auto"/>
        </w:rPr>
      </w:pPr>
    </w:p>
    <w:p>
      <w:pPr>
        <w:ind w:left="3360"/>
        <w:spacing w:after="0"/>
        <w:tabs>
          <w:tab w:leader="none" w:pos="7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132715</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07"/>
        </w:trPr>
        <w:tc>
          <w:tcPr>
            <w:tcW w:w="4780" w:type="dxa"/>
            <w:vAlign w:val="bottom"/>
          </w:tcPr>
          <w:p>
            <w:pPr>
              <w:jc w:val="center"/>
              <w:ind w:right="1444"/>
              <w:spacing w:after="0"/>
              <w:rPr>
                <w:sz w:val="20"/>
                <w:szCs w:val="20"/>
                <w:color w:val="auto"/>
              </w:rPr>
            </w:pPr>
            <w:r>
              <w:rPr>
                <w:rFonts w:ascii="Arial" w:cs="Arial" w:eastAsia="Arial" w:hAnsi="Arial"/>
                <w:sz w:val="18"/>
                <w:szCs w:val="18"/>
                <w:b w:val="1"/>
                <w:bCs w:val="1"/>
                <w:color w:val="auto"/>
                <w:w w:val="94"/>
              </w:rPr>
              <w:t>North Carolina</w:t>
            </w:r>
          </w:p>
        </w:tc>
        <w:tc>
          <w:tcPr>
            <w:tcW w:w="3440" w:type="dxa"/>
            <w:vAlign w:val="bottom"/>
          </w:tcPr>
          <w:p>
            <w:pPr>
              <w:jc w:val="right"/>
              <w:ind w:right="464"/>
              <w:spacing w:after="0"/>
              <w:rPr>
                <w:sz w:val="20"/>
                <w:szCs w:val="20"/>
                <w:color w:val="auto"/>
              </w:rPr>
            </w:pPr>
            <w:r>
              <w:rPr>
                <w:rFonts w:ascii="Arial" w:cs="Arial" w:eastAsia="Arial" w:hAnsi="Arial"/>
                <w:sz w:val="18"/>
                <w:szCs w:val="18"/>
                <w:b w:val="1"/>
                <w:bCs w:val="1"/>
                <w:color w:val="auto"/>
              </w:rPr>
              <w:t>56-1848578</w:t>
            </w:r>
          </w:p>
        </w:tc>
      </w:tr>
      <w:tr>
        <w:trPr>
          <w:trHeight w:val="148"/>
        </w:trPr>
        <w:tc>
          <w:tcPr>
            <w:tcW w:w="4780" w:type="dxa"/>
            <w:vAlign w:val="bottom"/>
          </w:tcPr>
          <w:p>
            <w:pPr>
              <w:jc w:val="center"/>
              <w:ind w:right="1424"/>
              <w:spacing w:after="0" w:line="148" w:lineRule="exact"/>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40" w:type="dxa"/>
            <w:vAlign w:val="bottom"/>
          </w:tcPr>
          <w:p>
            <w:pPr>
              <w:jc w:val="center"/>
              <w:ind w:left="1444"/>
              <w:spacing w:after="0" w:line="148" w:lineRule="exact"/>
              <w:rPr>
                <w:sz w:val="20"/>
                <w:szCs w:val="20"/>
                <w:color w:val="auto"/>
              </w:rPr>
            </w:pPr>
            <w:r>
              <w:rPr>
                <w:rFonts w:ascii="Arial" w:cs="Arial" w:eastAsia="Arial" w:hAnsi="Arial"/>
                <w:sz w:val="13"/>
                <w:szCs w:val="13"/>
                <w:b w:val="1"/>
                <w:bCs w:val="1"/>
                <w:color w:val="auto"/>
                <w:w w:val="90"/>
              </w:rPr>
              <w:t>(I.R.S. Employer Identification No.)</w:t>
            </w:r>
          </w:p>
        </w:tc>
      </w:tr>
      <w:tr>
        <w:trPr>
          <w:trHeight w:val="216"/>
        </w:trPr>
        <w:tc>
          <w:tcPr>
            <w:tcW w:w="4780" w:type="dxa"/>
            <w:vAlign w:val="bottom"/>
          </w:tcPr>
          <w:p>
            <w:pPr>
              <w:jc w:val="center"/>
              <w:ind w:right="1444"/>
              <w:spacing w:after="0"/>
              <w:rPr>
                <w:sz w:val="20"/>
                <w:szCs w:val="20"/>
                <w:color w:val="auto"/>
              </w:rPr>
            </w:pPr>
            <w:r>
              <w:rPr>
                <w:rFonts w:ascii="Arial" w:cs="Arial" w:eastAsia="Arial" w:hAnsi="Arial"/>
                <w:sz w:val="18"/>
                <w:szCs w:val="18"/>
                <w:b w:val="1"/>
                <w:bCs w:val="1"/>
                <w:color w:val="auto"/>
                <w:w w:val="91"/>
              </w:rPr>
              <w:t>4123 Parklake Avenue, Raleigh, NC</w:t>
            </w:r>
          </w:p>
        </w:tc>
        <w:tc>
          <w:tcPr>
            <w:tcW w:w="3440" w:type="dxa"/>
            <w:vAlign w:val="bottom"/>
          </w:tcPr>
          <w:p>
            <w:pPr>
              <w:jc w:val="right"/>
              <w:ind w:right="664"/>
              <w:spacing w:after="0"/>
              <w:rPr>
                <w:sz w:val="20"/>
                <w:szCs w:val="20"/>
                <w:color w:val="auto"/>
              </w:rPr>
            </w:pPr>
            <w:r>
              <w:rPr>
                <w:rFonts w:ascii="Arial" w:cs="Arial" w:eastAsia="Arial" w:hAnsi="Arial"/>
                <w:sz w:val="18"/>
                <w:szCs w:val="18"/>
                <w:b w:val="1"/>
                <w:bCs w:val="1"/>
                <w:color w:val="auto"/>
              </w:rPr>
              <w:t>27612</w:t>
            </w:r>
          </w:p>
        </w:tc>
      </w:tr>
      <w:tr>
        <w:trPr>
          <w:trHeight w:val="162"/>
        </w:trPr>
        <w:tc>
          <w:tcPr>
            <w:tcW w:w="4780" w:type="dxa"/>
            <w:vAlign w:val="bottom"/>
          </w:tcPr>
          <w:p>
            <w:pPr>
              <w:jc w:val="center"/>
              <w:ind w:right="14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(Zip Code)</w:t>
            </w:r>
          </w:p>
        </w:tc>
      </w:tr>
    </w:tbl>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19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28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5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MLM</w:t>
            </w:r>
          </w:p>
        </w:tc>
        <w:tc>
          <w:tcPr>
            <w:tcW w:w="10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6"/>
              </w:rPr>
              <w:t>NYSE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right="20" w:firstLine="599"/>
        <w:spacing w:after="0" w:line="19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2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300" w:firstLine="599"/>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3" w:lineRule="exact"/>
        <w:rPr>
          <w:sz w:val="24"/>
          <w:szCs w:val="24"/>
          <w:color w:val="auto"/>
        </w:rPr>
      </w:pPr>
    </w:p>
    <w:p>
      <w:pPr>
        <w:ind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4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220" w:type="dxa"/>
            <w:vAlign w:val="bottom"/>
          </w:tcPr>
          <w:p>
            <w:pPr>
              <w:spacing w:after="0"/>
              <w:rPr>
                <w:sz w:val="18"/>
                <w:szCs w:val="18"/>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as of July 25, 2022</w:t>
            </w:r>
          </w:p>
        </w:tc>
      </w:tr>
      <w:tr>
        <w:trPr>
          <w:trHeight w:val="199"/>
        </w:trPr>
        <w:tc>
          <w:tcPr>
            <w:tcW w:w="552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20" w:type="dxa"/>
            <w:vAlign w:val="bottom"/>
          </w:tcPr>
          <w:p>
            <w:pPr>
              <w:spacing w:after="0"/>
              <w:rPr>
                <w:sz w:val="17"/>
                <w:szCs w:val="17"/>
                <w:color w:val="auto"/>
              </w:rPr>
            </w:pPr>
          </w:p>
        </w:tc>
        <w:tc>
          <w:tcPr>
            <w:tcW w:w="5500" w:type="dxa"/>
            <w:vAlign w:val="bottom"/>
          </w:tcPr>
          <w:p>
            <w:pPr>
              <w:jc w:val="right"/>
              <w:ind w:right="2304"/>
              <w:spacing w:after="0"/>
              <w:rPr>
                <w:sz w:val="20"/>
                <w:szCs w:val="20"/>
                <w:color w:val="auto"/>
              </w:rPr>
            </w:pPr>
            <w:r>
              <w:rPr>
                <w:rFonts w:ascii="Arial" w:cs="Arial" w:eastAsia="Arial" w:hAnsi="Arial"/>
                <w:sz w:val="16"/>
                <w:szCs w:val="16"/>
                <w:color w:val="auto"/>
              </w:rPr>
              <w:t>62,374,140</w:t>
            </w:r>
          </w:p>
        </w:tc>
      </w:tr>
      <w:tr>
        <w:trPr>
          <w:trHeight w:val="649"/>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6" w:lineRule="auto"/>
        <w:rPr>
          <w:sz w:val="20"/>
          <w:szCs w:val="20"/>
          <w:color w:val="auto"/>
        </w:rPr>
      </w:pPr>
      <w:r>
        <w:rPr>
          <w:rFonts w:ascii="Arial" w:cs="Arial" w:eastAsia="Arial" w:hAnsi="Arial"/>
          <w:sz w:val="20"/>
          <w:szCs w:val="20"/>
          <w:color w:val="auto"/>
        </w:rPr>
        <w:t>FORM 10-Q</w:t>
      </w:r>
    </w:p>
    <w:p>
      <w:pPr>
        <w:jc w:val="center"/>
        <w:ind w:right="20"/>
        <w:spacing w:after="0"/>
        <w:rPr>
          <w:sz w:val="20"/>
          <w:szCs w:val="20"/>
          <w:color w:val="auto"/>
        </w:rPr>
      </w:pPr>
      <w:r>
        <w:rPr>
          <w:rFonts w:ascii="Arial" w:cs="Arial" w:eastAsia="Arial" w:hAnsi="Arial"/>
          <w:sz w:val="20"/>
          <w:szCs w:val="20"/>
          <w:color w:val="auto"/>
        </w:rPr>
        <w:t>For the Quarter Ended June 30, 2022</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054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Information:</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13"/>
        </w:trPr>
        <w:tc>
          <w:tcPr>
            <w:tcW w:w="10540" w:type="dxa"/>
            <w:vAlign w:val="bottom"/>
            <w:gridSpan w:val="19"/>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2260" w:type="dxa"/>
            <w:vAlign w:val="bottom"/>
            <w:tcBorders>
              <w:bottom w:val="single" w:sz="8" w:color="0000FF"/>
            </w:tcBorders>
            <w:gridSpan w:val="6"/>
          </w:tcPr>
          <w:p>
            <w:pPr>
              <w:spacing w:after="0"/>
              <w:rPr>
                <w:rFonts w:ascii="Arial" w:cs="Arial" w:eastAsia="Arial" w:hAnsi="Arial"/>
                <w:sz w:val="20"/>
                <w:szCs w:val="20"/>
                <w:color w:val="0000FF"/>
                <w:w w:val="88"/>
              </w:rPr>
            </w:pPr>
            <w:hyperlink w:anchor="page3">
              <w:r>
                <w:rPr>
                  <w:rFonts w:ascii="Arial" w:cs="Arial" w:eastAsia="Arial" w:hAnsi="Arial"/>
                  <w:sz w:val="20"/>
                  <w:szCs w:val="20"/>
                  <w:color w:val="0000FF"/>
                  <w:w w:val="88"/>
                </w:rPr>
                <w:t>Item 1. Financial Statements</w:t>
              </w:r>
            </w:hyperlink>
          </w:p>
        </w:tc>
        <w:tc>
          <w:tcPr>
            <w:tcW w:w="20" w:type="dxa"/>
            <w:vAlign w:val="bottom"/>
            <w:tcBorders>
              <w:bottom w:val="single" w:sz="8" w:color="0000EE"/>
            </w:tcBorders>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0000FF"/>
            </w:tcBorders>
            <w:gridSpan w:val="11"/>
          </w:tcPr>
          <w:p>
            <w:pPr>
              <w:spacing w:after="0"/>
              <w:rPr>
                <w:rFonts w:ascii="Arial" w:cs="Arial" w:eastAsia="Arial" w:hAnsi="Arial"/>
                <w:sz w:val="20"/>
                <w:szCs w:val="20"/>
                <w:color w:val="0000FF"/>
                <w:w w:val="87"/>
              </w:rPr>
            </w:pPr>
            <w:hyperlink w:anchor="page3">
              <w:r>
                <w:rPr>
                  <w:rFonts w:ascii="Arial" w:cs="Arial" w:eastAsia="Arial" w:hAnsi="Arial"/>
                  <w:sz w:val="20"/>
                  <w:szCs w:val="20"/>
                  <w:color w:val="0000FF"/>
                  <w:w w:val="87"/>
                </w:rPr>
                <w:t>Consolidated Balance Sheets – June 30, 2022 and December 31, 2021</w:t>
              </w:r>
            </w:hyperlink>
          </w:p>
        </w:tc>
        <w:tc>
          <w:tcPr>
            <w:tcW w:w="20" w:type="dxa"/>
            <w:vAlign w:val="bottom"/>
            <w:tcBorders>
              <w:bottom w:val="single" w:sz="8" w:color="0000EE"/>
            </w:tcBorders>
          </w:tcPr>
          <w:p>
            <w:pPr>
              <w:spacing w:after="0"/>
              <w:rPr>
                <w:sz w:val="24"/>
                <w:szCs w:val="24"/>
                <w:color w:val="auto"/>
              </w:rPr>
            </w:pPr>
          </w:p>
        </w:tc>
        <w:tc>
          <w:tcPr>
            <w:tcW w:w="456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20"/>
                <w:szCs w:val="20"/>
                <w:color w:val="0000FF"/>
                <w:w w:val="91"/>
              </w:rPr>
            </w:pPr>
            <w:hyperlink w:anchor="page4">
              <w:r>
                <w:rPr>
                  <w:rFonts w:ascii="Arial" w:cs="Arial" w:eastAsia="Arial" w:hAnsi="Arial"/>
                  <w:sz w:val="20"/>
                  <w:szCs w:val="20"/>
                  <w:color w:val="0000FF"/>
                  <w:w w:val="91"/>
                </w:rPr>
                <w:t>Consolidated Statements of Earnings and Comprehensive Earnings – Three and Six Months Ended June 30, 2022 and 2021</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tcBorders>
              <w:top w:val="single" w:sz="8" w:color="0000FF"/>
              <w:bottom w:val="single" w:sz="8" w:color="0000EE"/>
            </w:tcBorders>
            <w:gridSpan w:val="13"/>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Consolidated Statements of Cash Flows – Six Months Ended June 30, 2022 and 2021</w:t>
              </w:r>
            </w:hyperlink>
          </w:p>
        </w:tc>
        <w:tc>
          <w:tcPr>
            <w:tcW w:w="2940" w:type="dxa"/>
            <w:vAlign w:val="bottom"/>
            <w:tcBorders>
              <w:top w:val="single" w:sz="8" w:color="0000FF"/>
            </w:tcBorders>
            <w:gridSpan w:val="3"/>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tcBorders>
              <w:bottom w:val="single" w:sz="8" w:color="0000EE"/>
            </w:tcBorders>
            <w:gridSpan w:val="15"/>
          </w:tcPr>
          <w:p>
            <w:pPr>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Consolidated Statements of Total Equity – Three and Six Months Ended June 30, 2022 and 2021</w:t>
              </w:r>
            </w:hyperlink>
          </w:p>
        </w:tc>
        <w:tc>
          <w:tcPr>
            <w:tcW w:w="242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20"/>
                <w:szCs w:val="20"/>
                <w:color w:val="0000FF"/>
              </w:rPr>
            </w:pPr>
            <w:hyperlink w:anchor="page8">
              <w:r>
                <w:rPr>
                  <w:rFonts w:ascii="Arial" w:cs="Arial" w:eastAsia="Arial" w:hAnsi="Arial"/>
                  <w:sz w:val="20"/>
                  <w:szCs w:val="20"/>
                  <w:color w:val="0000FF"/>
                </w:rPr>
                <w:t>Notes to Consolidated Financial Statements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20" w:type="dxa"/>
            <w:vAlign w:val="bottom"/>
          </w:tcPr>
          <w:p>
            <w:pPr>
              <w:spacing w:after="0"/>
              <w:rPr>
                <w:sz w:val="24"/>
                <w:szCs w:val="24"/>
                <w:color w:val="auto"/>
              </w:rPr>
            </w:pPr>
          </w:p>
        </w:tc>
        <w:tc>
          <w:tcPr>
            <w:tcW w:w="10320" w:type="dxa"/>
            <w:vAlign w:val="bottom"/>
            <w:gridSpan w:val="18"/>
          </w:tcPr>
          <w:p>
            <w:pPr>
              <w:spacing w:after="0"/>
              <w:rPr>
                <w:rFonts w:ascii="Arial" w:cs="Arial" w:eastAsia="Arial" w:hAnsi="Arial"/>
                <w:sz w:val="20"/>
                <w:szCs w:val="20"/>
                <w:color w:val="0000FF"/>
              </w:rPr>
            </w:pPr>
            <w:hyperlink w:anchor="page26">
              <w:r>
                <w:rPr>
                  <w:rFonts w:ascii="Arial" w:cs="Arial" w:eastAsia="Arial" w:hAnsi="Arial"/>
                  <w:sz w:val="20"/>
                  <w:szCs w:val="20"/>
                  <w:color w:val="0000FF"/>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5400" w:type="dxa"/>
            <w:vAlign w:val="bottom"/>
            <w:tcBorders>
              <w:top w:val="single" w:sz="8" w:color="0000FF"/>
              <w:bottom w:val="single" w:sz="8" w:color="0000FF"/>
            </w:tcBorders>
            <w:gridSpan w:val="11"/>
          </w:tcPr>
          <w:p>
            <w:pPr>
              <w:spacing w:after="0"/>
              <w:rPr>
                <w:rFonts w:ascii="Arial" w:cs="Arial" w:eastAsia="Arial" w:hAnsi="Arial"/>
                <w:sz w:val="20"/>
                <w:szCs w:val="20"/>
                <w:color w:val="0000FF"/>
                <w:w w:val="91"/>
              </w:rPr>
            </w:pPr>
            <w:hyperlink w:anchor="page49">
              <w:r>
                <w:rPr>
                  <w:rFonts w:ascii="Arial" w:cs="Arial" w:eastAsia="Arial" w:hAnsi="Arial"/>
                  <w:sz w:val="20"/>
                  <w:szCs w:val="20"/>
                  <w:color w:val="0000FF"/>
                  <w:w w:val="91"/>
                </w:rPr>
                <w:t>Item 3. Quantitative and Qualitative Disclosures About Market Risk</w:t>
              </w:r>
            </w:hyperlink>
          </w:p>
        </w:tc>
        <w:tc>
          <w:tcPr>
            <w:tcW w:w="2280" w:type="dxa"/>
            <w:vAlign w:val="bottom"/>
            <w:tcBorders>
              <w:top w:val="single" w:sz="8" w:color="0000FF"/>
            </w:tcBorders>
            <w:gridSpan w:val="4"/>
          </w:tcPr>
          <w:p>
            <w:pPr>
              <w:spacing w:after="0"/>
              <w:rPr>
                <w:sz w:val="24"/>
                <w:szCs w:val="24"/>
                <w:color w:val="auto"/>
              </w:rPr>
            </w:pPr>
          </w:p>
        </w:tc>
        <w:tc>
          <w:tcPr>
            <w:tcW w:w="26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10320" w:type="dxa"/>
            <w:vAlign w:val="bottom"/>
            <w:gridSpan w:val="18"/>
          </w:tcPr>
          <w:p>
            <w:pPr>
              <w:spacing w:after="0"/>
              <w:rPr>
                <w:rFonts w:ascii="Arial" w:cs="Arial" w:eastAsia="Arial" w:hAnsi="Arial"/>
                <w:sz w:val="20"/>
                <w:szCs w:val="20"/>
                <w:color w:val="0000FF"/>
              </w:rPr>
            </w:pPr>
            <w:hyperlink w:anchor="page50">
              <w:r>
                <w:rPr>
                  <w:rFonts w:ascii="Arial" w:cs="Arial" w:eastAsia="Arial" w:hAnsi="Arial"/>
                  <w:sz w:val="20"/>
                  <w:szCs w:val="20"/>
                  <w:color w:val="0000FF"/>
                </w:rPr>
                <w:t>Item 4. Controls and Procedures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0540" w:type="dxa"/>
            <w:vAlign w:val="bottom"/>
            <w:gridSpan w:val="19"/>
          </w:tcPr>
          <w:p>
            <w:pPr>
              <w:spacing w:after="0"/>
              <w:rPr>
                <w:sz w:val="20"/>
                <w:szCs w:val="20"/>
                <w:color w:val="auto"/>
              </w:rPr>
            </w:pPr>
            <w:r>
              <w:rPr>
                <w:rFonts w:ascii="Arial" w:cs="Arial" w:eastAsia="Arial" w:hAnsi="Arial"/>
                <w:sz w:val="20"/>
                <w:szCs w:val="20"/>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20"/>
                <w:szCs w:val="20"/>
                <w:color w:val="0000FF"/>
                <w:w w:val="98"/>
              </w:rPr>
            </w:pPr>
            <w:hyperlink w:anchor="page51">
              <w:r>
                <w:rPr>
                  <w:rFonts w:ascii="Arial" w:cs="Arial" w:eastAsia="Arial" w:hAnsi="Arial"/>
                  <w:sz w:val="20"/>
                  <w:szCs w:val="20"/>
                  <w:color w:val="0000FF"/>
                  <w:w w:val="98"/>
                </w:rPr>
                <w:t>Item 1.</w:t>
              </w:r>
            </w:hyperlink>
          </w:p>
        </w:tc>
        <w:tc>
          <w:tcPr>
            <w:tcW w:w="9680" w:type="dxa"/>
            <w:vAlign w:val="bottom"/>
            <w:gridSpan w:val="16"/>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Legal Proceedings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2060" w:type="dxa"/>
            <w:vAlign w:val="bottom"/>
            <w:tcBorders>
              <w:top w:val="single" w:sz="8" w:color="0000FF"/>
            </w:tcBorders>
            <w:gridSpan w:val="5"/>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Item 1A. Risk Factors</w:t>
              </w:r>
            </w:hyperlink>
          </w:p>
        </w:tc>
        <w:tc>
          <w:tcPr>
            <w:tcW w:w="826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2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20"/>
                <w:szCs w:val="20"/>
                <w:color w:val="0000FF"/>
                <w:w w:val="98"/>
              </w:rPr>
            </w:pPr>
            <w:hyperlink w:anchor="page51">
              <w:r>
                <w:rPr>
                  <w:rFonts w:ascii="Arial" w:cs="Arial" w:eastAsia="Arial" w:hAnsi="Arial"/>
                  <w:sz w:val="20"/>
                  <w:szCs w:val="20"/>
                  <w:color w:val="0000FF"/>
                  <w:w w:val="98"/>
                </w:rPr>
                <w:t>Item 2.</w:t>
              </w:r>
            </w:hyperlink>
          </w:p>
        </w:tc>
        <w:tc>
          <w:tcPr>
            <w:tcW w:w="4740" w:type="dxa"/>
            <w:vAlign w:val="bottom"/>
            <w:tcBorders>
              <w:bottom w:val="single" w:sz="8" w:color="0000FF"/>
            </w:tcBorders>
            <w:gridSpan w:val="8"/>
          </w:tcPr>
          <w:p>
            <w:pPr>
              <w:spacing w:after="0"/>
              <w:rPr>
                <w:rFonts w:ascii="Arial" w:cs="Arial" w:eastAsia="Arial" w:hAnsi="Arial"/>
                <w:sz w:val="20"/>
                <w:szCs w:val="20"/>
                <w:color w:val="0000FF"/>
                <w:w w:val="87"/>
              </w:rPr>
            </w:pPr>
            <w:hyperlink w:anchor="page51">
              <w:r>
                <w:rPr>
                  <w:rFonts w:ascii="Arial" w:cs="Arial" w:eastAsia="Arial" w:hAnsi="Arial"/>
                  <w:sz w:val="20"/>
                  <w:szCs w:val="20"/>
                  <w:color w:val="0000FF"/>
                  <w:w w:val="87"/>
                </w:rPr>
                <w:t>Unregistered Sales of Equity Securities and Use of Proceeds</w:t>
              </w:r>
            </w:hyperlink>
          </w:p>
        </w:tc>
        <w:tc>
          <w:tcPr>
            <w:tcW w:w="494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20"/>
                <w:szCs w:val="20"/>
                <w:color w:val="0000FF"/>
                <w:w w:val="98"/>
              </w:rPr>
            </w:pPr>
            <w:hyperlink w:anchor="page51">
              <w:r>
                <w:rPr>
                  <w:rFonts w:ascii="Arial" w:cs="Arial" w:eastAsia="Arial" w:hAnsi="Arial"/>
                  <w:sz w:val="20"/>
                  <w:szCs w:val="20"/>
                  <w:color w:val="0000FF"/>
                  <w:w w:val="98"/>
                </w:rPr>
                <w:t>Item 4.</w:t>
              </w:r>
            </w:hyperlink>
          </w:p>
        </w:tc>
        <w:tc>
          <w:tcPr>
            <w:tcW w:w="9680" w:type="dxa"/>
            <w:vAlign w:val="bottom"/>
            <w:gridSpan w:val="16"/>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Mine Safety Disclosures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640" w:type="dxa"/>
            <w:vAlign w:val="bottom"/>
            <w:tcBorders>
              <w:top w:val="single" w:sz="8" w:color="0000FF"/>
            </w:tcBorders>
            <w:gridSpan w:val="2"/>
          </w:tcPr>
          <w:p>
            <w:pPr>
              <w:spacing w:after="0"/>
              <w:rPr>
                <w:rFonts w:ascii="Arial" w:cs="Arial" w:eastAsia="Arial" w:hAnsi="Arial"/>
                <w:sz w:val="20"/>
                <w:szCs w:val="20"/>
                <w:color w:val="0000FF"/>
                <w:w w:val="98"/>
              </w:rPr>
            </w:pPr>
            <w:hyperlink w:anchor="page52">
              <w:r>
                <w:rPr>
                  <w:rFonts w:ascii="Arial" w:cs="Arial" w:eastAsia="Arial" w:hAnsi="Arial"/>
                  <w:sz w:val="20"/>
                  <w:szCs w:val="20"/>
                  <w:color w:val="0000FF"/>
                  <w:w w:val="98"/>
                </w:rPr>
                <w:t>Item 6.</w:t>
              </w:r>
            </w:hyperlink>
          </w:p>
        </w:tc>
        <w:tc>
          <w:tcPr>
            <w:tcW w:w="1900" w:type="dxa"/>
            <w:vAlign w:val="bottom"/>
            <w:tcBorders>
              <w:top w:val="single" w:sz="8" w:color="0000FF"/>
            </w:tcBorders>
            <w:gridSpan w:val="6"/>
          </w:tcPr>
          <w:p>
            <w:pPr>
              <w:spacing w:after="0"/>
              <w:rPr>
                <w:rFonts w:ascii="Arial" w:cs="Arial" w:eastAsia="Arial" w:hAnsi="Arial"/>
                <w:sz w:val="20"/>
                <w:szCs w:val="20"/>
                <w:color w:val="0000FF"/>
              </w:rPr>
            </w:pPr>
            <w:hyperlink w:anchor="page52">
              <w:r>
                <w:rPr>
                  <w:rFonts w:ascii="Arial" w:cs="Arial" w:eastAsia="Arial" w:hAnsi="Arial"/>
                  <w:sz w:val="20"/>
                  <w:szCs w:val="20"/>
                  <w:color w:val="0000FF"/>
                </w:rPr>
                <w:t>Exhibits</w:t>
              </w:r>
            </w:hyperlink>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540" w:type="dxa"/>
            <w:vAlign w:val="bottom"/>
            <w:gridSpan w:val="19"/>
          </w:tcPr>
          <w:p>
            <w:pPr>
              <w:spacing w:after="0"/>
              <w:rPr>
                <w:rFonts w:ascii="Arial" w:cs="Arial" w:eastAsia="Arial" w:hAnsi="Arial"/>
                <w:sz w:val="20"/>
                <w:szCs w:val="20"/>
                <w:color w:val="0000FF"/>
              </w:rPr>
            </w:pPr>
            <w:hyperlink w:anchor="page53">
              <w:r>
                <w:rPr>
                  <w:rFonts w:ascii="Arial" w:cs="Arial" w:eastAsia="Arial" w:hAnsi="Arial"/>
                  <w:sz w:val="20"/>
                  <w:szCs w:val="20"/>
                  <w:color w:val="0000FF"/>
                </w:rPr>
                <w:t>Signatures</w:t>
              </w:r>
            </w:hyperlink>
          </w:p>
        </w:tc>
        <w:tc>
          <w:tcPr>
            <w:tcW w:w="68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0"/>
        </w:trPr>
        <w:tc>
          <w:tcPr>
            <w:tcW w:w="22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Page 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3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jc w:val="center"/>
        <w:spacing w:after="0" w:line="234" w:lineRule="auto"/>
        <w:rPr>
          <w:sz w:val="20"/>
          <w:szCs w:val="20"/>
          <w:color w:val="auto"/>
        </w:rPr>
      </w:pPr>
      <w:r>
        <w:rPr>
          <w:rFonts w:ascii="Arial" w:cs="Arial" w:eastAsia="Arial" w:hAnsi="Arial"/>
          <w:sz w:val="18"/>
          <w:szCs w:val="18"/>
          <w:color w:val="auto"/>
        </w:rPr>
        <w:t>MARTIN MARIETTA MATERIALS, INC. AND CONSOLIDATED SUBSIDIARIES</w:t>
      </w:r>
    </w:p>
    <w:p>
      <w:pPr>
        <w:jc w:val="center"/>
        <w:ind w:right="40"/>
        <w:spacing w:after="0"/>
        <w:rPr>
          <w:sz w:val="20"/>
          <w:szCs w:val="20"/>
          <w:color w:val="auto"/>
        </w:rPr>
      </w:pPr>
      <w:r>
        <w:rPr>
          <w:rFonts w:ascii="Arial" w:cs="Arial" w:eastAsia="Arial" w:hAnsi="Arial"/>
          <w:sz w:val="18"/>
          <w:szCs w:val="18"/>
          <w:color w:val="auto"/>
        </w:rPr>
        <w:t>(UNAUDITED)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June 30,</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380" w:type="dxa"/>
            <w:vAlign w:val="bottom"/>
          </w:tcPr>
          <w:p>
            <w:pPr>
              <w:spacing w:after="0"/>
              <w:rPr>
                <w:sz w:val="15"/>
                <w:szCs w:val="15"/>
                <w:color w:val="auto"/>
              </w:rPr>
            </w:pPr>
          </w:p>
        </w:tc>
        <w:tc>
          <w:tcPr>
            <w:tcW w:w="3860" w:type="dxa"/>
            <w:vAlign w:val="bottom"/>
            <w:gridSpan w:val="6"/>
          </w:tcPr>
          <w:p>
            <w:pPr>
              <w:jc w:val="right"/>
              <w:ind w:right="780"/>
              <w:spacing w:after="0" w:line="182" w:lineRule="exact"/>
              <w:rPr>
                <w:sz w:val="20"/>
                <w:szCs w:val="20"/>
                <w:color w:val="auto"/>
              </w:rPr>
            </w:pPr>
            <w:r>
              <w:rPr>
                <w:rFonts w:ascii="Arial" w:cs="Arial" w:eastAsia="Arial" w:hAnsi="Arial"/>
                <w:sz w:val="16"/>
                <w:szCs w:val="16"/>
                <w:i w:val="1"/>
                <w:iCs w:val="1"/>
                <w:color w:val="auto"/>
              </w:rPr>
              <w:t>(In Millions, Except Par Value Data)</w:t>
            </w: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772.1</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1,026.6</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835.2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assets held for sale</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6"/>
                <w:szCs w:val="16"/>
                <w:color w:val="auto"/>
              </w:rPr>
              <w:t>Total Current Assets</w:t>
            </w:r>
          </w:p>
        </w:tc>
        <w:tc>
          <w:tcPr>
            <w:tcW w:w="1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2,760.3</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2,025.6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10,311.5</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Allowances for depreciation, depletion and amortization</w:t>
            </w:r>
          </w:p>
        </w:tc>
        <w:tc>
          <w:tcPr>
            <w:tcW w:w="1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(4,147.2 )</w:t>
            </w:r>
          </w:p>
        </w:tc>
        <w:tc>
          <w:tcPr>
            <w:tcW w:w="260" w:type="dxa"/>
            <w:vAlign w:val="bottom"/>
          </w:tcPr>
          <w:p>
            <w:pPr>
              <w:spacing w:after="0"/>
              <w:rPr>
                <w:sz w:val="16"/>
                <w:szCs w:val="16"/>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(4,032.0 )</w:t>
            </w:r>
          </w:p>
        </w:tc>
        <w:tc>
          <w:tcPr>
            <w:tcW w:w="0" w:type="dxa"/>
            <w:vAlign w:val="bottom"/>
          </w:tcPr>
          <w:p>
            <w:pPr>
              <w:spacing w:after="0"/>
              <w:rPr>
                <w:sz w:val="1"/>
                <w:szCs w:val="1"/>
                <w:color w:val="auto"/>
              </w:rPr>
            </w:pPr>
          </w:p>
        </w:tc>
      </w:tr>
      <w:tr>
        <w:trPr>
          <w:trHeight w:val="182"/>
        </w:trPr>
        <w:tc>
          <w:tcPr>
            <w:tcW w:w="738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Net property, plant and equipment</w:t>
            </w:r>
          </w:p>
        </w:tc>
        <w:tc>
          <w:tcPr>
            <w:tcW w:w="11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6,164.3</w:t>
            </w:r>
          </w:p>
        </w:tc>
        <w:tc>
          <w:tcPr>
            <w:tcW w:w="2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6,338.0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3,400.5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3,494.4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intangibles, net</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1,043.6</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402.3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assets held for sale</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380" w:type="dxa"/>
            <w:vAlign w:val="bottom"/>
            <w:tcBorders>
              <w:bottom w:val="single" w:sz="8" w:color="CFF0FC"/>
            </w:tcBorders>
            <w:shd w:val="clear" w:color="auto" w:fill="CFF0FC"/>
          </w:tcPr>
          <w:p>
            <w:pPr>
              <w:ind w:left="200"/>
              <w:spacing w:after="0" w:line="168" w:lineRule="exact"/>
              <w:rPr>
                <w:sz w:val="20"/>
                <w:szCs w:val="20"/>
                <w:color w:val="auto"/>
              </w:rPr>
            </w:pPr>
            <w:r>
              <w:rPr>
                <w:rFonts w:ascii="Arial" w:cs="Arial" w:eastAsia="Arial" w:hAnsi="Arial"/>
                <w:sz w:val="16"/>
                <w:szCs w:val="16"/>
                <w:color w:val="auto"/>
              </w:rPr>
              <w:t>Total Assets</w:t>
            </w:r>
          </w:p>
        </w:tc>
        <w:tc>
          <w:tcPr>
            <w:tcW w:w="1160" w:type="dxa"/>
            <w:vAlign w:val="bottom"/>
            <w:tcBorders>
              <w:bottom w:val="single" w:sz="8" w:color="auto"/>
            </w:tcBorders>
            <w:shd w:val="clear" w:color="auto" w:fill="CFF0FC"/>
          </w:tcPr>
          <w:p>
            <w:pPr>
              <w:jc w:val="right"/>
              <w:ind w:right="979"/>
              <w:spacing w:after="0" w:line="168"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6"/>
                <w:szCs w:val="16"/>
                <w:color w:val="auto"/>
                <w:w w:val="89"/>
              </w:rPr>
              <w:t>14,542.8</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68"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6"/>
                <w:szCs w:val="16"/>
                <w:color w:val="auto"/>
              </w:rPr>
              <w:t>14,393.0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Accrued salaries, benefits and payroll taxes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other taxes</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Current liabilities held for sale</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1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135.1</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tcPr>
          <w:p>
            <w:pPr>
              <w:ind w:left="200"/>
              <w:spacing w:after="0" w:line="182" w:lineRule="exact"/>
              <w:rPr>
                <w:sz w:val="20"/>
                <w:szCs w:val="20"/>
                <w:color w:val="auto"/>
              </w:rPr>
            </w:pPr>
            <w:r>
              <w:rPr>
                <w:rFonts w:ascii="Arial" w:cs="Arial" w:eastAsia="Arial" w:hAnsi="Arial"/>
                <w:sz w:val="16"/>
                <w:szCs w:val="16"/>
                <w:color w:val="auto"/>
              </w:rPr>
              <w:t>Total Current Liabilities</w:t>
            </w:r>
          </w:p>
        </w:tc>
        <w:tc>
          <w:tcPr>
            <w:tcW w:w="116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6"/>
                <w:szCs w:val="16"/>
                <w:color w:val="auto"/>
              </w:rPr>
              <w:t>761.4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6"/>
                <w:szCs w:val="16"/>
                <w:color w:val="auto"/>
              </w:rPr>
              <w:t>752.6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5,044.3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 net</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852.8</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356.3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liabilities held for sale</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726.8</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6"/>
                <w:szCs w:val="16"/>
                <w:color w:val="auto"/>
              </w:rPr>
              <w:t>Total Liabilities</w:t>
            </w:r>
          </w:p>
        </w:tc>
        <w:tc>
          <w:tcPr>
            <w:tcW w:w="1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7,770.7</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7,855.4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80" w:type="dxa"/>
            <w:vAlign w:val="bottom"/>
          </w:tcPr>
          <w:p>
            <w:pPr>
              <w:ind w:left="20"/>
              <w:spacing w:after="0" w:line="152" w:lineRule="exact"/>
              <w:rPr>
                <w:sz w:val="20"/>
                <w:szCs w:val="20"/>
                <w:color w:val="auto"/>
              </w:rPr>
            </w:pPr>
            <w:r>
              <w:rPr>
                <w:rFonts w:ascii="Arial" w:cs="Arial" w:eastAsia="Arial" w:hAnsi="Arial"/>
                <w:sz w:val="16"/>
                <w:szCs w:val="16"/>
                <w:color w:val="auto"/>
              </w:rPr>
              <w:t>Common stock, par value $0.01 per share (62.4 shares</w:t>
            </w:r>
          </w:p>
        </w:tc>
        <w:tc>
          <w:tcPr>
            <w:tcW w:w="1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380" w:type="dxa"/>
            <w:vAlign w:val="bottom"/>
          </w:tcPr>
          <w:p>
            <w:pPr>
              <w:ind w:left="140"/>
              <w:spacing w:after="0"/>
              <w:rPr>
                <w:sz w:val="20"/>
                <w:szCs w:val="20"/>
                <w:color w:val="auto"/>
              </w:rPr>
            </w:pPr>
            <w:r>
              <w:rPr>
                <w:rFonts w:ascii="Arial" w:cs="Arial" w:eastAsia="Arial" w:hAnsi="Arial"/>
                <w:sz w:val="16"/>
                <w:szCs w:val="16"/>
                <w:color w:val="auto"/>
              </w:rPr>
              <w:t>outstanding at June 30, 2022 and December 31, 2021)</w:t>
            </w:r>
          </w:p>
        </w:tc>
        <w:tc>
          <w:tcPr>
            <w:tcW w:w="1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Preferred stock, par value $0.01 per share</w:t>
            </w:r>
          </w:p>
        </w:tc>
        <w:tc>
          <w:tcPr>
            <w:tcW w:w="1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3,474.4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3,470.4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1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(128.1 )</w:t>
            </w: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(97.6 )</w:t>
            </w: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3,423.1</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shd w:val="clear" w:color="auto" w:fill="CFF0FC"/>
          </w:tcPr>
          <w:p>
            <w:pPr>
              <w:ind w:left="200"/>
              <w:spacing w:after="0" w:line="182" w:lineRule="exact"/>
              <w:rPr>
                <w:sz w:val="20"/>
                <w:szCs w:val="20"/>
                <w:color w:val="auto"/>
              </w:rPr>
            </w:pPr>
            <w:r>
              <w:rPr>
                <w:rFonts w:ascii="Arial" w:cs="Arial" w:eastAsia="Arial" w:hAnsi="Arial"/>
                <w:sz w:val="16"/>
                <w:szCs w:val="16"/>
                <w:color w:val="auto"/>
              </w:rPr>
              <w:t>Total Shareholders' Equity</w:t>
            </w:r>
          </w:p>
        </w:tc>
        <w:tc>
          <w:tcPr>
            <w:tcW w:w="1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6,770.0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6,535.3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6"/>
                <w:szCs w:val="16"/>
                <w:color w:val="auto"/>
              </w:rPr>
              <w:t>Total Equity</w:t>
            </w:r>
          </w:p>
        </w:tc>
        <w:tc>
          <w:tcPr>
            <w:tcW w:w="11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6,772.1</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6,537.6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80" w:type="dxa"/>
            <w:vAlign w:val="bottom"/>
          </w:tcPr>
          <w:p>
            <w:pPr>
              <w:ind w:left="200"/>
              <w:spacing w:after="0" w:line="168" w:lineRule="exact"/>
              <w:rPr>
                <w:sz w:val="20"/>
                <w:szCs w:val="20"/>
                <w:color w:val="auto"/>
              </w:rPr>
            </w:pPr>
            <w:r>
              <w:rPr>
                <w:rFonts w:ascii="Arial" w:cs="Arial" w:eastAsia="Arial" w:hAnsi="Arial"/>
                <w:sz w:val="16"/>
                <w:szCs w:val="16"/>
                <w:color w:val="auto"/>
              </w:rPr>
              <w:t>Total Liabilities and Equity</w:t>
            </w:r>
          </w:p>
        </w:tc>
        <w:tc>
          <w:tcPr>
            <w:tcW w:w="1160" w:type="dxa"/>
            <w:vAlign w:val="bottom"/>
            <w:tcBorders>
              <w:bottom w:val="single" w:sz="8" w:color="auto"/>
            </w:tcBorders>
          </w:tcPr>
          <w:p>
            <w:pPr>
              <w:jc w:val="right"/>
              <w:ind w:right="979"/>
              <w:spacing w:after="0" w:line="168"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89"/>
              </w:rPr>
              <w:t>14,542.8</w:t>
            </w:r>
          </w:p>
        </w:tc>
        <w:tc>
          <w:tcPr>
            <w:tcW w:w="28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68"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14,393.0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-4897120</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-4897120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-3676650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-3659505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-3676650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-3659505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-2451100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-2451100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-1475740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-1475740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-150495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-150495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7"/>
                <w:szCs w:val="17"/>
                <w:color w:val="auto"/>
              </w:rPr>
              <w:t>Three Months Ended</w:t>
            </w:r>
          </w:p>
        </w:tc>
        <w:tc>
          <w:tcPr>
            <w:tcW w:w="260" w:type="dxa"/>
            <w:vAlign w:val="bottom"/>
          </w:tcPr>
          <w:p>
            <w:pPr>
              <w:spacing w:after="0"/>
              <w:rPr>
                <w:sz w:val="17"/>
                <w:szCs w:val="17"/>
                <w:color w:val="auto"/>
              </w:rPr>
            </w:pPr>
          </w:p>
        </w:tc>
        <w:tc>
          <w:tcPr>
            <w:tcW w:w="2720" w:type="dxa"/>
            <w:vAlign w:val="bottom"/>
            <w:gridSpan w:val="5"/>
          </w:tcPr>
          <w:p>
            <w:pPr>
              <w:jc w:val="right"/>
              <w:ind w:right="9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June 30,</w:t>
            </w:r>
          </w:p>
        </w:tc>
        <w:tc>
          <w:tcPr>
            <w:tcW w:w="10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right"/>
              <w:ind w:right="200"/>
              <w:spacing w:after="0"/>
              <w:rPr>
                <w:sz w:val="20"/>
                <w:szCs w:val="20"/>
                <w:color w:val="auto"/>
              </w:rPr>
            </w:pPr>
            <w:r>
              <w:rPr>
                <w:rFonts w:ascii="Arial" w:cs="Arial" w:eastAsia="Arial" w:hAnsi="Arial"/>
                <w:sz w:val="17"/>
                <w:szCs w:val="17"/>
                <w:i w:val="1"/>
                <w:iCs w:val="1"/>
                <w:color w:val="auto"/>
                <w:w w:val="92"/>
              </w:rPr>
              <w:t>(In Millions, Except Per Share Data)</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Products and services revenues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1,523.8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1,295.3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2,671.6</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Freight revenues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1,641.7</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1,377.9</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2,872.5</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revenues - products and services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910.0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2,087.5</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Cost of revenues - freight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203.7</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Total Cost of Revenues</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1,216.5</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992.8</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2,291.2</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581.3</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Selling, general &amp; administrative expenses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201.2</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Acquisition and integration expenses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operating income, net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(160.4 )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(14.1 )</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(162.6 )</w:t>
            </w: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(19.8 )</w:t>
            </w: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ind w:left="120"/>
              <w:spacing w:after="0"/>
              <w:rPr>
                <w:sz w:val="20"/>
                <w:szCs w:val="20"/>
                <w:color w:val="auto"/>
              </w:rPr>
            </w:pPr>
            <w:r>
              <w:rPr>
                <w:rFonts w:ascii="Arial" w:cs="Arial" w:eastAsia="Arial" w:hAnsi="Arial"/>
                <w:sz w:val="17"/>
                <w:szCs w:val="17"/>
                <w:color w:val="auto"/>
              </w:rPr>
              <w:t>Earnings from Operations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478.6</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307.5</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538.4</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nonoperating income, net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(22.0 )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(8.7 )</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(32.9 )</w:t>
            </w: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ind w:left="120"/>
              <w:spacing w:after="0"/>
              <w:rPr>
                <w:sz w:val="20"/>
                <w:szCs w:val="20"/>
                <w:color w:val="auto"/>
              </w:rPr>
            </w:pPr>
            <w:r>
              <w:rPr>
                <w:rFonts w:ascii="Arial" w:cs="Arial" w:eastAsia="Arial" w:hAnsi="Arial"/>
                <w:sz w:val="17"/>
                <w:szCs w:val="17"/>
                <w:color w:val="auto"/>
              </w:rPr>
              <w:t>Earnings from continuing operations before income tax expense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457.5</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288.1</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487.7</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369.4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110.2</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Pr>
          <w:p>
            <w:pPr>
              <w:ind w:left="120"/>
              <w:spacing w:after="0"/>
              <w:rPr>
                <w:sz w:val="20"/>
                <w:szCs w:val="20"/>
                <w:color w:val="auto"/>
              </w:rPr>
            </w:pPr>
            <w:r>
              <w:rPr>
                <w:rFonts w:ascii="Arial" w:cs="Arial" w:eastAsia="Arial" w:hAnsi="Arial"/>
                <w:sz w:val="17"/>
                <w:szCs w:val="17"/>
                <w:color w:val="auto"/>
              </w:rPr>
              <w:t>Earnings from continuing operations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225.8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377.5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Earnings from discontinued operations, net of income tax expense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Consolidated net earnings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366.4</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225.8</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387.7</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Net (loss) earnings attributable to noncontrolling interests</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(0.1 )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(0.2 )</w:t>
            </w: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Net Earnings Attributable to Martin Marietta Materials, Inc.</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366.5</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225.8</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387.9</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Consolidated Comprehensive Earnings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Earnings attributable to Martin Marietta Materials, Inc.</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357.4</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120"/>
              <w:spacing w:after="0"/>
              <w:rPr>
                <w:sz w:val="20"/>
                <w:szCs w:val="20"/>
                <w:color w:val="auto"/>
              </w:rPr>
            </w:pPr>
            <w:r>
              <w:rPr>
                <w:rFonts w:ascii="Arial" w:cs="Arial" w:eastAsia="Arial" w:hAnsi="Arial"/>
                <w:sz w:val="17"/>
                <w:szCs w:val="17"/>
                <w:color w:val="auto"/>
              </w:rPr>
              <w:t>(Loss) Earnings attributable to noncontrolling interests</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(0.1 )</w:t>
            </w:r>
          </w:p>
        </w:tc>
        <w:tc>
          <w:tcPr>
            <w:tcW w:w="18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(0.2 )</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228.4</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357.2</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360" w:type="dxa"/>
            <w:vAlign w:val="bottom"/>
          </w:tcPr>
          <w:p>
            <w:pPr>
              <w:ind w:left="20"/>
              <w:spacing w:after="0" w:line="182" w:lineRule="exact"/>
              <w:rPr>
                <w:sz w:val="20"/>
                <w:szCs w:val="20"/>
                <w:color w:val="auto"/>
              </w:rPr>
            </w:pPr>
            <w:r>
              <w:rPr>
                <w:rFonts w:ascii="Arial" w:cs="Arial" w:eastAsia="Arial" w:hAnsi="Arial"/>
                <w:sz w:val="17"/>
                <w:szCs w:val="17"/>
                <w:color w:val="auto"/>
              </w:rPr>
              <w:t>Net Earnings Attributable to Martin Marietta Materials, Inc.</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Per Common Share: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360" w:type="dxa"/>
            <w:vAlign w:val="bottom"/>
          </w:tcPr>
          <w:p>
            <w:pPr>
              <w:ind w:left="300"/>
              <w:spacing w:after="0" w:line="158" w:lineRule="exact"/>
              <w:rPr>
                <w:sz w:val="20"/>
                <w:szCs w:val="20"/>
                <w:color w:val="auto"/>
              </w:rPr>
            </w:pPr>
            <w:r>
              <w:rPr>
                <w:rFonts w:ascii="Arial" w:cs="Arial" w:eastAsia="Arial" w:hAnsi="Arial"/>
                <w:sz w:val="17"/>
                <w:szCs w:val="17"/>
                <w:color w:val="auto"/>
              </w:rPr>
              <w:t>Basic from continuing operations attributable to common</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420"/>
              <w:spacing w:after="0"/>
              <w:rPr>
                <w:sz w:val="20"/>
                <w:szCs w:val="20"/>
                <w:color w:val="auto"/>
              </w:rPr>
            </w:pPr>
            <w:r>
              <w:rPr>
                <w:rFonts w:ascii="Arial" w:cs="Arial" w:eastAsia="Arial" w:hAnsi="Arial"/>
                <w:sz w:val="17"/>
                <w:szCs w:val="17"/>
                <w:color w:val="auto"/>
              </w:rPr>
              <w:t>shareholders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5.66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3.62</w:t>
            </w:r>
          </w:p>
        </w:tc>
        <w:tc>
          <w:tcPr>
            <w:tcW w:w="2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6.06</w:t>
            </w:r>
          </w:p>
        </w:tc>
        <w:tc>
          <w:tcPr>
            <w:tcW w:w="24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360" w:type="dxa"/>
            <w:vAlign w:val="bottom"/>
            <w:shd w:val="clear" w:color="auto" w:fill="CFF0FC"/>
          </w:tcPr>
          <w:p>
            <w:pPr>
              <w:ind w:left="300"/>
              <w:spacing w:after="0" w:line="159" w:lineRule="exact"/>
              <w:rPr>
                <w:sz w:val="20"/>
                <w:szCs w:val="20"/>
                <w:color w:val="auto"/>
              </w:rPr>
            </w:pPr>
            <w:r>
              <w:rPr>
                <w:rFonts w:ascii="Arial" w:cs="Arial" w:eastAsia="Arial" w:hAnsi="Arial"/>
                <w:sz w:val="17"/>
                <w:szCs w:val="17"/>
                <w:color w:val="auto"/>
              </w:rPr>
              <w:t>Basic from discontinued operations attributable to</w:t>
            </w:r>
          </w:p>
        </w:tc>
        <w:tc>
          <w:tcPr>
            <w:tcW w:w="2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0.21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0.16</w:t>
            </w:r>
          </w:p>
        </w:tc>
        <w:tc>
          <w:tcPr>
            <w:tcW w:w="24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36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common shareholders</w:t>
            </w:r>
          </w:p>
        </w:tc>
        <w:tc>
          <w:tcPr>
            <w:tcW w:w="2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vMerge w:val="continue"/>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360" w:type="dxa"/>
            <w:vAlign w:val="bottom"/>
          </w:tcPr>
          <w:p>
            <w:pPr>
              <w:ind w:left="300"/>
              <w:spacing w:after="0" w:line="158" w:lineRule="exact"/>
              <w:rPr>
                <w:sz w:val="20"/>
                <w:szCs w:val="20"/>
                <w:color w:val="auto"/>
              </w:rPr>
            </w:pPr>
            <w:r>
              <w:rPr>
                <w:rFonts w:ascii="Arial" w:cs="Arial" w:eastAsia="Arial" w:hAnsi="Arial"/>
                <w:sz w:val="17"/>
                <w:szCs w:val="17"/>
                <w:color w:val="auto"/>
              </w:rPr>
              <w:t>Diluted from continuing operations attributable to common</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420"/>
              <w:spacing w:after="0"/>
              <w:rPr>
                <w:sz w:val="20"/>
                <w:szCs w:val="20"/>
                <w:color w:val="auto"/>
              </w:rPr>
            </w:pPr>
            <w:r>
              <w:rPr>
                <w:rFonts w:ascii="Arial" w:cs="Arial" w:eastAsia="Arial" w:hAnsi="Arial"/>
                <w:sz w:val="17"/>
                <w:szCs w:val="17"/>
                <w:color w:val="auto"/>
              </w:rPr>
              <w:t>shareholders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5.65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6.04</w:t>
            </w:r>
          </w:p>
        </w:tc>
        <w:tc>
          <w:tcPr>
            <w:tcW w:w="24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360" w:type="dxa"/>
            <w:vAlign w:val="bottom"/>
            <w:shd w:val="clear" w:color="auto" w:fill="CFF0FC"/>
          </w:tcPr>
          <w:p>
            <w:pPr>
              <w:ind w:left="300"/>
              <w:spacing w:after="0" w:line="159" w:lineRule="exact"/>
              <w:rPr>
                <w:sz w:val="20"/>
                <w:szCs w:val="20"/>
                <w:color w:val="auto"/>
              </w:rPr>
            </w:pPr>
            <w:r>
              <w:rPr>
                <w:rFonts w:ascii="Arial" w:cs="Arial" w:eastAsia="Arial" w:hAnsi="Arial"/>
                <w:sz w:val="17"/>
                <w:szCs w:val="17"/>
                <w:color w:val="auto"/>
              </w:rPr>
              <w:t>Diluted from discontinued operations attributable to</w:t>
            </w:r>
          </w:p>
        </w:tc>
        <w:tc>
          <w:tcPr>
            <w:tcW w:w="2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0.21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0.16</w:t>
            </w:r>
          </w:p>
        </w:tc>
        <w:tc>
          <w:tcPr>
            <w:tcW w:w="240" w:type="dxa"/>
            <w:vAlign w:val="bottom"/>
            <w:shd w:val="clear" w:color="auto" w:fill="CFF0FC"/>
          </w:tcPr>
          <w:p>
            <w:pPr>
              <w:spacing w:after="0"/>
              <w:rPr>
                <w:sz w:val="13"/>
                <w:szCs w:val="13"/>
                <w:color w:val="auto"/>
              </w:rPr>
            </w:pPr>
          </w:p>
        </w:tc>
        <w:tc>
          <w:tcPr>
            <w:tcW w:w="420" w:type="dxa"/>
            <w:vAlign w:val="bottom"/>
            <w:vMerge w:val="restart"/>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1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360" w:type="dxa"/>
            <w:vAlign w:val="bottom"/>
            <w:shd w:val="clear" w:color="auto" w:fill="CFF0FC"/>
          </w:tcPr>
          <w:p>
            <w:pPr>
              <w:ind w:left="420"/>
              <w:spacing w:after="0"/>
              <w:rPr>
                <w:sz w:val="20"/>
                <w:szCs w:val="20"/>
                <w:color w:val="auto"/>
              </w:rPr>
            </w:pPr>
            <w:r>
              <w:rPr>
                <w:rFonts w:ascii="Arial" w:cs="Arial" w:eastAsia="Arial" w:hAnsi="Arial"/>
                <w:sz w:val="17"/>
                <w:szCs w:val="17"/>
                <w:color w:val="auto"/>
              </w:rPr>
              <w:t>common shareholders</w:t>
            </w:r>
          </w:p>
        </w:tc>
        <w:tc>
          <w:tcPr>
            <w:tcW w:w="2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vMerge w:val="continue"/>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360" w:type="dxa"/>
            <w:vAlign w:val="bottom"/>
          </w:tcPr>
          <w:p>
            <w:pPr>
              <w:ind w:left="200"/>
              <w:spacing w:after="0" w:line="182" w:lineRule="exact"/>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62.5</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62.6</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-5674995</wp:posOffset>
            </wp:positionV>
            <wp:extent cx="768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-5674995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-5674995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-5674995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-5144770</wp:posOffset>
            </wp:positionV>
            <wp:extent cx="768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-5144770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-5144770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-5144770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-4366895</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-4366895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-4366895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-4366895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-3844925</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-3844925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-3844925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-3844925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-3580130</wp:posOffset>
            </wp:positionV>
            <wp:extent cx="768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-3580130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-3580130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-3580130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-3314700</wp:posOffset>
            </wp:positionV>
            <wp:extent cx="768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-3314700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-3314700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-3314700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-3049905</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-3049905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-3049905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-3049905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-2240280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-2223135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-2240280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-2223135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-2240280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-2223135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-2240280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-2223135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-1484630</wp:posOffset>
            </wp:positionV>
            <wp:extent cx="768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-1484630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-1484630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-1484630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-723265</wp:posOffset>
            </wp:positionV>
            <wp:extent cx="768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-723265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-723265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-723265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-179070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-161925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-179070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-161925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-179070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-161925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-161925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Six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17"/>
                <w:szCs w:val="17"/>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i w:val="1"/>
                <w:iCs w:val="1"/>
                <w:color w:val="auto"/>
              </w:rPr>
              <w:t>in</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0"/>
              <w:spacing w:after="0" w:line="195"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i w:val="1"/>
                <w:iCs w:val="1"/>
                <w:color w:val="auto"/>
                <w:w w:val="96"/>
              </w:rPr>
              <w:t>(Dollars</w:t>
            </w:r>
          </w:p>
        </w:tc>
        <w:tc>
          <w:tcPr>
            <w:tcW w:w="300" w:type="dxa"/>
            <w:vAlign w:val="bottom"/>
            <w:vMerge w:val="continue"/>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w w:val="90"/>
              </w:rPr>
              <w:t>Millions)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5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Consolidated net earnings</w:t>
            </w:r>
          </w:p>
        </w:tc>
        <w:tc>
          <w:tcPr>
            <w:tcW w:w="104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387.7</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20"/>
              <w:spacing w:after="0" w:line="162" w:lineRule="exact"/>
              <w:rPr>
                <w:sz w:val="20"/>
                <w:szCs w:val="20"/>
                <w:color w:val="auto"/>
              </w:rPr>
            </w:pPr>
            <w:r>
              <w:rPr>
                <w:rFonts w:ascii="Arial" w:cs="Arial" w:eastAsia="Arial" w:hAnsi="Arial"/>
                <w:sz w:val="18"/>
                <w:szCs w:val="18"/>
                <w:color w:val="auto"/>
              </w:rPr>
              <w:t>Adjustments to reconcile consolidated net earnings to net cash</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depletion and amortization</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256.6</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divestitures, sales of assets and extinguishment of debt</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(173.9 )</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(32.7 )</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items, net</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(3.4 )</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62"/>
        </w:trPr>
        <w:tc>
          <w:tcPr>
            <w:tcW w:w="7540" w:type="dxa"/>
            <w:vAlign w:val="bottom"/>
          </w:tcPr>
          <w:p>
            <w:pPr>
              <w:ind w:left="200"/>
              <w:spacing w:after="0" w:line="162" w:lineRule="exact"/>
              <w:rPr>
                <w:sz w:val="20"/>
                <w:szCs w:val="20"/>
                <w:color w:val="auto"/>
              </w:rPr>
            </w:pPr>
            <w:r>
              <w:rPr>
                <w:rFonts w:ascii="Arial" w:cs="Arial" w:eastAsia="Arial" w:hAnsi="Arial"/>
                <w:sz w:val="18"/>
                <w:szCs w:val="18"/>
                <w:color w:val="auto"/>
              </w:rPr>
              <w:t>Changes in operating assets and liabilities, net of effects of</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340"/>
              <w:spacing w:after="0"/>
              <w:rPr>
                <w:sz w:val="20"/>
                <w:szCs w:val="20"/>
                <w:color w:val="auto"/>
              </w:rPr>
            </w:pPr>
            <w:r>
              <w:rPr>
                <w:rFonts w:ascii="Arial" w:cs="Arial" w:eastAsia="Arial" w:hAnsi="Arial"/>
                <w:sz w:val="18"/>
                <w:szCs w:val="18"/>
                <w:color w:val="auto"/>
              </w:rPr>
              <w:t>acquisitions and divestitures: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(252.6 )</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(137.8 )</w:t>
            </w:r>
          </w:p>
        </w:tc>
        <w:tc>
          <w:tcPr>
            <w:tcW w:w="0" w:type="dxa"/>
            <w:vAlign w:val="bottom"/>
          </w:tcPr>
          <w:p>
            <w:pPr>
              <w:spacing w:after="0"/>
              <w:rPr>
                <w:sz w:val="1"/>
                <w:szCs w:val="1"/>
                <w:color w:val="auto"/>
              </w:rPr>
            </w:pPr>
          </w:p>
        </w:tc>
      </w:tr>
      <w:tr>
        <w:trPr>
          <w:trHeight w:val="202"/>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Inventories, net</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(79.5 )</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Other assets and liabilities, net</w:t>
            </w: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91.0</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286.2</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441.2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(220.7 )</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(213.0 )</w:t>
            </w: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(653.2 )</w:t>
            </w: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divestitures and sales of assets</w:t>
            </w:r>
          </w:p>
        </w:tc>
        <w:tc>
          <w:tcPr>
            <w:tcW w:w="10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644.4</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Investments in life insurance contracts, net</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Other investing activities, net</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(3.0 )</w:t>
            </w:r>
          </w:p>
        </w:tc>
        <w:tc>
          <w:tcPr>
            <w:tcW w:w="620" w:type="dxa"/>
            <w:vAlign w:val="bottom"/>
          </w:tcPr>
          <w:p>
            <w:pPr>
              <w:spacing w:after="0"/>
              <w:rPr>
                <w:sz w:val="17"/>
                <w:szCs w:val="17"/>
                <w:color w:val="auto"/>
              </w:rPr>
            </w:pPr>
          </w:p>
        </w:tc>
        <w:tc>
          <w:tcPr>
            <w:tcW w:w="11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Net Cash Provided by (Used for) Investing Activities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433.5</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(823.1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Borrowings of debt</w:t>
            </w:r>
          </w:p>
        </w:tc>
        <w:tc>
          <w:tcPr>
            <w:tcW w:w="1040" w:type="dxa"/>
            <w:vAlign w:val="bottom"/>
          </w:tcPr>
          <w:p>
            <w:pPr>
              <w:spacing w:after="0"/>
              <w:rPr>
                <w:sz w:val="17"/>
                <w:szCs w:val="17"/>
                <w:color w:val="auto"/>
              </w:rPr>
            </w:pPr>
          </w:p>
        </w:tc>
        <w:tc>
          <w:tcPr>
            <w:tcW w:w="9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Repayments of debt</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(47.7 )</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(160.0 )</w:t>
            </w: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Payments on finance lease obligations</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(7.3 )</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Debt issuance costs</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owners of noncontrolling interest</w:t>
            </w:r>
          </w:p>
        </w:tc>
        <w:tc>
          <w:tcPr>
            <w:tcW w:w="1040" w:type="dxa"/>
            <w:vAlign w:val="bottom"/>
          </w:tcPr>
          <w:p>
            <w:pPr>
              <w:spacing w:after="0"/>
              <w:rPr>
                <w:sz w:val="17"/>
                <w:szCs w:val="17"/>
                <w:color w:val="auto"/>
              </w:rPr>
            </w:pPr>
          </w:p>
        </w:tc>
        <w:tc>
          <w:tcPr>
            <w:tcW w:w="9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(50.0 )</w:t>
            </w:r>
          </w:p>
        </w:tc>
        <w:tc>
          <w:tcPr>
            <w:tcW w:w="6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(77.0 )</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Shares withheld for employees' income tax obligations</w:t>
            </w:r>
          </w:p>
        </w:tc>
        <w:tc>
          <w:tcPr>
            <w:tcW w:w="104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(25.1 )</w:t>
            </w:r>
          </w:p>
        </w:tc>
        <w:tc>
          <w:tcPr>
            <w:tcW w:w="6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Net Cash (Used for) Provided by Financing Activities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(206.5</w:t>
            </w:r>
          </w:p>
        </w:tc>
        <w:tc>
          <w:tcPr>
            <w:tcW w:w="300" w:type="dxa"/>
            <w:vAlign w:val="bottom"/>
            <w:tcBorders>
              <w:bottom w:val="single" w:sz="8" w:color="CFF0FC"/>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147.8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0"/>
              <w:spacing w:after="0" w:line="195" w:lineRule="exact"/>
              <w:rPr>
                <w:sz w:val="20"/>
                <w:szCs w:val="20"/>
                <w:color w:val="auto"/>
              </w:rPr>
            </w:pPr>
            <w:r>
              <w:rPr>
                <w:rFonts w:ascii="Arial" w:cs="Arial" w:eastAsia="Arial" w:hAnsi="Arial"/>
                <w:sz w:val="18"/>
                <w:szCs w:val="18"/>
                <w:color w:val="auto"/>
              </w:rPr>
              <w:t>Net Increase (Decrease) in Cash, Cash Equivalents and Restricted Cash</w:t>
            </w:r>
          </w:p>
        </w:tc>
        <w:tc>
          <w:tcPr>
            <w:tcW w:w="1040" w:type="dxa"/>
            <w:vAlign w:val="bottom"/>
          </w:tcPr>
          <w:p>
            <w:pPr>
              <w:spacing w:after="0"/>
              <w:rPr>
                <w:sz w:val="17"/>
                <w:szCs w:val="17"/>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513.2</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(234.1 )</w:t>
            </w:r>
          </w:p>
        </w:tc>
        <w:tc>
          <w:tcPr>
            <w:tcW w:w="0" w:type="dxa"/>
            <w:vAlign w:val="bottom"/>
          </w:tcPr>
          <w:p>
            <w:pPr>
              <w:spacing w:after="0"/>
              <w:rPr>
                <w:sz w:val="1"/>
                <w:szCs w:val="1"/>
                <w:color w:val="auto"/>
              </w:rPr>
            </w:pPr>
          </w:p>
        </w:tc>
      </w:tr>
      <w:tr>
        <w:trPr>
          <w:trHeight w:val="202"/>
        </w:trPr>
        <w:tc>
          <w:tcPr>
            <w:tcW w:w="7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258.9</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0"/>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1040" w:type="dxa"/>
            <w:vAlign w:val="bottom"/>
            <w:tcBorders>
              <w:bottom w:val="single" w:sz="8" w:color="auto"/>
            </w:tcBorders>
          </w:tcPr>
          <w:p>
            <w:pPr>
              <w:jc w:val="right"/>
              <w:ind w:right="830"/>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772.1</w:t>
            </w:r>
          </w:p>
        </w:tc>
        <w:tc>
          <w:tcPr>
            <w:tcW w:w="300" w:type="dxa"/>
            <w:vAlign w:val="bottom"/>
          </w:tcPr>
          <w:p>
            <w:pPr>
              <w:spacing w:after="0"/>
              <w:rPr>
                <w:sz w:val="17"/>
                <w:szCs w:val="17"/>
                <w:color w:val="auto"/>
              </w:rPr>
            </w:pPr>
          </w:p>
        </w:tc>
        <w:tc>
          <w:tcPr>
            <w:tcW w:w="6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-3023870</wp:posOffset>
            </wp:positionV>
            <wp:extent cx="768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-3023870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-1980565</wp:posOffset>
            </wp:positionV>
            <wp:extent cx="768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-1980565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-424180</wp:posOffset>
            </wp:positionV>
            <wp:extent cx="768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-424180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-158750</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-158750</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w w:val="89"/>
              </w:rPr>
              <w:t>Shares of</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57"/>
              <w:spacing w:after="0"/>
              <w:rPr>
                <w:sz w:val="20"/>
                <w:szCs w:val="20"/>
                <w:color w:val="auto"/>
              </w:rPr>
            </w:pPr>
            <w:r>
              <w:rPr>
                <w:rFonts w:ascii="Arial" w:cs="Arial" w:eastAsia="Arial" w:hAnsi="Arial"/>
                <w:sz w:val="13"/>
                <w:szCs w:val="13"/>
                <w:color w:val="auto"/>
                <w:w w:val="90"/>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3"/>
                <w:szCs w:val="13"/>
                <w:color w:val="auto"/>
                <w:w w:val="89"/>
              </w:rPr>
              <w:t>Total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0"/>
                <w:szCs w:val="10"/>
                <w:color w:val="auto"/>
              </w:rPr>
            </w:pPr>
          </w:p>
        </w:tc>
        <w:tc>
          <w:tcPr>
            <w:tcW w:w="1160" w:type="dxa"/>
            <w:vAlign w:val="bottom"/>
            <w:gridSpan w:val="2"/>
          </w:tcPr>
          <w:p>
            <w:pPr>
              <w:jc w:val="center"/>
              <w:ind w:right="257"/>
              <w:spacing w:after="0" w:line="121" w:lineRule="exact"/>
              <w:rPr>
                <w:sz w:val="20"/>
                <w:szCs w:val="20"/>
                <w:color w:val="auto"/>
              </w:rPr>
            </w:pPr>
            <w:r>
              <w:rPr>
                <w:rFonts w:ascii="Arial" w:cs="Arial" w:eastAsia="Arial" w:hAnsi="Arial"/>
                <w:sz w:val="13"/>
                <w:szCs w:val="13"/>
                <w:color w:val="auto"/>
                <w:w w:val="85"/>
              </w:rPr>
              <w:t>Other</w:t>
            </w:r>
          </w:p>
        </w:tc>
        <w:tc>
          <w:tcPr>
            <w:tcW w:w="10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w w:val="80"/>
              </w:rPr>
              <w:t>Retained</w:t>
            </w: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3"/>
                <w:szCs w:val="13"/>
                <w:color w:val="auto"/>
                <w:w w:val="96"/>
              </w:rPr>
              <w:t>Noncontrolling</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20" w:type="dxa"/>
            <w:vAlign w:val="bottom"/>
          </w:tcPr>
          <w:p>
            <w:pPr>
              <w:spacing w:after="0"/>
              <w:rPr>
                <w:sz w:val="10"/>
                <w:szCs w:val="10"/>
                <w:color w:val="auto"/>
              </w:rPr>
            </w:pPr>
          </w:p>
        </w:tc>
        <w:tc>
          <w:tcPr>
            <w:tcW w:w="60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4"/>
              </w:rPr>
              <w:t>Common</w:t>
            </w:r>
          </w:p>
        </w:tc>
        <w:tc>
          <w:tcPr>
            <w:tcW w:w="2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w w:val="92"/>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57"/>
              <w:spacing w:after="0" w:line="121" w:lineRule="exact"/>
              <w:rPr>
                <w:sz w:val="20"/>
                <w:szCs w:val="20"/>
                <w:color w:val="auto"/>
              </w:rPr>
            </w:pPr>
            <w:r>
              <w:rPr>
                <w:rFonts w:ascii="Arial" w:cs="Arial" w:eastAsia="Arial" w:hAnsi="Arial"/>
                <w:sz w:val="13"/>
                <w:szCs w:val="13"/>
                <w:color w:val="auto"/>
                <w:w w:val="87"/>
              </w:rPr>
              <w:t>Comprehensive</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40"/>
              <w:spacing w:after="0" w:line="121" w:lineRule="exact"/>
              <w:rPr>
                <w:sz w:val="20"/>
                <w:szCs w:val="20"/>
                <w:color w:val="auto"/>
              </w:rPr>
            </w:pPr>
            <w:r>
              <w:rPr>
                <w:rFonts w:ascii="Arial" w:cs="Arial" w:eastAsia="Arial" w:hAnsi="Arial"/>
                <w:sz w:val="13"/>
                <w:szCs w:val="13"/>
                <w:color w:val="auto"/>
                <w:w w:val="85"/>
              </w:rPr>
              <w:t>Shareholders'</w:t>
            </w: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w w:val="93"/>
              </w:rPr>
              <w:t>Total Equity</w:t>
            </w:r>
          </w:p>
        </w:tc>
        <w:tc>
          <w:tcPr>
            <w:tcW w:w="0" w:type="dxa"/>
            <w:vAlign w:val="bottom"/>
          </w:tcPr>
          <w:p>
            <w:pPr>
              <w:spacing w:after="0"/>
              <w:rPr>
                <w:sz w:val="1"/>
                <w:szCs w:val="1"/>
                <w:color w:val="auto"/>
              </w:rPr>
            </w:pPr>
          </w:p>
        </w:tc>
      </w:tr>
      <w:tr>
        <w:trPr>
          <w:trHeight w:val="158"/>
        </w:trPr>
        <w:tc>
          <w:tcPr>
            <w:tcW w:w="2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Stock</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3"/>
                <w:szCs w:val="13"/>
                <w:color w:val="auto"/>
                <w:w w:val="92"/>
              </w:rPr>
              <w:t>Paid-in Capital</w:t>
            </w:r>
          </w:p>
        </w:tc>
        <w:tc>
          <w:tcPr>
            <w:tcW w:w="80" w:type="dxa"/>
            <w:vAlign w:val="bottom"/>
          </w:tcPr>
          <w:p>
            <w:pPr>
              <w:spacing w:after="0"/>
              <w:rPr>
                <w:sz w:val="13"/>
                <w:szCs w:val="13"/>
                <w:color w:val="auto"/>
              </w:rPr>
            </w:pPr>
          </w:p>
        </w:tc>
        <w:tc>
          <w:tcPr>
            <w:tcW w:w="1160" w:type="dxa"/>
            <w:vAlign w:val="bottom"/>
            <w:gridSpan w:val="2"/>
          </w:tcPr>
          <w:p>
            <w:pPr>
              <w:jc w:val="center"/>
              <w:ind w:right="217"/>
              <w:spacing w:after="0"/>
              <w:rPr>
                <w:sz w:val="20"/>
                <w:szCs w:val="20"/>
                <w:color w:val="auto"/>
              </w:rPr>
            </w:pPr>
            <w:r>
              <w:rPr>
                <w:rFonts w:ascii="Arial" w:cs="Arial" w:eastAsia="Arial" w:hAnsi="Arial"/>
                <w:sz w:val="13"/>
                <w:szCs w:val="13"/>
                <w:color w:val="auto"/>
                <w:w w:val="87"/>
              </w:rPr>
              <w:t>Loss</w:t>
            </w:r>
          </w:p>
        </w:tc>
        <w:tc>
          <w:tcPr>
            <w:tcW w:w="1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w w:val="85"/>
              </w:rPr>
              <w:t>Earnings</w:t>
            </w: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color w:val="auto"/>
                <w:w w:val="93"/>
              </w:rPr>
              <w:t>Equity</w:t>
            </w:r>
          </w:p>
        </w:tc>
        <w:tc>
          <w:tcPr>
            <w:tcW w:w="140" w:type="dxa"/>
            <w:vAlign w:val="bottom"/>
          </w:tcPr>
          <w:p>
            <w:pPr>
              <w:spacing w:after="0"/>
              <w:rPr>
                <w:sz w:val="13"/>
                <w:szCs w:val="13"/>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3"/>
                <w:szCs w:val="13"/>
                <w:color w:val="auto"/>
              </w:rPr>
              <w:t>Interests</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580" w:type="dxa"/>
            <w:vAlign w:val="bottom"/>
            <w:tcBorders>
              <w:top w:val="single" w:sz="8" w:color="auto"/>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Balance at March 31, 2022</w:t>
            </w:r>
          </w:p>
        </w:tc>
        <w:tc>
          <w:tcPr>
            <w:tcW w:w="12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62.4</w:t>
            </w:r>
          </w:p>
        </w:tc>
        <w:tc>
          <w:tcPr>
            <w:tcW w:w="220" w:type="dxa"/>
            <w:vAlign w:val="bottom"/>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ind w:right="257"/>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0.6</w:t>
            </w: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3,462.6</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(129.3</w:t>
            </w:r>
          </w:p>
        </w:tc>
        <w:tc>
          <w:tcPr>
            <w:tcW w:w="200" w:type="dxa"/>
            <w:vAlign w:val="bottom"/>
            <w:shd w:val="clear" w:color="auto" w:fill="CFF0FC"/>
          </w:tcPr>
          <w:p>
            <w:pPr>
              <w:jc w:val="right"/>
              <w:ind w:right="77"/>
              <w:spacing w:after="0" w:line="146"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3,094.9</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6,428.8</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2.2</w:t>
            </w:r>
          </w:p>
        </w:tc>
        <w:tc>
          <w:tcPr>
            <w:tcW w:w="3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6,431.0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0"/>
              <w:spacing w:after="0" w:line="148" w:lineRule="exact"/>
              <w:rPr>
                <w:sz w:val="20"/>
                <w:szCs w:val="20"/>
                <w:color w:val="auto"/>
              </w:rPr>
            </w:pPr>
            <w:r>
              <w:rPr>
                <w:rFonts w:ascii="Arial" w:cs="Arial" w:eastAsia="Arial" w:hAnsi="Arial"/>
                <w:sz w:val="13"/>
                <w:szCs w:val="13"/>
                <w:color w:val="auto"/>
              </w:rPr>
              <w:t>Consolidated net earnings (loss)</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366.5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366.5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(0.1 )</w:t>
            </w:r>
          </w:p>
        </w:tc>
        <w:tc>
          <w:tcPr>
            <w:tcW w:w="18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366.4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Other comprehensive earnings,</w:t>
            </w: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8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of tax</w:t>
            </w: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0"/>
              <w:spacing w:after="0" w:line="148" w:lineRule="exact"/>
              <w:rPr>
                <w:sz w:val="20"/>
                <w:szCs w:val="20"/>
                <w:color w:val="auto"/>
              </w:rPr>
            </w:pPr>
            <w:r>
              <w:rPr>
                <w:rFonts w:ascii="Arial" w:cs="Arial" w:eastAsia="Arial" w:hAnsi="Arial"/>
                <w:sz w:val="13"/>
                <w:szCs w:val="13"/>
                <w:color w:val="auto"/>
              </w:rPr>
              <w:t>Dividends declared ($0.61 per share)</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(38.3 )</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(38.3 )</w:t>
            </w:r>
          </w:p>
        </w:tc>
        <w:tc>
          <w:tcPr>
            <w:tcW w:w="140" w:type="dxa"/>
            <w:vAlign w:val="bottom"/>
          </w:tcPr>
          <w:p>
            <w:pPr>
              <w:spacing w:after="0"/>
              <w:rPr>
                <w:sz w:val="12"/>
                <w:szCs w:val="12"/>
                <w:color w:val="auto"/>
              </w:rPr>
            </w:pPr>
          </w:p>
        </w:tc>
        <w:tc>
          <w:tcPr>
            <w:tcW w:w="13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(38.3 )</w:t>
            </w:r>
          </w:p>
        </w:tc>
        <w:tc>
          <w:tcPr>
            <w:tcW w:w="0" w:type="dxa"/>
            <w:vAlign w:val="bottom"/>
          </w:tcPr>
          <w:p>
            <w:pPr>
              <w:spacing w:after="0"/>
              <w:rPr>
                <w:sz w:val="1"/>
                <w:szCs w:val="1"/>
                <w:color w:val="auto"/>
              </w:rPr>
            </w:pPr>
          </w:p>
        </w:tc>
      </w:tr>
      <w:tr>
        <w:trPr>
          <w:trHeight w:val="108"/>
        </w:trPr>
        <w:tc>
          <w:tcPr>
            <w:tcW w:w="258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Issuances of common stock for stock</w:t>
            </w: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8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award plans</w:t>
            </w: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Arial" w:cs="Arial" w:eastAsia="Arial" w:hAnsi="Arial"/>
                <w:sz w:val="12"/>
                <w:szCs w:val="12"/>
                <w:color w:val="auto"/>
              </w:rPr>
              <w:t>Shares withheld for employees'</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9"/>
                <w:szCs w:val="9"/>
                <w:color w:val="auto"/>
              </w:rPr>
            </w:pPr>
          </w:p>
        </w:tc>
        <w:tc>
          <w:tcPr>
            <w:tcW w:w="11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(0.7 )</w:t>
            </w:r>
          </w:p>
        </w:tc>
        <w:tc>
          <w:tcPr>
            <w:tcW w:w="140" w:type="dxa"/>
            <w:vAlign w:val="bottom"/>
          </w:tcPr>
          <w:p>
            <w:pPr>
              <w:spacing w:after="0"/>
              <w:rPr>
                <w:sz w:val="9"/>
                <w:szCs w:val="9"/>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60"/>
        </w:trPr>
        <w:tc>
          <w:tcPr>
            <w:tcW w:w="2580" w:type="dxa"/>
            <w:vAlign w:val="bottom"/>
          </w:tcPr>
          <w:p>
            <w:pPr>
              <w:ind w:left="300"/>
              <w:spacing w:after="0"/>
              <w:rPr>
                <w:sz w:val="20"/>
                <w:szCs w:val="20"/>
                <w:color w:val="auto"/>
              </w:rPr>
            </w:pPr>
            <w:r>
              <w:rPr>
                <w:rFonts w:ascii="Arial" w:cs="Arial" w:eastAsia="Arial" w:hAnsi="Arial"/>
                <w:sz w:val="13"/>
                <w:szCs w:val="13"/>
                <w:color w:val="auto"/>
              </w:rPr>
              <w:t>income tax obligations</w:t>
            </w: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20"/>
              <w:spacing w:after="0"/>
              <w:rPr>
                <w:sz w:val="20"/>
                <w:szCs w:val="20"/>
                <w:color w:val="auto"/>
              </w:rPr>
            </w:pPr>
            <w:r>
              <w:rPr>
                <w:rFonts w:ascii="Arial" w:cs="Arial" w:eastAsia="Arial" w:hAnsi="Arial"/>
                <w:sz w:val="13"/>
                <w:szCs w:val="13"/>
                <w:color w:val="auto"/>
              </w:rPr>
              <w:t>Balance at June 30, 2022</w:t>
            </w:r>
          </w:p>
        </w:tc>
        <w:tc>
          <w:tcPr>
            <w:tcW w:w="120" w:type="dxa"/>
            <w:vAlign w:val="bottom"/>
          </w:tcPr>
          <w:p>
            <w:pPr>
              <w:spacing w:after="0"/>
              <w:rPr>
                <w:sz w:val="13"/>
                <w:szCs w:val="13"/>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62.4</w:t>
            </w:r>
          </w:p>
        </w:tc>
        <w:tc>
          <w:tcPr>
            <w:tcW w:w="220" w:type="dxa"/>
            <w:vAlign w:val="bottom"/>
          </w:tcPr>
          <w:p>
            <w:pPr>
              <w:spacing w:after="0"/>
              <w:rPr>
                <w:sz w:val="13"/>
                <w:szCs w:val="13"/>
                <w:color w:val="auto"/>
              </w:rPr>
            </w:pPr>
          </w:p>
        </w:tc>
        <w:tc>
          <w:tcPr>
            <w:tcW w:w="400" w:type="dxa"/>
            <w:vAlign w:val="bottom"/>
          </w:tcPr>
          <w:p>
            <w:pPr>
              <w:jc w:val="right"/>
              <w:ind w:right="257"/>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0.6</w:t>
            </w:r>
          </w:p>
        </w:tc>
        <w:tc>
          <w:tcPr>
            <w:tcW w:w="240" w:type="dxa"/>
            <w:vAlign w:val="bottom"/>
          </w:tcPr>
          <w:p>
            <w:pPr>
              <w:spacing w:after="0"/>
              <w:rPr>
                <w:sz w:val="13"/>
                <w:szCs w:val="13"/>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3,474.4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77"/>
              <w:spacing w:after="0" w:line="148" w:lineRule="exact"/>
              <w:rPr>
                <w:sz w:val="20"/>
                <w:szCs w:val="20"/>
                <w:color w:val="auto"/>
              </w:rPr>
            </w:pPr>
            <w:r>
              <w:rPr>
                <w:rFonts w:ascii="Arial" w:cs="Arial" w:eastAsia="Arial" w:hAnsi="Arial"/>
                <w:sz w:val="13"/>
                <w:szCs w:val="13"/>
                <w:color w:val="auto"/>
              </w:rPr>
              <w:t>(128.1 )</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3,423.1</w:t>
            </w:r>
          </w:p>
        </w:tc>
        <w:tc>
          <w:tcPr>
            <w:tcW w:w="200" w:type="dxa"/>
            <w:vAlign w:val="bottom"/>
          </w:tcPr>
          <w:p>
            <w:pPr>
              <w:spacing w:after="0"/>
              <w:rPr>
                <w:sz w:val="13"/>
                <w:szCs w:val="13"/>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6,770.0</w:t>
            </w:r>
          </w:p>
        </w:tc>
        <w:tc>
          <w:tcPr>
            <w:tcW w:w="22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8" w:lineRule="exact"/>
              <w:rPr>
                <w:sz w:val="20"/>
                <w:szCs w:val="20"/>
                <w:color w:val="auto"/>
              </w:rPr>
            </w:pPr>
            <w:r>
              <w:rPr>
                <w:rFonts w:ascii="Arial" w:cs="Arial" w:eastAsia="Arial" w:hAnsi="Arial"/>
                <w:sz w:val="13"/>
                <w:szCs w:val="13"/>
                <w:color w:val="auto"/>
              </w:rPr>
              <w:t>2.1</w:t>
            </w:r>
          </w:p>
        </w:tc>
        <w:tc>
          <w:tcPr>
            <w:tcW w:w="32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6,772.1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spacing w:after="0"/>
              <w:rPr>
                <w:sz w:val="10"/>
                <w:szCs w:val="10"/>
                <w:color w:val="auto"/>
              </w:rPr>
            </w:pPr>
          </w:p>
        </w:tc>
        <w:tc>
          <w:tcPr>
            <w:tcW w:w="620" w:type="dxa"/>
            <w:vAlign w:val="bottom"/>
            <w:gridSpan w:val="2"/>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40" w:type="dxa"/>
            <w:vAlign w:val="bottom"/>
            <w:gridSpan w:val="2"/>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
              <w:spacing w:after="0" w:line="148" w:lineRule="exact"/>
              <w:rPr>
                <w:sz w:val="20"/>
                <w:szCs w:val="20"/>
                <w:color w:val="auto"/>
              </w:rPr>
            </w:pPr>
            <w:r>
              <w:rPr>
                <w:rFonts w:ascii="Arial" w:cs="Arial" w:eastAsia="Arial" w:hAnsi="Arial"/>
                <w:sz w:val="13"/>
                <w:szCs w:val="13"/>
                <w:color w:val="auto"/>
              </w:rPr>
              <w:t>Balance at December 31, 2021</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62.4</w:t>
            </w:r>
          </w:p>
        </w:tc>
        <w:tc>
          <w:tcPr>
            <w:tcW w:w="620" w:type="dxa"/>
            <w:vAlign w:val="bottom"/>
            <w:gridSpan w:val="2"/>
          </w:tcPr>
          <w:p>
            <w:pPr>
              <w:jc w:val="right"/>
              <w:ind w:right="257"/>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0.6</w:t>
            </w:r>
          </w:p>
        </w:tc>
        <w:tc>
          <w:tcPr>
            <w:tcW w:w="3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3,470.4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77"/>
              <w:spacing w:after="0" w:line="148" w:lineRule="exact"/>
              <w:rPr>
                <w:sz w:val="20"/>
                <w:szCs w:val="20"/>
                <w:color w:val="auto"/>
              </w:rPr>
            </w:pPr>
            <w:r>
              <w:rPr>
                <w:rFonts w:ascii="Arial" w:cs="Arial" w:eastAsia="Arial" w:hAnsi="Arial"/>
                <w:sz w:val="13"/>
                <w:szCs w:val="13"/>
                <w:color w:val="auto"/>
              </w:rPr>
              <w:t>(97.6 )</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3,161.9</w:t>
            </w:r>
          </w:p>
        </w:tc>
        <w:tc>
          <w:tcPr>
            <w:tcW w:w="20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6,535.3</w:t>
            </w:r>
          </w:p>
        </w:tc>
        <w:tc>
          <w:tcPr>
            <w:tcW w:w="22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8" w:lineRule="exact"/>
              <w:rPr>
                <w:sz w:val="20"/>
                <w:szCs w:val="20"/>
                <w:color w:val="auto"/>
              </w:rPr>
            </w:pPr>
            <w:r>
              <w:rPr>
                <w:rFonts w:ascii="Arial" w:cs="Arial" w:eastAsia="Arial" w:hAnsi="Arial"/>
                <w:sz w:val="13"/>
                <w:szCs w:val="13"/>
                <w:color w:val="auto"/>
              </w:rPr>
              <w:t>2.3</w:t>
            </w:r>
          </w:p>
        </w:tc>
        <w:tc>
          <w:tcPr>
            <w:tcW w:w="32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6,537.6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Consolidated net earnings (loss)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387.9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387.9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60"/>
              <w:spacing w:after="0" w:line="148" w:lineRule="exact"/>
              <w:rPr>
                <w:sz w:val="20"/>
                <w:szCs w:val="20"/>
                <w:color w:val="auto"/>
              </w:rPr>
            </w:pPr>
            <w:r>
              <w:rPr>
                <w:rFonts w:ascii="Arial" w:cs="Arial" w:eastAsia="Arial" w:hAnsi="Arial"/>
                <w:sz w:val="13"/>
                <w:szCs w:val="13"/>
                <w:color w:val="auto"/>
              </w:rPr>
              <w:t>(0.2 )</w:t>
            </w: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0"/>
              <w:spacing w:after="0" w:line="148" w:lineRule="exact"/>
              <w:rPr>
                <w:sz w:val="20"/>
                <w:szCs w:val="20"/>
                <w:color w:val="auto"/>
              </w:rPr>
            </w:pPr>
            <w:r>
              <w:rPr>
                <w:rFonts w:ascii="Arial" w:cs="Arial" w:eastAsia="Arial" w:hAnsi="Arial"/>
                <w:sz w:val="13"/>
                <w:szCs w:val="13"/>
                <w:color w:val="auto"/>
              </w:rPr>
              <w:t>Other comprehensive loss, net of tax</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77"/>
              <w:spacing w:after="0" w:line="148" w:lineRule="exact"/>
              <w:rPr>
                <w:sz w:val="20"/>
                <w:szCs w:val="20"/>
                <w:color w:val="auto"/>
              </w:rPr>
            </w:pPr>
            <w:r>
              <w:rPr>
                <w:rFonts w:ascii="Arial" w:cs="Arial" w:eastAsia="Arial" w:hAnsi="Arial"/>
                <w:sz w:val="13"/>
                <w:szCs w:val="13"/>
                <w:color w:val="auto"/>
              </w:rPr>
              <w:t>(30.5 )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(30.5 )</w:t>
            </w:r>
          </w:p>
        </w:tc>
        <w:tc>
          <w:tcPr>
            <w:tcW w:w="140" w:type="dxa"/>
            <w:vAlign w:val="bottom"/>
          </w:tcPr>
          <w:p>
            <w:pPr>
              <w:spacing w:after="0"/>
              <w:rPr>
                <w:sz w:val="12"/>
                <w:szCs w:val="12"/>
                <w:color w:val="auto"/>
              </w:rPr>
            </w:pPr>
          </w:p>
        </w:tc>
        <w:tc>
          <w:tcPr>
            <w:tcW w:w="13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(30.5 )</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Dividends declared ($1.22 per share)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line="148" w:lineRule="exact"/>
              <w:rPr>
                <w:sz w:val="20"/>
                <w:szCs w:val="20"/>
                <w:color w:val="auto"/>
              </w:rPr>
            </w:pPr>
            <w:r>
              <w:rPr>
                <w:rFonts w:ascii="Arial" w:cs="Arial" w:eastAsia="Arial" w:hAnsi="Arial"/>
                <w:sz w:val="13"/>
                <w:szCs w:val="13"/>
                <w:color w:val="auto"/>
              </w:rPr>
              <w:t>(76.7 )</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(76.7 )</w:t>
            </w: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line="148" w:lineRule="exact"/>
              <w:rPr>
                <w:sz w:val="20"/>
                <w:szCs w:val="20"/>
                <w:color w:val="auto"/>
              </w:rPr>
            </w:pPr>
            <w:r>
              <w:rPr>
                <w:rFonts w:ascii="Arial" w:cs="Arial" w:eastAsia="Arial" w:hAnsi="Arial"/>
                <w:sz w:val="13"/>
                <w:szCs w:val="13"/>
                <w:color w:val="auto"/>
              </w:rPr>
              <w:t>(76.7 )</w:t>
            </w: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Arial" w:cs="Arial" w:eastAsia="Arial" w:hAnsi="Arial"/>
                <w:sz w:val="12"/>
                <w:szCs w:val="12"/>
                <w:color w:val="auto"/>
              </w:rPr>
              <w:t>Issuances of common stock for stock</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300"/>
              <w:spacing w:after="0"/>
              <w:rPr>
                <w:sz w:val="20"/>
                <w:szCs w:val="20"/>
                <w:color w:val="auto"/>
              </w:rPr>
            </w:pPr>
            <w:r>
              <w:rPr>
                <w:rFonts w:ascii="Arial" w:cs="Arial" w:eastAsia="Arial" w:hAnsi="Arial"/>
                <w:sz w:val="13"/>
                <w:szCs w:val="13"/>
                <w:color w:val="auto"/>
              </w:rPr>
              <w:t>award plans</w:t>
            </w: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shd w:val="clear" w:color="auto" w:fill="CFF0FC"/>
          </w:tcPr>
          <w:p>
            <w:pPr>
              <w:ind w:left="200"/>
              <w:spacing w:after="0" w:line="110" w:lineRule="exact"/>
              <w:rPr>
                <w:sz w:val="20"/>
                <w:szCs w:val="20"/>
                <w:color w:val="auto"/>
              </w:rPr>
            </w:pPr>
            <w:r>
              <w:rPr>
                <w:rFonts w:ascii="Arial" w:cs="Arial" w:eastAsia="Arial" w:hAnsi="Arial"/>
                <w:sz w:val="12"/>
                <w:szCs w:val="12"/>
                <w:color w:val="auto"/>
              </w:rPr>
              <w:t>Shares withheld for employees'</w:t>
            </w: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(25.1 )</w:t>
            </w:r>
          </w:p>
        </w:tc>
        <w:tc>
          <w:tcPr>
            <w:tcW w:w="8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(25.1 )</w:t>
            </w:r>
          </w:p>
        </w:tc>
        <w:tc>
          <w:tcPr>
            <w:tcW w:w="140" w:type="dxa"/>
            <w:vAlign w:val="bottom"/>
            <w:shd w:val="clear" w:color="auto" w:fill="CFF0FC"/>
          </w:tcPr>
          <w:p>
            <w:pPr>
              <w:spacing w:after="0"/>
              <w:rPr>
                <w:sz w:val="9"/>
                <w:szCs w:val="9"/>
                <w:color w:val="auto"/>
              </w:rPr>
            </w:pPr>
          </w:p>
        </w:tc>
        <w:tc>
          <w:tcPr>
            <w:tcW w:w="138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(25.1 )</w:t>
            </w:r>
          </w:p>
        </w:tc>
        <w:tc>
          <w:tcPr>
            <w:tcW w:w="0" w:type="dxa"/>
            <w:vAlign w:val="bottom"/>
          </w:tcPr>
          <w:p>
            <w:pPr>
              <w:spacing w:after="0"/>
              <w:rPr>
                <w:sz w:val="1"/>
                <w:szCs w:val="1"/>
                <w:color w:val="auto"/>
              </w:rPr>
            </w:pPr>
          </w:p>
        </w:tc>
      </w:tr>
      <w:tr>
        <w:trPr>
          <w:trHeight w:val="162"/>
        </w:trPr>
        <w:tc>
          <w:tcPr>
            <w:tcW w:w="25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income tax obligations</w:t>
            </w: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0"/>
              <w:spacing w:after="0" w:line="148" w:lineRule="exact"/>
              <w:rPr>
                <w:sz w:val="20"/>
                <w:szCs w:val="20"/>
                <w:color w:val="auto"/>
              </w:rPr>
            </w:pPr>
            <w:r>
              <w:rPr>
                <w:rFonts w:ascii="Arial" w:cs="Arial" w:eastAsia="Arial" w:hAnsi="Arial"/>
                <w:sz w:val="13"/>
                <w:szCs w:val="13"/>
                <w:color w:val="auto"/>
              </w:rPr>
              <w:t>Repurchases of common stock</w:t>
            </w:r>
          </w:p>
        </w:tc>
        <w:tc>
          <w:tcPr>
            <w:tcW w:w="12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(50.0 )</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(50.0 )</w:t>
            </w:r>
          </w:p>
        </w:tc>
        <w:tc>
          <w:tcPr>
            <w:tcW w:w="140" w:type="dxa"/>
            <w:vAlign w:val="bottom"/>
          </w:tcPr>
          <w:p>
            <w:pPr>
              <w:spacing w:after="0"/>
              <w:rPr>
                <w:sz w:val="12"/>
                <w:szCs w:val="12"/>
                <w:color w:val="auto"/>
              </w:rPr>
            </w:pPr>
          </w:p>
        </w:tc>
        <w:tc>
          <w:tcPr>
            <w:tcW w:w="13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20"/>
              <w:spacing w:after="0"/>
              <w:rPr>
                <w:sz w:val="20"/>
                <w:szCs w:val="20"/>
                <w:color w:val="auto"/>
              </w:rPr>
            </w:pPr>
            <w:r>
              <w:rPr>
                <w:rFonts w:ascii="Arial" w:cs="Arial" w:eastAsia="Arial" w:hAnsi="Arial"/>
                <w:sz w:val="13"/>
                <w:szCs w:val="13"/>
                <w:color w:val="auto"/>
              </w:rPr>
              <w:t>Balance at June 30, 2022</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62.4</w:t>
            </w:r>
          </w:p>
        </w:tc>
        <w:tc>
          <w:tcPr>
            <w:tcW w:w="2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0.6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3,474.4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(128.1</w:t>
            </w:r>
          </w:p>
        </w:tc>
        <w:tc>
          <w:tcPr>
            <w:tcW w:w="200" w:type="dxa"/>
            <w:vAlign w:val="bottom"/>
          </w:tcPr>
          <w:p>
            <w:pPr>
              <w:jc w:val="right"/>
              <w:ind w:right="77"/>
              <w:spacing w:after="0" w:line="138"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3,423.1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6,770.0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2.1</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6,772.1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-1253490</wp:posOffset>
            </wp:positionV>
            <wp:extent cx="768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-1253490</wp:posOffset>
            </wp:positionV>
            <wp:extent cx="768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-1253490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-1253490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-1253490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-1253490</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-1253490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-1253490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 w:name="page7"/>
    <w:bookmarkEnd w:id="6"/>
    <w:p>
      <w:pPr>
        <w:jc w:val="both"/>
        <w:ind w:left="2480" w:right="2480" w:firstLine="11"/>
        <w:spacing w:after="0" w:line="290"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2"/>
              </w:rPr>
              <w:t>Shares of</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97"/>
              <w:spacing w:after="0"/>
              <w:rPr>
                <w:sz w:val="20"/>
                <w:szCs w:val="20"/>
                <w:color w:val="auto"/>
              </w:rPr>
            </w:pPr>
            <w:r>
              <w:rPr>
                <w:rFonts w:ascii="Arial" w:cs="Arial" w:eastAsia="Arial" w:hAnsi="Arial"/>
                <w:sz w:val="13"/>
                <w:szCs w:val="13"/>
                <w:color w:val="auto"/>
                <w:w w:val="87"/>
              </w:rPr>
              <w:t>Accumulated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color w:val="auto"/>
              </w:rPr>
              <w:t>Additional Paid-</w:t>
            </w:r>
          </w:p>
        </w:tc>
        <w:tc>
          <w:tcPr>
            <w:tcW w:w="120" w:type="dxa"/>
            <w:vAlign w:val="bottom"/>
          </w:tcPr>
          <w:p>
            <w:pPr>
              <w:spacing w:after="0"/>
              <w:rPr>
                <w:sz w:val="10"/>
                <w:szCs w:val="10"/>
                <w:color w:val="auto"/>
              </w:rPr>
            </w:pPr>
          </w:p>
        </w:tc>
        <w:tc>
          <w:tcPr>
            <w:tcW w:w="1220" w:type="dxa"/>
            <w:vAlign w:val="bottom"/>
            <w:gridSpan w:val="2"/>
          </w:tcPr>
          <w:p>
            <w:pPr>
              <w:jc w:val="center"/>
              <w:ind w:right="297"/>
              <w:spacing w:after="0" w:line="121" w:lineRule="exact"/>
              <w:rPr>
                <w:sz w:val="20"/>
                <w:szCs w:val="20"/>
                <w:color w:val="auto"/>
              </w:rPr>
            </w:pPr>
            <w:r>
              <w:rPr>
                <w:rFonts w:ascii="Arial" w:cs="Arial" w:eastAsia="Arial" w:hAnsi="Arial"/>
                <w:sz w:val="13"/>
                <w:szCs w:val="13"/>
                <w:color w:val="auto"/>
                <w:w w:val="92"/>
              </w:rPr>
              <w:t>Other</w:t>
            </w:r>
          </w:p>
        </w:tc>
        <w:tc>
          <w:tcPr>
            <w:tcW w:w="80" w:type="dxa"/>
            <w:vAlign w:val="bottom"/>
          </w:tcPr>
          <w:p>
            <w:pPr>
              <w:spacing w:after="0"/>
              <w:rPr>
                <w:sz w:val="10"/>
                <w:szCs w:val="10"/>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w w:val="84"/>
              </w:rPr>
              <w:t>Retained</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3"/>
                <w:szCs w:val="13"/>
                <w:color w:val="auto"/>
                <w:w w:val="96"/>
              </w:rPr>
              <w:t>Noncontrolling</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10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7"/>
              </w:rPr>
              <w:t>Common</w:t>
            </w:r>
          </w:p>
        </w:tc>
        <w:tc>
          <w:tcPr>
            <w:tcW w:w="2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w w:val="94"/>
              </w:rPr>
              <w:t>Common Stock</w:t>
            </w:r>
          </w:p>
        </w:tc>
        <w:tc>
          <w:tcPr>
            <w:tcW w:w="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97"/>
              <w:spacing w:after="0" w:line="121" w:lineRule="exact"/>
              <w:rPr>
                <w:sz w:val="20"/>
                <w:szCs w:val="20"/>
                <w:color w:val="auto"/>
              </w:rPr>
            </w:pPr>
            <w:r>
              <w:rPr>
                <w:rFonts w:ascii="Arial" w:cs="Arial" w:eastAsia="Arial" w:hAnsi="Arial"/>
                <w:sz w:val="13"/>
                <w:szCs w:val="13"/>
                <w:color w:val="auto"/>
                <w:w w:val="85"/>
              </w:rPr>
              <w:t>Comprehensive</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w w:val="82"/>
              </w:rPr>
              <w:t>Shareholders'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w w:val="98"/>
              </w:rPr>
              <w:t>Total Equity</w:t>
            </w:r>
          </w:p>
        </w:tc>
        <w:tc>
          <w:tcPr>
            <w:tcW w:w="0" w:type="dxa"/>
            <w:vAlign w:val="bottom"/>
          </w:tcPr>
          <w:p>
            <w:pPr>
              <w:spacing w:after="0"/>
              <w:rPr>
                <w:sz w:val="1"/>
                <w:szCs w:val="1"/>
                <w:color w:val="auto"/>
              </w:rPr>
            </w:pPr>
          </w:p>
        </w:tc>
      </w:tr>
      <w:tr>
        <w:trPr>
          <w:trHeight w:val="158"/>
        </w:trPr>
        <w:tc>
          <w:tcPr>
            <w:tcW w:w="2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5"/>
              </w:rPr>
              <w:t>Stock</w:t>
            </w: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w w:val="95"/>
              </w:rPr>
              <w:t>in Capital</w:t>
            </w:r>
          </w:p>
        </w:tc>
        <w:tc>
          <w:tcPr>
            <w:tcW w:w="120" w:type="dxa"/>
            <w:vAlign w:val="bottom"/>
          </w:tcPr>
          <w:p>
            <w:pPr>
              <w:spacing w:after="0"/>
              <w:rPr>
                <w:sz w:val="13"/>
                <w:szCs w:val="13"/>
                <w:color w:val="auto"/>
              </w:rPr>
            </w:pPr>
          </w:p>
        </w:tc>
        <w:tc>
          <w:tcPr>
            <w:tcW w:w="1220" w:type="dxa"/>
            <w:vAlign w:val="bottom"/>
            <w:gridSpan w:val="2"/>
          </w:tcPr>
          <w:p>
            <w:pPr>
              <w:jc w:val="center"/>
              <w:ind w:right="277"/>
              <w:spacing w:after="0"/>
              <w:rPr>
                <w:sz w:val="20"/>
                <w:szCs w:val="20"/>
                <w:color w:val="auto"/>
              </w:rPr>
            </w:pPr>
            <w:r>
              <w:rPr>
                <w:rFonts w:ascii="Arial" w:cs="Arial" w:eastAsia="Arial" w:hAnsi="Arial"/>
                <w:sz w:val="13"/>
                <w:szCs w:val="13"/>
                <w:color w:val="auto"/>
                <w:w w:val="87"/>
              </w:rPr>
              <w:t>Loss</w:t>
            </w:r>
          </w:p>
        </w:tc>
        <w:tc>
          <w:tcPr>
            <w:tcW w:w="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Earnings</w:t>
            </w: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rPr>
              <w:t>Equity</w:t>
            </w:r>
          </w:p>
        </w:tc>
        <w:tc>
          <w:tcPr>
            <w:tcW w:w="100" w:type="dxa"/>
            <w:vAlign w:val="bottom"/>
          </w:tcPr>
          <w:p>
            <w:pPr>
              <w:spacing w:after="0"/>
              <w:rPr>
                <w:sz w:val="13"/>
                <w:szCs w:val="13"/>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3"/>
                <w:szCs w:val="13"/>
                <w:color w:val="auto"/>
              </w:rPr>
              <w:t>Interests</w:t>
            </w: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40" w:type="dxa"/>
            <w:vAlign w:val="bottom"/>
            <w:tcBorders>
              <w:top w:val="single" w:sz="8" w:color="auto"/>
            </w:tcBorders>
          </w:tcPr>
          <w:p>
            <w:pPr>
              <w:ind w:left="20"/>
              <w:spacing w:after="0" w:line="146" w:lineRule="exact"/>
              <w:rPr>
                <w:sz w:val="20"/>
                <w:szCs w:val="20"/>
                <w:color w:val="auto"/>
              </w:rPr>
            </w:pPr>
            <w:r>
              <w:rPr>
                <w:rFonts w:ascii="Arial" w:cs="Arial" w:eastAsia="Arial" w:hAnsi="Arial"/>
                <w:sz w:val="13"/>
                <w:szCs w:val="13"/>
                <w:color w:val="auto"/>
              </w:rPr>
              <w:t>Balance at March 31, 2021</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62.4</w:t>
            </w:r>
          </w:p>
        </w:tc>
        <w:tc>
          <w:tcPr>
            <w:tcW w:w="220" w:type="dxa"/>
            <w:vAlign w:val="bottom"/>
          </w:tcPr>
          <w:p>
            <w:pPr>
              <w:spacing w:after="0"/>
              <w:rPr>
                <w:sz w:val="12"/>
                <w:szCs w:val="12"/>
                <w:color w:val="auto"/>
              </w:rPr>
            </w:pPr>
          </w:p>
        </w:tc>
        <w:tc>
          <w:tcPr>
            <w:tcW w:w="420" w:type="dxa"/>
            <w:vAlign w:val="bottom"/>
            <w:tcBorders>
              <w:top w:val="single" w:sz="8" w:color="auto"/>
            </w:tcBorders>
          </w:tcPr>
          <w:p>
            <w:pPr>
              <w:jc w:val="right"/>
              <w:ind w:right="277"/>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0.6</w:t>
            </w:r>
          </w:p>
        </w:tc>
        <w:tc>
          <w:tcPr>
            <w:tcW w:w="220" w:type="dxa"/>
            <w:vAlign w:val="bottom"/>
          </w:tcPr>
          <w:p>
            <w:pPr>
              <w:spacing w:after="0"/>
              <w:rPr>
                <w:sz w:val="12"/>
                <w:szCs w:val="12"/>
                <w:color w:val="auto"/>
              </w:rPr>
            </w:pPr>
          </w:p>
        </w:tc>
        <w:tc>
          <w:tcPr>
            <w:tcW w:w="140" w:type="dxa"/>
            <w:vAlign w:val="bottom"/>
            <w:tcBorders>
              <w:top w:val="single" w:sz="8" w:color="auto"/>
            </w:tcBorders>
          </w:tcPr>
          <w:p>
            <w:pPr>
              <w:ind w:left="20"/>
              <w:spacing w:after="0" w:line="146"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3,441.7</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(155.6</w:t>
            </w:r>
          </w:p>
        </w:tc>
        <w:tc>
          <w:tcPr>
            <w:tcW w:w="220" w:type="dxa"/>
            <w:vAlign w:val="bottom"/>
          </w:tcPr>
          <w:p>
            <w:pPr>
              <w:jc w:val="right"/>
              <w:ind w:right="97"/>
              <w:spacing w:after="0" w:line="141"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2,637.2</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5,923.9</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2.8</w:t>
            </w:r>
          </w:p>
        </w:tc>
        <w:tc>
          <w:tcPr>
            <w:tcW w:w="300" w:type="dxa"/>
            <w:vAlign w:val="bottom"/>
          </w:tcPr>
          <w:p>
            <w:pPr>
              <w:spacing w:after="0"/>
              <w:rPr>
                <w:sz w:val="12"/>
                <w:szCs w:val="12"/>
                <w:color w:val="auto"/>
              </w:rPr>
            </w:pPr>
          </w:p>
        </w:tc>
        <w:tc>
          <w:tcPr>
            <w:tcW w:w="240" w:type="dxa"/>
            <w:vAlign w:val="bottom"/>
            <w:tcBorders>
              <w:top w:val="single" w:sz="8" w:color="auto"/>
            </w:tcBorders>
          </w:tcPr>
          <w:p>
            <w:pPr>
              <w:jc w:val="right"/>
              <w:ind w:right="97"/>
              <w:spacing w:after="0" w:line="14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color w:val="auto"/>
              </w:rPr>
              <w:t>5,926.7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Consolidated net earnings</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225.8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225.8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40" w:type="dxa"/>
            <w:vAlign w:val="bottom"/>
          </w:tcPr>
          <w:p>
            <w:pPr>
              <w:ind w:left="200"/>
              <w:spacing w:after="0" w:line="108" w:lineRule="exact"/>
              <w:rPr>
                <w:sz w:val="20"/>
                <w:szCs w:val="20"/>
                <w:color w:val="auto"/>
              </w:rPr>
            </w:pPr>
            <w:r>
              <w:rPr>
                <w:rFonts w:ascii="Arial" w:cs="Arial" w:eastAsia="Arial" w:hAnsi="Arial"/>
                <w:sz w:val="12"/>
                <w:szCs w:val="12"/>
                <w:color w:val="auto"/>
              </w:rPr>
              <w:t>Other comprehensive earnings,</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300"/>
              <w:spacing w:after="0"/>
              <w:rPr>
                <w:sz w:val="20"/>
                <w:szCs w:val="20"/>
                <w:color w:val="auto"/>
              </w:rPr>
            </w:pPr>
            <w:r>
              <w:rPr>
                <w:rFonts w:ascii="Arial" w:cs="Arial" w:eastAsia="Arial" w:hAnsi="Arial"/>
                <w:sz w:val="13"/>
                <w:szCs w:val="13"/>
                <w:color w:val="auto"/>
              </w:rPr>
              <w:t>net of tax</w:t>
            </w: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9"/>
              </w:rPr>
              <w:t>Dividends declared ($0.57 per share)</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(35.8 )</w:t>
            </w: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(35.8 )</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(35.8 )</w:t>
            </w:r>
          </w:p>
        </w:tc>
        <w:tc>
          <w:tcPr>
            <w:tcW w:w="0" w:type="dxa"/>
            <w:vAlign w:val="bottom"/>
          </w:tcPr>
          <w:p>
            <w:pPr>
              <w:spacing w:after="0"/>
              <w:rPr>
                <w:sz w:val="1"/>
                <w:szCs w:val="1"/>
                <w:color w:val="auto"/>
              </w:rPr>
            </w:pPr>
          </w:p>
        </w:tc>
      </w:tr>
      <w:tr>
        <w:trPr>
          <w:trHeight w:val="108"/>
        </w:trPr>
        <w:tc>
          <w:tcPr>
            <w:tcW w:w="2340" w:type="dxa"/>
            <w:vAlign w:val="bottom"/>
          </w:tcPr>
          <w:p>
            <w:pPr>
              <w:ind w:left="200"/>
              <w:spacing w:after="0" w:line="108" w:lineRule="exact"/>
              <w:rPr>
                <w:sz w:val="20"/>
                <w:szCs w:val="20"/>
                <w:color w:val="auto"/>
              </w:rPr>
            </w:pPr>
            <w:r>
              <w:rPr>
                <w:rFonts w:ascii="Arial" w:cs="Arial" w:eastAsia="Arial" w:hAnsi="Arial"/>
                <w:sz w:val="12"/>
                <w:szCs w:val="12"/>
                <w:color w:val="auto"/>
              </w:rPr>
              <w:t>Issuances of common stock for stock</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300"/>
              <w:spacing w:after="0"/>
              <w:rPr>
                <w:sz w:val="20"/>
                <w:szCs w:val="20"/>
                <w:color w:val="auto"/>
              </w:rPr>
            </w:pPr>
            <w:r>
              <w:rPr>
                <w:rFonts w:ascii="Arial" w:cs="Arial" w:eastAsia="Arial" w:hAnsi="Arial"/>
                <w:sz w:val="13"/>
                <w:szCs w:val="13"/>
                <w:color w:val="auto"/>
              </w:rPr>
              <w:t>award plans</w:t>
            </w: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40" w:type="dxa"/>
            <w:vAlign w:val="bottom"/>
            <w:shd w:val="clear" w:color="auto" w:fill="CFF0FC"/>
          </w:tcPr>
          <w:p>
            <w:pPr>
              <w:ind w:left="200"/>
              <w:spacing w:after="0" w:line="110" w:lineRule="exact"/>
              <w:rPr>
                <w:sz w:val="20"/>
                <w:szCs w:val="20"/>
                <w:color w:val="auto"/>
              </w:rPr>
            </w:pPr>
            <w:r>
              <w:rPr>
                <w:rFonts w:ascii="Arial" w:cs="Arial" w:eastAsia="Arial" w:hAnsi="Arial"/>
                <w:sz w:val="12"/>
                <w:szCs w:val="12"/>
                <w:color w:val="auto"/>
              </w:rPr>
              <w:t>Shares withheld for employees'</w:t>
            </w:r>
          </w:p>
        </w:tc>
        <w:tc>
          <w:tcPr>
            <w:tcW w:w="1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(0.6 )</w:t>
            </w:r>
          </w:p>
        </w:tc>
        <w:tc>
          <w:tcPr>
            <w:tcW w:w="12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(0.6 )</w:t>
            </w:r>
          </w:p>
        </w:tc>
        <w:tc>
          <w:tcPr>
            <w:tcW w:w="1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62"/>
        </w:trPr>
        <w:tc>
          <w:tcPr>
            <w:tcW w:w="23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income tax obligations</w:t>
            </w: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0"/>
              <w:spacing w:after="0" w:line="148" w:lineRule="exact"/>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4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Distributions to owners of</w:t>
            </w:r>
          </w:p>
        </w:tc>
        <w:tc>
          <w:tcPr>
            <w:tcW w:w="1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(0.5 )</w:t>
            </w:r>
          </w:p>
        </w:tc>
        <w:tc>
          <w:tcPr>
            <w:tcW w:w="24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300"/>
              <w:spacing w:after="0" w:line="148" w:lineRule="exact"/>
              <w:rPr>
                <w:sz w:val="20"/>
                <w:szCs w:val="20"/>
                <w:color w:val="auto"/>
              </w:rPr>
            </w:pPr>
            <w:r>
              <w:rPr>
                <w:rFonts w:ascii="Arial" w:cs="Arial" w:eastAsia="Arial" w:hAnsi="Arial"/>
                <w:sz w:val="13"/>
                <w:szCs w:val="13"/>
                <w:color w:val="auto"/>
              </w:rPr>
              <w:t>noncontrolling interest</w:t>
            </w:r>
          </w:p>
        </w:tc>
        <w:tc>
          <w:tcPr>
            <w:tcW w:w="1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40" w:type="dxa"/>
            <w:vAlign w:val="bottom"/>
          </w:tcPr>
          <w:p>
            <w:pPr>
              <w:ind w:left="20"/>
              <w:spacing w:after="0"/>
              <w:rPr>
                <w:sz w:val="20"/>
                <w:szCs w:val="20"/>
                <w:color w:val="auto"/>
              </w:rPr>
            </w:pPr>
            <w:r>
              <w:rPr>
                <w:rFonts w:ascii="Arial" w:cs="Arial" w:eastAsia="Arial" w:hAnsi="Arial"/>
                <w:sz w:val="13"/>
                <w:szCs w:val="13"/>
                <w:color w:val="auto"/>
              </w:rPr>
              <w:t>Balance at June 30, 2021</w:t>
            </w:r>
          </w:p>
        </w:tc>
        <w:tc>
          <w:tcPr>
            <w:tcW w:w="100" w:type="dxa"/>
            <w:vAlign w:val="bottom"/>
          </w:tcPr>
          <w:p>
            <w:pPr>
              <w:spacing w:after="0"/>
              <w:rPr>
                <w:sz w:val="13"/>
                <w:szCs w:val="13"/>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62.4</w:t>
            </w:r>
          </w:p>
        </w:tc>
        <w:tc>
          <w:tcPr>
            <w:tcW w:w="220" w:type="dxa"/>
            <w:vAlign w:val="bottom"/>
          </w:tcPr>
          <w:p>
            <w:pPr>
              <w:spacing w:after="0"/>
              <w:rPr>
                <w:sz w:val="13"/>
                <w:szCs w:val="13"/>
                <w:color w:val="auto"/>
              </w:rPr>
            </w:pPr>
          </w:p>
        </w:tc>
        <w:tc>
          <w:tcPr>
            <w:tcW w:w="420" w:type="dxa"/>
            <w:vAlign w:val="bottom"/>
          </w:tcPr>
          <w:p>
            <w:pPr>
              <w:jc w:val="right"/>
              <w:ind w:right="277"/>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0.6</w:t>
            </w:r>
          </w:p>
        </w:tc>
        <w:tc>
          <w:tcPr>
            <w:tcW w:w="220" w:type="dxa"/>
            <w:vAlign w:val="bottom"/>
          </w:tcPr>
          <w:p>
            <w:pPr>
              <w:spacing w:after="0"/>
              <w:rPr>
                <w:sz w:val="13"/>
                <w:szCs w:val="13"/>
                <w:color w:val="auto"/>
              </w:rPr>
            </w:pPr>
          </w:p>
        </w:tc>
        <w:tc>
          <w:tcPr>
            <w:tcW w:w="14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3,451.1</w:t>
            </w:r>
          </w:p>
        </w:tc>
        <w:tc>
          <w:tcPr>
            <w:tcW w:w="220" w:type="dxa"/>
            <w:vAlign w:val="bottom"/>
          </w:tcPr>
          <w:p>
            <w:pPr>
              <w:spacing w:after="0"/>
              <w:rPr>
                <w:sz w:val="13"/>
                <w:szCs w:val="13"/>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(153.0 )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2,827.2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6,125.9</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2.3</w:t>
            </w:r>
          </w:p>
        </w:tc>
        <w:tc>
          <w:tcPr>
            <w:tcW w:w="300" w:type="dxa"/>
            <w:vAlign w:val="bottom"/>
          </w:tcPr>
          <w:p>
            <w:pPr>
              <w:spacing w:after="0"/>
              <w:rPr>
                <w:sz w:val="13"/>
                <w:szCs w:val="13"/>
                <w:color w:val="auto"/>
              </w:rPr>
            </w:pPr>
          </w:p>
        </w:tc>
        <w:tc>
          <w:tcPr>
            <w:tcW w:w="240" w:type="dxa"/>
            <w:vAlign w:val="bottom"/>
          </w:tcPr>
          <w:p>
            <w:pPr>
              <w:jc w:val="right"/>
              <w:ind w:right="97"/>
              <w:spacing w:after="0" w:line="148"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6,128.2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spacing w:after="0"/>
              <w:rPr>
                <w:sz w:val="10"/>
                <w:szCs w:val="10"/>
                <w:color w:val="auto"/>
              </w:rPr>
            </w:pPr>
          </w:p>
        </w:tc>
        <w:tc>
          <w:tcPr>
            <w:tcW w:w="640" w:type="dxa"/>
            <w:vAlign w:val="bottom"/>
            <w:gridSpan w:val="2"/>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360" w:type="dxa"/>
            <w:vAlign w:val="bottom"/>
            <w:gridSpan w:val="2"/>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234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62.3</w:t>
            </w:r>
          </w:p>
        </w:tc>
        <w:tc>
          <w:tcPr>
            <w:tcW w:w="640" w:type="dxa"/>
            <w:vAlign w:val="bottom"/>
            <w:gridSpan w:val="2"/>
          </w:tcPr>
          <w:p>
            <w:pPr>
              <w:jc w:val="right"/>
              <w:ind w:right="27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0.6</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3,440.8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97"/>
              <w:spacing w:after="0"/>
              <w:rPr>
                <w:sz w:val="20"/>
                <w:szCs w:val="20"/>
                <w:color w:val="auto"/>
              </w:rPr>
            </w:pPr>
            <w:r>
              <w:rPr>
                <w:rFonts w:ascii="Arial" w:cs="Arial" w:eastAsia="Arial" w:hAnsi="Arial"/>
                <w:sz w:val="13"/>
                <w:szCs w:val="13"/>
                <w:color w:val="auto"/>
              </w:rPr>
              <w:t>(158.4 )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2,607.7</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5,890.7</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w:t>
            </w:r>
          </w:p>
        </w:tc>
        <w:tc>
          <w:tcPr>
            <w:tcW w:w="3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5,893.3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Consolidated net earnings</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40" w:type="dxa"/>
            <w:vAlign w:val="bottom"/>
          </w:tcPr>
          <w:p>
            <w:pPr>
              <w:ind w:left="200"/>
              <w:spacing w:after="0" w:line="108" w:lineRule="exact"/>
              <w:rPr>
                <w:sz w:val="20"/>
                <w:szCs w:val="20"/>
                <w:color w:val="auto"/>
              </w:rPr>
            </w:pPr>
            <w:r>
              <w:rPr>
                <w:rFonts w:ascii="Arial" w:cs="Arial" w:eastAsia="Arial" w:hAnsi="Arial"/>
                <w:sz w:val="12"/>
                <w:szCs w:val="12"/>
                <w:color w:val="auto"/>
              </w:rPr>
              <w:t>Other comprehensive earnings,</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300"/>
              <w:spacing w:after="0"/>
              <w:rPr>
                <w:sz w:val="20"/>
                <w:szCs w:val="20"/>
                <w:color w:val="auto"/>
              </w:rPr>
            </w:pPr>
            <w:r>
              <w:rPr>
                <w:rFonts w:ascii="Arial" w:cs="Arial" w:eastAsia="Arial" w:hAnsi="Arial"/>
                <w:sz w:val="13"/>
                <w:szCs w:val="13"/>
                <w:color w:val="auto"/>
              </w:rPr>
              <w:t>net of tax</w:t>
            </w: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4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9"/>
              </w:rPr>
              <w:t>Dividends declared ($1.14 per share)</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(71.6 )</w:t>
            </w: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(71.6 )</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(71.6 )</w:t>
            </w:r>
          </w:p>
        </w:tc>
        <w:tc>
          <w:tcPr>
            <w:tcW w:w="0" w:type="dxa"/>
            <w:vAlign w:val="bottom"/>
          </w:tcPr>
          <w:p>
            <w:pPr>
              <w:spacing w:after="0"/>
              <w:rPr>
                <w:sz w:val="1"/>
                <w:szCs w:val="1"/>
                <w:color w:val="auto"/>
              </w:rPr>
            </w:pPr>
          </w:p>
        </w:tc>
      </w:tr>
      <w:tr>
        <w:trPr>
          <w:trHeight w:val="108"/>
        </w:trPr>
        <w:tc>
          <w:tcPr>
            <w:tcW w:w="2340" w:type="dxa"/>
            <w:vAlign w:val="bottom"/>
          </w:tcPr>
          <w:p>
            <w:pPr>
              <w:ind w:left="200"/>
              <w:spacing w:after="0" w:line="108" w:lineRule="exact"/>
              <w:rPr>
                <w:sz w:val="20"/>
                <w:szCs w:val="20"/>
                <w:color w:val="auto"/>
              </w:rPr>
            </w:pPr>
            <w:r>
              <w:rPr>
                <w:rFonts w:ascii="Arial" w:cs="Arial" w:eastAsia="Arial" w:hAnsi="Arial"/>
                <w:sz w:val="12"/>
                <w:szCs w:val="12"/>
                <w:color w:val="auto"/>
              </w:rPr>
              <w:t>Issuances of common stock for stock</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300"/>
              <w:spacing w:after="0"/>
              <w:rPr>
                <w:sz w:val="20"/>
                <w:szCs w:val="20"/>
                <w:color w:val="auto"/>
              </w:rPr>
            </w:pPr>
            <w:r>
              <w:rPr>
                <w:rFonts w:ascii="Arial" w:cs="Arial" w:eastAsia="Arial" w:hAnsi="Arial"/>
                <w:sz w:val="13"/>
                <w:szCs w:val="13"/>
                <w:color w:val="auto"/>
              </w:rPr>
              <w:t>award plans</w:t>
            </w: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40" w:type="dxa"/>
            <w:vAlign w:val="bottom"/>
            <w:shd w:val="clear" w:color="auto" w:fill="CFF0FC"/>
          </w:tcPr>
          <w:p>
            <w:pPr>
              <w:ind w:left="200"/>
              <w:spacing w:after="0" w:line="110" w:lineRule="exact"/>
              <w:rPr>
                <w:sz w:val="20"/>
                <w:szCs w:val="20"/>
                <w:color w:val="auto"/>
              </w:rPr>
            </w:pPr>
            <w:r>
              <w:rPr>
                <w:rFonts w:ascii="Arial" w:cs="Arial" w:eastAsia="Arial" w:hAnsi="Arial"/>
                <w:sz w:val="12"/>
                <w:szCs w:val="12"/>
                <w:color w:val="auto"/>
              </w:rPr>
              <w:t>Shares withheld for employees'</w:t>
            </w:r>
          </w:p>
        </w:tc>
        <w:tc>
          <w:tcPr>
            <w:tcW w:w="1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(16.1 )</w:t>
            </w:r>
          </w:p>
        </w:tc>
        <w:tc>
          <w:tcPr>
            <w:tcW w:w="12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(16.1 )</w:t>
            </w:r>
          </w:p>
        </w:tc>
        <w:tc>
          <w:tcPr>
            <w:tcW w:w="1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(16.1 )</w:t>
            </w:r>
          </w:p>
        </w:tc>
        <w:tc>
          <w:tcPr>
            <w:tcW w:w="0" w:type="dxa"/>
            <w:vAlign w:val="bottom"/>
          </w:tcPr>
          <w:p>
            <w:pPr>
              <w:spacing w:after="0"/>
              <w:rPr>
                <w:sz w:val="1"/>
                <w:szCs w:val="1"/>
                <w:color w:val="auto"/>
              </w:rPr>
            </w:pPr>
          </w:p>
        </w:tc>
      </w:tr>
      <w:tr>
        <w:trPr>
          <w:trHeight w:val="162"/>
        </w:trPr>
        <w:tc>
          <w:tcPr>
            <w:tcW w:w="23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 obligations</w:t>
            </w: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0"/>
              <w:spacing w:after="0" w:line="148" w:lineRule="exact"/>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57"/>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4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Distributions to owners of</w:t>
            </w:r>
          </w:p>
        </w:tc>
        <w:tc>
          <w:tcPr>
            <w:tcW w:w="1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3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(0.5 )</w:t>
            </w:r>
          </w:p>
        </w:tc>
        <w:tc>
          <w:tcPr>
            <w:tcW w:w="24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2"/>
        </w:trPr>
        <w:tc>
          <w:tcPr>
            <w:tcW w:w="23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noncontrolling interest</w:t>
            </w: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tcPr>
          <w:p>
            <w:pPr>
              <w:ind w:left="20"/>
              <w:spacing w:after="0"/>
              <w:rPr>
                <w:sz w:val="20"/>
                <w:szCs w:val="20"/>
                <w:color w:val="auto"/>
              </w:rPr>
            </w:pPr>
            <w:r>
              <w:rPr>
                <w:rFonts w:ascii="Arial" w:cs="Arial" w:eastAsia="Arial" w:hAnsi="Arial"/>
                <w:sz w:val="13"/>
                <w:szCs w:val="13"/>
                <w:color w:val="auto"/>
              </w:rPr>
              <w:t>Balance at June 30, 2021</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62.4</w:t>
            </w:r>
          </w:p>
        </w:tc>
        <w:tc>
          <w:tcPr>
            <w:tcW w:w="2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0.6</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3,451.1</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(153.0</w:t>
            </w:r>
          </w:p>
        </w:tc>
        <w:tc>
          <w:tcPr>
            <w:tcW w:w="220" w:type="dxa"/>
            <w:vAlign w:val="bottom"/>
          </w:tcPr>
          <w:p>
            <w:pPr>
              <w:jc w:val="right"/>
              <w:ind w:right="97"/>
              <w:spacing w:after="0" w:line="138"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2,827.2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6,125.9</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2.3</w:t>
            </w:r>
          </w:p>
        </w:tc>
        <w:tc>
          <w:tcPr>
            <w:tcW w:w="3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7"/>
              <w:spacing w:after="0" w:line="14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6,128.2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-1638300</wp:posOffset>
            </wp:positionV>
            <wp:extent cx="768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-1638300</wp:posOffset>
            </wp:positionV>
            <wp:extent cx="768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-1638300</wp:posOffset>
            </wp:positionV>
            <wp:extent cx="768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-1638300</wp:posOffset>
            </wp:positionV>
            <wp:extent cx="768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-1638300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-1638300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-1638300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-1638300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6" w:lineRule="auto"/>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182" w:lineRule="exact"/>
        <w:rPr>
          <w:sz w:val="20"/>
          <w:szCs w:val="20"/>
          <w:color w:val="auto"/>
        </w:rPr>
      </w:pPr>
    </w:p>
    <w:p>
      <w:pPr>
        <w:ind w:left="380" w:right="8240" w:hanging="372"/>
        <w:spacing w:after="0" w:line="340" w:lineRule="auto"/>
        <w:tabs>
          <w:tab w:leader="none" w:pos="3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8"/>
          <w:szCs w:val="18"/>
          <w:color w:val="auto"/>
        </w:rPr>
        <w:t>Martin Marietta Materials, Inc. (the Company or Martin Marietta) is a natural resource-based building materials company. As of June 30, 2022, the Company supplies aggregates (crushed stone, sand and gravel) through its network of approximately 350 quarries, mines and distribution yards in 28 states, Canada and The Bahamas. Martin Marietta also provides cement and downstream products and services, namely, ready mixed concrete, asphalt and paving, in vertically-integrated structured markets where the Company has a leading aggregates position. In addition, the Company has one cement plant, cement distribution terminals and ready mixed concrete operations in California that are classified as assets held for sale and discontinued operations as of and for the six months ended June 30, 2022.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60"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6"/>
              </w:rPr>
              <w:t>Reportable Segments</w:t>
            </w:r>
          </w:p>
        </w:tc>
        <w:tc>
          <w:tcPr>
            <w:tcW w:w="180" w:type="dxa"/>
            <w:vAlign w:val="bottom"/>
            <w:tcBorders>
              <w:top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8"/>
              </w:rPr>
              <w:t>East Group</w:t>
            </w:r>
          </w:p>
        </w:tc>
        <w:tc>
          <w:tcPr>
            <w:tcW w:w="180" w:type="dxa"/>
            <w:vAlign w:val="bottom"/>
            <w:tcBorders>
              <w:top w:val="single" w:sz="8" w:color="auto"/>
            </w:tcBorders>
          </w:tcPr>
          <w:p>
            <w:pPr>
              <w:spacing w:after="0"/>
              <w:rPr>
                <w:sz w:val="21"/>
                <w:szCs w:val="21"/>
                <w:color w:val="auto"/>
              </w:rPr>
            </w:pPr>
          </w:p>
        </w:tc>
        <w:tc>
          <w:tcPr>
            <w:tcW w:w="3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165"/>
        </w:trPr>
        <w:tc>
          <w:tcPr>
            <w:tcW w:w="3160" w:type="dxa"/>
            <w:vAlign w:val="bottom"/>
          </w:tcPr>
          <w:p>
            <w:pPr>
              <w:jc w:val="center"/>
              <w:spacing w:after="0" w:line="165" w:lineRule="exact"/>
              <w:rPr>
                <w:sz w:val="20"/>
                <w:szCs w:val="20"/>
                <w:color w:val="auto"/>
              </w:rPr>
            </w:pPr>
            <w:r>
              <w:rPr>
                <w:rFonts w:ascii="Arial" w:cs="Arial" w:eastAsia="Arial" w:hAnsi="Arial"/>
                <w:sz w:val="19"/>
                <w:szCs w:val="19"/>
                <w:color w:val="auto"/>
                <w:w w:val="95"/>
              </w:rPr>
              <w:t>Operating Locations</w:t>
            </w:r>
          </w:p>
        </w:tc>
        <w:tc>
          <w:tcPr>
            <w:tcW w:w="180" w:type="dxa"/>
            <w:vAlign w:val="bottom"/>
          </w:tcPr>
          <w:p>
            <w:pPr>
              <w:spacing w:after="0"/>
              <w:rPr>
                <w:sz w:val="14"/>
                <w:szCs w:val="14"/>
                <w:color w:val="auto"/>
              </w:rPr>
            </w:pPr>
          </w:p>
        </w:tc>
        <w:tc>
          <w:tcPr>
            <w:tcW w:w="3740" w:type="dxa"/>
            <w:vAlign w:val="bottom"/>
          </w:tcPr>
          <w:p>
            <w:pPr>
              <w:jc w:val="center"/>
              <w:spacing w:after="0" w:line="165" w:lineRule="exact"/>
              <w:rPr>
                <w:sz w:val="20"/>
                <w:szCs w:val="20"/>
                <w:color w:val="auto"/>
              </w:rPr>
            </w:pPr>
            <w:r>
              <w:rPr>
                <w:rFonts w:ascii="Arial" w:cs="Arial" w:eastAsia="Arial" w:hAnsi="Arial"/>
                <w:sz w:val="19"/>
                <w:szCs w:val="19"/>
                <w:color w:val="auto"/>
                <w:w w:val="95"/>
              </w:rPr>
              <w:t>Alabama, Florida, Georgia, Indiana,</w:t>
            </w:r>
          </w:p>
        </w:tc>
        <w:tc>
          <w:tcPr>
            <w:tcW w:w="180" w:type="dxa"/>
            <w:vAlign w:val="bottom"/>
          </w:tcPr>
          <w:p>
            <w:pPr>
              <w:spacing w:after="0"/>
              <w:rPr>
                <w:sz w:val="14"/>
                <w:szCs w:val="14"/>
                <w:color w:val="auto"/>
              </w:rPr>
            </w:pPr>
          </w:p>
        </w:tc>
        <w:tc>
          <w:tcPr>
            <w:tcW w:w="3980" w:type="dxa"/>
            <w:vAlign w:val="bottom"/>
          </w:tcPr>
          <w:p>
            <w:pPr>
              <w:jc w:val="center"/>
              <w:spacing w:after="0" w:line="165" w:lineRule="exact"/>
              <w:rPr>
                <w:sz w:val="20"/>
                <w:szCs w:val="20"/>
                <w:color w:val="auto"/>
              </w:rPr>
            </w:pPr>
            <w:r>
              <w:rPr>
                <w:rFonts w:ascii="Arial" w:cs="Arial" w:eastAsia="Arial" w:hAnsi="Arial"/>
                <w:sz w:val="19"/>
                <w:szCs w:val="19"/>
                <w:color w:val="auto"/>
                <w:w w:val="95"/>
              </w:rPr>
              <w:t>Arizona, Arkansas, California, Colorado,</w:t>
            </w: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ind w:left="440"/>
              <w:spacing w:after="0" w:line="202" w:lineRule="exact"/>
              <w:rPr>
                <w:sz w:val="20"/>
                <w:szCs w:val="20"/>
                <w:color w:val="auto"/>
              </w:rPr>
            </w:pPr>
            <w:r>
              <w:rPr>
                <w:rFonts w:ascii="Arial" w:cs="Arial" w:eastAsia="Arial" w:hAnsi="Arial"/>
                <w:sz w:val="20"/>
                <w:szCs w:val="20"/>
                <w:color w:val="auto"/>
              </w:rPr>
              <w:t>Iowa, Kansas, Kentucky, Maryland,</w:t>
            </w:r>
          </w:p>
        </w:tc>
        <w:tc>
          <w:tcPr>
            <w:tcW w:w="180" w:type="dxa"/>
            <w:vAlign w:val="bottom"/>
          </w:tcPr>
          <w:p>
            <w:pPr>
              <w:spacing w:after="0"/>
              <w:rPr>
                <w:sz w:val="17"/>
                <w:szCs w:val="17"/>
                <w:color w:val="auto"/>
              </w:rPr>
            </w:pPr>
          </w:p>
        </w:tc>
        <w:tc>
          <w:tcPr>
            <w:tcW w:w="3980" w:type="dxa"/>
            <w:vAlign w:val="bottom"/>
          </w:tcPr>
          <w:p>
            <w:pPr>
              <w:jc w:val="center"/>
              <w:spacing w:after="0" w:line="202" w:lineRule="exact"/>
              <w:rPr>
                <w:sz w:val="20"/>
                <w:szCs w:val="20"/>
                <w:color w:val="auto"/>
              </w:rPr>
            </w:pPr>
            <w:r>
              <w:rPr>
                <w:rFonts w:ascii="Arial" w:cs="Arial" w:eastAsia="Arial" w:hAnsi="Arial"/>
                <w:sz w:val="20"/>
                <w:szCs w:val="20"/>
                <w:color w:val="auto"/>
                <w:w w:val="88"/>
              </w:rPr>
              <w:t>Louisiana, Oklahoma, Texas, Utah,</w:t>
            </w: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ind w:left="980"/>
              <w:spacing w:after="0" w:line="202" w:lineRule="exact"/>
              <w:rPr>
                <w:sz w:val="20"/>
                <w:szCs w:val="20"/>
                <w:color w:val="auto"/>
              </w:rPr>
            </w:pPr>
            <w:r>
              <w:rPr>
                <w:rFonts w:ascii="Arial" w:cs="Arial" w:eastAsia="Arial" w:hAnsi="Arial"/>
                <w:sz w:val="20"/>
                <w:szCs w:val="20"/>
                <w:color w:val="auto"/>
              </w:rPr>
              <w:t>Minnesota, Missouri,</w:t>
            </w:r>
          </w:p>
        </w:tc>
        <w:tc>
          <w:tcPr>
            <w:tcW w:w="180" w:type="dxa"/>
            <w:vAlign w:val="bottom"/>
          </w:tcPr>
          <w:p>
            <w:pPr>
              <w:spacing w:after="0"/>
              <w:rPr>
                <w:sz w:val="17"/>
                <w:szCs w:val="17"/>
                <w:color w:val="auto"/>
              </w:rPr>
            </w:pPr>
          </w:p>
        </w:tc>
        <w:tc>
          <w:tcPr>
            <w:tcW w:w="3980" w:type="dxa"/>
            <w:vAlign w:val="bottom"/>
          </w:tcPr>
          <w:p>
            <w:pPr>
              <w:ind w:left="880"/>
              <w:spacing w:after="0" w:line="202" w:lineRule="exact"/>
              <w:rPr>
                <w:sz w:val="20"/>
                <w:szCs w:val="20"/>
                <w:color w:val="auto"/>
              </w:rPr>
            </w:pPr>
            <w:r>
              <w:rPr>
                <w:rFonts w:ascii="Arial" w:cs="Arial" w:eastAsia="Arial" w:hAnsi="Arial"/>
                <w:sz w:val="20"/>
                <w:szCs w:val="20"/>
                <w:color w:val="auto"/>
              </w:rPr>
              <w:t>Washington and Wyoming</w:t>
            </w: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jc w:val="center"/>
              <w:spacing w:after="0" w:line="202" w:lineRule="exact"/>
              <w:rPr>
                <w:sz w:val="20"/>
                <w:szCs w:val="20"/>
                <w:color w:val="auto"/>
              </w:rPr>
            </w:pPr>
            <w:r>
              <w:rPr>
                <w:rFonts w:ascii="Arial" w:cs="Arial" w:eastAsia="Arial" w:hAnsi="Arial"/>
                <w:sz w:val="20"/>
                <w:szCs w:val="20"/>
                <w:color w:val="auto"/>
                <w:w w:val="90"/>
              </w:rPr>
              <w:t>Nebraska, North Carolina, Ohio,</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jc w:val="center"/>
              <w:spacing w:after="0" w:line="202" w:lineRule="exact"/>
              <w:rPr>
                <w:sz w:val="20"/>
                <w:szCs w:val="20"/>
                <w:color w:val="auto"/>
              </w:rPr>
            </w:pPr>
            <w:r>
              <w:rPr>
                <w:rFonts w:ascii="Arial" w:cs="Arial" w:eastAsia="Arial" w:hAnsi="Arial"/>
                <w:sz w:val="20"/>
                <w:szCs w:val="20"/>
                <w:color w:val="auto"/>
                <w:w w:val="88"/>
              </w:rPr>
              <w:t>Pennsylvania, South Carolina,</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jc w:val="center"/>
              <w:spacing w:after="0" w:line="202" w:lineRule="exact"/>
              <w:rPr>
                <w:sz w:val="20"/>
                <w:szCs w:val="20"/>
                <w:color w:val="auto"/>
              </w:rPr>
            </w:pPr>
            <w:r>
              <w:rPr>
                <w:rFonts w:ascii="Arial" w:cs="Arial" w:eastAsia="Arial" w:hAnsi="Arial"/>
                <w:sz w:val="20"/>
                <w:szCs w:val="20"/>
                <w:color w:val="auto"/>
                <w:w w:val="89"/>
              </w:rPr>
              <w:t>Tennessee, Virginia, West Virginia,</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88"/>
              </w:rPr>
              <w:t>Nova Scotia and The Bahamas</w:t>
            </w:r>
          </w:p>
        </w:tc>
        <w:tc>
          <w:tcPr>
            <w:tcW w:w="18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383"/>
        </w:trPr>
        <w:tc>
          <w:tcPr>
            <w:tcW w:w="3160" w:type="dxa"/>
            <w:vAlign w:val="bottom"/>
          </w:tcPr>
          <w:p>
            <w:pPr>
              <w:jc w:val="center"/>
              <w:spacing w:after="0"/>
              <w:rPr>
                <w:sz w:val="20"/>
                <w:szCs w:val="20"/>
                <w:color w:val="auto"/>
              </w:rPr>
            </w:pPr>
            <w:r>
              <w:rPr>
                <w:rFonts w:ascii="Arial" w:cs="Arial" w:eastAsia="Arial" w:hAnsi="Arial"/>
                <w:sz w:val="20"/>
                <w:szCs w:val="20"/>
                <w:color w:val="auto"/>
                <w:w w:val="89"/>
              </w:rPr>
              <w:t>Product Lines</w:t>
            </w:r>
          </w:p>
        </w:tc>
        <w:tc>
          <w:tcPr>
            <w:tcW w:w="1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18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 Concrete,</w:t>
            </w: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20"/>
                <w:szCs w:val="20"/>
                <w:color w:val="auto"/>
                <w:w w:val="89"/>
              </w:rPr>
              <w:t>Asphalt and Paving</w:t>
            </w:r>
          </w:p>
        </w:tc>
      </w:tr>
    </w:tbl>
    <w:p>
      <w:pPr>
        <w:spacing w:after="0" w:line="168"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99" w:lineRule="exact"/>
        <w:rPr>
          <w:sz w:val="20"/>
          <w:szCs w:val="20"/>
          <w:color w:val="auto"/>
        </w:rPr>
      </w:pPr>
    </w:p>
    <w:p>
      <w:pPr>
        <w:jc w:val="both"/>
        <w:ind w:left="380"/>
        <w:spacing w:after="0" w:line="251"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2021.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 months ended June 30, 2022 are not necessarily indicative of the results expected for other interim periods or the full year. The consolidated balance sheet at December 31, 2021 has been derived from the audited consolidated financial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ind w:left="380"/>
        <w:spacing w:after="0" w:line="253" w:lineRule="auto"/>
        <w:rPr>
          <w:sz w:val="20"/>
          <w:szCs w:val="20"/>
          <w:color w:val="auto"/>
        </w:rPr>
      </w:pPr>
      <w:r>
        <w:rPr>
          <w:rFonts w:ascii="Arial" w:cs="Arial" w:eastAsia="Arial" w:hAnsi="Arial"/>
          <w:sz w:val="19"/>
          <w:szCs w:val="19"/>
          <w:color w:val="auto"/>
        </w:rPr>
        <w:t>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2021.</w:t>
      </w:r>
    </w:p>
    <w:p>
      <w:pPr>
        <w:spacing w:after="0" w:line="63"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 (Loss) and Accumulated Other Comprehensive Loss</w:t>
      </w:r>
    </w:p>
    <w:p>
      <w:pPr>
        <w:spacing w:after="0" w:line="99" w:lineRule="exact"/>
        <w:rPr>
          <w:sz w:val="20"/>
          <w:szCs w:val="20"/>
          <w:color w:val="auto"/>
        </w:rPr>
      </w:pPr>
    </w:p>
    <w:p>
      <w:pPr>
        <w:jc w:val="both"/>
        <w:ind w:left="380"/>
        <w:spacing w:after="0" w:line="236" w:lineRule="auto"/>
        <w:rPr>
          <w:sz w:val="20"/>
          <w:szCs w:val="20"/>
          <w:color w:val="auto"/>
        </w:rPr>
      </w:pPr>
      <w:r>
        <w:rPr>
          <w:rFonts w:ascii="Arial" w:cs="Arial" w:eastAsia="Arial" w:hAnsi="Arial"/>
          <w:sz w:val="20"/>
          <w:szCs w:val="20"/>
          <w:color w:val="auto"/>
        </w:rPr>
        <w:t>Consolidated comprehensive earnings (loss) and accumulated other comprehensive loss consist of consolidated net earnings; adjustments for the funded status of pension and postretirement benefit plans; and foreign currency translation adjustments; and are presented in the Company’s consolidated statements of earnings and comprehensive earnings.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Comprehensive earnings (loss) attributable to Martin Marietta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3"/>
          </w:tcPr>
          <w:p>
            <w:pPr>
              <w:jc w:val="right"/>
              <w:ind w:right="21"/>
              <w:spacing w:after="0"/>
              <w:rPr>
                <w:sz w:val="20"/>
                <w:szCs w:val="20"/>
                <w:color w:val="auto"/>
              </w:rPr>
            </w:pPr>
            <w:r>
              <w:rPr>
                <w:rFonts w:ascii="Arial" w:cs="Arial" w:eastAsia="Arial" w:hAnsi="Arial"/>
                <w:sz w:val="20"/>
                <w:szCs w:val="20"/>
                <w:color w:val="auto"/>
              </w:rPr>
              <w:t>Three Months Ended</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4"/>
          </w:tcPr>
          <w:p>
            <w:pPr>
              <w:jc w:val="right"/>
              <w:ind w:right="581"/>
              <w:spacing w:after="0"/>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20"/>
                <w:szCs w:val="20"/>
                <w:color w:val="auto"/>
              </w:rPr>
              <w:t>June 30,</w:t>
            </w:r>
          </w:p>
        </w:tc>
        <w:tc>
          <w:tcPr>
            <w:tcW w:w="4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1"/>
              <w:spacing w:after="0" w:line="223" w:lineRule="exact"/>
              <w:rPr>
                <w:sz w:val="20"/>
                <w:szCs w:val="20"/>
                <w:color w:val="auto"/>
              </w:rPr>
            </w:pPr>
            <w:r>
              <w:rPr>
                <w:rFonts w:ascii="Arial" w:cs="Arial" w:eastAsia="Arial" w:hAnsi="Arial"/>
                <w:sz w:val="20"/>
                <w:szCs w:val="20"/>
                <w:color w:val="auto"/>
              </w:rPr>
              <w:t>2022</w:t>
            </w:r>
          </w:p>
        </w:tc>
        <w:tc>
          <w:tcPr>
            <w:tcW w:w="116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2021</w:t>
            </w:r>
          </w:p>
        </w:tc>
        <w:tc>
          <w:tcPr>
            <w:tcW w:w="480" w:type="dxa"/>
            <w:vAlign w:val="bottom"/>
          </w:tcPr>
          <w:p>
            <w:pPr>
              <w:spacing w:after="0"/>
              <w:rPr>
                <w:sz w:val="19"/>
                <w:szCs w:val="19"/>
                <w:color w:val="auto"/>
              </w:rPr>
            </w:pPr>
          </w:p>
        </w:tc>
        <w:tc>
          <w:tcPr>
            <w:tcW w:w="24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80" w:type="dxa"/>
            <w:vAlign w:val="bottom"/>
          </w:tcPr>
          <w:p>
            <w:pPr>
              <w:spacing w:after="0"/>
              <w:rPr>
                <w:sz w:val="19"/>
                <w:szCs w:val="19"/>
                <w:color w:val="auto"/>
              </w:rPr>
            </w:pPr>
          </w:p>
        </w:tc>
        <w:tc>
          <w:tcPr>
            <w:tcW w:w="960" w:type="dxa"/>
            <w:vAlign w:val="bottom"/>
          </w:tcPr>
          <w:p>
            <w:pPr>
              <w:jc w:val="right"/>
              <w:ind w:right="321"/>
              <w:spacing w:after="0" w:line="223" w:lineRule="exact"/>
              <w:rPr>
                <w:sz w:val="20"/>
                <w:szCs w:val="20"/>
                <w:color w:val="auto"/>
              </w:rPr>
            </w:pPr>
            <w:r>
              <w:rPr>
                <w:rFonts w:ascii="Arial" w:cs="Arial" w:eastAsia="Arial" w:hAnsi="Arial"/>
                <w:sz w:val="20"/>
                <w:szCs w:val="20"/>
                <w:color w:val="auto"/>
              </w:rPr>
              <w:t>2022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9"/>
                <w:szCs w:val="19"/>
                <w:color w:val="auto"/>
              </w:rPr>
            </w:pPr>
          </w:p>
        </w:tc>
        <w:tc>
          <w:tcPr>
            <w:tcW w:w="124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Net earnings attributable to Martin Marietta</w:t>
            </w:r>
          </w:p>
        </w:tc>
        <w:tc>
          <w:tcPr>
            <w:tcW w:w="2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366.5</w:t>
            </w:r>
          </w:p>
        </w:tc>
        <w:tc>
          <w:tcPr>
            <w:tcW w:w="1160" w:type="dxa"/>
            <w:vAlign w:val="bottom"/>
            <w:gridSpan w:val="2"/>
            <w:shd w:val="clear" w:color="auto" w:fill="CFF0FC"/>
          </w:tcPr>
          <w:p>
            <w:pPr>
              <w:jc w:val="right"/>
              <w:ind w:right="681"/>
              <w:spacing w:after="0" w:line="229"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7"/>
              </w:rPr>
              <w:t>225.8</w:t>
            </w:r>
          </w:p>
        </w:tc>
        <w:tc>
          <w:tcPr>
            <w:tcW w:w="520" w:type="dxa"/>
            <w:vAlign w:val="bottom"/>
            <w:gridSpan w:val="2"/>
            <w:shd w:val="clear" w:color="auto" w:fill="CFF0FC"/>
          </w:tcPr>
          <w:p>
            <w:pPr>
              <w:ind w:left="260"/>
              <w:spacing w:after="0" w:line="229" w:lineRule="exact"/>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387.9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29" w:lineRule="exact"/>
              <w:rPr>
                <w:sz w:val="20"/>
                <w:szCs w:val="20"/>
                <w:color w:val="auto"/>
              </w:rPr>
            </w:pPr>
            <w:r>
              <w:rPr>
                <w:rFonts w:ascii="Arial" w:cs="Arial" w:eastAsia="Arial" w:hAnsi="Arial"/>
                <w:sz w:val="20"/>
                <w:szCs w:val="20"/>
                <w:color w:val="auto"/>
              </w:rPr>
              <w:t>Other comprehensive earnings (loss), net of tax</w:t>
            </w:r>
          </w:p>
        </w:tc>
        <w:tc>
          <w:tcPr>
            <w:tcW w:w="26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1.2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line="229" w:lineRule="exact"/>
              <w:rPr>
                <w:sz w:val="20"/>
                <w:szCs w:val="20"/>
                <w:color w:val="auto"/>
              </w:rPr>
            </w:pPr>
            <w:r>
              <w:rPr>
                <w:rFonts w:ascii="Arial" w:cs="Arial" w:eastAsia="Arial" w:hAnsi="Arial"/>
                <w:sz w:val="20"/>
                <w:szCs w:val="20"/>
                <w:color w:val="auto"/>
              </w:rPr>
              <w:t>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line="229" w:lineRule="exact"/>
              <w:rPr>
                <w:sz w:val="20"/>
                <w:szCs w:val="20"/>
                <w:color w:val="auto"/>
              </w:rPr>
            </w:pPr>
            <w:r>
              <w:rPr>
                <w:rFonts w:ascii="Arial" w:cs="Arial" w:eastAsia="Arial" w:hAnsi="Arial"/>
                <w:sz w:val="20"/>
                <w:szCs w:val="20"/>
                <w:color w:val="auto"/>
              </w:rPr>
              <w:t>(30.5 )</w:t>
            </w:r>
          </w:p>
        </w:tc>
        <w:tc>
          <w:tcPr>
            <w:tcW w:w="38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180" w:type="dxa"/>
            <w:vAlign w:val="bottom"/>
            <w:shd w:val="clear" w:color="auto" w:fill="CFF0FC"/>
          </w:tcPr>
          <w:p>
            <w:pPr>
              <w:ind w:left="20"/>
              <w:spacing w:after="0" w:line="179" w:lineRule="exact"/>
              <w:rPr>
                <w:sz w:val="20"/>
                <w:szCs w:val="20"/>
                <w:color w:val="auto"/>
              </w:rPr>
            </w:pPr>
            <w:r>
              <w:rPr>
                <w:rFonts w:ascii="Arial" w:cs="Arial" w:eastAsia="Arial" w:hAnsi="Arial"/>
                <w:sz w:val="20"/>
                <w:szCs w:val="20"/>
                <w:color w:val="auto"/>
              </w:rPr>
              <w:t>Comprehensive earnings attributable to</w:t>
            </w:r>
          </w:p>
        </w:tc>
        <w:tc>
          <w:tcPr>
            <w:tcW w:w="260" w:type="dxa"/>
            <w:vAlign w:val="bottom"/>
            <w:tcBorders>
              <w:top w:val="single" w:sz="8" w:color="auto"/>
            </w:tcBorders>
            <w:vMerge w:val="restart"/>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367.7</w:t>
            </w:r>
          </w:p>
        </w:tc>
        <w:tc>
          <w:tcPr>
            <w:tcW w:w="260" w:type="dxa"/>
            <w:vAlign w:val="bottom"/>
            <w:vMerge w:val="restart"/>
            <w:shd w:val="clear" w:color="auto" w:fill="CFF0FC"/>
          </w:tcPr>
          <w:p>
            <w:pPr>
              <w:spacing w:after="0"/>
              <w:rPr>
                <w:sz w:val="15"/>
                <w:szCs w:val="15"/>
                <w:color w:val="auto"/>
              </w:rPr>
            </w:pPr>
          </w:p>
        </w:tc>
        <w:tc>
          <w:tcPr>
            <w:tcW w:w="900" w:type="dxa"/>
            <w:vAlign w:val="bottom"/>
            <w:tcBorders>
              <w:top w:val="single" w:sz="8" w:color="auto"/>
            </w:tcBorders>
            <w:vMerge w:val="restart"/>
            <w:shd w:val="clear" w:color="auto" w:fill="CFF0FC"/>
          </w:tcPr>
          <w:p>
            <w:pPr>
              <w:jc w:val="right"/>
              <w:ind w:right="681"/>
              <w:spacing w:after="0"/>
              <w:rPr>
                <w:sz w:val="20"/>
                <w:szCs w:val="20"/>
                <w:color w:val="auto"/>
              </w:rPr>
            </w:pPr>
            <w:r>
              <w:rPr>
                <w:rFonts w:ascii="Arial" w:cs="Arial" w:eastAsia="Arial" w:hAnsi="Arial"/>
                <w:sz w:val="20"/>
                <w:szCs w:val="20"/>
                <w:color w:val="auto"/>
                <w:w w:val="89"/>
              </w:rPr>
              <w:t>$</w:t>
            </w:r>
          </w:p>
        </w:tc>
        <w:tc>
          <w:tcPr>
            <w:tcW w:w="4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w w:val="87"/>
              </w:rPr>
              <w:t>228.4</w:t>
            </w:r>
          </w:p>
        </w:tc>
        <w:tc>
          <w:tcPr>
            <w:tcW w:w="240" w:type="dxa"/>
            <w:vAlign w:val="bottom"/>
            <w:vMerge w:val="restart"/>
            <w:shd w:val="clear" w:color="auto" w:fill="CFF0FC"/>
          </w:tcPr>
          <w:p>
            <w:pPr>
              <w:spacing w:after="0"/>
              <w:rPr>
                <w:sz w:val="15"/>
                <w:szCs w:val="15"/>
                <w:color w:val="auto"/>
              </w:rPr>
            </w:pPr>
          </w:p>
        </w:tc>
        <w:tc>
          <w:tcPr>
            <w:tcW w:w="28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357.4</w:t>
            </w:r>
          </w:p>
        </w:tc>
        <w:tc>
          <w:tcPr>
            <w:tcW w:w="240" w:type="dxa"/>
            <w:vAlign w:val="bottom"/>
            <w:shd w:val="clear" w:color="auto" w:fill="CFF0FC"/>
          </w:tcPr>
          <w:p>
            <w:pPr>
              <w:spacing w:after="0"/>
              <w:rPr>
                <w:sz w:val="15"/>
                <w:szCs w:val="15"/>
                <w:color w:val="auto"/>
              </w:rPr>
            </w:pPr>
          </w:p>
        </w:tc>
        <w:tc>
          <w:tcPr>
            <w:tcW w:w="380" w:type="dxa"/>
            <w:vAlign w:val="bottom"/>
            <w:tcBorders>
              <w:top w:val="single" w:sz="8" w:color="auto"/>
            </w:tcBorders>
            <w:vMerge w:val="restart"/>
            <w:shd w:val="clear" w:color="auto" w:fill="CFF0FC"/>
          </w:tcPr>
          <w:p>
            <w:pPr>
              <w:jc w:val="right"/>
              <w:ind w:right="16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296.5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180" w:type="dxa"/>
            <w:vAlign w:val="bottom"/>
            <w:tcBorders>
              <w:bottom w:val="single" w:sz="8" w:color="CFF0FC"/>
            </w:tcBorders>
            <w:shd w:val="clear" w:color="auto" w:fill="CFF0FC"/>
          </w:tcPr>
          <w:p>
            <w:pPr>
              <w:ind w:left="160"/>
              <w:spacing w:after="0" w:line="206" w:lineRule="exact"/>
              <w:rPr>
                <w:sz w:val="20"/>
                <w:szCs w:val="20"/>
                <w:color w:val="auto"/>
              </w:rPr>
            </w:pPr>
            <w:r>
              <w:rPr>
                <w:rFonts w:ascii="Arial" w:cs="Arial" w:eastAsia="Arial" w:hAnsi="Arial"/>
                <w:sz w:val="20"/>
                <w:szCs w:val="20"/>
                <w:color w:val="auto"/>
              </w:rPr>
              <w:t>Martin Marietta</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4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auto"/>
            </w:tcBorders>
            <w:vMerge w:val="continue"/>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center"/>
              <w:ind w:right="146"/>
              <w:spacing w:after="0"/>
              <w:rPr>
                <w:sz w:val="20"/>
                <w:szCs w:val="20"/>
                <w:color w:val="auto"/>
              </w:rPr>
            </w:pPr>
            <w:r>
              <w:rPr>
                <w:rFonts w:ascii="Arial" w:cs="Arial" w:eastAsia="Arial" w:hAnsi="Arial"/>
                <w:sz w:val="19"/>
                <w:szCs w:val="19"/>
                <w:i w:val="1"/>
                <w:iCs w:val="1"/>
                <w:color w:val="auto"/>
                <w:w w:val="98"/>
              </w:rPr>
              <w:t>(Dollars in Millions)</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3"/>
          </w:tcPr>
          <w:p>
            <w:pPr>
              <w:jc w:val="center"/>
              <w:ind w:right="386"/>
              <w:spacing w:after="0" w:line="160" w:lineRule="exact"/>
              <w:rPr>
                <w:sz w:val="20"/>
                <w:szCs w:val="20"/>
                <w:color w:val="auto"/>
              </w:rPr>
            </w:pPr>
            <w:r>
              <w:rPr>
                <w:rFonts w:ascii="Arial" w:cs="Arial" w:eastAsia="Arial" w:hAnsi="Arial"/>
                <w:sz w:val="18"/>
                <w:szCs w:val="18"/>
                <w:color w:val="auto"/>
                <w:w w:val="91"/>
              </w:rPr>
              <w:t>Pension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center"/>
              <w:ind w:right="246"/>
              <w:spacing w:after="0" w:line="160" w:lineRule="exact"/>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tcPr>
          <w:p>
            <w:pPr>
              <w:jc w:val="center"/>
              <w:ind w:right="446"/>
              <w:spacing w:after="0" w:line="189" w:lineRule="exact"/>
              <w:rPr>
                <w:sz w:val="20"/>
                <w:szCs w:val="20"/>
                <w:color w:val="auto"/>
              </w:rPr>
            </w:pPr>
            <w:r>
              <w:rPr>
                <w:rFonts w:ascii="Arial" w:cs="Arial" w:eastAsia="Arial" w:hAnsi="Arial"/>
                <w:sz w:val="19"/>
                <w:szCs w:val="19"/>
                <w:color w:val="auto"/>
                <w:w w:val="89"/>
              </w:rPr>
              <w:t>Postretirement</w:t>
            </w:r>
          </w:p>
        </w:tc>
        <w:tc>
          <w:tcPr>
            <w:tcW w:w="40" w:type="dxa"/>
            <w:vAlign w:val="bottom"/>
          </w:tcPr>
          <w:p>
            <w:pPr>
              <w:spacing w:after="0"/>
              <w:rPr>
                <w:sz w:val="16"/>
                <w:szCs w:val="16"/>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9"/>
                <w:szCs w:val="19"/>
                <w:color w:val="auto"/>
                <w:w w:val="91"/>
              </w:rPr>
              <w:t>Foreign Currency</w:t>
            </w:r>
          </w:p>
        </w:tc>
        <w:tc>
          <w:tcPr>
            <w:tcW w:w="240" w:type="dxa"/>
            <w:vAlign w:val="bottom"/>
            <w:gridSpan w:val="2"/>
            <w:vMerge w:val="restart"/>
          </w:tcPr>
          <w:p>
            <w:pPr>
              <w:spacing w:after="0"/>
              <w:rPr>
                <w:sz w:val="16"/>
                <w:szCs w:val="16"/>
                <w:color w:val="auto"/>
              </w:rPr>
            </w:pPr>
          </w:p>
        </w:tc>
        <w:tc>
          <w:tcPr>
            <w:tcW w:w="1800" w:type="dxa"/>
            <w:vAlign w:val="bottom"/>
            <w:gridSpan w:val="4"/>
          </w:tcPr>
          <w:p>
            <w:pPr>
              <w:ind w:left="20"/>
              <w:spacing w:after="0" w:line="189" w:lineRule="exact"/>
              <w:rPr>
                <w:sz w:val="20"/>
                <w:szCs w:val="20"/>
                <w:color w:val="auto"/>
              </w:rPr>
            </w:pPr>
            <w:r>
              <w:rPr>
                <w:rFonts w:ascii="Arial" w:cs="Arial" w:eastAsia="Arial" w:hAnsi="Arial"/>
                <w:sz w:val="19"/>
                <w:szCs w:val="19"/>
                <w:color w:val="auto"/>
                <w:w w:val="94"/>
              </w:rPr>
              <w:t>Other Comprehensive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06"/>
              <w:spacing w:after="0"/>
              <w:rPr>
                <w:sz w:val="20"/>
                <w:szCs w:val="20"/>
                <w:color w:val="auto"/>
              </w:rPr>
            </w:pPr>
            <w:r>
              <w:rPr>
                <w:rFonts w:ascii="Arial" w:cs="Arial" w:eastAsia="Arial" w:hAnsi="Arial"/>
                <w:sz w:val="19"/>
                <w:szCs w:val="19"/>
                <w:color w:val="auto"/>
                <w:w w:val="89"/>
              </w:rPr>
              <w:t>Benefit Plans</w:t>
            </w:r>
          </w:p>
        </w:tc>
        <w:tc>
          <w:tcPr>
            <w:tcW w:w="28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46"/>
              <w:spacing w:after="0"/>
              <w:rPr>
                <w:sz w:val="20"/>
                <w:szCs w:val="20"/>
                <w:color w:val="auto"/>
              </w:rPr>
            </w:pPr>
            <w:r>
              <w:rPr>
                <w:rFonts w:ascii="Arial" w:cs="Arial" w:eastAsia="Arial" w:hAnsi="Arial"/>
                <w:sz w:val="19"/>
                <w:szCs w:val="19"/>
                <w:color w:val="auto"/>
                <w:w w:val="89"/>
              </w:rPr>
              <w:t>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00" w:type="dxa"/>
            <w:vAlign w:val="bottom"/>
            <w:vMerge w:val="restart"/>
          </w:tcPr>
          <w:p>
            <w:pPr>
              <w:ind w:left="20"/>
              <w:spacing w:after="0"/>
              <w:rPr>
                <w:sz w:val="20"/>
                <w:szCs w:val="20"/>
                <w:color w:val="auto"/>
              </w:rPr>
            </w:pPr>
            <w:r>
              <w:rPr>
                <w:rFonts w:ascii="Arial" w:cs="Arial" w:eastAsia="Arial" w:hAnsi="Arial"/>
                <w:sz w:val="19"/>
                <w:szCs w:val="19"/>
                <w:color w:val="auto"/>
              </w:rPr>
              <w:t>Balance at beginning of period</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jc w:val="center"/>
              <w:ind w:left="1066"/>
              <w:spacing w:after="0" w:line="209" w:lineRule="exact"/>
              <w:rPr>
                <w:sz w:val="20"/>
                <w:szCs w:val="20"/>
                <w:color w:val="auto"/>
              </w:rPr>
            </w:pPr>
            <w:r>
              <w:rPr>
                <w:rFonts w:ascii="Arial" w:cs="Arial" w:eastAsia="Arial" w:hAnsi="Arial"/>
                <w:sz w:val="19"/>
                <w:szCs w:val="19"/>
                <w:color w:val="auto"/>
                <w:w w:val="89"/>
              </w:rPr>
              <w:t>Three Months Ended June 30, 2022</w:t>
            </w:r>
          </w:p>
        </w:tc>
        <w:tc>
          <w:tcPr>
            <w:tcW w:w="1380" w:type="dxa"/>
            <w:vAlign w:val="bottom"/>
            <w:tcBorders>
              <w:bottom w:val="single" w:sz="8" w:color="auto"/>
            </w:tcBorders>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200" w:type="dxa"/>
            <w:vAlign w:val="bottom"/>
            <w:gridSpan w:val="2"/>
          </w:tcPr>
          <w:p>
            <w:pPr>
              <w:jc w:val="right"/>
              <w:ind w:right="6"/>
              <w:spacing w:after="0" w:line="209" w:lineRule="exact"/>
              <w:rPr>
                <w:sz w:val="20"/>
                <w:szCs w:val="20"/>
                <w:color w:val="auto"/>
              </w:rPr>
            </w:pPr>
            <w:r>
              <w:rPr>
                <w:rFonts w:ascii="Arial" w:cs="Arial" w:eastAsia="Arial" w:hAnsi="Arial"/>
                <w:sz w:val="19"/>
                <w:szCs w:val="19"/>
                <w:color w:val="auto"/>
                <w:w w:val="75"/>
              </w:rPr>
              <w:t>$</w:t>
            </w:r>
          </w:p>
        </w:tc>
        <w:tc>
          <w:tcPr>
            <w:tcW w:w="1720" w:type="dxa"/>
            <w:vAlign w:val="bottom"/>
            <w:gridSpan w:val="3"/>
          </w:tcPr>
          <w:p>
            <w:pPr>
              <w:jc w:val="right"/>
              <w:ind w:right="106"/>
              <w:spacing w:after="0" w:line="209" w:lineRule="exact"/>
              <w:rPr>
                <w:sz w:val="20"/>
                <w:szCs w:val="20"/>
                <w:color w:val="auto"/>
              </w:rPr>
            </w:pPr>
            <w:r>
              <w:rPr>
                <w:rFonts w:ascii="Arial" w:cs="Arial" w:eastAsia="Arial" w:hAnsi="Arial"/>
                <w:sz w:val="19"/>
                <w:szCs w:val="19"/>
                <w:color w:val="auto"/>
              </w:rPr>
              <w:t>(129.7 )</w:t>
            </w:r>
          </w:p>
        </w:tc>
        <w:tc>
          <w:tcPr>
            <w:tcW w:w="140" w:type="dxa"/>
            <w:vAlign w:val="bottom"/>
            <w:gridSpan w:val="2"/>
          </w:tcPr>
          <w:p>
            <w:pPr>
              <w:ind w:left="20"/>
              <w:spacing w:after="0" w:line="209" w:lineRule="exact"/>
              <w:rPr>
                <w:sz w:val="20"/>
                <w:szCs w:val="20"/>
                <w:color w:val="auto"/>
              </w:rPr>
            </w:pPr>
            <w:r>
              <w:rPr>
                <w:rFonts w:ascii="Arial" w:cs="Arial" w:eastAsia="Arial" w:hAnsi="Arial"/>
                <w:sz w:val="19"/>
                <w:szCs w:val="19"/>
                <w:color w:val="auto"/>
                <w:w w:val="94"/>
              </w:rPr>
              <w:t>$</w:t>
            </w:r>
          </w:p>
        </w:tc>
        <w:tc>
          <w:tcPr>
            <w:tcW w:w="1440" w:type="dxa"/>
            <w:vAlign w:val="bottom"/>
          </w:tcPr>
          <w:p>
            <w:pPr>
              <w:jc w:val="right"/>
              <w:spacing w:after="0" w:line="209" w:lineRule="exact"/>
              <w:rPr>
                <w:sz w:val="20"/>
                <w:szCs w:val="20"/>
                <w:color w:val="auto"/>
              </w:rPr>
            </w:pPr>
            <w:r>
              <w:rPr>
                <w:rFonts w:ascii="Arial" w:cs="Arial" w:eastAsia="Arial" w:hAnsi="Arial"/>
                <w:sz w:val="19"/>
                <w:szCs w:val="19"/>
                <w:color w:val="auto"/>
              </w:rPr>
              <w:t>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line="209" w:lineRule="exact"/>
              <w:rPr>
                <w:sz w:val="20"/>
                <w:szCs w:val="20"/>
                <w:color w:val="auto"/>
              </w:rPr>
            </w:pPr>
            <w:r>
              <w:rPr>
                <w:rFonts w:ascii="Arial" w:cs="Arial" w:eastAsia="Arial" w:hAnsi="Arial"/>
                <w:sz w:val="19"/>
                <w:szCs w:val="19"/>
                <w:color w:val="auto"/>
              </w:rPr>
              <w:t>$</w:t>
            </w:r>
          </w:p>
        </w:tc>
        <w:tc>
          <w:tcPr>
            <w:tcW w:w="1380" w:type="dxa"/>
            <w:vAlign w:val="bottom"/>
          </w:tcPr>
          <w:p>
            <w:pPr>
              <w:jc w:val="right"/>
              <w:spacing w:after="0" w:line="209" w:lineRule="exact"/>
              <w:rPr>
                <w:sz w:val="20"/>
                <w:szCs w:val="20"/>
                <w:color w:val="auto"/>
              </w:rPr>
            </w:pPr>
            <w:r>
              <w:rPr>
                <w:rFonts w:ascii="Arial" w:cs="Arial" w:eastAsia="Arial" w:hAnsi="Arial"/>
                <w:sz w:val="19"/>
                <w:szCs w:val="19"/>
                <w:color w:val="auto"/>
              </w:rPr>
              <w:t>(129.3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00" w:type="dxa"/>
            <w:vAlign w:val="bottom"/>
            <w:shd w:val="clear" w:color="auto" w:fill="CFF0FC"/>
          </w:tcPr>
          <w:p>
            <w:pPr>
              <w:ind w:left="20"/>
              <w:spacing w:after="0" w:line="166" w:lineRule="exact"/>
              <w:rPr>
                <w:sz w:val="20"/>
                <w:szCs w:val="20"/>
                <w:color w:val="auto"/>
              </w:rPr>
            </w:pPr>
            <w:r>
              <w:rPr>
                <w:rFonts w:ascii="Arial" w:cs="Arial" w:eastAsia="Arial" w:hAnsi="Arial"/>
                <w:sz w:val="19"/>
                <w:szCs w:val="19"/>
                <w:color w:val="auto"/>
              </w:rPr>
              <w:t>Other comprehensive earnings (loss) before reclassifications,</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80" w:type="dxa"/>
            <w:vAlign w:val="bottom"/>
            <w:gridSpan w:val="3"/>
            <w:vMerge w:val="restart"/>
            <w:shd w:val="clear" w:color="auto" w:fill="CFF0FC"/>
          </w:tcPr>
          <w:p>
            <w:pPr>
              <w:jc w:val="right"/>
              <w:ind w:right="86"/>
              <w:spacing w:after="0"/>
              <w:rPr>
                <w:sz w:val="20"/>
                <w:szCs w:val="20"/>
                <w:color w:val="auto"/>
              </w:rPr>
            </w:pPr>
            <w:r>
              <w:rPr>
                <w:rFonts w:ascii="Arial" w:cs="Arial" w:eastAsia="Arial" w:hAnsi="Arial"/>
                <w:sz w:val="19"/>
                <w:szCs w:val="19"/>
                <w:color w:val="auto"/>
              </w:rPr>
              <w:t>(0.9 )</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spacing w:after="0"/>
              <w:rPr>
                <w:sz w:val="20"/>
                <w:szCs w:val="20"/>
                <w:color w:val="auto"/>
              </w:rPr>
            </w:pPr>
            <w:r>
              <w:rPr>
                <w:rFonts w:ascii="Arial" w:cs="Arial" w:eastAsia="Arial" w:hAnsi="Arial"/>
                <w:sz w:val="19"/>
                <w:szCs w:val="19"/>
                <w:color w:val="auto"/>
              </w:rPr>
              <w:t>(0.5 )</w:t>
            </w:r>
          </w:p>
        </w:tc>
        <w:tc>
          <w:tcPr>
            <w:tcW w:w="0" w:type="dxa"/>
            <w:vAlign w:val="bottom"/>
          </w:tcPr>
          <w:p>
            <w:pPr>
              <w:spacing w:after="0"/>
              <w:rPr>
                <w:sz w:val="1"/>
                <w:szCs w:val="1"/>
                <w:color w:val="auto"/>
              </w:rPr>
            </w:pPr>
          </w:p>
        </w:tc>
      </w:tr>
      <w:tr>
        <w:trPr>
          <w:trHeight w:val="238"/>
        </w:trPr>
        <w:tc>
          <w:tcPr>
            <w:tcW w:w="5700" w:type="dxa"/>
            <w:vAlign w:val="bottom"/>
            <w:shd w:val="clear" w:color="auto" w:fill="CFF0FC"/>
          </w:tcPr>
          <w:p>
            <w:pPr>
              <w:ind w:left="160"/>
              <w:spacing w:after="0"/>
              <w:rPr>
                <w:sz w:val="20"/>
                <w:szCs w:val="20"/>
                <w:color w:val="auto"/>
              </w:rPr>
            </w:pPr>
            <w:r>
              <w:rPr>
                <w:rFonts w:ascii="Arial" w:cs="Arial" w:eastAsia="Arial" w:hAnsi="Arial"/>
                <w:sz w:val="19"/>
                <w:szCs w:val="19"/>
                <w:color w:val="auto"/>
              </w:rPr>
              <w:t>net of tax</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0.4</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gridSpan w:val="3"/>
            <w:vMerge w:val="continue"/>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00" w:type="dxa"/>
            <w:vAlign w:val="bottom"/>
          </w:tcPr>
          <w:p>
            <w:pPr>
              <w:ind w:left="20"/>
              <w:spacing w:after="0" w:line="166" w:lineRule="exact"/>
              <w:rPr>
                <w:sz w:val="20"/>
                <w:szCs w:val="20"/>
                <w:color w:val="auto"/>
              </w:rPr>
            </w:pPr>
            <w:r>
              <w:rPr>
                <w:rFonts w:ascii="Arial" w:cs="Arial" w:eastAsia="Arial" w:hAnsi="Arial"/>
                <w:sz w:val="19"/>
                <w:szCs w:val="19"/>
                <w:color w:val="auto"/>
              </w:rPr>
              <w:t>Amounts reclassified from accumulated other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9"/>
                <w:szCs w:val="19"/>
                <w:color w:val="auto"/>
              </w:rPr>
              <w:t>1.7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ind w:right="166"/>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9"/>
                <w:szCs w:val="19"/>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160"/>
              <w:spacing w:after="0"/>
              <w:rPr>
                <w:sz w:val="20"/>
                <w:szCs w:val="20"/>
                <w:color w:val="auto"/>
              </w:rPr>
            </w:pPr>
            <w:r>
              <w:rPr>
                <w:rFonts w:ascii="Arial" w:cs="Arial" w:eastAsia="Arial" w:hAnsi="Arial"/>
                <w:sz w:val="19"/>
                <w:szCs w:val="19"/>
                <w:color w:val="auto"/>
              </w:rPr>
              <w:t>comprehensive loss, net of tax</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9"/>
                <w:szCs w:val="19"/>
                <w:color w:val="auto"/>
              </w:rPr>
              <w:t>Other comprehensive earnings (loss), net of tax</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2.1</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(0.9</w:t>
            </w:r>
          </w:p>
        </w:tc>
        <w:tc>
          <w:tcPr>
            <w:tcW w:w="240" w:type="dxa"/>
            <w:vAlign w:val="bottom"/>
            <w:tcBorders>
              <w:bottom w:val="single" w:sz="8" w:color="CFF0FC"/>
            </w:tcBorders>
            <w:gridSpan w:val="2"/>
            <w:shd w:val="clear" w:color="auto" w:fill="CFF0FC"/>
          </w:tcPr>
          <w:p>
            <w:pPr>
              <w:jc w:val="right"/>
              <w:ind w:right="86"/>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line="209" w:lineRule="exact"/>
              <w:rPr>
                <w:sz w:val="20"/>
                <w:szCs w:val="20"/>
                <w:color w:val="auto"/>
              </w:rPr>
            </w:pPr>
            <w:r>
              <w:rPr>
                <w:rFonts w:ascii="Arial" w:cs="Arial" w:eastAsia="Arial" w:hAnsi="Arial"/>
                <w:sz w:val="19"/>
                <w:szCs w:val="19"/>
                <w:color w:val="auto"/>
              </w:rPr>
              <w:t>Balance at end of period</w:t>
            </w:r>
          </w:p>
        </w:tc>
        <w:tc>
          <w:tcPr>
            <w:tcW w:w="200" w:type="dxa"/>
            <w:vAlign w:val="bottom"/>
            <w:gridSpan w:val="2"/>
          </w:tcPr>
          <w:p>
            <w:pPr>
              <w:jc w:val="right"/>
              <w:ind w:right="6"/>
              <w:spacing w:after="0" w:line="209" w:lineRule="exact"/>
              <w:rPr>
                <w:sz w:val="20"/>
                <w:szCs w:val="20"/>
                <w:color w:val="auto"/>
              </w:rPr>
            </w:pPr>
            <w:r>
              <w:rPr>
                <w:rFonts w:ascii="Arial" w:cs="Arial" w:eastAsia="Arial" w:hAnsi="Arial"/>
                <w:sz w:val="19"/>
                <w:szCs w:val="19"/>
                <w:color w:val="auto"/>
                <w:w w:val="75"/>
              </w:rPr>
              <w:t>$</w:t>
            </w:r>
          </w:p>
        </w:tc>
        <w:tc>
          <w:tcPr>
            <w:tcW w:w="1720" w:type="dxa"/>
            <w:vAlign w:val="bottom"/>
            <w:gridSpan w:val="3"/>
          </w:tcPr>
          <w:p>
            <w:pPr>
              <w:jc w:val="right"/>
              <w:ind w:right="106"/>
              <w:spacing w:after="0" w:line="209" w:lineRule="exact"/>
              <w:rPr>
                <w:sz w:val="20"/>
                <w:szCs w:val="20"/>
                <w:color w:val="auto"/>
              </w:rPr>
            </w:pPr>
            <w:r>
              <w:rPr>
                <w:rFonts w:ascii="Arial" w:cs="Arial" w:eastAsia="Arial" w:hAnsi="Arial"/>
                <w:sz w:val="19"/>
                <w:szCs w:val="19"/>
                <w:color w:val="auto"/>
              </w:rPr>
              <w:t>(127.6 )</w:t>
            </w:r>
          </w:p>
        </w:tc>
        <w:tc>
          <w:tcPr>
            <w:tcW w:w="140" w:type="dxa"/>
            <w:vAlign w:val="bottom"/>
            <w:gridSpan w:val="2"/>
          </w:tcPr>
          <w:p>
            <w:pPr>
              <w:ind w:left="20"/>
              <w:spacing w:after="0" w:line="209" w:lineRule="exact"/>
              <w:rPr>
                <w:sz w:val="20"/>
                <w:szCs w:val="20"/>
                <w:color w:val="auto"/>
              </w:rPr>
            </w:pPr>
            <w:r>
              <w:rPr>
                <w:rFonts w:ascii="Arial" w:cs="Arial" w:eastAsia="Arial" w:hAnsi="Arial"/>
                <w:sz w:val="19"/>
                <w:szCs w:val="19"/>
                <w:color w:val="auto"/>
                <w:w w:val="94"/>
              </w:rPr>
              <w:t>$</w:t>
            </w:r>
          </w:p>
        </w:tc>
        <w:tc>
          <w:tcPr>
            <w:tcW w:w="1680" w:type="dxa"/>
            <w:vAlign w:val="bottom"/>
            <w:gridSpan w:val="3"/>
          </w:tcPr>
          <w:p>
            <w:pPr>
              <w:jc w:val="right"/>
              <w:ind w:right="86"/>
              <w:spacing w:after="0" w:line="209" w:lineRule="exact"/>
              <w:rPr>
                <w:sz w:val="20"/>
                <w:szCs w:val="20"/>
                <w:color w:val="auto"/>
              </w:rPr>
            </w:pPr>
            <w:r>
              <w:rPr>
                <w:rFonts w:ascii="Arial" w:cs="Arial" w:eastAsia="Arial" w:hAnsi="Arial"/>
                <w:sz w:val="19"/>
                <w:szCs w:val="19"/>
                <w:color w:val="auto"/>
              </w:rPr>
              <w:t>(0.5 )</w:t>
            </w:r>
          </w:p>
        </w:tc>
        <w:tc>
          <w:tcPr>
            <w:tcW w:w="320" w:type="dxa"/>
            <w:vAlign w:val="bottom"/>
            <w:gridSpan w:val="2"/>
          </w:tcPr>
          <w:p>
            <w:pPr>
              <w:spacing w:after="0" w:line="209" w:lineRule="exact"/>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(128.1 )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700" w:type="dxa"/>
            <w:vAlign w:val="bottom"/>
            <w:vMerge w:val="restart"/>
          </w:tcPr>
          <w:p>
            <w:pPr>
              <w:ind w:left="20"/>
              <w:spacing w:after="0"/>
              <w:rPr>
                <w:sz w:val="20"/>
                <w:szCs w:val="20"/>
                <w:color w:val="auto"/>
              </w:rPr>
            </w:pPr>
            <w:r>
              <w:rPr>
                <w:rFonts w:ascii="Arial" w:cs="Arial" w:eastAsia="Arial" w:hAnsi="Arial"/>
                <w:sz w:val="19"/>
                <w:szCs w:val="19"/>
                <w:color w:val="auto"/>
              </w:rPr>
              <w:t>Balance at beginning of period</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0"/>
          </w:tcPr>
          <w:p>
            <w:pPr>
              <w:jc w:val="center"/>
              <w:ind w:left="1066"/>
              <w:spacing w:after="0"/>
              <w:rPr>
                <w:sz w:val="20"/>
                <w:szCs w:val="20"/>
                <w:color w:val="auto"/>
              </w:rPr>
            </w:pPr>
            <w:r>
              <w:rPr>
                <w:rFonts w:ascii="Arial" w:cs="Arial" w:eastAsia="Arial" w:hAnsi="Arial"/>
                <w:sz w:val="19"/>
                <w:szCs w:val="19"/>
                <w:color w:val="auto"/>
                <w:w w:val="89"/>
              </w:rPr>
              <w:t>Three Months Ended June 30, 2021</w:t>
            </w:r>
          </w:p>
        </w:tc>
        <w:tc>
          <w:tcPr>
            <w:tcW w:w="1380" w:type="dxa"/>
            <w:vAlign w:val="bottom"/>
            <w:tcBorders>
              <w:bottom w:val="single" w:sz="8" w:color="auto"/>
            </w:tcBorders>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200" w:type="dxa"/>
            <w:vAlign w:val="bottom"/>
            <w:gridSpan w:val="2"/>
          </w:tcPr>
          <w:p>
            <w:pPr>
              <w:jc w:val="right"/>
              <w:ind w:right="6"/>
              <w:spacing w:after="0" w:line="209" w:lineRule="exact"/>
              <w:rPr>
                <w:sz w:val="20"/>
                <w:szCs w:val="20"/>
                <w:color w:val="auto"/>
              </w:rPr>
            </w:pPr>
            <w:r>
              <w:rPr>
                <w:rFonts w:ascii="Arial" w:cs="Arial" w:eastAsia="Arial" w:hAnsi="Arial"/>
                <w:sz w:val="19"/>
                <w:szCs w:val="19"/>
                <w:color w:val="auto"/>
                <w:w w:val="75"/>
              </w:rPr>
              <w:t>$</w:t>
            </w:r>
          </w:p>
        </w:tc>
        <w:tc>
          <w:tcPr>
            <w:tcW w:w="1720" w:type="dxa"/>
            <w:vAlign w:val="bottom"/>
            <w:gridSpan w:val="3"/>
          </w:tcPr>
          <w:p>
            <w:pPr>
              <w:jc w:val="right"/>
              <w:ind w:right="106"/>
              <w:spacing w:after="0" w:line="209" w:lineRule="exact"/>
              <w:rPr>
                <w:sz w:val="20"/>
                <w:szCs w:val="20"/>
                <w:color w:val="auto"/>
              </w:rPr>
            </w:pPr>
            <w:r>
              <w:rPr>
                <w:rFonts w:ascii="Arial" w:cs="Arial" w:eastAsia="Arial" w:hAnsi="Arial"/>
                <w:sz w:val="19"/>
                <w:szCs w:val="19"/>
                <w:color w:val="auto"/>
              </w:rPr>
              <w:t>(155.6 )</w:t>
            </w:r>
          </w:p>
        </w:tc>
        <w:tc>
          <w:tcPr>
            <w:tcW w:w="140" w:type="dxa"/>
            <w:vAlign w:val="bottom"/>
            <w:gridSpan w:val="2"/>
          </w:tcPr>
          <w:p>
            <w:pPr>
              <w:ind w:left="20"/>
              <w:spacing w:after="0" w:line="209" w:lineRule="exact"/>
              <w:rPr>
                <w:sz w:val="20"/>
                <w:szCs w:val="20"/>
                <w:color w:val="auto"/>
              </w:rPr>
            </w:pPr>
            <w:r>
              <w:rPr>
                <w:rFonts w:ascii="Arial" w:cs="Arial" w:eastAsia="Arial" w:hAnsi="Arial"/>
                <w:sz w:val="19"/>
                <w:szCs w:val="19"/>
                <w:color w:val="auto"/>
                <w:w w:val="94"/>
              </w:rPr>
              <w:t>$</w:t>
            </w:r>
          </w:p>
        </w:tc>
        <w:tc>
          <w:tcPr>
            <w:tcW w:w="1680" w:type="dxa"/>
            <w:vAlign w:val="bottom"/>
            <w:gridSpan w:val="3"/>
          </w:tcPr>
          <w:p>
            <w:pPr>
              <w:jc w:val="right"/>
              <w:ind w:right="166"/>
              <w:spacing w:after="0" w:line="209" w:lineRule="exact"/>
              <w:rPr>
                <w:sz w:val="20"/>
                <w:szCs w:val="20"/>
                <w:color w:val="auto"/>
              </w:rPr>
            </w:pPr>
            <w:r>
              <w:rPr>
                <w:rFonts w:ascii="Arial" w:cs="Arial" w:eastAsia="Arial" w:hAnsi="Arial"/>
                <w:sz w:val="19"/>
                <w:szCs w:val="19"/>
                <w:color w:val="auto"/>
              </w:rPr>
              <w:t>—</w:t>
            </w:r>
          </w:p>
        </w:tc>
        <w:tc>
          <w:tcPr>
            <w:tcW w:w="320" w:type="dxa"/>
            <w:vAlign w:val="bottom"/>
            <w:gridSpan w:val="2"/>
          </w:tcPr>
          <w:p>
            <w:pPr>
              <w:spacing w:after="0" w:line="209" w:lineRule="exact"/>
              <w:rPr>
                <w:sz w:val="20"/>
                <w:szCs w:val="20"/>
                <w:color w:val="auto"/>
              </w:rPr>
            </w:pPr>
            <w:r>
              <w:rPr>
                <w:rFonts w:ascii="Arial" w:cs="Arial" w:eastAsia="Arial" w:hAnsi="Arial"/>
                <w:sz w:val="19"/>
                <w:szCs w:val="19"/>
                <w:color w:val="auto"/>
              </w:rPr>
              <w:t>$</w:t>
            </w:r>
          </w:p>
        </w:tc>
        <w:tc>
          <w:tcPr>
            <w:tcW w:w="1380" w:type="dxa"/>
            <w:vAlign w:val="bottom"/>
          </w:tcPr>
          <w:p>
            <w:pPr>
              <w:jc w:val="right"/>
              <w:spacing w:after="0" w:line="209" w:lineRule="exact"/>
              <w:rPr>
                <w:sz w:val="20"/>
                <w:szCs w:val="20"/>
                <w:color w:val="auto"/>
              </w:rPr>
            </w:pPr>
            <w:r>
              <w:rPr>
                <w:rFonts w:ascii="Arial" w:cs="Arial" w:eastAsia="Arial" w:hAnsi="Arial"/>
                <w:sz w:val="19"/>
                <w:szCs w:val="19"/>
                <w:color w:val="auto"/>
              </w:rPr>
              <w:t>(155.6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00" w:type="dxa"/>
            <w:vAlign w:val="bottom"/>
            <w:shd w:val="clear" w:color="auto" w:fill="CFF0FC"/>
          </w:tcPr>
          <w:p>
            <w:pPr>
              <w:ind w:left="20"/>
              <w:spacing w:after="0" w:line="166" w:lineRule="exact"/>
              <w:rPr>
                <w:sz w:val="20"/>
                <w:szCs w:val="20"/>
                <w:color w:val="auto"/>
              </w:rPr>
            </w:pPr>
            <w:r>
              <w:rPr>
                <w:rFonts w:ascii="Arial" w:cs="Arial" w:eastAsia="Arial" w:hAnsi="Arial"/>
                <w:sz w:val="19"/>
                <w:szCs w:val="19"/>
                <w:color w:val="auto"/>
              </w:rPr>
              <w:t>Other comprehensive earnings before reclassifications,</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700" w:type="dxa"/>
            <w:vAlign w:val="bottom"/>
            <w:shd w:val="clear" w:color="auto" w:fill="CFF0FC"/>
          </w:tcPr>
          <w:p>
            <w:pPr>
              <w:ind w:left="160"/>
              <w:spacing w:after="0"/>
              <w:rPr>
                <w:sz w:val="20"/>
                <w:szCs w:val="20"/>
                <w:color w:val="auto"/>
              </w:rPr>
            </w:pPr>
            <w:r>
              <w:rPr>
                <w:rFonts w:ascii="Arial" w:cs="Arial" w:eastAsia="Arial" w:hAnsi="Arial"/>
                <w:sz w:val="19"/>
                <w:szCs w:val="19"/>
                <w:color w:val="auto"/>
              </w:rPr>
              <w:t>net of tax</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3"/>
            <w:shd w:val="clear" w:color="auto" w:fill="CFF0FC"/>
          </w:tcPr>
          <w:p>
            <w:pPr>
              <w:jc w:val="right"/>
              <w:ind w:right="186"/>
              <w:spacing w:after="0"/>
              <w:rPr>
                <w:sz w:val="20"/>
                <w:szCs w:val="20"/>
                <w:color w:val="auto"/>
              </w:rPr>
            </w:pPr>
            <w:r>
              <w:rPr>
                <w:rFonts w:ascii="Arial" w:cs="Arial" w:eastAsia="Arial" w:hAnsi="Arial"/>
                <w:sz w:val="19"/>
                <w:szCs w:val="19"/>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00" w:type="dxa"/>
            <w:vAlign w:val="bottom"/>
          </w:tcPr>
          <w:p>
            <w:pPr>
              <w:ind w:left="20"/>
              <w:spacing w:after="0" w:line="166" w:lineRule="exact"/>
              <w:rPr>
                <w:sz w:val="20"/>
                <w:szCs w:val="20"/>
                <w:color w:val="auto"/>
              </w:rPr>
            </w:pPr>
            <w:r>
              <w:rPr>
                <w:rFonts w:ascii="Arial" w:cs="Arial" w:eastAsia="Arial" w:hAnsi="Arial"/>
                <w:sz w:val="19"/>
                <w:szCs w:val="19"/>
                <w:color w:val="auto"/>
              </w:rPr>
              <w:t>Amounts reclassified from accumulated other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9"/>
                <w:szCs w:val="19"/>
                <w:color w:val="auto"/>
              </w:rPr>
              <w:t>2.1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ind w:right="166"/>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9"/>
                <w:szCs w:val="19"/>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160"/>
              <w:spacing w:after="0"/>
              <w:rPr>
                <w:sz w:val="20"/>
                <w:szCs w:val="20"/>
                <w:color w:val="auto"/>
              </w:rPr>
            </w:pPr>
            <w:r>
              <w:rPr>
                <w:rFonts w:ascii="Arial" w:cs="Arial" w:eastAsia="Arial" w:hAnsi="Arial"/>
                <w:sz w:val="19"/>
                <w:szCs w:val="19"/>
                <w:color w:val="auto"/>
              </w:rPr>
              <w:t>comprehensive loss, net of tax</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9"/>
                <w:szCs w:val="19"/>
                <w:color w:val="auto"/>
              </w:rPr>
              <w:t>Other comprehensive earnings, net of tax</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2.1</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0.5</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line="209" w:lineRule="exact"/>
              <w:rPr>
                <w:sz w:val="20"/>
                <w:szCs w:val="20"/>
                <w:color w:val="auto"/>
              </w:rPr>
            </w:pPr>
            <w:r>
              <w:rPr>
                <w:rFonts w:ascii="Arial" w:cs="Arial" w:eastAsia="Arial" w:hAnsi="Arial"/>
                <w:sz w:val="19"/>
                <w:szCs w:val="19"/>
                <w:color w:val="auto"/>
              </w:rPr>
              <w:t>Balance at end of period</w:t>
            </w:r>
          </w:p>
        </w:tc>
        <w:tc>
          <w:tcPr>
            <w:tcW w:w="200" w:type="dxa"/>
            <w:vAlign w:val="bottom"/>
            <w:gridSpan w:val="2"/>
          </w:tcPr>
          <w:p>
            <w:pPr>
              <w:jc w:val="right"/>
              <w:ind w:right="6"/>
              <w:spacing w:after="0" w:line="209" w:lineRule="exact"/>
              <w:rPr>
                <w:sz w:val="20"/>
                <w:szCs w:val="20"/>
                <w:color w:val="auto"/>
              </w:rPr>
            </w:pPr>
            <w:r>
              <w:rPr>
                <w:rFonts w:ascii="Arial" w:cs="Arial" w:eastAsia="Arial" w:hAnsi="Arial"/>
                <w:sz w:val="19"/>
                <w:szCs w:val="19"/>
                <w:color w:val="auto"/>
                <w:w w:val="75"/>
              </w:rPr>
              <w:t>$</w:t>
            </w:r>
          </w:p>
        </w:tc>
        <w:tc>
          <w:tcPr>
            <w:tcW w:w="1720" w:type="dxa"/>
            <w:vAlign w:val="bottom"/>
            <w:gridSpan w:val="3"/>
          </w:tcPr>
          <w:p>
            <w:pPr>
              <w:jc w:val="right"/>
              <w:ind w:right="106"/>
              <w:spacing w:after="0" w:line="209" w:lineRule="exact"/>
              <w:rPr>
                <w:sz w:val="20"/>
                <w:szCs w:val="20"/>
                <w:color w:val="auto"/>
              </w:rPr>
            </w:pPr>
            <w:r>
              <w:rPr>
                <w:rFonts w:ascii="Arial" w:cs="Arial" w:eastAsia="Arial" w:hAnsi="Arial"/>
                <w:sz w:val="19"/>
                <w:szCs w:val="19"/>
                <w:color w:val="auto"/>
              </w:rPr>
              <w:t>(153.5 )</w:t>
            </w:r>
          </w:p>
        </w:tc>
        <w:tc>
          <w:tcPr>
            <w:tcW w:w="140" w:type="dxa"/>
            <w:vAlign w:val="bottom"/>
            <w:gridSpan w:val="2"/>
          </w:tcPr>
          <w:p>
            <w:pPr>
              <w:ind w:left="20"/>
              <w:spacing w:after="0" w:line="209" w:lineRule="exact"/>
              <w:rPr>
                <w:sz w:val="20"/>
                <w:szCs w:val="20"/>
                <w:color w:val="auto"/>
              </w:rPr>
            </w:pPr>
            <w:r>
              <w:rPr>
                <w:rFonts w:ascii="Arial" w:cs="Arial" w:eastAsia="Arial" w:hAnsi="Arial"/>
                <w:sz w:val="19"/>
                <w:szCs w:val="19"/>
                <w:color w:val="auto"/>
                <w:w w:val="94"/>
              </w:rPr>
              <w:t>$</w:t>
            </w:r>
          </w:p>
        </w:tc>
        <w:tc>
          <w:tcPr>
            <w:tcW w:w="1440" w:type="dxa"/>
            <w:vAlign w:val="bottom"/>
          </w:tcPr>
          <w:p>
            <w:pPr>
              <w:jc w:val="right"/>
              <w:spacing w:after="0" w:line="209" w:lineRule="exact"/>
              <w:rPr>
                <w:sz w:val="20"/>
                <w:szCs w:val="20"/>
                <w:color w:val="auto"/>
              </w:rPr>
            </w:pPr>
            <w:r>
              <w:rPr>
                <w:rFonts w:ascii="Arial" w:cs="Arial" w:eastAsia="Arial" w:hAnsi="Arial"/>
                <w:sz w:val="19"/>
                <w:szCs w:val="19"/>
                <w:color w:val="auto"/>
              </w:rPr>
              <w:t>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line="209" w:lineRule="exact"/>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(153.0 )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9"/>
                <w:szCs w:val="19"/>
                <w:i w:val="1"/>
                <w:iCs w:val="1"/>
                <w:color w:val="auto"/>
              </w:rPr>
              <w:t>(Dollars in Millions)</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3"/>
            <w:vMerge w:val="restart"/>
          </w:tcPr>
          <w:p>
            <w:pPr>
              <w:jc w:val="right"/>
              <w:ind w:right="506"/>
              <w:spacing w:after="0"/>
              <w:rPr>
                <w:sz w:val="20"/>
                <w:szCs w:val="20"/>
                <w:color w:val="auto"/>
              </w:rPr>
            </w:pPr>
            <w:r>
              <w:rPr>
                <w:rFonts w:ascii="Arial" w:cs="Arial" w:eastAsia="Arial" w:hAnsi="Arial"/>
                <w:sz w:val="19"/>
                <w:szCs w:val="19"/>
                <w:color w:val="auto"/>
              </w:rPr>
              <w:t>Pension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center"/>
              <w:ind w:right="206"/>
              <w:spacing w:after="0" w:line="160" w:lineRule="exact"/>
              <w:rPr>
                <w:sz w:val="20"/>
                <w:szCs w:val="20"/>
                <w:color w:val="auto"/>
              </w:rPr>
            </w:pPr>
            <w:r>
              <w:rPr>
                <w:rFonts w:ascii="Arial" w:cs="Arial" w:eastAsia="Arial" w:hAnsi="Arial"/>
                <w:sz w:val="18"/>
                <w:szCs w:val="18"/>
                <w:color w:val="auto"/>
                <w:w w:val="96"/>
              </w:rPr>
              <w:t>Accumulated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61"/>
              <w:spacing w:after="0" w:line="189"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tcPr>
          <w:p>
            <w:pPr>
              <w:jc w:val="center"/>
              <w:ind w:right="366"/>
              <w:spacing w:after="0" w:line="189" w:lineRule="exact"/>
              <w:rPr>
                <w:sz w:val="20"/>
                <w:szCs w:val="20"/>
                <w:color w:val="auto"/>
              </w:rPr>
            </w:pPr>
            <w:r>
              <w:rPr>
                <w:rFonts w:ascii="Arial" w:cs="Arial" w:eastAsia="Arial" w:hAnsi="Arial"/>
                <w:sz w:val="19"/>
                <w:szCs w:val="19"/>
                <w:color w:val="auto"/>
                <w:w w:val="89"/>
              </w:rPr>
              <w:t>Postretirement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21"/>
              <w:spacing w:after="0"/>
              <w:rPr>
                <w:sz w:val="20"/>
                <w:szCs w:val="20"/>
                <w:color w:val="auto"/>
              </w:rPr>
            </w:pPr>
            <w:r>
              <w:rPr>
                <w:rFonts w:ascii="Arial" w:cs="Arial" w:eastAsia="Arial" w:hAnsi="Arial"/>
                <w:sz w:val="19"/>
                <w:szCs w:val="19"/>
                <w:color w:val="auto"/>
                <w:w w:val="89"/>
              </w:rPr>
              <w:t>Foreign Currency</w:t>
            </w:r>
          </w:p>
        </w:tc>
        <w:tc>
          <w:tcPr>
            <w:tcW w:w="220" w:type="dxa"/>
            <w:vAlign w:val="bottom"/>
            <w:vMerge w:val="restart"/>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3"/>
          </w:tcPr>
          <w:p>
            <w:pPr>
              <w:jc w:val="center"/>
              <w:ind w:right="21"/>
              <w:spacing w:after="0" w:line="189" w:lineRule="exact"/>
              <w:rPr>
                <w:sz w:val="20"/>
                <w:szCs w:val="20"/>
                <w:color w:val="auto"/>
              </w:rPr>
            </w:pPr>
            <w:r>
              <w:rPr>
                <w:rFonts w:ascii="Arial" w:cs="Arial" w:eastAsia="Arial" w:hAnsi="Arial"/>
                <w:sz w:val="19"/>
                <w:szCs w:val="19"/>
                <w:color w:val="auto"/>
                <w:w w:val="88"/>
              </w:rPr>
              <w:t>Comprehensive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9"/>
                <w:szCs w:val="19"/>
                <w:color w:val="auto"/>
              </w:rPr>
              <w:t>Benefit Plans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06"/>
              <w:spacing w:after="0"/>
              <w:rPr>
                <w:sz w:val="20"/>
                <w:szCs w:val="20"/>
                <w:color w:val="auto"/>
              </w:rPr>
            </w:pPr>
            <w:r>
              <w:rPr>
                <w:rFonts w:ascii="Arial" w:cs="Arial" w:eastAsia="Arial" w:hAnsi="Arial"/>
                <w:sz w:val="19"/>
                <w:szCs w:val="19"/>
                <w:color w:val="auto"/>
                <w:w w:val="89"/>
              </w:rPr>
              <w:t>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10"/>
          </w:tcPr>
          <w:p>
            <w:pPr>
              <w:jc w:val="center"/>
              <w:ind w:left="1126"/>
              <w:spacing w:after="0" w:line="209" w:lineRule="exact"/>
              <w:rPr>
                <w:sz w:val="20"/>
                <w:szCs w:val="20"/>
                <w:color w:val="auto"/>
              </w:rPr>
            </w:pPr>
            <w:r>
              <w:rPr>
                <w:rFonts w:ascii="Arial" w:cs="Arial" w:eastAsia="Arial" w:hAnsi="Arial"/>
                <w:sz w:val="19"/>
                <w:szCs w:val="19"/>
                <w:color w:val="auto"/>
                <w:w w:val="90"/>
              </w:rPr>
              <w:t>Six Months Ended June 30, 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line="209" w:lineRule="exact"/>
              <w:rPr>
                <w:sz w:val="20"/>
                <w:szCs w:val="20"/>
                <w:color w:val="auto"/>
              </w:rPr>
            </w:pPr>
            <w:r>
              <w:rPr>
                <w:rFonts w:ascii="Arial" w:cs="Arial" w:eastAsia="Arial" w:hAnsi="Arial"/>
                <w:sz w:val="19"/>
                <w:szCs w:val="19"/>
                <w:color w:val="auto"/>
              </w:rPr>
              <w:t>Balance at beginning of period</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w w:val="94"/>
              </w:rPr>
              <w:t>$</w:t>
            </w:r>
          </w:p>
        </w:tc>
        <w:tc>
          <w:tcPr>
            <w:tcW w:w="1720" w:type="dxa"/>
            <w:vAlign w:val="bottom"/>
            <w:gridSpan w:val="3"/>
            <w:shd w:val="clear" w:color="auto" w:fill="CFF0FC"/>
          </w:tcPr>
          <w:p>
            <w:pPr>
              <w:jc w:val="right"/>
              <w:ind w:right="66"/>
              <w:spacing w:after="0" w:line="209" w:lineRule="exact"/>
              <w:rPr>
                <w:sz w:val="20"/>
                <w:szCs w:val="20"/>
                <w:color w:val="auto"/>
              </w:rPr>
            </w:pPr>
            <w:r>
              <w:rPr>
                <w:rFonts w:ascii="Arial" w:cs="Arial" w:eastAsia="Arial" w:hAnsi="Arial"/>
                <w:sz w:val="19"/>
                <w:szCs w:val="19"/>
                <w:color w:val="auto"/>
              </w:rPr>
              <w:t>(97.6 )</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5"/>
                <w:szCs w:val="15"/>
                <w:color w:val="auto"/>
                <w:w w:val="71"/>
              </w:rPr>
              <w:t>$</w:t>
            </w:r>
          </w:p>
        </w:tc>
        <w:tc>
          <w:tcPr>
            <w:tcW w:w="1680" w:type="dxa"/>
            <w:vAlign w:val="bottom"/>
            <w:gridSpan w:val="3"/>
            <w:shd w:val="clear" w:color="auto" w:fill="CFF0FC"/>
          </w:tcPr>
          <w:p>
            <w:pPr>
              <w:jc w:val="right"/>
              <w:ind w:right="146"/>
              <w:spacing w:after="0" w:line="209" w:lineRule="exact"/>
              <w:rPr>
                <w:sz w:val="20"/>
                <w:szCs w:val="20"/>
                <w:color w:val="auto"/>
              </w:rPr>
            </w:pPr>
            <w:r>
              <w:rPr>
                <w:rFonts w:ascii="Arial" w:cs="Arial" w:eastAsia="Arial" w:hAnsi="Arial"/>
                <w:sz w:val="19"/>
                <w:szCs w:val="19"/>
                <w:color w:val="auto"/>
              </w:rPr>
              <w:t>—</w:t>
            </w:r>
          </w:p>
        </w:tc>
        <w:tc>
          <w:tcPr>
            <w:tcW w:w="320" w:type="dxa"/>
            <w:vAlign w:val="bottom"/>
            <w:gridSpan w:val="2"/>
            <w:shd w:val="clear" w:color="auto" w:fill="CFF0FC"/>
          </w:tcPr>
          <w:p>
            <w:pPr>
              <w:ind w:left="40"/>
              <w:spacing w:after="0" w:line="209" w:lineRule="exact"/>
              <w:rPr>
                <w:sz w:val="20"/>
                <w:szCs w:val="20"/>
                <w:color w:val="auto"/>
              </w:rPr>
            </w:pPr>
            <w:r>
              <w:rPr>
                <w:rFonts w:ascii="Arial" w:cs="Arial" w:eastAsia="Arial" w:hAnsi="Arial"/>
                <w:sz w:val="19"/>
                <w:szCs w:val="19"/>
                <w:color w:val="auto"/>
              </w:rPr>
              <w:t>$</w:t>
            </w:r>
          </w:p>
        </w:tc>
        <w:tc>
          <w:tcPr>
            <w:tcW w:w="138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rPr>
              <w:t>(97.6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6"/>
        </w:trPr>
        <w:tc>
          <w:tcPr>
            <w:tcW w:w="5700" w:type="dxa"/>
            <w:vAlign w:val="bottom"/>
          </w:tcPr>
          <w:p>
            <w:pPr>
              <w:ind w:left="20"/>
              <w:spacing w:after="0" w:line="166" w:lineRule="exact"/>
              <w:rPr>
                <w:sz w:val="20"/>
                <w:szCs w:val="20"/>
                <w:color w:val="auto"/>
              </w:rPr>
            </w:pPr>
            <w:r>
              <w:rPr>
                <w:rFonts w:ascii="Arial" w:cs="Arial" w:eastAsia="Arial" w:hAnsi="Arial"/>
                <w:sz w:val="19"/>
                <w:szCs w:val="19"/>
                <w:color w:val="auto"/>
              </w:rPr>
              <w:t>Other comprehensive loss before reclassifications,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vMerge w:val="restart"/>
          </w:tcPr>
          <w:p>
            <w:pPr>
              <w:jc w:val="right"/>
              <w:ind w:right="66"/>
              <w:spacing w:after="0"/>
              <w:rPr>
                <w:sz w:val="20"/>
                <w:szCs w:val="20"/>
                <w:color w:val="auto"/>
              </w:rPr>
            </w:pPr>
            <w:r>
              <w:rPr>
                <w:rFonts w:ascii="Arial" w:cs="Arial" w:eastAsia="Arial" w:hAnsi="Arial"/>
                <w:sz w:val="19"/>
                <w:szCs w:val="19"/>
                <w:color w:val="auto"/>
              </w:rPr>
              <w:t>(33.0 )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ind w:right="46"/>
              <w:spacing w:after="0"/>
              <w:rPr>
                <w:sz w:val="20"/>
                <w:szCs w:val="20"/>
                <w:color w:val="auto"/>
              </w:rPr>
            </w:pPr>
            <w:r>
              <w:rPr>
                <w:rFonts w:ascii="Arial" w:cs="Arial" w:eastAsia="Arial" w:hAnsi="Arial"/>
                <w:sz w:val="19"/>
                <w:szCs w:val="19"/>
                <w:color w:val="auto"/>
              </w:rPr>
              <w:t>(0.5 )</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9"/>
                <w:szCs w:val="19"/>
                <w:color w:val="auto"/>
              </w:rPr>
              <w:t>(33.5 )</w:t>
            </w:r>
          </w:p>
        </w:tc>
        <w:tc>
          <w:tcPr>
            <w:tcW w:w="0" w:type="dxa"/>
            <w:vAlign w:val="bottom"/>
          </w:tcPr>
          <w:p>
            <w:pPr>
              <w:spacing w:after="0"/>
              <w:rPr>
                <w:sz w:val="1"/>
                <w:szCs w:val="1"/>
                <w:color w:val="auto"/>
              </w:rPr>
            </w:pPr>
          </w:p>
        </w:tc>
      </w:tr>
      <w:tr>
        <w:trPr>
          <w:trHeight w:val="238"/>
        </w:trPr>
        <w:tc>
          <w:tcPr>
            <w:tcW w:w="5700" w:type="dxa"/>
            <w:vAlign w:val="bottom"/>
          </w:tcPr>
          <w:p>
            <w:pPr>
              <w:ind w:left="160"/>
              <w:spacing w:after="0"/>
              <w:rPr>
                <w:sz w:val="20"/>
                <w:szCs w:val="20"/>
                <w:color w:val="auto"/>
              </w:rPr>
            </w:pPr>
            <w:r>
              <w:rPr>
                <w:rFonts w:ascii="Arial" w:cs="Arial" w:eastAsia="Arial" w:hAnsi="Arial"/>
                <w:sz w:val="19"/>
                <w:szCs w:val="19"/>
                <w:color w:val="auto"/>
              </w:rPr>
              <w:t>net of tax</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00" w:type="dxa"/>
            <w:vAlign w:val="bottom"/>
            <w:shd w:val="clear" w:color="auto" w:fill="CFF0FC"/>
          </w:tcPr>
          <w:p>
            <w:pPr>
              <w:ind w:left="20"/>
              <w:spacing w:after="0" w:line="166" w:lineRule="exact"/>
              <w:rPr>
                <w:sz w:val="20"/>
                <w:szCs w:val="20"/>
                <w:color w:val="auto"/>
              </w:rPr>
            </w:pPr>
            <w:r>
              <w:rPr>
                <w:rFonts w:ascii="Arial" w:cs="Arial" w:eastAsia="Arial" w:hAnsi="Arial"/>
                <w:sz w:val="19"/>
                <w:szCs w:val="19"/>
                <w:color w:val="auto"/>
              </w:rPr>
              <w:t>Amounts reclassified from accumulated other</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9"/>
                <w:szCs w:val="19"/>
                <w:color w:val="auto"/>
              </w:rPr>
              <w:t>3.0</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20" w:type="dxa"/>
            <w:vAlign w:val="bottom"/>
            <w:vMerge w:val="restart"/>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9"/>
                <w:szCs w:val="19"/>
                <w:color w:val="auto"/>
              </w:rPr>
              <w:t>comprehensive loss, net of tax</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2"/>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gridSpan w:val="2"/>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line="209" w:lineRule="exact"/>
              <w:rPr>
                <w:sz w:val="20"/>
                <w:szCs w:val="20"/>
                <w:color w:val="auto"/>
              </w:rPr>
            </w:pPr>
            <w:r>
              <w:rPr>
                <w:rFonts w:ascii="Arial" w:cs="Arial" w:eastAsia="Arial" w:hAnsi="Arial"/>
                <w:sz w:val="19"/>
                <w:szCs w:val="19"/>
                <w:color w:val="auto"/>
              </w:rPr>
              <w:t>Other comprehensive loss, net of tax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right"/>
              <w:ind w:right="66"/>
              <w:spacing w:after="0" w:line="209" w:lineRule="exact"/>
              <w:rPr>
                <w:sz w:val="20"/>
                <w:szCs w:val="20"/>
                <w:color w:val="auto"/>
              </w:rPr>
            </w:pPr>
            <w:r>
              <w:rPr>
                <w:rFonts w:ascii="Arial" w:cs="Arial" w:eastAsia="Arial" w:hAnsi="Arial"/>
                <w:sz w:val="19"/>
                <w:szCs w:val="19"/>
                <w:color w:val="auto"/>
              </w:rPr>
              <w:t>(30.0 )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6"/>
              <w:spacing w:after="0" w:line="209" w:lineRule="exact"/>
              <w:rPr>
                <w:sz w:val="20"/>
                <w:szCs w:val="20"/>
                <w:color w:val="auto"/>
              </w:rPr>
            </w:pPr>
            <w:r>
              <w:rPr>
                <w:rFonts w:ascii="Arial" w:cs="Arial" w:eastAsia="Arial" w:hAnsi="Arial"/>
                <w:sz w:val="19"/>
                <w:szCs w:val="19"/>
                <w:color w:val="auto"/>
              </w:rPr>
              <w:t>(0.5 )</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(30.5 )</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9"/>
                <w:szCs w:val="19"/>
                <w:color w:val="auto"/>
              </w:rPr>
              <w:t>Balance at end of period</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w w:val="94"/>
              </w:rPr>
              <w:t>$</w:t>
            </w:r>
          </w:p>
        </w:tc>
        <w:tc>
          <w:tcPr>
            <w:tcW w:w="1480" w:type="dxa"/>
            <w:vAlign w:val="bottom"/>
            <w:tcBorders>
              <w:top w:val="single" w:sz="8" w:color="auto"/>
              <w:bottom w:val="single" w:sz="8" w:color="auto"/>
            </w:tcBorders>
            <w:gridSpan w:val="2"/>
            <w:shd w:val="clear" w:color="auto" w:fill="CFF0FC"/>
          </w:tcPr>
          <w:p>
            <w:pPr>
              <w:jc w:val="right"/>
              <w:ind w:right="20"/>
              <w:spacing w:after="0" w:line="209" w:lineRule="exact"/>
              <w:rPr>
                <w:sz w:val="20"/>
                <w:szCs w:val="20"/>
                <w:color w:val="auto"/>
              </w:rPr>
            </w:pPr>
            <w:r>
              <w:rPr>
                <w:rFonts w:ascii="Arial" w:cs="Arial" w:eastAsia="Arial" w:hAnsi="Arial"/>
                <w:sz w:val="19"/>
                <w:szCs w:val="19"/>
                <w:color w:val="auto"/>
              </w:rPr>
              <w:t>(127.6</w:t>
            </w:r>
          </w:p>
        </w:tc>
        <w:tc>
          <w:tcPr>
            <w:tcW w:w="240" w:type="dxa"/>
            <w:vAlign w:val="bottom"/>
            <w:tcBorders>
              <w:bottom w:val="single" w:sz="8" w:color="CFF0FC"/>
            </w:tcBorders>
            <w:shd w:val="clear" w:color="auto" w:fill="CFF0FC"/>
          </w:tcPr>
          <w:p>
            <w:pPr>
              <w:jc w:val="right"/>
              <w:ind w:right="66"/>
              <w:spacing w:after="0" w:line="209" w:lineRule="exact"/>
              <w:rPr>
                <w:sz w:val="20"/>
                <w:szCs w:val="20"/>
                <w:color w:val="auto"/>
              </w:rPr>
            </w:pPr>
            <w:r>
              <w:rPr>
                <w:rFonts w:ascii="Arial" w:cs="Arial" w:eastAsia="Arial" w:hAnsi="Arial"/>
                <w:sz w:val="19"/>
                <w:szCs w:val="19"/>
                <w:color w:val="auto"/>
                <w:w w:val="94"/>
              </w:rPr>
              <w:t>)</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FF0FC"/>
          </w:tcPr>
          <w:p>
            <w:pPr>
              <w:jc w:val="right"/>
              <w:spacing w:after="0" w:line="209" w:lineRule="exact"/>
              <w:rPr>
                <w:sz w:val="20"/>
                <w:szCs w:val="20"/>
                <w:color w:val="auto"/>
              </w:rPr>
            </w:pPr>
            <w:r>
              <w:rPr>
                <w:rFonts w:ascii="Arial" w:cs="Arial" w:eastAsia="Arial" w:hAnsi="Arial"/>
                <w:sz w:val="19"/>
                <w:szCs w:val="19"/>
                <w:color w:val="auto"/>
              </w:rPr>
              <w:t>(0.5</w:t>
            </w:r>
          </w:p>
        </w:tc>
        <w:tc>
          <w:tcPr>
            <w:tcW w:w="220" w:type="dxa"/>
            <w:vAlign w:val="bottom"/>
            <w:tcBorders>
              <w:bottom w:val="single" w:sz="8" w:color="CFF0FC"/>
            </w:tcBorders>
            <w:shd w:val="clear" w:color="auto" w:fill="CFF0FC"/>
          </w:tcPr>
          <w:p>
            <w:pPr>
              <w:jc w:val="right"/>
              <w:ind w:right="46"/>
              <w:spacing w:after="0" w:line="209" w:lineRule="exact"/>
              <w:rPr>
                <w:sz w:val="20"/>
                <w:szCs w:val="20"/>
                <w:color w:val="auto"/>
              </w:rPr>
            </w:pPr>
            <w:r>
              <w:rPr>
                <w:rFonts w:ascii="Arial" w:cs="Arial" w:eastAsia="Arial" w:hAnsi="Arial"/>
                <w:sz w:val="19"/>
                <w:szCs w:val="19"/>
                <w:color w:val="auto"/>
                <w:w w:val="94"/>
              </w:rPr>
              <w:t>)</w:t>
            </w: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line="209" w:lineRule="exact"/>
              <w:rPr>
                <w:sz w:val="20"/>
                <w:szCs w:val="20"/>
                <w:color w:val="auto"/>
              </w:rPr>
            </w:pPr>
            <w:r>
              <w:rPr>
                <w:rFonts w:ascii="Arial" w:cs="Arial" w:eastAsia="Arial" w:hAnsi="Arial"/>
                <w:sz w:val="19"/>
                <w:szCs w:val="19"/>
                <w:color w:val="auto"/>
              </w:rPr>
              <w:t>$</w:t>
            </w:r>
          </w:p>
        </w:tc>
        <w:tc>
          <w:tcPr>
            <w:tcW w:w="1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(128.1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1"/>
        </w:trPr>
        <w:tc>
          <w:tcPr>
            <w:tcW w:w="5700" w:type="dxa"/>
            <w:vAlign w:val="bottom"/>
            <w:vMerge w:val="restart"/>
          </w:tcPr>
          <w:p>
            <w:pPr>
              <w:ind w:left="20"/>
              <w:spacing w:after="0"/>
              <w:rPr>
                <w:sz w:val="20"/>
                <w:szCs w:val="20"/>
                <w:color w:val="auto"/>
              </w:rPr>
            </w:pPr>
            <w:r>
              <w:rPr>
                <w:rFonts w:ascii="Arial" w:cs="Arial" w:eastAsia="Arial" w:hAnsi="Arial"/>
                <w:sz w:val="19"/>
                <w:szCs w:val="19"/>
                <w:color w:val="auto"/>
              </w:rPr>
              <w:t>Balance at beginning of period</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0"/>
          </w:tcPr>
          <w:p>
            <w:pPr>
              <w:jc w:val="center"/>
              <w:ind w:left="1126"/>
              <w:spacing w:after="0"/>
              <w:rPr>
                <w:sz w:val="20"/>
                <w:szCs w:val="20"/>
                <w:color w:val="auto"/>
              </w:rPr>
            </w:pPr>
            <w:r>
              <w:rPr>
                <w:rFonts w:ascii="Arial" w:cs="Arial" w:eastAsia="Arial" w:hAnsi="Arial"/>
                <w:sz w:val="19"/>
                <w:szCs w:val="19"/>
                <w:color w:val="auto"/>
                <w:w w:val="90"/>
              </w:rPr>
              <w:t>Six Months Ended June 30, 2021</w:t>
            </w:r>
          </w:p>
        </w:tc>
        <w:tc>
          <w:tcPr>
            <w:tcW w:w="1380" w:type="dxa"/>
            <w:vAlign w:val="bottom"/>
            <w:tcBorders>
              <w:bottom w:val="single" w:sz="8" w:color="auto"/>
            </w:tcBorders>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Arial" w:cs="Arial" w:eastAsia="Arial" w:hAnsi="Arial"/>
                <w:sz w:val="19"/>
                <w:szCs w:val="19"/>
                <w:color w:val="auto"/>
                <w:w w:val="94"/>
              </w:rPr>
              <w:t>$</w:t>
            </w:r>
          </w:p>
        </w:tc>
        <w:tc>
          <w:tcPr>
            <w:tcW w:w="1720" w:type="dxa"/>
            <w:vAlign w:val="bottom"/>
            <w:gridSpan w:val="3"/>
          </w:tcPr>
          <w:p>
            <w:pPr>
              <w:jc w:val="right"/>
              <w:ind w:right="66"/>
              <w:spacing w:after="0" w:line="209" w:lineRule="exact"/>
              <w:rPr>
                <w:sz w:val="20"/>
                <w:szCs w:val="20"/>
                <w:color w:val="auto"/>
              </w:rPr>
            </w:pPr>
            <w:r>
              <w:rPr>
                <w:rFonts w:ascii="Arial" w:cs="Arial" w:eastAsia="Arial" w:hAnsi="Arial"/>
                <w:sz w:val="19"/>
                <w:szCs w:val="19"/>
                <w:color w:val="auto"/>
              </w:rPr>
              <w:t>(158.1 )</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680" w:type="dxa"/>
            <w:vAlign w:val="bottom"/>
            <w:gridSpan w:val="3"/>
          </w:tcPr>
          <w:p>
            <w:pPr>
              <w:jc w:val="right"/>
              <w:ind w:right="46"/>
              <w:spacing w:after="0" w:line="209" w:lineRule="exact"/>
              <w:rPr>
                <w:sz w:val="20"/>
                <w:szCs w:val="20"/>
                <w:color w:val="auto"/>
              </w:rPr>
            </w:pPr>
            <w:r>
              <w:rPr>
                <w:rFonts w:ascii="Arial" w:cs="Arial" w:eastAsia="Arial" w:hAnsi="Arial"/>
                <w:sz w:val="19"/>
                <w:szCs w:val="19"/>
                <w:color w:val="auto"/>
              </w:rPr>
              <w:t>(0.3 )</w:t>
            </w:r>
          </w:p>
        </w:tc>
        <w:tc>
          <w:tcPr>
            <w:tcW w:w="320" w:type="dxa"/>
            <w:vAlign w:val="bottom"/>
            <w:gridSpan w:val="2"/>
          </w:tcPr>
          <w:p>
            <w:pPr>
              <w:ind w:left="40"/>
              <w:spacing w:after="0" w:line="209" w:lineRule="exact"/>
              <w:rPr>
                <w:sz w:val="20"/>
                <w:szCs w:val="20"/>
                <w:color w:val="auto"/>
              </w:rPr>
            </w:pPr>
            <w:r>
              <w:rPr>
                <w:rFonts w:ascii="Arial" w:cs="Arial" w:eastAsia="Arial" w:hAnsi="Arial"/>
                <w:sz w:val="19"/>
                <w:szCs w:val="19"/>
                <w:color w:val="auto"/>
              </w:rPr>
              <w:t>$</w:t>
            </w:r>
          </w:p>
        </w:tc>
        <w:tc>
          <w:tcPr>
            <w:tcW w:w="1380" w:type="dxa"/>
            <w:vAlign w:val="bottom"/>
          </w:tcPr>
          <w:p>
            <w:pPr>
              <w:jc w:val="right"/>
              <w:spacing w:after="0" w:line="209" w:lineRule="exact"/>
              <w:rPr>
                <w:sz w:val="20"/>
                <w:szCs w:val="20"/>
                <w:color w:val="auto"/>
              </w:rPr>
            </w:pPr>
            <w:r>
              <w:rPr>
                <w:rFonts w:ascii="Arial" w:cs="Arial" w:eastAsia="Arial" w:hAnsi="Arial"/>
                <w:sz w:val="19"/>
                <w:szCs w:val="19"/>
                <w:color w:val="auto"/>
              </w:rPr>
              <w:t>(158.4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00" w:type="dxa"/>
            <w:vAlign w:val="bottom"/>
            <w:shd w:val="clear" w:color="auto" w:fill="CFF0FC"/>
          </w:tcPr>
          <w:p>
            <w:pPr>
              <w:ind w:left="20"/>
              <w:spacing w:after="0" w:line="166" w:lineRule="exact"/>
              <w:rPr>
                <w:sz w:val="20"/>
                <w:szCs w:val="20"/>
                <w:color w:val="auto"/>
              </w:rPr>
            </w:pPr>
            <w:r>
              <w:rPr>
                <w:rFonts w:ascii="Arial" w:cs="Arial" w:eastAsia="Arial" w:hAnsi="Arial"/>
                <w:sz w:val="19"/>
                <w:szCs w:val="19"/>
                <w:color w:val="auto"/>
              </w:rPr>
              <w:t>Other comprehensive earnings before reclassifications,</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700" w:type="dxa"/>
            <w:vAlign w:val="bottom"/>
            <w:shd w:val="clear" w:color="auto" w:fill="CFF0FC"/>
          </w:tcPr>
          <w:p>
            <w:pPr>
              <w:ind w:left="160"/>
              <w:spacing w:after="0"/>
              <w:rPr>
                <w:sz w:val="20"/>
                <w:szCs w:val="20"/>
                <w:color w:val="auto"/>
              </w:rPr>
            </w:pPr>
            <w:r>
              <w:rPr>
                <w:rFonts w:ascii="Arial" w:cs="Arial" w:eastAsia="Arial" w:hAnsi="Arial"/>
                <w:sz w:val="19"/>
                <w:szCs w:val="19"/>
                <w:color w:val="auto"/>
              </w:rPr>
              <w:t>net of tax</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gridSpan w:val="3"/>
            <w:shd w:val="clear" w:color="auto" w:fill="CFF0FC"/>
          </w:tcPr>
          <w:p>
            <w:pPr>
              <w:jc w:val="right"/>
              <w:ind w:right="166"/>
              <w:spacing w:after="0"/>
              <w:rPr>
                <w:sz w:val="20"/>
                <w:szCs w:val="20"/>
                <w:color w:val="auto"/>
              </w:rPr>
            </w:pPr>
            <w:r>
              <w:rPr>
                <w:rFonts w:ascii="Arial" w:cs="Arial" w:eastAsia="Arial" w:hAnsi="Arial"/>
                <w:sz w:val="19"/>
                <w:szCs w:val="19"/>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00" w:type="dxa"/>
            <w:vAlign w:val="bottom"/>
          </w:tcPr>
          <w:p>
            <w:pPr>
              <w:ind w:left="20"/>
              <w:spacing w:after="0" w:line="166" w:lineRule="exact"/>
              <w:rPr>
                <w:sz w:val="20"/>
                <w:szCs w:val="20"/>
                <w:color w:val="auto"/>
              </w:rPr>
            </w:pPr>
            <w:r>
              <w:rPr>
                <w:rFonts w:ascii="Arial" w:cs="Arial" w:eastAsia="Arial" w:hAnsi="Arial"/>
                <w:sz w:val="19"/>
                <w:szCs w:val="19"/>
                <w:color w:val="auto"/>
              </w:rPr>
              <w:t>Amounts reclassified from accumulated other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20"/>
              <w:spacing w:after="0"/>
              <w:rPr>
                <w:sz w:val="20"/>
                <w:szCs w:val="20"/>
                <w:color w:val="auto"/>
              </w:rPr>
            </w:pPr>
            <w:r>
              <w:rPr>
                <w:rFonts w:ascii="Arial" w:cs="Arial" w:eastAsia="Arial" w:hAnsi="Arial"/>
                <w:sz w:val="19"/>
                <w:szCs w:val="19"/>
                <w:color w:val="auto"/>
              </w:rPr>
              <w:t>4.6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jc w:val="right"/>
              <w:ind w:right="146"/>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9"/>
                <w:szCs w:val="19"/>
                <w:color w:val="auto"/>
              </w:rPr>
              <w:t>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160"/>
              <w:spacing w:after="0"/>
              <w:rPr>
                <w:sz w:val="20"/>
                <w:szCs w:val="20"/>
                <w:color w:val="auto"/>
              </w:rPr>
            </w:pPr>
            <w:r>
              <w:rPr>
                <w:rFonts w:ascii="Arial" w:cs="Arial" w:eastAsia="Arial" w:hAnsi="Arial"/>
                <w:sz w:val="19"/>
                <w:szCs w:val="19"/>
                <w:color w:val="auto"/>
              </w:rPr>
              <w:t>comprehensive loss, net of tax</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20"/>
              <w:spacing w:after="0" w:line="209" w:lineRule="exact"/>
              <w:rPr>
                <w:sz w:val="20"/>
                <w:szCs w:val="20"/>
                <w:color w:val="auto"/>
              </w:rPr>
            </w:pPr>
            <w:r>
              <w:rPr>
                <w:rFonts w:ascii="Arial" w:cs="Arial" w:eastAsia="Arial" w:hAnsi="Arial"/>
                <w:sz w:val="19"/>
                <w:szCs w:val="19"/>
                <w:color w:val="auto"/>
              </w:rPr>
              <w:t>Other comprehensive earnings, net of tax</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CFF0FC"/>
          </w:tcPr>
          <w:p>
            <w:pPr>
              <w:jc w:val="right"/>
              <w:ind w:right="20"/>
              <w:spacing w:after="0" w:line="209" w:lineRule="exact"/>
              <w:rPr>
                <w:sz w:val="20"/>
                <w:szCs w:val="20"/>
                <w:color w:val="auto"/>
              </w:rPr>
            </w:pPr>
            <w:r>
              <w:rPr>
                <w:rFonts w:ascii="Arial" w:cs="Arial" w:eastAsia="Arial" w:hAnsi="Arial"/>
                <w:sz w:val="19"/>
                <w:szCs w:val="19"/>
                <w:color w:val="auto"/>
              </w:rPr>
              <w:t>4.6</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gridSpan w:val="2"/>
            <w:shd w:val="clear" w:color="auto" w:fill="CFF0FC"/>
          </w:tcPr>
          <w:p>
            <w:pPr>
              <w:jc w:val="right"/>
              <w:spacing w:after="0" w:line="209" w:lineRule="exact"/>
              <w:rPr>
                <w:sz w:val="20"/>
                <w:szCs w:val="20"/>
                <w:color w:val="auto"/>
              </w:rPr>
            </w:pPr>
            <w:r>
              <w:rPr>
                <w:rFonts w:ascii="Arial" w:cs="Arial" w:eastAsia="Arial" w:hAnsi="Arial"/>
                <w:sz w:val="19"/>
                <w:szCs w:val="19"/>
                <w:color w:val="auto"/>
              </w:rPr>
              <w:t>0.8</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19"/>
                <w:szCs w:val="19"/>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line="209" w:lineRule="exact"/>
              <w:rPr>
                <w:sz w:val="20"/>
                <w:szCs w:val="20"/>
                <w:color w:val="auto"/>
              </w:rPr>
            </w:pPr>
            <w:r>
              <w:rPr>
                <w:rFonts w:ascii="Arial" w:cs="Arial" w:eastAsia="Arial" w:hAnsi="Arial"/>
                <w:sz w:val="19"/>
                <w:szCs w:val="19"/>
                <w:color w:val="auto"/>
              </w:rPr>
              <w:t>Balance at end of period</w:t>
            </w:r>
          </w:p>
        </w:tc>
        <w:tc>
          <w:tcPr>
            <w:tcW w:w="20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w:t>
            </w:r>
          </w:p>
        </w:tc>
        <w:tc>
          <w:tcPr>
            <w:tcW w:w="1720" w:type="dxa"/>
            <w:vAlign w:val="bottom"/>
            <w:gridSpan w:val="3"/>
          </w:tcPr>
          <w:p>
            <w:pPr>
              <w:jc w:val="right"/>
              <w:ind w:right="66"/>
              <w:spacing w:after="0" w:line="209" w:lineRule="exact"/>
              <w:rPr>
                <w:sz w:val="20"/>
                <w:szCs w:val="20"/>
                <w:color w:val="auto"/>
              </w:rPr>
            </w:pPr>
            <w:r>
              <w:rPr>
                <w:rFonts w:ascii="Arial" w:cs="Arial" w:eastAsia="Arial" w:hAnsi="Arial"/>
                <w:sz w:val="19"/>
                <w:szCs w:val="19"/>
                <w:color w:val="auto"/>
              </w:rPr>
              <w:t>(153.5 )</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0.5</w:t>
            </w:r>
          </w:p>
        </w:tc>
        <w:tc>
          <w:tcPr>
            <w:tcW w:w="220" w:type="dxa"/>
            <w:vAlign w:val="bottom"/>
          </w:tcPr>
          <w:p>
            <w:pPr>
              <w:spacing w:after="0"/>
              <w:rPr>
                <w:sz w:val="18"/>
                <w:szCs w:val="18"/>
                <w:color w:val="auto"/>
              </w:rPr>
            </w:pPr>
          </w:p>
        </w:tc>
        <w:tc>
          <w:tcPr>
            <w:tcW w:w="320" w:type="dxa"/>
            <w:vAlign w:val="bottom"/>
            <w:gridSpan w:val="2"/>
          </w:tcPr>
          <w:p>
            <w:pPr>
              <w:ind w:left="40"/>
              <w:spacing w:after="0" w:line="209" w:lineRule="exact"/>
              <w:rPr>
                <w:sz w:val="20"/>
                <w:szCs w:val="20"/>
                <w:color w:val="auto"/>
              </w:rPr>
            </w:pPr>
            <w:r>
              <w:rPr>
                <w:rFonts w:ascii="Arial" w:cs="Arial" w:eastAsia="Arial" w:hAnsi="Arial"/>
                <w:sz w:val="19"/>
                <w:szCs w:val="19"/>
                <w:color w:val="auto"/>
              </w:rPr>
              <w:t>$</w:t>
            </w:r>
          </w:p>
        </w:tc>
        <w:tc>
          <w:tcPr>
            <w:tcW w:w="1480" w:type="dxa"/>
            <w:vAlign w:val="bottom"/>
            <w:gridSpan w:val="2"/>
          </w:tcPr>
          <w:p>
            <w:pPr>
              <w:jc w:val="right"/>
              <w:spacing w:after="0" w:line="209" w:lineRule="exact"/>
              <w:rPr>
                <w:sz w:val="20"/>
                <w:szCs w:val="20"/>
                <w:color w:val="auto"/>
              </w:rPr>
            </w:pPr>
            <w:r>
              <w:rPr>
                <w:rFonts w:ascii="Arial" w:cs="Arial" w:eastAsia="Arial" w:hAnsi="Arial"/>
                <w:sz w:val="19"/>
                <w:szCs w:val="19"/>
                <w:color w:val="auto"/>
              </w:rPr>
              <w:t>(153.0 )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-4529455</wp:posOffset>
            </wp:positionV>
            <wp:extent cx="768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5837555</wp:posOffset>
            </wp:positionH>
            <wp:positionV relativeFrom="paragraph">
              <wp:posOffset>-4529455</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-4529455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-3289300</wp:posOffset>
            </wp:positionV>
            <wp:extent cx="768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5837555</wp:posOffset>
            </wp:positionH>
            <wp:positionV relativeFrom="paragraph">
              <wp:posOffset>-3289300</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-3289300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-1553210</wp:posOffset>
            </wp:positionV>
            <wp:extent cx="768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-1553210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-1553210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-1264920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-1247775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-1264920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-1247775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-1264920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-1247775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-167640</wp:posOffset>
            </wp:positionV>
            <wp:extent cx="768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-167640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-167640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60" w:lineRule="exact"/>
        <w:rPr>
          <w:sz w:val="20"/>
          <w:szCs w:val="20"/>
          <w:color w:val="auto"/>
        </w:rPr>
      </w:pPr>
    </w:p>
    <w:p>
      <w:pPr>
        <w:jc w:val="both"/>
        <w:ind w:left="380" w:right="180"/>
        <w:spacing w:after="0" w:line="253" w:lineRule="auto"/>
        <w:rPr>
          <w:sz w:val="20"/>
          <w:szCs w:val="20"/>
          <w:color w:val="auto"/>
        </w:rPr>
      </w:pPr>
      <w:r>
        <w:rPr>
          <w:rFonts w:ascii="Arial" w:cs="Arial" w:eastAsia="Arial" w:hAnsi="Arial"/>
          <w:sz w:val="19"/>
          <w:szCs w:val="19"/>
          <w:color w:val="auto"/>
        </w:rPr>
        <w:t>The $33.0 million, net of tax, other comprehensive loss before reclassifications in the Pension and Postretirement Benefit Plans for the six months ended June 30, 2022 is driven by the remeasurement of the funded status of the Company’s qualified pension plan, required as a result of a plan amendment that provided an enhanced benefit for eligible hourly employees.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ind w:left="40"/>
              <w:spacing w:after="0"/>
              <w:rPr>
                <w:sz w:val="20"/>
                <w:szCs w:val="20"/>
                <w:color w:val="auto"/>
              </w:rPr>
            </w:pPr>
            <w:r>
              <w:rPr>
                <w:rFonts w:ascii="Arial" w:cs="Arial" w:eastAsia="Arial" w:hAnsi="Arial"/>
                <w:sz w:val="20"/>
                <w:szCs w:val="20"/>
                <w:color w:val="auto"/>
                <w:w w:val="89"/>
              </w:rPr>
              <w:t>Pension and Postretirement Benefit Plans</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3220" w:type="dxa"/>
            <w:vAlign w:val="bottom"/>
            <w:gridSpan w:val="7"/>
          </w:tcPr>
          <w:p>
            <w:pPr>
              <w:jc w:val="right"/>
              <w:ind w:right="801"/>
              <w:spacing w:after="0" w:line="206" w:lineRule="exact"/>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17"/>
                <w:szCs w:val="17"/>
                <w:color w:val="auto"/>
              </w:rPr>
            </w:pPr>
          </w:p>
        </w:tc>
        <w:tc>
          <w:tcPr>
            <w:tcW w:w="2760" w:type="dxa"/>
            <w:vAlign w:val="bottom"/>
            <w:gridSpan w:val="4"/>
          </w:tcPr>
          <w:p>
            <w:pPr>
              <w:jc w:val="right"/>
              <w:ind w:right="701"/>
              <w:spacing w:after="0" w:line="206" w:lineRule="exact"/>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20"/>
                <w:szCs w:val="20"/>
                <w:color w:val="auto"/>
              </w:rPr>
              <w:t>June 30,</w:t>
            </w: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2021</w:t>
            </w:r>
          </w:p>
        </w:tc>
        <w:tc>
          <w:tcPr>
            <w:tcW w:w="240" w:type="dxa"/>
            <w:vAlign w:val="bottom"/>
            <w:vMerge w:val="restart"/>
          </w:tcPr>
          <w:p>
            <w:pPr>
              <w:jc w:val="right"/>
              <w:spacing w:after="0"/>
              <w:rPr>
                <w:sz w:val="20"/>
                <w:szCs w:val="20"/>
                <w:color w:val="auto"/>
              </w:rPr>
            </w:pPr>
            <w:r>
              <w:rPr>
                <w:rFonts w:ascii="Arial" w:cs="Arial" w:eastAsia="Arial" w:hAnsi="Arial"/>
                <w:sz w:val="20"/>
                <w:szCs w:val="20"/>
                <w:i w:val="1"/>
                <w:iCs w:val="1"/>
                <w:color w:val="auto"/>
              </w:rPr>
              <w:t>in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2022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7"/>
                <w:szCs w:val="17"/>
                <w:color w:val="auto"/>
              </w:rPr>
            </w:pPr>
          </w:p>
        </w:tc>
        <w:tc>
          <w:tcPr>
            <w:tcW w:w="1360" w:type="dxa"/>
            <w:vAlign w:val="bottom"/>
            <w:gridSpan w:val="2"/>
          </w:tcPr>
          <w:p>
            <w:pPr>
              <w:ind w:left="20"/>
              <w:spacing w:after="0" w:line="206" w:lineRule="exact"/>
              <w:rPr>
                <w:sz w:val="20"/>
                <w:szCs w:val="20"/>
                <w:color w:val="auto"/>
              </w:rPr>
            </w:pPr>
            <w:r>
              <w:rPr>
                <w:rFonts w:ascii="Arial" w:cs="Arial" w:eastAsia="Arial" w:hAnsi="Arial"/>
                <w:sz w:val="20"/>
                <w:szCs w:val="20"/>
                <w:i w:val="1"/>
                <w:iCs w:val="1"/>
                <w:color w:val="auto"/>
              </w:rPr>
              <w:t>Millions)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60" w:type="dxa"/>
            <w:vAlign w:val="bottom"/>
          </w:tcPr>
          <w:p>
            <w:pPr>
              <w:ind w:left="20"/>
              <w:spacing w:after="0"/>
              <w:rPr>
                <w:sz w:val="20"/>
                <w:szCs w:val="20"/>
                <w:color w:val="auto"/>
              </w:rPr>
            </w:pPr>
            <w:r>
              <w:rPr>
                <w:rFonts w:ascii="Arial" w:cs="Arial" w:eastAsia="Arial" w:hAnsi="Arial"/>
                <w:sz w:val="20"/>
                <w:szCs w:val="20"/>
                <w:color w:val="auto"/>
              </w:rPr>
              <w:t>Balance at beginning of period</w:t>
            </w:r>
          </w:p>
        </w:tc>
        <w:tc>
          <w:tcPr>
            <w:tcW w:w="940" w:type="dxa"/>
            <w:vAlign w:val="bottom"/>
          </w:tcPr>
          <w:p>
            <w:pPr>
              <w:jc w:val="right"/>
              <w:ind w:right="741"/>
              <w:spacing w:after="0"/>
              <w:rPr>
                <w:sz w:val="20"/>
                <w:szCs w:val="20"/>
                <w:color w:val="auto"/>
              </w:rPr>
            </w:pPr>
            <w:r>
              <w:rPr>
                <w:rFonts w:ascii="Arial" w:cs="Arial" w:eastAsia="Arial" w:hAnsi="Arial"/>
                <w:sz w:val="20"/>
                <w:szCs w:val="20"/>
                <w:color w:val="auto"/>
                <w:w w:val="71"/>
              </w:rPr>
              <w:t>$</w:t>
            </w:r>
          </w:p>
        </w:tc>
        <w:tc>
          <w:tcPr>
            <w:tcW w:w="420" w:type="dxa"/>
            <w:vAlign w:val="bottom"/>
          </w:tcPr>
          <w:p>
            <w:pPr>
              <w:jc w:val="right"/>
              <w:spacing w:after="0"/>
              <w:rPr>
                <w:sz w:val="20"/>
                <w:szCs w:val="20"/>
                <w:color w:val="auto"/>
              </w:rPr>
            </w:pPr>
            <w:r>
              <w:rPr>
                <w:rFonts w:ascii="Arial" w:cs="Arial" w:eastAsia="Arial" w:hAnsi="Arial"/>
                <w:sz w:val="20"/>
                <w:szCs w:val="20"/>
                <w:color w:val="auto"/>
                <w:w w:val="97"/>
              </w:rPr>
              <w:t>80.2</w:t>
            </w:r>
          </w:p>
        </w:tc>
        <w:tc>
          <w:tcPr>
            <w:tcW w:w="100" w:type="dxa"/>
            <w:vAlign w:val="bottom"/>
          </w:tcPr>
          <w:p>
            <w:pPr>
              <w:spacing w:after="0"/>
              <w:rPr>
                <w:sz w:val="21"/>
                <w:szCs w:val="21"/>
                <w:color w:val="auto"/>
              </w:rPr>
            </w:pPr>
          </w:p>
        </w:tc>
        <w:tc>
          <w:tcPr>
            <w:tcW w:w="5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88.7</w:t>
            </w:r>
          </w:p>
        </w:tc>
        <w:tc>
          <w:tcPr>
            <w:tcW w:w="2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69.7</w:t>
            </w:r>
          </w:p>
        </w:tc>
        <w:tc>
          <w:tcPr>
            <w:tcW w:w="26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Tax effect of other comprehensive (earnings) loss</w:t>
            </w:r>
          </w:p>
        </w:tc>
        <w:tc>
          <w:tcPr>
            <w:tcW w:w="9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(0.7 )</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1"/>
              <w:spacing w:after="0" w:line="229" w:lineRule="exact"/>
              <w:rPr>
                <w:sz w:val="20"/>
                <w:szCs w:val="20"/>
                <w:color w:val="auto"/>
              </w:rPr>
            </w:pPr>
            <w:r>
              <w:rPr>
                <w:rFonts w:ascii="Arial" w:cs="Arial" w:eastAsia="Arial" w:hAnsi="Arial"/>
                <w:sz w:val="20"/>
                <w:szCs w:val="20"/>
                <w:color w:val="auto"/>
              </w:rPr>
              <w:t>(0.8 )</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222"/>
        </w:trPr>
        <w:tc>
          <w:tcPr>
            <w:tcW w:w="486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Balance at end of period</w:t>
            </w:r>
          </w:p>
        </w:tc>
        <w:tc>
          <w:tcPr>
            <w:tcW w:w="940" w:type="dxa"/>
            <w:vAlign w:val="bottom"/>
            <w:tcBorders>
              <w:top w:val="single" w:sz="8" w:color="auto"/>
              <w:bottom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w w:val="71"/>
              </w:rPr>
              <w:t>$</w:t>
            </w:r>
          </w:p>
        </w:tc>
        <w:tc>
          <w:tcPr>
            <w:tcW w:w="4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7"/>
              </w:rPr>
              <w:t>79.5</w:t>
            </w: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87.9</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79.5</w:t>
            </w: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87.9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-175895</wp:posOffset>
            </wp:positionV>
            <wp:extent cx="768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-175895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-175895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right"/>
              <w:ind w:right="446"/>
              <w:spacing w:after="0"/>
              <w:rPr>
                <w:sz w:val="20"/>
                <w:szCs w:val="20"/>
                <w:color w:val="auto"/>
              </w:rPr>
            </w:pPr>
            <w:r>
              <w:rPr>
                <w:rFonts w:ascii="Arial" w:cs="Arial" w:eastAsia="Arial" w:hAnsi="Arial"/>
                <w:sz w:val="19"/>
                <w:szCs w:val="19"/>
                <w:color w:val="auto"/>
                <w:w w:val="94"/>
              </w:rPr>
              <w:t>Three Months Ended</w:t>
            </w:r>
          </w:p>
        </w:tc>
        <w:tc>
          <w:tcPr>
            <w:tcW w:w="200" w:type="dxa"/>
            <w:vAlign w:val="bottom"/>
          </w:tcPr>
          <w:p>
            <w:pPr>
              <w:spacing w:after="0"/>
              <w:rPr>
                <w:sz w:val="18"/>
                <w:szCs w:val="18"/>
                <w:color w:val="auto"/>
              </w:rPr>
            </w:pPr>
          </w:p>
        </w:tc>
        <w:tc>
          <w:tcPr>
            <w:tcW w:w="1740" w:type="dxa"/>
            <w:vAlign w:val="bottom"/>
            <w:gridSpan w:val="3"/>
          </w:tcPr>
          <w:p>
            <w:pPr>
              <w:jc w:val="right"/>
              <w:ind w:right="26"/>
              <w:spacing w:after="0"/>
              <w:rPr>
                <w:sz w:val="20"/>
                <w:szCs w:val="20"/>
                <w:color w:val="auto"/>
              </w:rPr>
            </w:pPr>
            <w:r>
              <w:rPr>
                <w:rFonts w:ascii="Arial" w:cs="Arial" w:eastAsia="Arial" w:hAnsi="Arial"/>
                <w:sz w:val="19"/>
                <w:szCs w:val="19"/>
                <w:color w:val="auto"/>
              </w:rPr>
              <w:t>Six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jc w:val="center"/>
              <w:ind w:left="26"/>
              <w:spacing w:after="0"/>
              <w:rPr>
                <w:sz w:val="20"/>
                <w:szCs w:val="20"/>
                <w:color w:val="auto"/>
              </w:rPr>
            </w:pPr>
            <w:r>
              <w:rPr>
                <w:rFonts w:ascii="Arial" w:cs="Arial" w:eastAsia="Arial" w:hAnsi="Arial"/>
                <w:sz w:val="19"/>
                <w:szCs w:val="19"/>
                <w:color w:val="auto"/>
                <w:w w:val="92"/>
              </w:rPr>
              <w:t>Affected line items in the</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9"/>
                <w:szCs w:val="19"/>
                <w:color w:val="auto"/>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jc w:val="center"/>
              <w:ind w:left="26"/>
              <w:spacing w:after="0"/>
              <w:rPr>
                <w:sz w:val="20"/>
                <w:szCs w:val="20"/>
                <w:color w:val="auto"/>
              </w:rPr>
            </w:pPr>
            <w:r>
              <w:rPr>
                <w:rFonts w:ascii="Arial" w:cs="Arial" w:eastAsia="Arial" w:hAnsi="Arial"/>
                <w:sz w:val="19"/>
                <w:szCs w:val="19"/>
                <w:color w:val="auto"/>
                <w:w w:val="88"/>
              </w:rPr>
              <w:t>consolidated statements of earnings</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6"/>
              <w:spacing w:after="0" w:line="209" w:lineRule="exact"/>
              <w:rPr>
                <w:sz w:val="20"/>
                <w:szCs w:val="20"/>
                <w:color w:val="auto"/>
              </w:rPr>
            </w:pPr>
            <w:r>
              <w:rPr>
                <w:rFonts w:ascii="Arial" w:cs="Arial" w:eastAsia="Arial" w:hAnsi="Arial"/>
                <w:sz w:val="19"/>
                <w:szCs w:val="19"/>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86"/>
              <w:spacing w:after="0" w:line="209" w:lineRule="exact"/>
              <w:rPr>
                <w:sz w:val="20"/>
                <w:szCs w:val="20"/>
                <w:color w:val="auto"/>
              </w:rPr>
            </w:pPr>
            <w:r>
              <w:rPr>
                <w:rFonts w:ascii="Arial" w:cs="Arial" w:eastAsia="Arial" w:hAnsi="Arial"/>
                <w:sz w:val="19"/>
                <w:szCs w:val="19"/>
                <w:color w:val="auto"/>
                <w:w w:val="99"/>
              </w:rPr>
              <w:t>2021</w:t>
            </w:r>
          </w:p>
        </w:tc>
        <w:tc>
          <w:tcPr>
            <w:tcW w:w="240" w:type="dxa"/>
            <w:vAlign w:val="bottom"/>
            <w:vMerge w:val="restart"/>
          </w:tcPr>
          <w:p>
            <w:pPr>
              <w:jc w:val="right"/>
              <w:spacing w:after="0"/>
              <w:rPr>
                <w:sz w:val="20"/>
                <w:szCs w:val="20"/>
                <w:color w:val="auto"/>
              </w:rPr>
            </w:pPr>
            <w:r>
              <w:rPr>
                <w:rFonts w:ascii="Arial" w:cs="Arial" w:eastAsia="Arial" w:hAnsi="Arial"/>
                <w:sz w:val="19"/>
                <w:szCs w:val="19"/>
                <w:i w:val="1"/>
                <w:iCs w:val="1"/>
                <w:color w:val="auto"/>
              </w:rPr>
              <w:t>in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6"/>
              <w:spacing w:after="0" w:line="209" w:lineRule="exact"/>
              <w:rPr>
                <w:sz w:val="20"/>
                <w:szCs w:val="20"/>
                <w:color w:val="auto"/>
              </w:rPr>
            </w:pPr>
            <w:r>
              <w:rPr>
                <w:rFonts w:ascii="Arial" w:cs="Arial" w:eastAsia="Arial" w:hAnsi="Arial"/>
                <w:sz w:val="19"/>
                <w:szCs w:val="19"/>
                <w:color w:val="auto"/>
              </w:rPr>
              <w:t>2022</w:t>
            </w: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tcPr>
          <w:p>
            <w:pPr>
              <w:jc w:val="center"/>
              <w:ind w:left="46"/>
              <w:spacing w:after="0" w:line="209" w:lineRule="exact"/>
              <w:rPr>
                <w:sz w:val="20"/>
                <w:szCs w:val="20"/>
                <w:color w:val="auto"/>
              </w:rPr>
            </w:pPr>
            <w:r>
              <w:rPr>
                <w:rFonts w:ascii="Arial" w:cs="Arial" w:eastAsia="Arial" w:hAnsi="Arial"/>
                <w:sz w:val="19"/>
                <w:szCs w:val="19"/>
                <w:color w:val="auto"/>
                <w:w w:val="87"/>
              </w:rPr>
              <w:t>and comprehensive earnings</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line="209" w:lineRule="exact"/>
              <w:rPr>
                <w:sz w:val="20"/>
                <w:szCs w:val="20"/>
                <w:color w:val="auto"/>
              </w:rPr>
            </w:pPr>
            <w:r>
              <w:rPr>
                <w:rFonts w:ascii="Arial" w:cs="Arial" w:eastAsia="Arial" w:hAnsi="Arial"/>
                <w:sz w:val="19"/>
                <w:szCs w:val="19"/>
                <w:i w:val="1"/>
                <w:iCs w:val="1"/>
                <w:color w:val="auto"/>
              </w:rPr>
              <w:t>(Dollars</w:t>
            </w:r>
          </w:p>
        </w:tc>
        <w:tc>
          <w:tcPr>
            <w:tcW w:w="240" w:type="dxa"/>
            <w:vAlign w:val="bottom"/>
            <w:vMerge w:val="continue"/>
          </w:tcPr>
          <w:p>
            <w:pPr>
              <w:spacing w:after="0"/>
              <w:rPr>
                <w:sz w:val="18"/>
                <w:szCs w:val="18"/>
                <w:color w:val="auto"/>
              </w:rPr>
            </w:pPr>
          </w:p>
        </w:tc>
        <w:tc>
          <w:tcPr>
            <w:tcW w:w="960" w:type="dxa"/>
            <w:vAlign w:val="bottom"/>
            <w:gridSpan w:val="2"/>
          </w:tcPr>
          <w:p>
            <w:pPr>
              <w:spacing w:after="0" w:line="209" w:lineRule="exact"/>
              <w:rPr>
                <w:sz w:val="20"/>
                <w:szCs w:val="20"/>
                <w:color w:val="auto"/>
              </w:rPr>
            </w:pPr>
            <w:r>
              <w:rPr>
                <w:rFonts w:ascii="Arial" w:cs="Arial" w:eastAsia="Arial" w:hAnsi="Arial"/>
                <w:sz w:val="19"/>
                <w:szCs w:val="19"/>
                <w:i w:val="1"/>
                <w:iCs w:val="1"/>
                <w:color w:val="auto"/>
              </w:rPr>
              <w:t>Millions)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80" w:type="dxa"/>
            <w:vAlign w:val="bottom"/>
            <w:shd w:val="clear" w:color="auto" w:fill="CFF0FC"/>
          </w:tcPr>
          <w:p>
            <w:pPr>
              <w:ind w:left="20"/>
              <w:spacing w:after="0" w:line="166" w:lineRule="exact"/>
              <w:rPr>
                <w:sz w:val="20"/>
                <w:szCs w:val="20"/>
                <w:color w:val="auto"/>
              </w:rPr>
            </w:pPr>
            <w:r>
              <w:rPr>
                <w:rFonts w:ascii="Arial" w:cs="Arial" w:eastAsia="Arial" w:hAnsi="Arial"/>
                <w:sz w:val="19"/>
                <w:szCs w:val="19"/>
                <w:color w:val="auto"/>
              </w:rPr>
              <w:t>Pension and postretirement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80" w:type="dxa"/>
            <w:vAlign w:val="bottom"/>
            <w:shd w:val="clear" w:color="auto" w:fill="CFF0FC"/>
          </w:tcPr>
          <w:p>
            <w:pPr>
              <w:ind w:left="160"/>
              <w:spacing w:after="0"/>
              <w:rPr>
                <w:sz w:val="20"/>
                <w:szCs w:val="20"/>
                <w:color w:val="auto"/>
              </w:rPr>
            </w:pPr>
            <w:r>
              <w:rPr>
                <w:rFonts w:ascii="Arial" w:cs="Arial" w:eastAsia="Arial" w:hAnsi="Arial"/>
                <w:sz w:val="19"/>
                <w:szCs w:val="19"/>
                <w:color w:val="auto"/>
              </w:rPr>
              <w:t>benefit plans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980" w:type="dxa"/>
            <w:vAlign w:val="bottom"/>
          </w:tcPr>
          <w:p>
            <w:pPr>
              <w:ind w:left="200"/>
              <w:spacing w:after="0"/>
              <w:rPr>
                <w:sz w:val="20"/>
                <w:szCs w:val="20"/>
                <w:color w:val="auto"/>
              </w:rPr>
            </w:pPr>
            <w:r>
              <w:rPr>
                <w:rFonts w:ascii="Arial" w:cs="Arial" w:eastAsia="Arial" w:hAnsi="Arial"/>
                <w:sz w:val="19"/>
                <w:szCs w:val="19"/>
                <w:color w:val="auto"/>
              </w:rPr>
              <w:t>Amortization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980" w:type="dxa"/>
            <w:vAlign w:val="bottom"/>
            <w:shd w:val="clear" w:color="auto" w:fill="CFF0FC"/>
          </w:tcPr>
          <w:p>
            <w:pPr>
              <w:ind w:left="380"/>
              <w:spacing w:after="0"/>
              <w:rPr>
                <w:sz w:val="20"/>
                <w:szCs w:val="20"/>
                <w:color w:val="auto"/>
              </w:rPr>
            </w:pPr>
            <w:r>
              <w:rPr>
                <w:rFonts w:ascii="Arial" w:cs="Arial" w:eastAsia="Arial" w:hAnsi="Arial"/>
                <w:sz w:val="19"/>
                <w:szCs w:val="19"/>
                <w:color w:val="auto"/>
              </w:rPr>
              <w:t>Prior service cost</w:t>
            </w:r>
          </w:p>
        </w:tc>
        <w:tc>
          <w:tcPr>
            <w:tcW w:w="220" w:type="dxa"/>
            <w:vAlign w:val="bottom"/>
            <w:shd w:val="clear" w:color="auto" w:fill="CFF0FC"/>
          </w:tcPr>
          <w:p>
            <w:pPr>
              <w:jc w:val="right"/>
              <w:ind w:right="6"/>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w:t>
            </w: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0.1</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9"/>
                <w:szCs w:val="19"/>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24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546"/>
              <w:spacing w:after="0"/>
              <w:rPr>
                <w:sz w:val="20"/>
                <w:szCs w:val="20"/>
                <w:color w:val="auto"/>
              </w:rPr>
            </w:pPr>
            <w:r>
              <w:rPr>
                <w:rFonts w:ascii="Arial" w:cs="Arial" w:eastAsia="Arial" w:hAnsi="Arial"/>
                <w:sz w:val="19"/>
                <w:szCs w:val="19"/>
                <w:color w:val="auto"/>
                <w:w w:val="75"/>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34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980" w:type="dxa"/>
            <w:vAlign w:val="bottom"/>
            <w:vMerge w:val="restart"/>
          </w:tcPr>
          <w:p>
            <w:pPr>
              <w:ind w:left="380"/>
              <w:spacing w:after="0"/>
              <w:rPr>
                <w:sz w:val="20"/>
                <w:szCs w:val="20"/>
                <w:color w:val="auto"/>
              </w:rPr>
            </w:pPr>
            <w:r>
              <w:rPr>
                <w:rFonts w:ascii="Arial" w:cs="Arial" w:eastAsia="Arial" w:hAnsi="Arial"/>
                <w:sz w:val="19"/>
                <w:szCs w:val="19"/>
                <w:color w:val="auto"/>
              </w:rPr>
              <w:t>Actuarial loss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color w:val="auto"/>
              </w:rPr>
              <w:t>6.1</w:t>
            </w: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980" w:type="dxa"/>
            <w:vAlign w:val="bottom"/>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rPr>
              <w:t>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rPr>
              <w:t>2.9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rPr>
              <w:t>4.0</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09" w:lineRule="exact"/>
              <w:rPr>
                <w:sz w:val="20"/>
                <w:szCs w:val="20"/>
                <w:color w:val="auto"/>
              </w:rPr>
            </w:pPr>
            <w:r>
              <w:rPr>
                <w:rFonts w:ascii="Arial" w:cs="Arial" w:eastAsia="Arial" w:hAnsi="Arial"/>
                <w:sz w:val="19"/>
                <w:szCs w:val="19"/>
                <w:color w:val="auto"/>
              </w:rPr>
              <w:t>6.1</w:t>
            </w:r>
          </w:p>
        </w:tc>
        <w:tc>
          <w:tcPr>
            <w:tcW w:w="10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line="209" w:lineRule="exact"/>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391"/>
        </w:trPr>
        <w:tc>
          <w:tcPr>
            <w:tcW w:w="2980" w:type="dxa"/>
            <w:vAlign w:val="bottom"/>
          </w:tcPr>
          <w:p>
            <w:pPr>
              <w:ind w:left="200"/>
              <w:spacing w:after="0"/>
              <w:rPr>
                <w:sz w:val="20"/>
                <w:szCs w:val="20"/>
                <w:color w:val="auto"/>
              </w:rPr>
            </w:pPr>
            <w:r>
              <w:rPr>
                <w:rFonts w:ascii="Arial" w:cs="Arial" w:eastAsia="Arial" w:hAnsi="Arial"/>
                <w:sz w:val="19"/>
                <w:szCs w:val="19"/>
                <w:color w:val="auto"/>
              </w:rPr>
              <w:t>Tax benefit</w:t>
            </w:r>
          </w:p>
        </w:tc>
        <w:tc>
          <w:tcPr>
            <w:tcW w:w="2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9"/>
                <w:szCs w:val="19"/>
                <w:color w:val="auto"/>
              </w:rPr>
              <w:t>(0.6 )</w:t>
            </w:r>
          </w:p>
        </w:tc>
        <w:tc>
          <w:tcPr>
            <w:tcW w:w="240" w:type="dxa"/>
            <w:vAlign w:val="bottom"/>
          </w:tcPr>
          <w:p>
            <w:pPr>
              <w:spacing w:after="0"/>
              <w:rPr>
                <w:sz w:val="24"/>
                <w:szCs w:val="24"/>
                <w:color w:val="auto"/>
              </w:rPr>
            </w:pPr>
          </w:p>
        </w:tc>
        <w:tc>
          <w:tcPr>
            <w:tcW w:w="960" w:type="dxa"/>
            <w:vAlign w:val="bottom"/>
            <w:gridSpan w:val="2"/>
          </w:tcPr>
          <w:p>
            <w:pPr>
              <w:jc w:val="right"/>
              <w:ind w:right="66"/>
              <w:spacing w:after="0"/>
              <w:rPr>
                <w:sz w:val="20"/>
                <w:szCs w:val="20"/>
                <w:color w:val="auto"/>
              </w:rPr>
            </w:pPr>
            <w:r>
              <w:rPr>
                <w:rFonts w:ascii="Arial" w:cs="Arial" w:eastAsia="Arial" w:hAnsi="Arial"/>
                <w:sz w:val="19"/>
                <w:szCs w:val="19"/>
                <w:color w:val="auto"/>
              </w:rPr>
              <w:t>(0.8 )</w:t>
            </w: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9"/>
                <w:szCs w:val="19"/>
                <w:color w:val="auto"/>
              </w:rPr>
              <w:t>(1.0 )</w:t>
            </w:r>
          </w:p>
        </w:tc>
        <w:tc>
          <w:tcPr>
            <w:tcW w:w="7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9"/>
                <w:szCs w:val="19"/>
                <w:color w:val="auto"/>
                <w:w w:val="85"/>
              </w:rPr>
              <w:t>(1.5 )</w:t>
            </w:r>
          </w:p>
        </w:tc>
        <w:tc>
          <w:tcPr>
            <w:tcW w:w="3440" w:type="dxa"/>
            <w:vAlign w:val="bottom"/>
          </w:tcPr>
          <w:p>
            <w:pPr>
              <w:ind w:left="140"/>
              <w:spacing w:after="0"/>
              <w:rPr>
                <w:sz w:val="20"/>
                <w:szCs w:val="20"/>
                <w:color w:val="auto"/>
              </w:rPr>
            </w:pPr>
            <w:r>
              <w:rPr>
                <w:rFonts w:ascii="Arial" w:cs="Arial" w:eastAsia="Arial" w:hAnsi="Arial"/>
                <w:sz w:val="19"/>
                <w:szCs w:val="19"/>
                <w:color w:val="auto"/>
              </w:rPr>
              <w:t>Income tax expense</w:t>
            </w:r>
          </w:p>
        </w:tc>
        <w:tc>
          <w:tcPr>
            <w:tcW w:w="0" w:type="dxa"/>
            <w:vAlign w:val="bottom"/>
          </w:tcPr>
          <w:p>
            <w:pPr>
              <w:spacing w:after="0"/>
              <w:rPr>
                <w:sz w:val="1"/>
                <w:szCs w:val="1"/>
                <w:color w:val="auto"/>
              </w:rPr>
            </w:pPr>
          </w:p>
        </w:tc>
      </w:tr>
      <w:tr>
        <w:trPr>
          <w:trHeight w:val="292"/>
        </w:trPr>
        <w:tc>
          <w:tcPr>
            <w:tcW w:w="298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9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1.7</w:t>
            </w:r>
          </w:p>
        </w:tc>
        <w:tc>
          <w:tcPr>
            <w:tcW w:w="260" w:type="dxa"/>
            <w:vAlign w:val="bottom"/>
            <w:shd w:val="clear" w:color="auto" w:fill="CFF0FC"/>
          </w:tcPr>
          <w:p>
            <w:pPr>
              <w:spacing w:after="0"/>
              <w:rPr>
                <w:sz w:val="24"/>
                <w:szCs w:val="24"/>
                <w:color w:val="auto"/>
              </w:rPr>
            </w:pPr>
          </w:p>
        </w:tc>
        <w:tc>
          <w:tcPr>
            <w:tcW w:w="24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24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9"/>
                <w:szCs w:val="19"/>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w:t>
            </w:r>
          </w:p>
        </w:tc>
        <w:tc>
          <w:tcPr>
            <w:tcW w:w="240" w:type="dxa"/>
            <w:vAlign w:val="bottom"/>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9"/>
                <w:szCs w:val="19"/>
                <w:color w:val="auto"/>
                <w:w w:val="75"/>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4.6</w:t>
            </w:r>
          </w:p>
        </w:tc>
        <w:tc>
          <w:tcPr>
            <w:tcW w:w="100" w:type="dxa"/>
            <w:vAlign w:val="bottom"/>
            <w:shd w:val="clear" w:color="auto" w:fill="CFF0FC"/>
          </w:tcPr>
          <w:p>
            <w:pPr>
              <w:spacing w:after="0"/>
              <w:rPr>
                <w:sz w:val="24"/>
                <w:szCs w:val="24"/>
                <w:color w:val="auto"/>
              </w:rPr>
            </w:pPr>
          </w:p>
        </w:tc>
        <w:tc>
          <w:tcPr>
            <w:tcW w:w="34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9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auto"/>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4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99" w:lineRule="exact"/>
        <w:rPr>
          <w:sz w:val="20"/>
          <w:szCs w:val="20"/>
          <w:color w:val="auto"/>
        </w:rPr>
      </w:pPr>
    </w:p>
    <w:p>
      <w:pPr>
        <w:jc w:val="both"/>
        <w:ind w:left="380"/>
        <w:spacing w:after="0" w:line="251" w:lineRule="auto"/>
        <w:rPr>
          <w:sz w:val="20"/>
          <w:szCs w:val="20"/>
          <w:color w:val="auto"/>
        </w:rPr>
      </w:pPr>
      <w:r>
        <w:rPr>
          <w:rFonts w:ascii="Arial" w:cs="Arial" w:eastAsia="Arial" w:hAnsi="Arial"/>
          <w:sz w:val="18"/>
          <w:szCs w:val="18"/>
          <w:color w:val="auto"/>
        </w:rPr>
        <w:t>The numerator for basic and diluted earnings per common share is net earnings attributable to Martin Marietta reduced by dividends and undistributed earnings attributable to certain of the Company’s stock-based compensation arrangements.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 months ended June 30, 2022 and 2021, the diluted per-share computations reflect the number of common shares outstanding to include the number of additional shares that would have been outstanding if the potentially dilutive common shares had been issued.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ind w:left="380" w:right="300"/>
        <w:spacing w:after="0" w:line="245" w:lineRule="auto"/>
        <w:rPr>
          <w:sz w:val="20"/>
          <w:szCs w:val="20"/>
          <w:color w:val="auto"/>
        </w:rPr>
      </w:pPr>
      <w:r>
        <w:rPr>
          <w:rFonts w:ascii="Arial" w:cs="Arial" w:eastAsia="Arial" w:hAnsi="Arial"/>
          <w:sz w:val="20"/>
          <w:szCs w:val="20"/>
          <w:color w:val="auto"/>
        </w:rPr>
        <w:t>The following table reconciles the numerator and denominator for basic and diluted earnings from continuing operations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4"/>
          </w:tcPr>
          <w:p>
            <w:pPr>
              <w:jc w:val="right"/>
              <w:ind w:right="381"/>
              <w:spacing w:after="0"/>
              <w:rPr>
                <w:sz w:val="20"/>
                <w:szCs w:val="20"/>
                <w:color w:val="auto"/>
              </w:rPr>
            </w:pPr>
            <w:r>
              <w:rPr>
                <w:rFonts w:ascii="Arial" w:cs="Arial" w:eastAsia="Arial" w:hAnsi="Arial"/>
                <w:sz w:val="20"/>
                <w:szCs w:val="20"/>
                <w:color w:val="auto"/>
              </w:rPr>
              <w:t>Three Months Ended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461"/>
              <w:spacing w:after="0"/>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2022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w w:val="98"/>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81"/>
              <w:spacing w:after="0" w:line="223" w:lineRule="exact"/>
              <w:rPr>
                <w:sz w:val="20"/>
                <w:szCs w:val="20"/>
                <w:color w:val="auto"/>
              </w:rPr>
            </w:pPr>
            <w:r>
              <w:rPr>
                <w:rFonts w:ascii="Arial" w:cs="Arial" w:eastAsia="Arial" w:hAnsi="Arial"/>
                <w:sz w:val="20"/>
                <w:szCs w:val="20"/>
                <w:i w:val="1"/>
                <w:iCs w:val="1"/>
                <w:color w:val="auto"/>
              </w:rPr>
              <w:t>(In</w:t>
            </w:r>
          </w:p>
        </w:tc>
        <w:tc>
          <w:tcPr>
            <w:tcW w:w="1340" w:type="dxa"/>
            <w:vAlign w:val="bottom"/>
            <w:gridSpan w:val="3"/>
          </w:tcPr>
          <w:p>
            <w:pPr>
              <w:jc w:val="center"/>
              <w:ind w:right="661"/>
              <w:spacing w:after="0" w:line="223" w:lineRule="exact"/>
              <w:rPr>
                <w:sz w:val="20"/>
                <w:szCs w:val="20"/>
                <w:color w:val="auto"/>
              </w:rPr>
            </w:pPr>
            <w:r>
              <w:rPr>
                <w:rFonts w:ascii="Arial" w:cs="Arial" w:eastAsia="Arial" w:hAnsi="Arial"/>
                <w:sz w:val="20"/>
                <w:szCs w:val="20"/>
                <w:i w:val="1"/>
                <w:iCs w:val="1"/>
                <w:color w:val="auto"/>
                <w:w w:val="79"/>
              </w:rPr>
              <w:t>Millions)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72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Net earnings from continuing operations attributable to</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7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Martin Marietta</w:t>
            </w:r>
          </w:p>
        </w:tc>
        <w:tc>
          <w:tcPr>
            <w:tcW w:w="2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353.2</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225.8</w:t>
            </w:r>
          </w:p>
        </w:tc>
        <w:tc>
          <w:tcPr>
            <w:tcW w:w="460" w:type="dxa"/>
            <w:vAlign w:val="bottom"/>
            <w:gridSpan w:val="2"/>
            <w:shd w:val="clear" w:color="auto" w:fill="CFF0FC"/>
          </w:tcPr>
          <w:p>
            <w:pPr>
              <w:jc w:val="center"/>
              <w:ind w:lef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377.7</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5720" w:type="dxa"/>
            <w:vAlign w:val="bottom"/>
          </w:tcPr>
          <w:p>
            <w:pPr>
              <w:ind w:left="20"/>
              <w:spacing w:after="0" w:line="185" w:lineRule="exact"/>
              <w:rPr>
                <w:sz w:val="20"/>
                <w:szCs w:val="20"/>
                <w:color w:val="auto"/>
              </w:rPr>
            </w:pPr>
            <w:r>
              <w:rPr>
                <w:rFonts w:ascii="Arial" w:cs="Arial" w:eastAsia="Arial" w:hAnsi="Arial"/>
                <w:sz w:val="20"/>
                <w:szCs w:val="20"/>
                <w:color w:val="auto"/>
              </w:rPr>
              <w:t>Less: Distributed and undistributed earnings</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0.2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160"/>
              <w:spacing w:after="0"/>
              <w:rPr>
                <w:sz w:val="20"/>
                <w:szCs w:val="20"/>
                <w:color w:val="auto"/>
              </w:rPr>
            </w:pPr>
            <w:r>
              <w:rPr>
                <w:rFonts w:ascii="Arial" w:cs="Arial" w:eastAsia="Arial" w:hAnsi="Arial"/>
                <w:sz w:val="20"/>
                <w:szCs w:val="20"/>
                <w:color w:val="auto"/>
              </w:rPr>
              <w:t>attributable to unvested awards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720" w:type="dxa"/>
            <w:vAlign w:val="bottom"/>
            <w:shd w:val="clear" w:color="auto" w:fill="CFF0FC"/>
          </w:tcPr>
          <w:p>
            <w:pPr>
              <w:ind w:left="20"/>
              <w:spacing w:after="0" w:line="179" w:lineRule="exact"/>
              <w:rPr>
                <w:sz w:val="20"/>
                <w:szCs w:val="20"/>
                <w:color w:val="auto"/>
              </w:rPr>
            </w:pPr>
            <w:r>
              <w:rPr>
                <w:rFonts w:ascii="Arial" w:cs="Arial" w:eastAsia="Arial" w:hAnsi="Arial"/>
                <w:sz w:val="20"/>
                <w:szCs w:val="20"/>
                <w:color w:val="auto"/>
              </w:rPr>
              <w:t>Basic and diluted net earnings from continuing operations</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20" w:type="dxa"/>
            <w:vAlign w:val="bottom"/>
            <w:shd w:val="clear" w:color="auto" w:fill="CFF0FC"/>
          </w:tcPr>
          <w:p>
            <w:pPr>
              <w:ind w:left="160"/>
              <w:spacing w:after="0" w:line="202" w:lineRule="exact"/>
              <w:rPr>
                <w:sz w:val="20"/>
                <w:szCs w:val="20"/>
                <w:color w:val="auto"/>
              </w:rPr>
            </w:pPr>
            <w:r>
              <w:rPr>
                <w:rFonts w:ascii="Arial" w:cs="Arial" w:eastAsia="Arial" w:hAnsi="Arial"/>
                <w:sz w:val="20"/>
                <w:szCs w:val="20"/>
                <w:color w:val="auto"/>
              </w:rPr>
              <w:t>available to common shareholders attributable to</w:t>
            </w:r>
          </w:p>
        </w:tc>
        <w:tc>
          <w:tcPr>
            <w:tcW w:w="240" w:type="dxa"/>
            <w:vAlign w:val="bottom"/>
            <w:vMerge w:val="restart"/>
            <w:shd w:val="clear" w:color="auto" w:fill="CFF0FC"/>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353.2</w:t>
            </w:r>
          </w:p>
        </w:tc>
        <w:tc>
          <w:tcPr>
            <w:tcW w:w="6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225.6</w:t>
            </w:r>
          </w:p>
        </w:tc>
        <w:tc>
          <w:tcPr>
            <w:tcW w:w="460" w:type="dxa"/>
            <w:vAlign w:val="bottom"/>
            <w:gridSpan w:val="2"/>
            <w:vMerge w:val="restart"/>
            <w:shd w:val="clear" w:color="auto" w:fill="CFF0FC"/>
          </w:tcPr>
          <w:p>
            <w:pPr>
              <w:jc w:val="center"/>
              <w:ind w:left="21"/>
              <w:spacing w:after="0"/>
              <w:rPr>
                <w:sz w:val="20"/>
                <w:szCs w:val="20"/>
                <w:color w:val="auto"/>
              </w:rPr>
            </w:pPr>
            <w:r>
              <w:rPr>
                <w:rFonts w:ascii="Arial" w:cs="Arial" w:eastAsia="Arial" w:hAnsi="Arial"/>
                <w:sz w:val="20"/>
                <w:szCs w:val="20"/>
                <w:color w:val="auto"/>
                <w:w w:val="8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377.7</w:t>
            </w:r>
          </w:p>
        </w:tc>
        <w:tc>
          <w:tcPr>
            <w:tcW w:w="5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720" w:type="dxa"/>
            <w:vAlign w:val="bottom"/>
            <w:shd w:val="clear" w:color="auto" w:fill="CFF0FC"/>
          </w:tcPr>
          <w:p>
            <w:pPr>
              <w:ind w:left="160"/>
              <w:spacing w:after="0" w:line="206" w:lineRule="exact"/>
              <w:rPr>
                <w:sz w:val="20"/>
                <w:szCs w:val="20"/>
                <w:color w:val="auto"/>
              </w:rPr>
            </w:pPr>
            <w:r>
              <w:rPr>
                <w:rFonts w:ascii="Arial" w:cs="Arial" w:eastAsia="Arial" w:hAnsi="Arial"/>
                <w:sz w:val="20"/>
                <w:szCs w:val="20"/>
                <w:color w:val="auto"/>
              </w:rPr>
              <w:t>Martin Marietta</w:t>
            </w:r>
          </w:p>
        </w:tc>
        <w:tc>
          <w:tcPr>
            <w:tcW w:w="240" w:type="dxa"/>
            <w:vAlign w:val="bottom"/>
            <w:vMerge w:val="continue"/>
            <w:shd w:val="clear" w:color="auto" w:fill="CFF0FC"/>
          </w:tcPr>
          <w:p>
            <w:pPr>
              <w:spacing w:after="0"/>
              <w:rPr>
                <w:sz w:val="21"/>
                <w:szCs w:val="21"/>
                <w:color w:val="auto"/>
              </w:rPr>
            </w:pPr>
          </w:p>
        </w:tc>
        <w:tc>
          <w:tcPr>
            <w:tcW w:w="880" w:type="dxa"/>
            <w:vAlign w:val="bottom"/>
            <w:vMerge w:val="continue"/>
            <w:shd w:val="clear" w:color="auto" w:fill="CFF0FC"/>
          </w:tcPr>
          <w:p>
            <w:pPr>
              <w:spacing w:after="0"/>
              <w:rPr>
                <w:sz w:val="21"/>
                <w:szCs w:val="21"/>
                <w:color w:val="auto"/>
              </w:rPr>
            </w:pPr>
          </w:p>
        </w:tc>
        <w:tc>
          <w:tcPr>
            <w:tcW w:w="600" w:type="dxa"/>
            <w:vAlign w:val="bottom"/>
            <w:gridSpan w:val="2"/>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460" w:type="dxa"/>
            <w:vAlign w:val="bottom"/>
            <w:gridSpan w:val="2"/>
            <w:vMerge w:val="continue"/>
            <w:shd w:val="clear" w:color="auto" w:fill="CFF0FC"/>
          </w:tcPr>
          <w:p>
            <w:pPr>
              <w:spacing w:after="0"/>
              <w:rPr>
                <w:sz w:val="21"/>
                <w:szCs w:val="21"/>
                <w:color w:val="auto"/>
              </w:rPr>
            </w:pPr>
          </w:p>
        </w:tc>
        <w:tc>
          <w:tcPr>
            <w:tcW w:w="880" w:type="dxa"/>
            <w:vAlign w:val="bottom"/>
            <w:vMerge w:val="continue"/>
            <w:shd w:val="clear" w:color="auto" w:fill="CFF0FC"/>
          </w:tcPr>
          <w:p>
            <w:pPr>
              <w:spacing w:after="0"/>
              <w:rPr>
                <w:sz w:val="21"/>
                <w:szCs w:val="21"/>
                <w:color w:val="auto"/>
              </w:rPr>
            </w:pPr>
          </w:p>
        </w:tc>
        <w:tc>
          <w:tcPr>
            <w:tcW w:w="560" w:type="dxa"/>
            <w:vAlign w:val="bottom"/>
            <w:gridSpan w:val="2"/>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Basic weighted-average common shares outstanding</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62.4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62.4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line="229" w:lineRule="exact"/>
              <w:rPr>
                <w:sz w:val="20"/>
                <w:szCs w:val="20"/>
                <w:color w:val="auto"/>
              </w:rPr>
            </w:pPr>
            <w:r>
              <w:rPr>
                <w:rFonts w:ascii="Arial" w:cs="Arial" w:eastAsia="Arial" w:hAnsi="Arial"/>
                <w:sz w:val="20"/>
                <w:szCs w:val="20"/>
                <w:color w:val="auto"/>
              </w:rPr>
              <w:t>Effect of dilutive employee and director awards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0.1</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0.1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0.2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72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Diluted weighted-average common shares outstanding</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62.5</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62.5</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62.6</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62.5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-640715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-623570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-640715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-623570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-640715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-623570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-640715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-623570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99" w:lineRule="exact"/>
        <w:rPr>
          <w:sz w:val="20"/>
          <w:szCs w:val="20"/>
          <w:color w:val="auto"/>
        </w:rPr>
      </w:pPr>
    </w:p>
    <w:p>
      <w:pPr>
        <w:jc w:val="both"/>
        <w:ind w:left="380"/>
        <w:spacing w:after="0" w:line="266" w:lineRule="auto"/>
        <w:rPr>
          <w:sz w:val="20"/>
          <w:szCs w:val="20"/>
          <w:color w:val="auto"/>
        </w:rPr>
      </w:pPr>
      <w:r>
        <w:rPr>
          <w:rFonts w:ascii="Arial" w:cs="Arial" w:eastAsia="Arial" w:hAnsi="Arial"/>
          <w:sz w:val="18"/>
          <w:szCs w:val="18"/>
          <w:color w:val="auto"/>
        </w:rPr>
        <w:t>At December 31, 2021, the Company had restricted cash of $0.5 million, which was invested in an account designated for the purchase of like-kind exchange replacement assets under Section 1031 of the Internal Revenue Code and related IRS procedures (Section 1031). The Company was restricted from utilizing the cash for purposes other than the purchase of the qualified assets for a designated period from receipt of the proceeds from the sale of the exchanged property. There was no restricted cash at June 30, 2022.</w:t>
      </w:r>
    </w:p>
    <w:p>
      <w:pPr>
        <w:spacing w:after="0" w:line="52" w:lineRule="exact"/>
        <w:rPr>
          <w:sz w:val="20"/>
          <w:szCs w:val="20"/>
          <w:color w:val="auto"/>
        </w:rPr>
      </w:pPr>
    </w:p>
    <w:p>
      <w:pPr>
        <w:jc w:val="both"/>
        <w:ind w:left="380"/>
        <w:spacing w:after="0" w:line="245" w:lineRule="auto"/>
        <w:rPr>
          <w:sz w:val="20"/>
          <w:szCs w:val="20"/>
          <w:color w:val="auto"/>
        </w:rPr>
      </w:pPr>
      <w:r>
        <w:rPr>
          <w:rFonts w:ascii="Arial" w:cs="Arial" w:eastAsia="Arial" w:hAnsi="Arial"/>
          <w:sz w:val="20"/>
          <w:szCs w:val="20"/>
          <w:color w:val="auto"/>
        </w:rPr>
        <w:t xml:space="preserve">In connection with Accounting Standards Update 2016-18, </w:t>
      </w:r>
      <w:r>
        <w:rPr>
          <w:rFonts w:ascii="Arial" w:cs="Arial" w:eastAsia="Arial" w:hAnsi="Arial"/>
          <w:sz w:val="20"/>
          <w:szCs w:val="20"/>
          <w:i w:val="1"/>
          <w:iCs w:val="1"/>
          <w:color w:val="auto"/>
        </w:rPr>
        <w:t>Statement of Cash Flows (Topic 230),</w:t>
      </w:r>
      <w:r>
        <w:rPr>
          <w:rFonts w:ascii="Arial" w:cs="Arial" w:eastAsia="Arial" w:hAnsi="Arial"/>
          <w:sz w:val="20"/>
          <w:szCs w:val="20"/>
          <w:color w:val="auto"/>
        </w:rPr>
        <w:t xml:space="preserve"> the statement of cash flows reflects cash flow changes and balances for cash, cash equivalents and restricted cash on an aggregated basis.</w:t>
      </w:r>
    </w:p>
    <w:p>
      <w:pPr>
        <w:spacing w:after="0" w:line="69" w:lineRule="exact"/>
        <w:rPr>
          <w:sz w:val="20"/>
          <w:szCs w:val="20"/>
          <w:color w:val="auto"/>
        </w:rPr>
      </w:pPr>
    </w:p>
    <w:p>
      <w:pPr>
        <w:jc w:val="both"/>
        <w:ind w:left="380" w:right="20"/>
        <w:spacing w:after="0" w:line="245" w:lineRule="auto"/>
        <w:rPr>
          <w:sz w:val="20"/>
          <w:szCs w:val="20"/>
          <w:color w:val="auto"/>
        </w:rPr>
      </w:pPr>
      <w:r>
        <w:rPr>
          <w:rFonts w:ascii="Arial" w:cs="Arial" w:eastAsia="Arial" w:hAnsi="Arial"/>
          <w:sz w:val="20"/>
          <w:szCs w:val="20"/>
          <w:color w:val="auto"/>
        </w:rPr>
        <w:t>The following table reconciles cash, cash equivalents and restricted cash as reported on the consolidated balance sheets to the aggregated amounts presented on the consolidated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June 30,</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ind w:left="381"/>
              <w:spacing w:after="0"/>
              <w:rPr>
                <w:sz w:val="20"/>
                <w:szCs w:val="20"/>
                <w:color w:val="auto"/>
              </w:rPr>
            </w:pPr>
            <w:r>
              <w:rPr>
                <w:rFonts w:ascii="Arial" w:cs="Arial" w:eastAsia="Arial" w:hAnsi="Arial"/>
                <w:sz w:val="20"/>
                <w:szCs w:val="20"/>
                <w:color w:val="auto"/>
                <w:w w:val="87"/>
              </w:rPr>
              <w:t>December 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700" w:type="dxa"/>
            <w:vAlign w:val="bottom"/>
          </w:tcPr>
          <w:p>
            <w:pPr>
              <w:spacing w:after="0"/>
              <w:rPr>
                <w:sz w:val="21"/>
                <w:szCs w:val="21"/>
                <w:color w:val="auto"/>
              </w:rPr>
            </w:pPr>
          </w:p>
        </w:tc>
        <w:tc>
          <w:tcPr>
            <w:tcW w:w="1360" w:type="dxa"/>
            <w:vAlign w:val="bottom"/>
          </w:tcPr>
          <w:p>
            <w:pPr>
              <w:jc w:val="right"/>
              <w:ind w:right="81"/>
              <w:spacing w:after="0"/>
              <w:rPr>
                <w:sz w:val="20"/>
                <w:szCs w:val="20"/>
                <w:color w:val="auto"/>
              </w:rPr>
            </w:pPr>
            <w:r>
              <w:rPr>
                <w:rFonts w:ascii="Arial" w:cs="Arial" w:eastAsia="Arial" w:hAnsi="Arial"/>
                <w:sz w:val="20"/>
                <w:szCs w:val="20"/>
                <w:color w:val="auto"/>
              </w:rPr>
              <w:t>2022</w:t>
            </w:r>
          </w:p>
        </w:tc>
        <w:tc>
          <w:tcPr>
            <w:tcW w:w="620" w:type="dxa"/>
            <w:vAlign w:val="bottom"/>
          </w:tcPr>
          <w:p>
            <w:pPr>
              <w:spacing w:after="0"/>
              <w:rPr>
                <w:sz w:val="21"/>
                <w:szCs w:val="21"/>
                <w:color w:val="auto"/>
              </w:rPr>
            </w:pPr>
          </w:p>
        </w:tc>
        <w:tc>
          <w:tcPr>
            <w:tcW w:w="1980" w:type="dxa"/>
            <w:vAlign w:val="bottom"/>
            <w:gridSpan w:val="2"/>
          </w:tcPr>
          <w:p>
            <w:pPr>
              <w:jc w:val="right"/>
              <w:ind w:right="281"/>
              <w:spacing w:after="0"/>
              <w:rPr>
                <w:sz w:val="20"/>
                <w:szCs w:val="20"/>
                <w:color w:val="auto"/>
              </w:rPr>
            </w:pPr>
            <w:r>
              <w:rPr>
                <w:rFonts w:ascii="Arial" w:cs="Arial" w:eastAsia="Arial" w:hAnsi="Arial"/>
                <w:sz w:val="20"/>
                <w:szCs w:val="20"/>
                <w:color w:val="auto"/>
              </w:rPr>
              <w:t>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7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i w:val="1"/>
                <w:iCs w:val="1"/>
                <w:color w:val="auto"/>
                <w:w w:val="87"/>
              </w:rPr>
              <w:t>(Dollars</w:t>
            </w:r>
          </w:p>
        </w:tc>
        <w:tc>
          <w:tcPr>
            <w:tcW w:w="360" w:type="dxa"/>
            <w:vAlign w:val="bottom"/>
          </w:tcPr>
          <w:p>
            <w:pPr>
              <w:ind w:left="140"/>
              <w:spacing w:after="0" w:line="223" w:lineRule="exact"/>
              <w:rPr>
                <w:sz w:val="20"/>
                <w:szCs w:val="20"/>
                <w:color w:val="auto"/>
              </w:rPr>
            </w:pPr>
            <w:r>
              <w:rPr>
                <w:rFonts w:ascii="Arial" w:cs="Arial" w:eastAsia="Arial" w:hAnsi="Arial"/>
                <w:sz w:val="20"/>
                <w:szCs w:val="20"/>
                <w:i w:val="1"/>
                <w:iCs w:val="1"/>
                <w:color w:val="auto"/>
              </w:rPr>
              <w:t>in</w:t>
            </w:r>
          </w:p>
        </w:tc>
        <w:tc>
          <w:tcPr>
            <w:tcW w:w="1620" w:type="dxa"/>
            <w:vAlign w:val="bottom"/>
            <w:tcBorders>
              <w:top w:val="single" w:sz="8" w:color="auto"/>
            </w:tcBorders>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Cash and cash equivalents</w:t>
            </w:r>
          </w:p>
        </w:tc>
        <w:tc>
          <w:tcPr>
            <w:tcW w:w="1360" w:type="dxa"/>
            <w:vAlign w:val="bottom"/>
            <w:shd w:val="clear" w:color="auto" w:fill="CFF0FC"/>
          </w:tcPr>
          <w:p>
            <w:pPr>
              <w:jc w:val="right"/>
              <w:ind w:right="1141"/>
              <w:spacing w:after="0" w:line="229" w:lineRule="exact"/>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772.1</w:t>
            </w:r>
          </w:p>
        </w:tc>
        <w:tc>
          <w:tcPr>
            <w:tcW w:w="1980" w:type="dxa"/>
            <w:vAlign w:val="bottom"/>
            <w:gridSpan w:val="2"/>
            <w:shd w:val="clear" w:color="auto" w:fill="CFF0FC"/>
          </w:tcPr>
          <w:p>
            <w:pPr>
              <w:ind w:left="380"/>
              <w:spacing w:after="0" w:line="229"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7"/>
              </w:rPr>
              <w:t>258.4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29" w:lineRule="exact"/>
              <w:rPr>
                <w:sz w:val="20"/>
                <w:szCs w:val="20"/>
                <w:color w:val="auto"/>
              </w:rPr>
            </w:pPr>
            <w:r>
              <w:rPr>
                <w:rFonts w:ascii="Arial" w:cs="Arial" w:eastAsia="Arial" w:hAnsi="Arial"/>
                <w:sz w:val="20"/>
                <w:szCs w:val="20"/>
                <w:color w:val="auto"/>
              </w:rPr>
              <w:t>Restricted cash</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700" w:type="dxa"/>
            <w:vAlign w:val="bottom"/>
            <w:shd w:val="clear" w:color="auto" w:fill="CFF0FC"/>
          </w:tcPr>
          <w:p>
            <w:pPr>
              <w:ind w:left="20"/>
              <w:spacing w:after="0" w:line="179" w:lineRule="exact"/>
              <w:rPr>
                <w:sz w:val="20"/>
                <w:szCs w:val="20"/>
                <w:color w:val="auto"/>
              </w:rPr>
            </w:pPr>
            <w:r>
              <w:rPr>
                <w:rFonts w:ascii="Arial" w:cs="Arial" w:eastAsia="Arial" w:hAnsi="Arial"/>
                <w:sz w:val="20"/>
                <w:szCs w:val="20"/>
                <w:color w:val="auto"/>
              </w:rPr>
              <w:t>Total cash, cash equivalents and restricted cash presented in</w:t>
            </w:r>
          </w:p>
        </w:tc>
        <w:tc>
          <w:tcPr>
            <w:tcW w:w="1360" w:type="dxa"/>
            <w:vAlign w:val="bottom"/>
            <w:vMerge w:val="restart"/>
            <w:shd w:val="clear" w:color="auto" w:fill="CFF0FC"/>
          </w:tcPr>
          <w:p>
            <w:pPr>
              <w:jc w:val="right"/>
              <w:ind w:right="1141"/>
              <w:spacing w:after="0"/>
              <w:rPr>
                <w:sz w:val="20"/>
                <w:szCs w:val="20"/>
                <w:color w:val="auto"/>
              </w:rPr>
            </w:pPr>
            <w:r>
              <w:rPr>
                <w:rFonts w:ascii="Arial" w:cs="Arial" w:eastAsia="Arial" w:hAnsi="Arial"/>
                <w:sz w:val="20"/>
                <w:szCs w:val="20"/>
                <w:color w:val="auto"/>
                <w:w w:val="8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772.1</w:t>
            </w:r>
          </w:p>
        </w:tc>
        <w:tc>
          <w:tcPr>
            <w:tcW w:w="360" w:type="dxa"/>
            <w:vAlign w:val="bottom"/>
            <w:vMerge w:val="restart"/>
            <w:shd w:val="clear" w:color="auto" w:fill="CFF0FC"/>
          </w:tcPr>
          <w:p>
            <w:pPr>
              <w:spacing w:after="0"/>
              <w:rPr>
                <w:sz w:val="15"/>
                <w:szCs w:val="15"/>
                <w:color w:val="auto"/>
              </w:rPr>
            </w:pPr>
          </w:p>
        </w:tc>
        <w:tc>
          <w:tcPr>
            <w:tcW w:w="1620" w:type="dxa"/>
            <w:vAlign w:val="bottom"/>
            <w:vMerge w:val="restart"/>
            <w:shd w:val="clear" w:color="auto" w:fill="CFF0FC"/>
          </w:tcPr>
          <w:p>
            <w:pPr>
              <w:ind w:left="20"/>
              <w:spacing w:after="0"/>
              <w:rPr>
                <w:sz w:val="20"/>
                <w:szCs w:val="20"/>
                <w:color w:val="auto"/>
              </w:rPr>
            </w:pPr>
            <w:r>
              <w:rPr>
                <w:rFonts w:ascii="Arial" w:cs="Arial" w:eastAsia="Arial" w:hAnsi="Arial"/>
                <w:sz w:val="20"/>
                <w:szCs w:val="20"/>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87"/>
              </w:rPr>
              <w:t>258.9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700" w:type="dxa"/>
            <w:vAlign w:val="bottom"/>
            <w:tcBorders>
              <w:bottom w:val="single" w:sz="8" w:color="CFF0FC"/>
            </w:tcBorders>
            <w:shd w:val="clear" w:color="auto" w:fill="CFF0FC"/>
          </w:tcPr>
          <w:p>
            <w:pPr>
              <w:ind w:left="160"/>
              <w:spacing w:after="0" w:line="206" w:lineRule="exact"/>
              <w:rPr>
                <w:sz w:val="20"/>
                <w:szCs w:val="20"/>
                <w:color w:val="auto"/>
              </w:rPr>
            </w:pPr>
            <w:r>
              <w:rPr>
                <w:rFonts w:ascii="Arial" w:cs="Arial" w:eastAsia="Arial" w:hAnsi="Arial"/>
                <w:sz w:val="20"/>
                <w:szCs w:val="20"/>
                <w:color w:val="auto"/>
              </w:rPr>
              <w:t>the consolidated statements of cash flows</w:t>
            </w: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360" w:type="dxa"/>
            <w:vAlign w:val="bottom"/>
            <w:tcBorders>
              <w:bottom w:val="single" w:sz="8" w:color="CFF0FC"/>
            </w:tcBorders>
            <w:vMerge w:val="continue"/>
            <w:shd w:val="clear" w:color="auto" w:fill="CFF0FC"/>
          </w:tcPr>
          <w:p>
            <w:pPr>
              <w:spacing w:after="0"/>
              <w:rPr>
                <w:sz w:val="21"/>
                <w:szCs w:val="21"/>
                <w:color w:val="auto"/>
              </w:rPr>
            </w:pPr>
          </w:p>
        </w:tc>
        <w:tc>
          <w:tcPr>
            <w:tcW w:w="1620" w:type="dxa"/>
            <w:vAlign w:val="bottom"/>
            <w:tcBorders>
              <w:bottom w:val="single" w:sz="8" w:color="auto"/>
            </w:tcBorders>
            <w:vMerge w:val="continue"/>
            <w:shd w:val="clear" w:color="auto" w:fill="CFF0FC"/>
          </w:tcPr>
          <w:p>
            <w:pPr>
              <w:spacing w:after="0"/>
              <w:rPr>
                <w:sz w:val="21"/>
                <w:szCs w:val="21"/>
                <w:color w:val="auto"/>
              </w:rPr>
            </w:pPr>
          </w:p>
        </w:tc>
        <w:tc>
          <w:tcPr>
            <w:tcW w:w="4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5512435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2" w:lineRule="exact"/>
        <w:rPr>
          <w:rFonts w:ascii="Arial" w:cs="Arial" w:eastAsia="Arial" w:hAnsi="Arial"/>
          <w:sz w:val="20"/>
          <w:szCs w:val="20"/>
          <w:b w:val="1"/>
          <w:bCs w:val="1"/>
          <w:color w:val="auto"/>
        </w:rPr>
      </w:pPr>
    </w:p>
    <w:p>
      <w:pPr>
        <w:jc w:val="both"/>
        <w:ind w:left="380"/>
        <w:spacing w:after="0" w:line="283"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are</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recognized using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93" w:lineRule="exact"/>
        <w:rPr>
          <w:sz w:val="20"/>
          <w:szCs w:val="20"/>
          <w:color w:val="auto"/>
        </w:rPr>
      </w:pPr>
    </w:p>
    <w:p>
      <w:pPr>
        <w:jc w:val="both"/>
        <w:ind w:left="380" w:right="20"/>
        <w:spacing w:after="0" w:line="300" w:lineRule="auto"/>
        <w:rPr>
          <w:sz w:val="20"/>
          <w:szCs w:val="20"/>
          <w:color w:val="auto"/>
        </w:rPr>
      </w:pPr>
      <w:r>
        <w:rPr>
          <w:rFonts w:ascii="Arial" w:cs="Arial" w:eastAsia="Arial" w:hAnsi="Arial"/>
          <w:sz w:val="19"/>
          <w:szCs w:val="19"/>
          <w:color w:val="auto"/>
        </w:rPr>
        <w:t>percentage-of-completion method under the cost-to-cost approach. Freight revenues reflect delivery arranged by the Company using a third party on behalf of the customer and are recognized consistently with the timing of the product revenues.</w:t>
      </w:r>
    </w:p>
    <w:p>
      <w:pPr>
        <w:spacing w:after="0" w:line="46" w:lineRule="exact"/>
        <w:rPr>
          <w:sz w:val="20"/>
          <w:szCs w:val="20"/>
          <w:color w:val="auto"/>
        </w:rPr>
      </w:pPr>
    </w:p>
    <w:p>
      <w:pPr>
        <w:jc w:val="both"/>
        <w:ind w:left="380"/>
        <w:spacing w:after="0" w:line="274" w:lineRule="auto"/>
        <w:rPr>
          <w:sz w:val="20"/>
          <w:szCs w:val="20"/>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73" w:lineRule="exact"/>
        <w:rPr>
          <w:sz w:val="20"/>
          <w:szCs w:val="20"/>
          <w:color w:val="auto"/>
        </w:rPr>
      </w:pPr>
    </w:p>
    <w:p>
      <w:pPr>
        <w:jc w:val="both"/>
        <w:ind w:left="380"/>
        <w:spacing w:after="0" w:line="263" w:lineRule="auto"/>
        <w:rPr>
          <w:sz w:val="20"/>
          <w:szCs w:val="20"/>
          <w:color w:val="auto"/>
        </w:rPr>
      </w:pPr>
      <w:r>
        <w:rPr>
          <w:rFonts w:ascii="Arial" w:cs="Arial" w:eastAsia="Arial" w:hAnsi="Arial"/>
          <w:sz w:val="20"/>
          <w:szCs w:val="20"/>
          <w:color w:val="auto"/>
        </w:rPr>
        <w:t>Future revenues from unsatisfied performance obligations at June 30, 2022 and 2021 were $322.5 million and $215.5 million, respectively, where the remaining periods to complete these obligations ranged from one month to 23 months and one month to 21 months, respectively.</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jc w:val="center"/>
              <w:spacing w:after="0"/>
              <w:rPr>
                <w:sz w:val="20"/>
                <w:szCs w:val="20"/>
                <w:color w:val="auto"/>
              </w:rPr>
            </w:pPr>
            <w:r>
              <w:rPr>
                <w:rFonts w:ascii="Arial" w:cs="Arial" w:eastAsia="Arial" w:hAnsi="Arial"/>
                <w:sz w:val="20"/>
                <w:szCs w:val="20"/>
                <w:color w:val="auto"/>
                <w:w w:val="88"/>
              </w:rPr>
              <w:t>Three Months Ended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20"/>
                <w:szCs w:val="20"/>
                <w:color w:val="auto"/>
                <w:w w:val="86"/>
              </w:rPr>
              <w:t>June 30, 2022</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9"/>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81"/>
              <w:spacing w:after="0" w:line="179"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4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ind w:left="280"/>
              <w:spacing w:after="0"/>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21"/>
                <w:szCs w:val="21"/>
                <w:color w:val="auto"/>
              </w:rPr>
            </w:pPr>
          </w:p>
        </w:tc>
        <w:tc>
          <w:tcPr>
            <w:tcW w:w="126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1"/>
                <w:szCs w:val="21"/>
                <w:color w:val="auto"/>
              </w:rPr>
            </w:pPr>
          </w:p>
        </w:tc>
      </w:tr>
      <w:tr>
        <w:trPr>
          <w:trHeight w:val="206"/>
        </w:trPr>
        <w:tc>
          <w:tcPr>
            <w:tcW w:w="6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gridSpan w:val="3"/>
          </w:tcPr>
          <w:p>
            <w:pPr>
              <w:ind w:left="160"/>
              <w:spacing w:after="0" w:line="206" w:lineRule="exact"/>
              <w:rPr>
                <w:sz w:val="20"/>
                <w:szCs w:val="20"/>
                <w:color w:val="auto"/>
              </w:rPr>
            </w:pPr>
            <w:r>
              <w:rPr>
                <w:rFonts w:ascii="Arial" w:cs="Arial" w:eastAsia="Arial" w:hAnsi="Arial"/>
                <w:sz w:val="20"/>
                <w:szCs w:val="20"/>
                <w:i w:val="1"/>
                <w:iCs w:val="1"/>
                <w:color w:val="auto"/>
                <w:w w:val="88"/>
              </w:rPr>
              <w:t>(Dollars 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6040" w:type="dxa"/>
            <w:vAlign w:val="bottom"/>
          </w:tcPr>
          <w:p>
            <w:pPr>
              <w:ind w:left="20"/>
              <w:spacing w:after="0"/>
              <w:rPr>
                <w:sz w:val="20"/>
                <w:szCs w:val="20"/>
                <w:color w:val="auto"/>
              </w:rPr>
            </w:pPr>
            <w:r>
              <w:rPr>
                <w:rFonts w:ascii="Arial" w:cs="Arial" w:eastAsia="Arial" w:hAnsi="Arial"/>
                <w:sz w:val="20"/>
                <w:szCs w:val="20"/>
                <w:color w:val="auto"/>
              </w:rPr>
              <w:t>East Group</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632.4</w:t>
            </w:r>
          </w:p>
        </w:tc>
        <w:tc>
          <w:tcPr>
            <w:tcW w:w="480" w:type="dxa"/>
            <w:vAlign w:val="bottom"/>
            <w:gridSpan w:val="3"/>
          </w:tcPr>
          <w:p>
            <w:pPr>
              <w:ind w:left="3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674.5</w:t>
            </w:r>
          </w:p>
        </w:tc>
        <w:tc>
          <w:tcPr>
            <w:tcW w:w="100" w:type="dxa"/>
            <w:vAlign w:val="bottom"/>
          </w:tcPr>
          <w:p>
            <w:pPr>
              <w:spacing w:after="0"/>
              <w:rPr>
                <w:sz w:val="21"/>
                <w:szCs w:val="21"/>
                <w:color w:val="auto"/>
              </w:rPr>
            </w:pPr>
          </w:p>
        </w:tc>
      </w:tr>
      <w:tr>
        <w:trPr>
          <w:trHeight w:val="229"/>
        </w:trPr>
        <w:tc>
          <w:tcPr>
            <w:tcW w:w="60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West Group</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816.8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68.7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885.5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04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14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Arial" w:cs="Arial" w:eastAsia="Arial" w:hAnsi="Arial"/>
                <w:sz w:val="20"/>
                <w:szCs w:val="20"/>
                <w:color w:val="auto"/>
              </w:rPr>
              <w:t>1,449.2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110.8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1,560.0</w:t>
            </w:r>
          </w:p>
        </w:tc>
        <w:tc>
          <w:tcPr>
            <w:tcW w:w="100" w:type="dxa"/>
            <w:vAlign w:val="bottom"/>
          </w:tcPr>
          <w:p>
            <w:pPr>
              <w:spacing w:after="0"/>
              <w:rPr>
                <w:sz w:val="19"/>
                <w:szCs w:val="19"/>
                <w:color w:val="auto"/>
              </w:rPr>
            </w:pPr>
          </w:p>
        </w:tc>
      </w:tr>
      <w:tr>
        <w:trPr>
          <w:trHeight w:val="229"/>
        </w:trPr>
        <w:tc>
          <w:tcPr>
            <w:tcW w:w="60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74.6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04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1,523.8</w:t>
            </w:r>
          </w:p>
        </w:tc>
        <w:tc>
          <w:tcPr>
            <w:tcW w:w="280" w:type="dxa"/>
            <w:vAlign w:val="bottom"/>
            <w:gridSpan w:val="2"/>
          </w:tcPr>
          <w:p>
            <w:pPr>
              <w:spacing w:after="0"/>
              <w:rPr>
                <w:sz w:val="19"/>
                <w:szCs w:val="19"/>
                <w:color w:val="auto"/>
              </w:rPr>
            </w:pPr>
          </w:p>
        </w:tc>
        <w:tc>
          <w:tcPr>
            <w:tcW w:w="2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1,641.7</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Arial" w:cs="Arial" w:eastAsia="Arial" w:hAnsi="Arial"/>
                <w:sz w:val="20"/>
                <w:szCs w:val="20"/>
                <w:color w:val="auto"/>
                <w:w w:val="93"/>
              </w:rPr>
              <w:t>Three Months Ended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20"/>
                <w:szCs w:val="20"/>
                <w:color w:val="auto"/>
                <w:w w:val="86"/>
              </w:rPr>
              <w:t>June 30, 2021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9"/>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81"/>
              <w:spacing w:after="0" w:line="179"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4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ind w:left="280"/>
              <w:spacing w:after="0"/>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21"/>
                <w:szCs w:val="21"/>
                <w:color w:val="auto"/>
              </w:rPr>
            </w:pPr>
          </w:p>
        </w:tc>
        <w:tc>
          <w:tcPr>
            <w:tcW w:w="126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1"/>
                <w:szCs w:val="21"/>
                <w:color w:val="auto"/>
              </w:rPr>
            </w:pPr>
          </w:p>
        </w:tc>
      </w:tr>
      <w:tr>
        <w:trPr>
          <w:trHeight w:val="206"/>
        </w:trPr>
        <w:tc>
          <w:tcPr>
            <w:tcW w:w="6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gridSpan w:val="3"/>
          </w:tcPr>
          <w:p>
            <w:pPr>
              <w:ind w:left="160"/>
              <w:spacing w:after="0" w:line="206" w:lineRule="exact"/>
              <w:rPr>
                <w:sz w:val="20"/>
                <w:szCs w:val="20"/>
                <w:color w:val="auto"/>
              </w:rPr>
            </w:pPr>
            <w:r>
              <w:rPr>
                <w:rFonts w:ascii="Arial" w:cs="Arial" w:eastAsia="Arial" w:hAnsi="Arial"/>
                <w:sz w:val="20"/>
                <w:szCs w:val="20"/>
                <w:i w:val="1"/>
                <w:iCs w:val="1"/>
                <w:color w:val="auto"/>
                <w:w w:val="88"/>
              </w:rPr>
              <w:t>(Dollars in 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6040" w:type="dxa"/>
            <w:vAlign w:val="bottom"/>
          </w:tcPr>
          <w:p>
            <w:pPr>
              <w:ind w:left="20"/>
              <w:spacing w:after="0"/>
              <w:rPr>
                <w:sz w:val="20"/>
                <w:szCs w:val="20"/>
                <w:color w:val="auto"/>
              </w:rPr>
            </w:pPr>
            <w:r>
              <w:rPr>
                <w:rFonts w:ascii="Arial" w:cs="Arial" w:eastAsia="Arial" w:hAnsi="Arial"/>
                <w:sz w:val="20"/>
                <w:szCs w:val="20"/>
                <w:color w:val="auto"/>
              </w:rPr>
              <w:t>East Group</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596.5</w:t>
            </w:r>
          </w:p>
        </w:tc>
        <w:tc>
          <w:tcPr>
            <w:tcW w:w="480" w:type="dxa"/>
            <w:vAlign w:val="bottom"/>
            <w:gridSpan w:val="3"/>
          </w:tcPr>
          <w:p>
            <w:pPr>
              <w:ind w:left="3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635.3</w:t>
            </w:r>
          </w:p>
        </w:tc>
        <w:tc>
          <w:tcPr>
            <w:tcW w:w="100" w:type="dxa"/>
            <w:vAlign w:val="bottom"/>
          </w:tcPr>
          <w:p>
            <w:pPr>
              <w:spacing w:after="0"/>
              <w:rPr>
                <w:sz w:val="21"/>
                <w:szCs w:val="21"/>
                <w:color w:val="auto"/>
              </w:rPr>
            </w:pPr>
          </w:p>
        </w:tc>
      </w:tr>
      <w:tr>
        <w:trPr>
          <w:trHeight w:val="229"/>
        </w:trPr>
        <w:tc>
          <w:tcPr>
            <w:tcW w:w="60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West Group</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628.8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38.0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666.8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04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14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Arial" w:cs="Arial" w:eastAsia="Arial" w:hAnsi="Arial"/>
                <w:sz w:val="20"/>
                <w:szCs w:val="20"/>
                <w:color w:val="auto"/>
              </w:rPr>
              <w:t>1,225.3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1,302.1</w:t>
            </w:r>
          </w:p>
        </w:tc>
        <w:tc>
          <w:tcPr>
            <w:tcW w:w="100" w:type="dxa"/>
            <w:vAlign w:val="bottom"/>
          </w:tcPr>
          <w:p>
            <w:pPr>
              <w:spacing w:after="0"/>
              <w:rPr>
                <w:sz w:val="19"/>
                <w:szCs w:val="19"/>
                <w:color w:val="auto"/>
              </w:rPr>
            </w:pPr>
          </w:p>
        </w:tc>
      </w:tr>
      <w:tr>
        <w:trPr>
          <w:trHeight w:val="229"/>
        </w:trPr>
        <w:tc>
          <w:tcPr>
            <w:tcW w:w="60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70.0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5.8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04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140" w:type="dxa"/>
            <w:vAlign w:val="bottom"/>
          </w:tcPr>
          <w:p>
            <w:pPr>
              <w:jc w:val="right"/>
              <w:spacing w:after="0" w:line="223" w:lineRule="exact"/>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line="223" w:lineRule="exact"/>
              <w:rPr>
                <w:sz w:val="20"/>
                <w:szCs w:val="20"/>
                <w:color w:val="auto"/>
              </w:rPr>
            </w:pPr>
            <w:r>
              <w:rPr>
                <w:rFonts w:ascii="Arial" w:cs="Arial" w:eastAsia="Arial" w:hAnsi="Arial"/>
                <w:sz w:val="20"/>
                <w:szCs w:val="20"/>
                <w:color w:val="auto"/>
              </w:rPr>
              <w:t>1,295.3</w:t>
            </w:r>
          </w:p>
        </w:tc>
        <w:tc>
          <w:tcPr>
            <w:tcW w:w="480" w:type="dxa"/>
            <w:vAlign w:val="bottom"/>
            <w:gridSpan w:val="3"/>
          </w:tcPr>
          <w:p>
            <w:pPr>
              <w:ind w:left="300"/>
              <w:spacing w:after="0" w:line="223"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82.6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line="223" w:lineRule="exact"/>
              <w:rPr>
                <w:sz w:val="20"/>
                <w:szCs w:val="20"/>
                <w:color w:val="auto"/>
              </w:rPr>
            </w:pPr>
            <w:r>
              <w:rPr>
                <w:rFonts w:ascii="Arial" w:cs="Arial" w:eastAsia="Arial" w:hAnsi="Arial"/>
                <w:sz w:val="20"/>
                <w:szCs w:val="20"/>
                <w:color w:val="auto"/>
              </w:rPr>
              <w:t>1,377.9</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-2117090</wp:posOffset>
            </wp:positionV>
            <wp:extent cx="768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-2117090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-2117090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-1818005</wp:posOffset>
            </wp:positionV>
            <wp:extent cx="768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-1818005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-1818005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-475615</wp:posOffset>
            </wp:positionV>
            <wp:extent cx="768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-475615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-475615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-175895</wp:posOffset>
            </wp:positionV>
            <wp:extent cx="768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-175895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2" w:lineRule="exact"/>
        <w:rPr>
          <w:sz w:val="20"/>
          <w:szCs w:val="20"/>
          <w:color w:val="auto"/>
        </w:rPr>
      </w:pPr>
    </w:p>
    <w:p>
      <w:pPr>
        <w:ind w:left="380" w:right="20"/>
        <w:spacing w:after="0" w:line="273" w:lineRule="auto"/>
        <w:rPr>
          <w:sz w:val="20"/>
          <w:szCs w:val="20"/>
          <w:color w:val="auto"/>
        </w:rPr>
      </w:pPr>
      <w:r>
        <w:rPr>
          <w:rFonts w:ascii="Arial" w:cs="Arial" w:eastAsia="Arial" w:hAnsi="Arial"/>
          <w:sz w:val="20"/>
          <w:szCs w:val="20"/>
          <w:color w:val="auto"/>
        </w:rPr>
        <w:t>Service revenues, which include paving services located in California and Colorado, were $95.0 million and $73.4 million for the three months ended June 30, 2022 and 2021, respectively, and are reported in the West Group.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20"/>
                <w:szCs w:val="20"/>
                <w:color w:val="auto"/>
                <w:w w:val="91"/>
              </w:rPr>
              <w:t>Six Months Ended</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20"/>
                <w:szCs w:val="20"/>
                <w:color w:val="auto"/>
                <w:w w:val="88"/>
              </w:rPr>
              <w:t>June 30, 2022</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9"/>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81"/>
              <w:spacing w:after="0" w:line="179" w:lineRule="exact"/>
              <w:rPr>
                <w:sz w:val="20"/>
                <w:szCs w:val="20"/>
                <w:color w:val="auto"/>
              </w:rPr>
            </w:pPr>
            <w:r>
              <w:rPr>
                <w:rFonts w:ascii="Arial" w:cs="Arial" w:eastAsia="Arial" w:hAnsi="Arial"/>
                <w:sz w:val="20"/>
                <w:szCs w:val="20"/>
                <w:color w:val="auto"/>
                <w:w w:val="86"/>
              </w:rPr>
              <w:t>Products and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41"/>
              <w:spacing w:after="0"/>
              <w:rPr>
                <w:sz w:val="20"/>
                <w:szCs w:val="20"/>
                <w:color w:val="auto"/>
              </w:rPr>
            </w:pPr>
            <w:r>
              <w:rPr>
                <w:rFonts w:ascii="Arial" w:cs="Arial" w:eastAsia="Arial" w:hAnsi="Arial"/>
                <w:sz w:val="20"/>
                <w:szCs w:val="20"/>
                <w:color w:val="auto"/>
                <w:w w:val="86"/>
              </w:rPr>
              <w:t>Services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ind w:left="380"/>
              <w:spacing w:after="0"/>
              <w:rPr>
                <w:sz w:val="20"/>
                <w:szCs w:val="20"/>
                <w:color w:val="auto"/>
              </w:rPr>
            </w:pPr>
            <w:r>
              <w:rPr>
                <w:rFonts w:ascii="Arial" w:cs="Arial" w:eastAsia="Arial" w:hAnsi="Arial"/>
                <w:sz w:val="20"/>
                <w:szCs w:val="20"/>
                <w:color w:val="auto"/>
              </w:rPr>
              <w:t>Freight</w:t>
            </w:r>
          </w:p>
        </w:tc>
        <w:tc>
          <w:tcPr>
            <w:tcW w:w="420" w:type="dxa"/>
            <w:vAlign w:val="bottom"/>
          </w:tcPr>
          <w:p>
            <w:pPr>
              <w:spacing w:after="0"/>
              <w:rPr>
                <w:sz w:val="21"/>
                <w:szCs w:val="21"/>
                <w:color w:val="auto"/>
              </w:rPr>
            </w:pPr>
          </w:p>
        </w:tc>
        <w:tc>
          <w:tcPr>
            <w:tcW w:w="122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1"/>
                <w:szCs w:val="21"/>
                <w:color w:val="auto"/>
              </w:rPr>
            </w:pPr>
          </w:p>
        </w:tc>
      </w:tr>
      <w:tr>
        <w:trPr>
          <w:trHeight w:val="222"/>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gridSpan w:val="2"/>
          </w:tcPr>
          <w:p>
            <w:pPr>
              <w:ind w:left="180"/>
              <w:spacing w:after="0" w:line="223" w:lineRule="exact"/>
              <w:rPr>
                <w:sz w:val="20"/>
                <w:szCs w:val="20"/>
                <w:color w:val="auto"/>
              </w:rPr>
            </w:pPr>
            <w:r>
              <w:rPr>
                <w:rFonts w:ascii="Arial" w:cs="Arial" w:eastAsia="Arial" w:hAnsi="Arial"/>
                <w:sz w:val="20"/>
                <w:szCs w:val="20"/>
                <w:i w:val="1"/>
                <w:iCs w:val="1"/>
                <w:color w:val="auto"/>
                <w:w w:val="89"/>
              </w:rPr>
              <w:t>(Dollars in Millions)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East Group</w:t>
            </w:r>
          </w:p>
        </w:tc>
        <w:tc>
          <w:tcPr>
            <w:tcW w:w="1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9"/>
              </w:rPr>
              <w:t>$</w:t>
            </w:r>
          </w:p>
        </w:tc>
        <w:tc>
          <w:tcPr>
            <w:tcW w:w="12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1,027.0</w:t>
            </w:r>
          </w:p>
        </w:tc>
        <w:tc>
          <w:tcPr>
            <w:tcW w:w="380" w:type="dxa"/>
            <w:vAlign w:val="bottom"/>
            <w:gridSpan w:val="2"/>
            <w:shd w:val="clear" w:color="auto" w:fill="CFF0FC"/>
          </w:tcPr>
          <w:p>
            <w:pPr>
              <w:ind w:left="280"/>
              <w:spacing w:after="0" w:line="229" w:lineRule="exact"/>
              <w:rPr>
                <w:sz w:val="20"/>
                <w:szCs w:val="20"/>
                <w:color w:val="auto"/>
              </w:rPr>
            </w:pPr>
            <w:r>
              <w:rPr>
                <w:rFonts w:ascii="Arial" w:cs="Arial" w:eastAsia="Arial" w:hAnsi="Arial"/>
                <w:sz w:val="20"/>
                <w:szCs w:val="20"/>
                <w:color w:val="auto"/>
                <w:w w:val="71"/>
              </w:rPr>
              <w:t>$</w:t>
            </w: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66.3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41"/>
              <w:spacing w:after="0" w:line="229" w:lineRule="exact"/>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1,093.3</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West Group</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1,499.2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121.3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1,620.5</w:t>
            </w:r>
          </w:p>
        </w:tc>
        <w:tc>
          <w:tcPr>
            <w:tcW w:w="100" w:type="dxa"/>
            <w:vAlign w:val="bottom"/>
          </w:tcPr>
          <w:p>
            <w:pPr>
              <w:spacing w:after="0"/>
              <w:rPr>
                <w:sz w:val="19"/>
                <w:szCs w:val="19"/>
                <w:color w:val="auto"/>
              </w:rPr>
            </w:pPr>
          </w:p>
        </w:tc>
      </w:tr>
      <w:tr>
        <w:trPr>
          <w:trHeight w:val="222"/>
        </w:trPr>
        <w:tc>
          <w:tcPr>
            <w:tcW w:w="60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2,526.2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187.6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2,713.8</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145.4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158.7</w:t>
            </w:r>
          </w:p>
        </w:tc>
        <w:tc>
          <w:tcPr>
            <w:tcW w:w="100" w:type="dxa"/>
            <w:vAlign w:val="bottom"/>
          </w:tcPr>
          <w:p>
            <w:pPr>
              <w:spacing w:after="0"/>
              <w:rPr>
                <w:sz w:val="19"/>
                <w:szCs w:val="19"/>
                <w:color w:val="auto"/>
              </w:rPr>
            </w:pPr>
          </w:p>
        </w:tc>
      </w:tr>
      <w:tr>
        <w:trPr>
          <w:trHeight w:val="262"/>
        </w:trPr>
        <w:tc>
          <w:tcPr>
            <w:tcW w:w="60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2,671.6</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160"/>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200.9</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2,872.5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1"/>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20"/>
                <w:szCs w:val="20"/>
                <w:color w:val="auto"/>
                <w:w w:val="91"/>
              </w:rPr>
              <w:t>Six Months Ended</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20"/>
                <w:szCs w:val="20"/>
                <w:color w:val="auto"/>
                <w:w w:val="88"/>
              </w:rPr>
              <w:t>June 30, 2021</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9"/>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81"/>
              <w:spacing w:after="0" w:line="179" w:lineRule="exact"/>
              <w:rPr>
                <w:sz w:val="20"/>
                <w:szCs w:val="20"/>
                <w:color w:val="auto"/>
              </w:rPr>
            </w:pPr>
            <w:r>
              <w:rPr>
                <w:rFonts w:ascii="Arial" w:cs="Arial" w:eastAsia="Arial" w:hAnsi="Arial"/>
                <w:sz w:val="20"/>
                <w:szCs w:val="20"/>
                <w:color w:val="auto"/>
                <w:w w:val="86"/>
              </w:rPr>
              <w:t>Products and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center"/>
              <w:ind w:right="41"/>
              <w:spacing w:after="0"/>
              <w:rPr>
                <w:sz w:val="20"/>
                <w:szCs w:val="20"/>
                <w:color w:val="auto"/>
              </w:rPr>
            </w:pPr>
            <w:r>
              <w:rPr>
                <w:rFonts w:ascii="Arial" w:cs="Arial" w:eastAsia="Arial" w:hAnsi="Arial"/>
                <w:sz w:val="20"/>
                <w:szCs w:val="20"/>
                <w:color w:val="auto"/>
                <w:w w:val="86"/>
              </w:rPr>
              <w:t>Services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ind w:left="380"/>
              <w:spacing w:after="0"/>
              <w:rPr>
                <w:sz w:val="20"/>
                <w:szCs w:val="20"/>
                <w:color w:val="auto"/>
              </w:rPr>
            </w:pPr>
            <w:r>
              <w:rPr>
                <w:rFonts w:ascii="Arial" w:cs="Arial" w:eastAsia="Arial" w:hAnsi="Arial"/>
                <w:sz w:val="20"/>
                <w:szCs w:val="20"/>
                <w:color w:val="auto"/>
              </w:rPr>
              <w:t>Freight</w:t>
            </w:r>
          </w:p>
        </w:tc>
        <w:tc>
          <w:tcPr>
            <w:tcW w:w="420" w:type="dxa"/>
            <w:vAlign w:val="bottom"/>
          </w:tcPr>
          <w:p>
            <w:pPr>
              <w:spacing w:after="0"/>
              <w:rPr>
                <w:sz w:val="21"/>
                <w:szCs w:val="21"/>
                <w:color w:val="auto"/>
              </w:rPr>
            </w:pPr>
          </w:p>
        </w:tc>
        <w:tc>
          <w:tcPr>
            <w:tcW w:w="122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1"/>
                <w:szCs w:val="21"/>
                <w:color w:val="auto"/>
              </w:rPr>
            </w:pPr>
          </w:p>
        </w:tc>
      </w:tr>
      <w:tr>
        <w:trPr>
          <w:trHeight w:val="222"/>
        </w:trPr>
        <w:tc>
          <w:tcPr>
            <w:tcW w:w="6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gridSpan w:val="2"/>
          </w:tcPr>
          <w:p>
            <w:pPr>
              <w:ind w:left="180"/>
              <w:spacing w:after="0" w:line="223" w:lineRule="exact"/>
              <w:rPr>
                <w:sz w:val="20"/>
                <w:szCs w:val="20"/>
                <w:color w:val="auto"/>
              </w:rPr>
            </w:pPr>
            <w:r>
              <w:rPr>
                <w:rFonts w:ascii="Arial" w:cs="Arial" w:eastAsia="Arial" w:hAnsi="Arial"/>
                <w:sz w:val="20"/>
                <w:szCs w:val="20"/>
                <w:i w:val="1"/>
                <w:iCs w:val="1"/>
                <w:color w:val="auto"/>
                <w:w w:val="89"/>
              </w:rPr>
              <w:t>(Dollars in Millions)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East Group</w:t>
            </w:r>
          </w:p>
        </w:tc>
        <w:tc>
          <w:tcPr>
            <w:tcW w:w="1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9"/>
              </w:rPr>
              <w:t>$</w:t>
            </w:r>
          </w:p>
        </w:tc>
        <w:tc>
          <w:tcPr>
            <w:tcW w:w="12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969.1</w:t>
            </w:r>
          </w:p>
        </w:tc>
        <w:tc>
          <w:tcPr>
            <w:tcW w:w="380" w:type="dxa"/>
            <w:vAlign w:val="bottom"/>
            <w:gridSpan w:val="2"/>
            <w:shd w:val="clear" w:color="auto" w:fill="CFF0FC"/>
          </w:tcPr>
          <w:p>
            <w:pPr>
              <w:ind w:left="280"/>
              <w:spacing w:after="0" w:line="229" w:lineRule="exact"/>
              <w:rPr>
                <w:sz w:val="20"/>
                <w:szCs w:val="20"/>
                <w:color w:val="auto"/>
              </w:rPr>
            </w:pPr>
            <w:r>
              <w:rPr>
                <w:rFonts w:ascii="Arial" w:cs="Arial" w:eastAsia="Arial" w:hAnsi="Arial"/>
                <w:sz w:val="20"/>
                <w:szCs w:val="20"/>
                <w:color w:val="auto"/>
                <w:w w:val="71"/>
              </w:rPr>
              <w:t>$</w:t>
            </w: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61.1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41"/>
              <w:spacing w:after="0" w:line="229" w:lineRule="exact"/>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1,030.2</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West Group</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1,112.9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70.5</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1,183.4</w:t>
            </w:r>
          </w:p>
        </w:tc>
        <w:tc>
          <w:tcPr>
            <w:tcW w:w="100" w:type="dxa"/>
            <w:vAlign w:val="bottom"/>
          </w:tcPr>
          <w:p>
            <w:pPr>
              <w:spacing w:after="0"/>
              <w:rPr>
                <w:sz w:val="19"/>
                <w:szCs w:val="19"/>
                <w:color w:val="auto"/>
              </w:rPr>
            </w:pPr>
          </w:p>
        </w:tc>
      </w:tr>
      <w:tr>
        <w:trPr>
          <w:trHeight w:val="222"/>
        </w:trPr>
        <w:tc>
          <w:tcPr>
            <w:tcW w:w="60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2,082.0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131.6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2,213.6</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135.2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11.5</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146.7</w:t>
            </w:r>
          </w:p>
        </w:tc>
        <w:tc>
          <w:tcPr>
            <w:tcW w:w="100" w:type="dxa"/>
            <w:vAlign w:val="bottom"/>
          </w:tcPr>
          <w:p>
            <w:pPr>
              <w:spacing w:after="0"/>
              <w:rPr>
                <w:sz w:val="19"/>
                <w:szCs w:val="19"/>
                <w:color w:val="auto"/>
              </w:rPr>
            </w:pPr>
          </w:p>
        </w:tc>
      </w:tr>
      <w:tr>
        <w:trPr>
          <w:trHeight w:val="262"/>
        </w:trPr>
        <w:tc>
          <w:tcPr>
            <w:tcW w:w="60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2,217.2</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160"/>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143.1</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2,360.3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-1666875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-1649730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-1666875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-1649730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-1666875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-1649730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Service revenues for the six months ended June 30, 2022 and 2021 were $113.3 million and $82.2 million, respectively.</w:t>
      </w:r>
    </w:p>
    <w:p>
      <w:pPr>
        <w:spacing w:after="0" w:line="120" w:lineRule="exact"/>
        <w:rPr>
          <w:sz w:val="20"/>
          <w:szCs w:val="20"/>
          <w:color w:val="auto"/>
        </w:rPr>
      </w:pPr>
    </w:p>
    <w:p>
      <w:pPr>
        <w:jc w:val="both"/>
        <w:ind w:left="380"/>
        <w:spacing w:after="0" w:line="258"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0"/>
                <w:szCs w:val="20"/>
                <w:i w:val="1"/>
                <w:iCs w:val="1"/>
                <w:color w:val="auto"/>
              </w:rPr>
              <w:t>(Dollars in Millions)</w:t>
            </w:r>
          </w:p>
        </w:tc>
        <w:tc>
          <w:tcPr>
            <w:tcW w:w="2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93"/>
              </w:rPr>
              <w:t>June 30, 2022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91"/>
              </w:rPr>
              <w:t>December 31, 2021</w:t>
            </w:r>
          </w:p>
        </w:tc>
        <w:tc>
          <w:tcPr>
            <w:tcW w:w="100" w:type="dxa"/>
            <w:vAlign w:val="bottom"/>
          </w:tcPr>
          <w:p>
            <w:pPr>
              <w:spacing w:after="0"/>
              <w:rPr>
                <w:sz w:val="21"/>
                <w:szCs w:val="21"/>
                <w:color w:val="auto"/>
              </w:rPr>
            </w:pPr>
          </w:p>
        </w:tc>
      </w:tr>
      <w:tr>
        <w:trPr>
          <w:trHeight w:val="222"/>
        </w:trPr>
        <w:tc>
          <w:tcPr>
            <w:tcW w:w="460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Costs in excess of billings</w:t>
            </w:r>
          </w:p>
        </w:tc>
        <w:tc>
          <w:tcPr>
            <w:tcW w:w="2720" w:type="dxa"/>
            <w:vAlign w:val="bottom"/>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14.3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8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4.3</w:t>
            </w:r>
          </w:p>
        </w:tc>
        <w:tc>
          <w:tcPr>
            <w:tcW w:w="100" w:type="dxa"/>
            <w:vAlign w:val="bottom"/>
            <w:shd w:val="clear" w:color="auto" w:fill="CFF0FC"/>
          </w:tcPr>
          <w:p>
            <w:pPr>
              <w:spacing w:after="0"/>
              <w:rPr>
                <w:sz w:val="19"/>
                <w:szCs w:val="19"/>
                <w:color w:val="auto"/>
              </w:rPr>
            </w:pPr>
          </w:p>
        </w:tc>
      </w:tr>
      <w:tr>
        <w:trPr>
          <w:trHeight w:val="250"/>
        </w:trPr>
        <w:tc>
          <w:tcPr>
            <w:tcW w:w="4600" w:type="dxa"/>
            <w:vAlign w:val="bottom"/>
          </w:tcPr>
          <w:p>
            <w:pPr>
              <w:ind w:left="20"/>
              <w:spacing w:after="0"/>
              <w:rPr>
                <w:sz w:val="20"/>
                <w:szCs w:val="20"/>
                <w:color w:val="auto"/>
              </w:rPr>
            </w:pPr>
            <w:r>
              <w:rPr>
                <w:rFonts w:ascii="Arial" w:cs="Arial" w:eastAsia="Arial" w:hAnsi="Arial"/>
                <w:sz w:val="20"/>
                <w:szCs w:val="20"/>
                <w:color w:val="auto"/>
              </w:rPr>
              <w:t>Billings in excess of costs</w:t>
            </w:r>
          </w:p>
        </w:tc>
        <w:tc>
          <w:tcPr>
            <w:tcW w:w="27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5.6</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1"/>
                <w:szCs w:val="21"/>
                <w:color w:val="auto"/>
              </w:rPr>
            </w:pPr>
          </w:p>
        </w:tc>
      </w:tr>
    </w:tbl>
    <w:p>
      <w:pPr>
        <w:spacing w:after="0" w:line="178" w:lineRule="exact"/>
        <w:rPr>
          <w:sz w:val="20"/>
          <w:szCs w:val="20"/>
          <w:color w:val="auto"/>
        </w:rPr>
      </w:pPr>
    </w:p>
    <w:p>
      <w:pPr>
        <w:jc w:val="both"/>
        <w:ind w:left="380"/>
        <w:spacing w:after="0" w:line="249" w:lineRule="auto"/>
        <w:rPr>
          <w:sz w:val="20"/>
          <w:szCs w:val="20"/>
          <w:color w:val="auto"/>
        </w:rPr>
      </w:pPr>
      <w:r>
        <w:rPr>
          <w:rFonts w:ascii="Arial" w:cs="Arial" w:eastAsia="Arial" w:hAnsi="Arial"/>
          <w:sz w:val="20"/>
          <w:szCs w:val="20"/>
          <w:color w:val="auto"/>
        </w:rPr>
        <w:t>Revenues recognized from the beginning balance of contract liabilities for the three months ended June 30, 2022 and 2021 were $4.5 million and $5.4 million, respectively, and for the six months ended June 30, 2022 and 2021 were $6.6 million and $9.4 million, respectively.</w:t>
      </w:r>
    </w:p>
    <w:p>
      <w:pPr>
        <w:spacing w:after="0" w:line="92" w:lineRule="exact"/>
        <w:rPr>
          <w:sz w:val="20"/>
          <w:szCs w:val="20"/>
          <w:color w:val="auto"/>
        </w:rPr>
      </w:pPr>
    </w:p>
    <w:p>
      <w:pPr>
        <w:jc w:val="both"/>
        <w:ind w:left="380"/>
        <w:spacing w:after="0" w:line="305"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Retainage, which is included in other current assets on the Company’s consolidated balance sheets, was $10.6 million and $10.5 million at June 30, 2022 and December 31, 2021, respectively.</w:t>
      </w:r>
    </w:p>
    <w:p>
      <w:pPr>
        <w:spacing w:after="0" w:line="32" w:lineRule="exact"/>
        <w:rPr>
          <w:sz w:val="20"/>
          <w:szCs w:val="20"/>
          <w:color w:val="auto"/>
        </w:rPr>
      </w:pPr>
    </w:p>
    <w:p>
      <w:pPr>
        <w:jc w:val="both"/>
        <w:ind w:left="380" w:right="20"/>
        <w:spacing w:after="0" w:line="233"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89" w:lineRule="exact"/>
        <w:rPr>
          <w:sz w:val="20"/>
          <w:szCs w:val="20"/>
          <w:color w:val="auto"/>
        </w:rPr>
      </w:pPr>
    </w:p>
    <w:p>
      <w:pPr>
        <w:ind w:left="380" w:right="5280" w:hanging="372"/>
        <w:spacing w:after="0" w:line="340" w:lineRule="auto"/>
        <w:tabs>
          <w:tab w:leader="none" w:pos="3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 Divestitures and Discontinued Operations Business Combinations</w:t>
      </w:r>
    </w:p>
    <w:p>
      <w:pPr>
        <w:jc w:val="both"/>
        <w:ind w:left="380"/>
        <w:spacing w:after="0" w:line="248" w:lineRule="auto"/>
        <w:rPr>
          <w:rFonts w:ascii="Arial" w:cs="Arial" w:eastAsia="Arial" w:hAnsi="Arial"/>
          <w:sz w:val="20"/>
          <w:szCs w:val="20"/>
          <w:b w:val="1"/>
          <w:bCs w:val="1"/>
          <w:color w:val="auto"/>
        </w:rPr>
      </w:pPr>
      <w:r>
        <w:rPr>
          <w:rFonts w:ascii="Arial" w:cs="Arial" w:eastAsia="Arial" w:hAnsi="Arial"/>
          <w:sz w:val="19"/>
          <w:szCs w:val="19"/>
          <w:color w:val="auto"/>
        </w:rPr>
        <w:t>In October 2021, the Company completed the acquisition of Lehigh Hanson, Inc.’s West Region business (Lehigh West Region) for $2.26 billion. The acquisition was primarily financed using proceeds from the issuance of publicly traded debt. These operations provided a new upstream, materials-led growth platform across several of the nation’s largest and fastest-growing megaregions in California and Arizona. The results from the acquired business are included in the Company’s West Group.</w:t>
      </w:r>
    </w:p>
    <w:p>
      <w:pPr>
        <w:spacing w:after="0" w:line="66" w:lineRule="exact"/>
        <w:rPr>
          <w:rFonts w:ascii="Arial" w:cs="Arial" w:eastAsia="Arial" w:hAnsi="Arial"/>
          <w:sz w:val="20"/>
          <w:szCs w:val="20"/>
          <w:b w:val="1"/>
          <w:bCs w:val="1"/>
          <w:color w:val="auto"/>
        </w:rPr>
      </w:pPr>
    </w:p>
    <w:p>
      <w:pPr>
        <w:jc w:val="both"/>
        <w:ind w:left="380"/>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The Company determined fair values of assets acquired and liabilities assumed. Although the initial accounting for the business combination has been recorded, these amounts are subject to change during the measurement period, which extends no longer than one year from the consummation date, based on additional reviews, such as asset verification. During the quarter ended June 30, 2022, the Company increased the assumed asset retirement obligations liability by $46.6 million, with goodwill increasing by a comparable amount. As of June 30, 2022, the measurement period remains open. Specific accounts subject to ongoing purchase accounting adjustments include, but are not limited to, property, plant and equipment; lease assets and liabilities; goodwill; intangible assets; asset retirement obligations; and other liabilities. Amortization of the goodwill generated by the transaction is deductible for income tax purposes.</w:t>
      </w:r>
    </w:p>
    <w:p>
      <w:pPr>
        <w:spacing w:after="0" w:line="76" w:lineRule="exact"/>
        <w:rPr>
          <w:rFonts w:ascii="Arial" w:cs="Arial" w:eastAsia="Arial" w:hAnsi="Arial"/>
          <w:sz w:val="20"/>
          <w:szCs w:val="20"/>
          <w:b w:val="1"/>
          <w:bCs w:val="1"/>
          <w:color w:val="auto"/>
        </w:rPr>
      </w:pPr>
    </w:p>
    <w:p>
      <w:pPr>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following is a summary of the preliminary estimated fair values of the assets acquired and liabilities assumed as of October 1, 2021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20" w:type="dxa"/>
            <w:vAlign w:val="bottom"/>
          </w:tcPr>
          <w:p>
            <w:pPr>
              <w:ind w:left="20"/>
              <w:spacing w:after="0"/>
              <w:rPr>
                <w:sz w:val="20"/>
                <w:szCs w:val="20"/>
                <w:color w:val="auto"/>
              </w:rPr>
            </w:pPr>
            <w:r>
              <w:rPr>
                <w:rFonts w:ascii="Arial" w:cs="Arial" w:eastAsia="Arial" w:hAnsi="Arial"/>
                <w:sz w:val="20"/>
                <w:szCs w:val="20"/>
                <w:color w:val="auto"/>
              </w:rPr>
              <w:t>Assets: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872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Inventories</w:t>
            </w:r>
          </w:p>
        </w:tc>
        <w:tc>
          <w:tcPr>
            <w:tcW w:w="960" w:type="dxa"/>
            <w:vAlign w:val="bottom"/>
            <w:shd w:val="clear" w:color="auto" w:fill="CFF0FC"/>
          </w:tcPr>
          <w:p>
            <w:pPr>
              <w:jc w:val="right"/>
              <w:ind w:right="741"/>
              <w:spacing w:after="0" w:line="229" w:lineRule="exact"/>
              <w:rPr>
                <w:sz w:val="20"/>
                <w:szCs w:val="20"/>
                <w:color w:val="auto"/>
              </w:rPr>
            </w:pPr>
            <w:r>
              <w:rPr>
                <w:rFonts w:ascii="Arial" w:cs="Arial" w:eastAsia="Arial" w:hAnsi="Arial"/>
                <w:sz w:val="20"/>
                <w:szCs w:val="20"/>
                <w:color w:val="auto"/>
                <w:w w:val="89"/>
              </w:rPr>
              <w:t>$</w:t>
            </w: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91.9</w:t>
            </w:r>
          </w:p>
        </w:tc>
        <w:tc>
          <w:tcPr>
            <w:tcW w:w="100" w:type="dxa"/>
            <w:vAlign w:val="bottom"/>
            <w:shd w:val="clear" w:color="auto" w:fill="CFF0FC"/>
          </w:tcPr>
          <w:p>
            <w:pPr>
              <w:spacing w:after="0"/>
              <w:rPr>
                <w:sz w:val="19"/>
                <w:szCs w:val="19"/>
                <w:color w:val="auto"/>
              </w:rPr>
            </w:pPr>
          </w:p>
        </w:tc>
      </w:tr>
      <w:tr>
        <w:trPr>
          <w:trHeight w:val="229"/>
        </w:trPr>
        <w:tc>
          <w:tcPr>
            <w:tcW w:w="8720" w:type="dxa"/>
            <w:vAlign w:val="bottom"/>
          </w:tcPr>
          <w:p>
            <w:pPr>
              <w:ind w:left="200"/>
              <w:spacing w:after="0" w:line="229" w:lineRule="exact"/>
              <w:rPr>
                <w:sz w:val="20"/>
                <w:szCs w:val="20"/>
                <w:color w:val="auto"/>
              </w:rPr>
            </w:pPr>
            <w:r>
              <w:rPr>
                <w:rFonts w:ascii="Arial" w:cs="Arial" w:eastAsia="Arial" w:hAnsi="Arial"/>
                <w:sz w:val="20"/>
                <w:szCs w:val="20"/>
                <w:color w:val="auto"/>
              </w:rPr>
              <w:t>Property, plant and equipment</w:t>
            </w:r>
          </w:p>
        </w:tc>
        <w:tc>
          <w:tcPr>
            <w:tcW w:w="96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Arial" w:cs="Arial" w:eastAsia="Arial" w:hAnsi="Arial"/>
                <w:sz w:val="20"/>
                <w:szCs w:val="20"/>
                <w:color w:val="auto"/>
              </w:rPr>
              <w:t>849.9</w:t>
            </w:r>
          </w:p>
        </w:tc>
        <w:tc>
          <w:tcPr>
            <w:tcW w:w="100" w:type="dxa"/>
            <w:vAlign w:val="bottom"/>
          </w:tcPr>
          <w:p>
            <w:pPr>
              <w:spacing w:after="0"/>
              <w:rPr>
                <w:sz w:val="19"/>
                <w:szCs w:val="19"/>
                <w:color w:val="auto"/>
              </w:rPr>
            </w:pPr>
          </w:p>
        </w:tc>
      </w:tr>
      <w:tr>
        <w:trPr>
          <w:trHeight w:val="229"/>
        </w:trPr>
        <w:tc>
          <w:tcPr>
            <w:tcW w:w="872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Intangible assets, other than goodwill</w:t>
            </w:r>
          </w:p>
        </w:tc>
        <w:tc>
          <w:tcPr>
            <w:tcW w:w="9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551.0</w:t>
            </w:r>
          </w:p>
        </w:tc>
        <w:tc>
          <w:tcPr>
            <w:tcW w:w="100" w:type="dxa"/>
            <w:vAlign w:val="bottom"/>
            <w:shd w:val="clear" w:color="auto" w:fill="CFF0FC"/>
          </w:tcPr>
          <w:p>
            <w:pPr>
              <w:spacing w:after="0"/>
              <w:rPr>
                <w:sz w:val="19"/>
                <w:szCs w:val="19"/>
                <w:color w:val="auto"/>
              </w:rPr>
            </w:pPr>
          </w:p>
        </w:tc>
      </w:tr>
      <w:tr>
        <w:trPr>
          <w:trHeight w:val="229"/>
        </w:trPr>
        <w:tc>
          <w:tcPr>
            <w:tcW w:w="8720" w:type="dxa"/>
            <w:vAlign w:val="bottom"/>
          </w:tcPr>
          <w:p>
            <w:pPr>
              <w:ind w:left="200"/>
              <w:spacing w:after="0" w:line="229" w:lineRule="exact"/>
              <w:rPr>
                <w:sz w:val="20"/>
                <w:szCs w:val="20"/>
                <w:color w:val="auto"/>
              </w:rPr>
            </w:pPr>
            <w:r>
              <w:rPr>
                <w:rFonts w:ascii="Arial" w:cs="Arial" w:eastAsia="Arial" w:hAnsi="Arial"/>
                <w:sz w:val="20"/>
                <w:szCs w:val="20"/>
                <w:color w:val="auto"/>
              </w:rPr>
              <w:t>Goodwill</w:t>
            </w:r>
          </w:p>
        </w:tc>
        <w:tc>
          <w:tcPr>
            <w:tcW w:w="96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Arial" w:cs="Arial" w:eastAsia="Arial" w:hAnsi="Arial"/>
                <w:sz w:val="20"/>
                <w:szCs w:val="20"/>
                <w:color w:val="auto"/>
              </w:rPr>
              <w:t>1,041.8</w:t>
            </w:r>
          </w:p>
        </w:tc>
        <w:tc>
          <w:tcPr>
            <w:tcW w:w="100" w:type="dxa"/>
            <w:vAlign w:val="bottom"/>
          </w:tcPr>
          <w:p>
            <w:pPr>
              <w:spacing w:after="0"/>
              <w:rPr>
                <w:sz w:val="19"/>
                <w:szCs w:val="19"/>
                <w:color w:val="auto"/>
              </w:rPr>
            </w:pPr>
          </w:p>
        </w:tc>
      </w:tr>
      <w:tr>
        <w:trPr>
          <w:trHeight w:val="229"/>
        </w:trPr>
        <w:tc>
          <w:tcPr>
            <w:tcW w:w="872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20"/>
                <w:szCs w:val="20"/>
                <w:color w:val="auto"/>
              </w:rPr>
              <w:t>Other assets</w:t>
            </w:r>
          </w:p>
        </w:tc>
        <w:tc>
          <w:tcPr>
            <w:tcW w:w="9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54.6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8720" w:type="dxa"/>
            <w:vAlign w:val="bottom"/>
          </w:tcPr>
          <w:p>
            <w:pPr>
              <w:ind w:left="20"/>
              <w:spacing w:after="0" w:line="223" w:lineRule="exact"/>
              <w:rPr>
                <w:sz w:val="20"/>
                <w:szCs w:val="20"/>
                <w:color w:val="auto"/>
              </w:rPr>
            </w:pPr>
            <w:r>
              <w:rPr>
                <w:rFonts w:ascii="Arial" w:cs="Arial" w:eastAsia="Arial" w:hAnsi="Arial"/>
                <w:sz w:val="20"/>
                <w:szCs w:val="20"/>
                <w:color w:val="auto"/>
              </w:rPr>
              <w:t>Total assets</w:t>
            </w: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2,589.2</w:t>
            </w:r>
          </w:p>
        </w:tc>
        <w:tc>
          <w:tcPr>
            <w:tcW w:w="100" w:type="dxa"/>
            <w:vAlign w:val="bottom"/>
          </w:tcPr>
          <w:p>
            <w:pPr>
              <w:spacing w:after="0"/>
              <w:rPr>
                <w:sz w:val="19"/>
                <w:szCs w:val="19"/>
                <w:color w:val="auto"/>
              </w:rPr>
            </w:pPr>
          </w:p>
        </w:tc>
      </w:tr>
      <w:tr>
        <w:trPr>
          <w:trHeight w:val="222"/>
        </w:trPr>
        <w:tc>
          <w:tcPr>
            <w:tcW w:w="872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Liabilities:</w:t>
            </w:r>
          </w:p>
        </w:tc>
        <w:tc>
          <w:tcPr>
            <w:tcW w:w="9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720" w:type="dxa"/>
            <w:vAlign w:val="bottom"/>
          </w:tcPr>
          <w:p>
            <w:pPr>
              <w:ind w:left="200"/>
              <w:spacing w:after="0" w:line="229" w:lineRule="exact"/>
              <w:rPr>
                <w:sz w:val="20"/>
                <w:szCs w:val="20"/>
                <w:color w:val="auto"/>
              </w:rPr>
            </w:pPr>
            <w:r>
              <w:rPr>
                <w:rFonts w:ascii="Arial" w:cs="Arial" w:eastAsia="Arial" w:hAnsi="Arial"/>
                <w:sz w:val="20"/>
                <w:szCs w:val="20"/>
                <w:color w:val="auto"/>
              </w:rPr>
              <w:t>Asset retirement obligations</w:t>
            </w:r>
          </w:p>
        </w:tc>
        <w:tc>
          <w:tcPr>
            <w:tcW w:w="96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Arial" w:cs="Arial" w:eastAsia="Arial" w:hAnsi="Arial"/>
                <w:sz w:val="20"/>
                <w:szCs w:val="20"/>
                <w:color w:val="auto"/>
              </w:rPr>
              <w:t>225.5</w:t>
            </w:r>
          </w:p>
        </w:tc>
        <w:tc>
          <w:tcPr>
            <w:tcW w:w="100" w:type="dxa"/>
            <w:vAlign w:val="bottom"/>
          </w:tcPr>
          <w:p>
            <w:pPr>
              <w:spacing w:after="0"/>
              <w:rPr>
                <w:sz w:val="19"/>
                <w:szCs w:val="19"/>
                <w:color w:val="auto"/>
              </w:rPr>
            </w:pPr>
          </w:p>
        </w:tc>
      </w:tr>
      <w:tr>
        <w:trPr>
          <w:trHeight w:val="229"/>
        </w:trPr>
        <w:tc>
          <w:tcPr>
            <w:tcW w:w="872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Operating and finance lease liabilities</w:t>
            </w:r>
          </w:p>
        </w:tc>
        <w:tc>
          <w:tcPr>
            <w:tcW w:w="9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57.5</w:t>
            </w:r>
          </w:p>
        </w:tc>
        <w:tc>
          <w:tcPr>
            <w:tcW w:w="100" w:type="dxa"/>
            <w:vAlign w:val="bottom"/>
            <w:shd w:val="clear" w:color="auto" w:fill="CFF0FC"/>
          </w:tcPr>
          <w:p>
            <w:pPr>
              <w:spacing w:after="0"/>
              <w:rPr>
                <w:sz w:val="19"/>
                <w:szCs w:val="19"/>
                <w:color w:val="auto"/>
              </w:rPr>
            </w:pPr>
          </w:p>
        </w:tc>
      </w:tr>
      <w:tr>
        <w:trPr>
          <w:trHeight w:val="229"/>
        </w:trPr>
        <w:tc>
          <w:tcPr>
            <w:tcW w:w="8720" w:type="dxa"/>
            <w:vAlign w:val="bottom"/>
          </w:tcPr>
          <w:p>
            <w:pPr>
              <w:ind w:left="200"/>
              <w:spacing w:after="0" w:line="229" w:lineRule="exact"/>
              <w:rPr>
                <w:sz w:val="20"/>
                <w:szCs w:val="20"/>
                <w:color w:val="auto"/>
              </w:rPr>
            </w:pPr>
            <w:r>
              <w:rPr>
                <w:rFonts w:ascii="Arial" w:cs="Arial" w:eastAsia="Arial" w:hAnsi="Arial"/>
                <w:sz w:val="20"/>
                <w:szCs w:val="20"/>
                <w:color w:val="auto"/>
              </w:rPr>
              <w:t>Other liabilities</w:t>
            </w: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41.6</w:t>
            </w:r>
          </w:p>
        </w:tc>
        <w:tc>
          <w:tcPr>
            <w:tcW w:w="100" w:type="dxa"/>
            <w:vAlign w:val="bottom"/>
          </w:tcPr>
          <w:p>
            <w:pPr>
              <w:spacing w:after="0"/>
              <w:rPr>
                <w:sz w:val="19"/>
                <w:szCs w:val="19"/>
                <w:color w:val="auto"/>
              </w:rPr>
            </w:pPr>
          </w:p>
        </w:tc>
      </w:tr>
      <w:tr>
        <w:trPr>
          <w:trHeight w:val="222"/>
        </w:trPr>
        <w:tc>
          <w:tcPr>
            <w:tcW w:w="872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 liabilities</w:t>
            </w:r>
          </w:p>
        </w:tc>
        <w:tc>
          <w:tcPr>
            <w:tcW w:w="9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324.6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8720" w:type="dxa"/>
            <w:vAlign w:val="bottom"/>
          </w:tcPr>
          <w:p>
            <w:pPr>
              <w:ind w:left="20"/>
              <w:spacing w:after="0" w:line="223" w:lineRule="exact"/>
              <w:rPr>
                <w:sz w:val="20"/>
                <w:szCs w:val="20"/>
                <w:color w:val="auto"/>
              </w:rPr>
            </w:pPr>
            <w:r>
              <w:rPr>
                <w:rFonts w:ascii="Arial" w:cs="Arial" w:eastAsia="Arial" w:hAnsi="Arial"/>
                <w:sz w:val="20"/>
                <w:szCs w:val="20"/>
                <w:color w:val="auto"/>
              </w:rPr>
              <w:t>Total consideration</w:t>
            </w:r>
          </w:p>
        </w:tc>
        <w:tc>
          <w:tcPr>
            <w:tcW w:w="960" w:type="dxa"/>
            <w:vAlign w:val="bottom"/>
            <w:tcBorders>
              <w:bottom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2,264.6</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-1073785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In July 2021, the Company acquired assets of Southern Crushed Concrete (SCC) in the Houston area. SCC was a leading producer of recycled concrete, which is principally used as a base aggregates product in infrastructure, commercial and residential construction applications. Although the initial accounting for the business combination has been recorded, the fair values of accrued liabilities, goodwill and intangible assets are subject to change during the measurement period, which remains open as of June 30, 2022. Amortization of the goodwill generated by the transaction is deductible for income tax purposes. The results from the acquired business are included in the Company’s West Group, but are immaterial for pro-forma financial statement disclosures.</w:t>
      </w:r>
    </w:p>
    <w:p>
      <w:pPr>
        <w:spacing w:after="0" w:line="60"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In April 2021, the Company completed the acquisition of Tiller Corporation (Tiller), a leading aggregates and hot mix asphalt supplier in the Minneapolis/St. Paul area, which is one of the largest and fastest-growing midwestern metropolitan areas. The Tiller acquisition complemented the Company’s existing product offerings in the surrounding areas. The Company determined fair values of the assets acquired and liabilities assumed, and the measurement period is closed as of June 30, 2022. Amortization of the goodwill generated by the transaction is deductible for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ind w:left="380" w:right="20"/>
        <w:spacing w:after="0" w:line="245" w:lineRule="auto"/>
        <w:rPr>
          <w:sz w:val="20"/>
          <w:szCs w:val="20"/>
          <w:color w:val="auto"/>
        </w:rPr>
      </w:pPr>
      <w:r>
        <w:rPr>
          <w:rFonts w:ascii="Arial" w:cs="Arial" w:eastAsia="Arial" w:hAnsi="Arial"/>
          <w:sz w:val="20"/>
          <w:szCs w:val="20"/>
          <w:color w:val="auto"/>
        </w:rPr>
        <w:t>tax purposes. The results from the acquired business are included in the Company’s East Group, but are immaterial for pro-forma financial statement disclosures.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Discontinued Operations</w:t>
      </w:r>
    </w:p>
    <w:p>
      <w:pPr>
        <w:spacing w:after="0" w:line="99" w:lineRule="exact"/>
        <w:rPr>
          <w:sz w:val="20"/>
          <w:szCs w:val="20"/>
          <w:color w:val="auto"/>
        </w:rPr>
      </w:pPr>
    </w:p>
    <w:p>
      <w:pPr>
        <w:jc w:val="both"/>
        <w:ind w:left="380" w:right="20"/>
        <w:spacing w:after="0" w:line="245" w:lineRule="auto"/>
        <w:rPr>
          <w:sz w:val="20"/>
          <w:szCs w:val="20"/>
          <w:color w:val="auto"/>
        </w:rPr>
      </w:pPr>
      <w:r>
        <w:rPr>
          <w:rFonts w:ascii="Arial" w:cs="Arial" w:eastAsia="Arial" w:hAnsi="Arial"/>
          <w:sz w:val="20"/>
          <w:szCs w:val="20"/>
          <w:color w:val="auto"/>
        </w:rPr>
        <w:t>Discontinued operations include the cement and California ready-mixed concrete businesses acquired as part of the Lehigh West Region acquisition.</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Discontinued operations include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20"/>
                <w:szCs w:val="20"/>
                <w:color w:val="auto"/>
                <w:w w:val="89"/>
              </w:rPr>
              <w:t>Three Months Ended</w:t>
            </w:r>
          </w:p>
        </w:tc>
        <w:tc>
          <w:tcPr>
            <w:tcW w:w="30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20"/>
                <w:szCs w:val="20"/>
                <w:color w:val="auto"/>
                <w:w w:val="91"/>
              </w:rPr>
              <w:t>Six Months Ended</w:t>
            </w:r>
          </w:p>
        </w:tc>
      </w:tr>
      <w:tr>
        <w:trPr>
          <w:trHeight w:val="246"/>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gridSpan w:val="5"/>
          </w:tcPr>
          <w:p>
            <w:pPr>
              <w:jc w:val="right"/>
              <w:ind w:right="1580"/>
              <w:spacing w:after="0"/>
              <w:rPr>
                <w:sz w:val="20"/>
                <w:szCs w:val="20"/>
                <w:color w:val="auto"/>
              </w:rPr>
            </w:pPr>
            <w:r>
              <w:rPr>
                <w:rFonts w:ascii="Arial" w:cs="Arial" w:eastAsia="Arial" w:hAnsi="Arial"/>
                <w:sz w:val="20"/>
                <w:szCs w:val="20"/>
                <w:color w:val="auto"/>
              </w:rPr>
              <w:t>June 30, 2022</w:t>
            </w:r>
          </w:p>
        </w:tc>
      </w:tr>
      <w:tr>
        <w:trPr>
          <w:trHeight w:val="222"/>
        </w:trPr>
        <w:tc>
          <w:tcPr>
            <w:tcW w:w="7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4"/>
          </w:tcPr>
          <w:p>
            <w:pPr>
              <w:jc w:val="right"/>
              <w:ind w:right="1101"/>
              <w:spacing w:after="0" w:line="223" w:lineRule="exact"/>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19"/>
                <w:szCs w:val="19"/>
                <w:color w:val="auto"/>
              </w:rPr>
            </w:pPr>
          </w:p>
        </w:tc>
      </w:tr>
      <w:tr>
        <w:trPr>
          <w:trHeight w:val="269"/>
        </w:trPr>
        <w:tc>
          <w:tcPr>
            <w:tcW w:w="710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Total revenues</w:t>
            </w:r>
          </w:p>
        </w:tc>
        <w:tc>
          <w:tcPr>
            <w:tcW w:w="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18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111.7</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206.4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9"/>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1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Pretax earnings from operations</w:t>
            </w:r>
          </w:p>
        </w:tc>
        <w:tc>
          <w:tcPr>
            <w:tcW w:w="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18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20.5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16.4</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0"/>
              <w:spacing w:after="0" w:line="229" w:lineRule="exact"/>
              <w:rPr>
                <w:sz w:val="20"/>
                <w:szCs w:val="20"/>
                <w:color w:val="auto"/>
              </w:rPr>
            </w:pPr>
            <w:r>
              <w:rPr>
                <w:rFonts w:ascii="Arial" w:cs="Arial" w:eastAsia="Arial" w:hAnsi="Arial"/>
                <w:sz w:val="20"/>
                <w:szCs w:val="20"/>
                <w:color w:val="auto"/>
              </w:rPr>
              <w:t>Pretax loss on divestiture</w:t>
            </w:r>
          </w:p>
        </w:tc>
        <w:tc>
          <w:tcPr>
            <w:tcW w:w="120" w:type="dxa"/>
            <w:vAlign w:val="bottom"/>
          </w:tcPr>
          <w:p>
            <w:pPr>
              <w:spacing w:after="0"/>
              <w:rPr>
                <w:sz w:val="19"/>
                <w:szCs w:val="19"/>
                <w:color w:val="auto"/>
              </w:rPr>
            </w:pPr>
          </w:p>
        </w:tc>
        <w:tc>
          <w:tcPr>
            <w:tcW w:w="1980" w:type="dxa"/>
            <w:vAlign w:val="bottom"/>
            <w:gridSpan w:val="2"/>
          </w:tcPr>
          <w:p>
            <w:pPr>
              <w:jc w:val="right"/>
              <w:ind w:right="40"/>
              <w:spacing w:after="0" w:line="229" w:lineRule="exact"/>
              <w:rPr>
                <w:sz w:val="20"/>
                <w:szCs w:val="20"/>
                <w:color w:val="auto"/>
              </w:rPr>
            </w:pPr>
            <w:r>
              <w:rPr>
                <w:rFonts w:ascii="Arial" w:cs="Arial" w:eastAsia="Arial" w:hAnsi="Arial"/>
                <w:sz w:val="20"/>
                <w:szCs w:val="20"/>
                <w:color w:val="auto"/>
              </w:rPr>
              <w:t>(1.0 )</w:t>
            </w:r>
          </w:p>
        </w:tc>
        <w:tc>
          <w:tcPr>
            <w:tcW w:w="300" w:type="dxa"/>
            <w:vAlign w:val="bottom"/>
          </w:tcPr>
          <w:p>
            <w:pPr>
              <w:spacing w:after="0"/>
              <w:rPr>
                <w:sz w:val="19"/>
                <w:szCs w:val="19"/>
                <w:color w:val="auto"/>
              </w:rPr>
            </w:pPr>
          </w:p>
        </w:tc>
        <w:tc>
          <w:tcPr>
            <w:tcW w:w="174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(1.0 )</w:t>
            </w:r>
          </w:p>
        </w:tc>
      </w:tr>
      <w:tr>
        <w:trPr>
          <w:trHeight w:val="222"/>
        </w:trPr>
        <w:tc>
          <w:tcPr>
            <w:tcW w:w="710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Pretax earnings</w:t>
            </w:r>
          </w:p>
        </w:tc>
        <w:tc>
          <w:tcPr>
            <w:tcW w:w="1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186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19.5</w:t>
            </w:r>
          </w:p>
        </w:tc>
        <w:tc>
          <w:tcPr>
            <w:tcW w:w="1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64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15.4</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0"/>
              <w:spacing w:after="0" w:line="229" w:lineRule="exact"/>
              <w:rPr>
                <w:sz w:val="20"/>
                <w:szCs w:val="20"/>
                <w:color w:val="auto"/>
              </w:rPr>
            </w:pPr>
            <w:r>
              <w:rPr>
                <w:rFonts w:ascii="Arial" w:cs="Arial" w:eastAsia="Arial" w:hAnsi="Arial"/>
                <w:sz w:val="20"/>
                <w:szCs w:val="20"/>
                <w:color w:val="auto"/>
              </w:rPr>
              <w:t>Income tax expense</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6.2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5.2</w:t>
            </w:r>
          </w:p>
        </w:tc>
        <w:tc>
          <w:tcPr>
            <w:tcW w:w="100" w:type="dxa"/>
            <w:vAlign w:val="bottom"/>
          </w:tcPr>
          <w:p>
            <w:pPr>
              <w:spacing w:after="0"/>
              <w:rPr>
                <w:sz w:val="19"/>
                <w:szCs w:val="19"/>
                <w:color w:val="auto"/>
              </w:rPr>
            </w:pPr>
          </w:p>
        </w:tc>
      </w:tr>
      <w:tr>
        <w:trPr>
          <w:trHeight w:val="262"/>
        </w:trPr>
        <w:tc>
          <w:tcPr>
            <w:tcW w:w="710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Earnings from discontinued operations, net of income tax expense</w:t>
            </w:r>
          </w:p>
        </w:tc>
        <w:tc>
          <w:tcPr>
            <w:tcW w:w="1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18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13.3</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-940435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-923290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-940435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-923290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Total cash provided by operating and investing activities for the discontinued operations was $224.2 million, including $235.0 million of proceeds from divestitures and $13.2 million of cash used for capital expenditures, for the six months ended June 30, 2022. Non-cash items related to operating and investing activities for the discontinued operations were immaterial for the six months ended June 30, 2022.</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Divestitures</w:t>
      </w:r>
    </w:p>
    <w:p>
      <w:pPr>
        <w:spacing w:after="0" w:line="99" w:lineRule="exact"/>
        <w:rPr>
          <w:sz w:val="20"/>
          <w:szCs w:val="20"/>
          <w:color w:val="auto"/>
        </w:rPr>
      </w:pPr>
    </w:p>
    <w:p>
      <w:pPr>
        <w:jc w:val="both"/>
        <w:ind w:left="380"/>
        <w:spacing w:after="0" w:line="266" w:lineRule="auto"/>
        <w:rPr>
          <w:sz w:val="20"/>
          <w:szCs w:val="20"/>
          <w:color w:val="auto"/>
        </w:rPr>
      </w:pPr>
      <w:r>
        <w:rPr>
          <w:rFonts w:ascii="Arial" w:cs="Arial" w:eastAsia="Arial" w:hAnsi="Arial"/>
          <w:sz w:val="18"/>
          <w:szCs w:val="18"/>
          <w:color w:val="auto"/>
        </w:rPr>
        <w:t>On June 30, 2022, the Company completed the sale of the Redding, California cement plant, related cement distribution terminals and 14 California ready mix operations for $235 million in cash. In addition, the Company agreed to sell its interest, for $15 million, in a joint venture that operates a cement distribution terminal. The Company did not record any amortization or depreciation expense related to these businesses for the three and six months ended June 30, 2022, as these were previously classified as assets held for sale.</w:t>
      </w:r>
    </w:p>
    <w:p>
      <w:pPr>
        <w:spacing w:after="0" w:line="52" w:lineRule="exact"/>
        <w:rPr>
          <w:sz w:val="20"/>
          <w:szCs w:val="20"/>
          <w:color w:val="auto"/>
        </w:rPr>
      </w:pPr>
    </w:p>
    <w:p>
      <w:pPr>
        <w:jc w:val="both"/>
        <w:ind w:left="380"/>
        <w:spacing w:after="0" w:line="245" w:lineRule="auto"/>
        <w:rPr>
          <w:sz w:val="20"/>
          <w:szCs w:val="20"/>
          <w:color w:val="auto"/>
        </w:rPr>
      </w:pPr>
      <w:r>
        <w:rPr>
          <w:rFonts w:ascii="Arial" w:cs="Arial" w:eastAsia="Arial" w:hAnsi="Arial"/>
          <w:sz w:val="19"/>
          <w:szCs w:val="19"/>
          <w:color w:val="auto"/>
        </w:rPr>
        <w:t>On April 1, 2022, the Company divested its Colorado and Central Texas ready-mixed concrete operations to Smyrna Ready Mix Concrete LLC. This opportunity optimized the Company’s aggregates-led portfolio and improved its ability to generate more attractive margins over the long term by reducing both business cyclicality and exposure to raw material cost inflation. The transaction resulted in a pretax gain of $151.7 million, which is included in O</w:t>
      </w:r>
      <w:r>
        <w:rPr>
          <w:rFonts w:ascii="Arial" w:cs="Arial" w:eastAsia="Arial" w:hAnsi="Arial"/>
          <w:sz w:val="19"/>
          <w:szCs w:val="19"/>
          <w:i w:val="1"/>
          <w:iCs w:val="1"/>
          <w:color w:val="auto"/>
        </w:rPr>
        <w:t>ther operating income, net</w:t>
      </w:r>
      <w:r>
        <w:rPr>
          <w:rFonts w:ascii="Arial" w:cs="Arial" w:eastAsia="Arial" w:hAnsi="Arial"/>
          <w:sz w:val="19"/>
          <w:szCs w:val="19"/>
          <w:color w:val="auto"/>
        </w:rPr>
        <w:t>, and is inclusive of expenses incurred due to the divestiture. The divested operations and the gain on divestiture are all reported in the West Group.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8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Assets Held for Sale</w:t>
      </w:r>
    </w:p>
    <w:p>
      <w:pPr>
        <w:spacing w:after="0" w:line="99" w:lineRule="exact"/>
        <w:rPr>
          <w:sz w:val="20"/>
          <w:szCs w:val="20"/>
          <w:color w:val="auto"/>
        </w:rPr>
      </w:pPr>
    </w:p>
    <w:p>
      <w:pPr>
        <w:jc w:val="both"/>
        <w:ind w:left="380"/>
        <w:spacing w:after="0" w:line="248" w:lineRule="auto"/>
        <w:rPr>
          <w:sz w:val="20"/>
          <w:szCs w:val="20"/>
          <w:color w:val="auto"/>
        </w:rPr>
      </w:pPr>
      <w:r>
        <w:rPr>
          <w:rFonts w:ascii="Arial" w:cs="Arial" w:eastAsia="Arial" w:hAnsi="Arial"/>
          <w:sz w:val="19"/>
          <w:szCs w:val="19"/>
          <w:color w:val="auto"/>
        </w:rPr>
        <w:t>Assets and liabilities held for sale as of June 30, 2022, include a cement plant in Tehachapi, California; cement distribution terminals; the California ready mixed concrete plants not sold as part of the aforementioned Redding transaction; and certain investment properties. At December 31, 2021 assets and liabilities held for sale also included the operations that were sold on June 30, 2022. Assets and liabilities held for sale as of June 30, 2022 and December 31, 2021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20"/>
                <w:szCs w:val="20"/>
                <w:color w:val="auto"/>
              </w:rPr>
              <w:t>June 30, 2022</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7"/>
          </w:tcPr>
          <w:p>
            <w:pPr>
              <w:ind w:left="1020"/>
              <w:spacing w:after="0"/>
              <w:rPr>
                <w:sz w:val="20"/>
                <w:szCs w:val="20"/>
                <w:color w:val="auto"/>
              </w:rPr>
            </w:pPr>
            <w:r>
              <w:rPr>
                <w:rFonts w:ascii="Arial" w:cs="Arial" w:eastAsia="Arial" w:hAnsi="Arial"/>
                <w:sz w:val="20"/>
                <w:szCs w:val="20"/>
                <w:color w:val="auto"/>
              </w:rPr>
              <w:t>December 31, 2021</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1140" w:type="dxa"/>
            <w:vAlign w:val="bottom"/>
            <w:gridSpan w:val="2"/>
          </w:tcPr>
          <w:p>
            <w:pPr>
              <w:jc w:val="right"/>
              <w:ind w:right="61"/>
              <w:spacing w:after="0" w:line="179" w:lineRule="exact"/>
              <w:rPr>
                <w:sz w:val="20"/>
                <w:szCs w:val="20"/>
                <w:color w:val="auto"/>
              </w:rPr>
            </w:pPr>
            <w:r>
              <w:rPr>
                <w:rFonts w:ascii="Arial" w:cs="Arial" w:eastAsia="Arial" w:hAnsi="Arial"/>
                <w:sz w:val="20"/>
                <w:szCs w:val="20"/>
                <w:color w:val="auto"/>
              </w:rPr>
              <w:t>Continuing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420"/>
              <w:spacing w:after="0" w:line="179" w:lineRule="exact"/>
              <w:rPr>
                <w:sz w:val="20"/>
                <w:szCs w:val="20"/>
                <w:color w:val="auto"/>
              </w:rPr>
            </w:pPr>
            <w:r>
              <w:rPr>
                <w:rFonts w:ascii="Arial" w:cs="Arial" w:eastAsia="Arial" w:hAnsi="Arial"/>
                <w:sz w:val="20"/>
                <w:szCs w:val="20"/>
                <w:color w:val="auto"/>
                <w:w w:val="91"/>
              </w:rPr>
              <w:t>Discontinued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61"/>
              <w:spacing w:after="0" w:line="179" w:lineRule="exact"/>
              <w:rPr>
                <w:sz w:val="20"/>
                <w:szCs w:val="20"/>
                <w:color w:val="auto"/>
              </w:rPr>
            </w:pPr>
            <w:r>
              <w:rPr>
                <w:rFonts w:ascii="Arial" w:cs="Arial" w:eastAsia="Arial" w:hAnsi="Arial"/>
                <w:sz w:val="20"/>
                <w:szCs w:val="20"/>
                <w:color w:val="auto"/>
                <w:w w:val="89"/>
              </w:rPr>
              <w:t>Continuing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jc w:val="center"/>
              <w:ind w:right="380"/>
              <w:spacing w:after="0" w:line="179" w:lineRule="exact"/>
              <w:rPr>
                <w:sz w:val="20"/>
                <w:szCs w:val="20"/>
                <w:color w:val="auto"/>
              </w:rPr>
            </w:pPr>
            <w:r>
              <w:rPr>
                <w:rFonts w:ascii="Arial" w:cs="Arial" w:eastAsia="Arial" w:hAnsi="Arial"/>
                <w:sz w:val="20"/>
                <w:szCs w:val="20"/>
                <w:color w:val="auto"/>
                <w:w w:val="89"/>
              </w:rPr>
              <w:t>Discontinued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w w:val="87"/>
              </w:rPr>
              <w:t>Operations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center"/>
              <w:ind w:right="380"/>
              <w:spacing w:after="0"/>
              <w:rPr>
                <w:sz w:val="20"/>
                <w:szCs w:val="20"/>
                <w:color w:val="auto"/>
              </w:rPr>
            </w:pPr>
            <w:r>
              <w:rPr>
                <w:rFonts w:ascii="Arial" w:cs="Arial" w:eastAsia="Arial" w:hAnsi="Arial"/>
                <w:sz w:val="20"/>
                <w:szCs w:val="20"/>
                <w:color w:val="auto"/>
                <w:w w:val="87"/>
              </w:rPr>
              <w:t>Operations</w:t>
            </w:r>
          </w:p>
        </w:tc>
        <w:tc>
          <w:tcPr>
            <w:tcW w:w="160" w:type="dxa"/>
            <w:vAlign w:val="bottom"/>
          </w:tcPr>
          <w:p>
            <w:pPr>
              <w:spacing w:after="0"/>
              <w:rPr>
                <w:sz w:val="21"/>
                <w:szCs w:val="21"/>
                <w:color w:val="auto"/>
              </w:rPr>
            </w:pPr>
          </w:p>
        </w:tc>
        <w:tc>
          <w:tcPr>
            <w:tcW w:w="760" w:type="dxa"/>
            <w:vAlign w:val="bottom"/>
            <w:gridSpan w:val="2"/>
          </w:tcPr>
          <w:p>
            <w:pPr>
              <w:jc w:val="right"/>
              <w:ind w:right="221"/>
              <w:spacing w:after="0"/>
              <w:rPr>
                <w:sz w:val="20"/>
                <w:szCs w:val="20"/>
                <w:color w:val="auto"/>
              </w:rPr>
            </w:pPr>
            <w:r>
              <w:rPr>
                <w:rFonts w:ascii="Arial" w:cs="Arial" w:eastAsia="Arial" w:hAnsi="Arial"/>
                <w:sz w:val="20"/>
                <w:szCs w:val="20"/>
                <w:color w:val="auto"/>
                <w:w w:val="94"/>
              </w:rPr>
              <w:t>Total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w w:val="89"/>
              </w:rPr>
              <w:t>Operations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20"/>
                <w:szCs w:val="20"/>
                <w:color w:val="auto"/>
                <w:w w:val="89"/>
              </w:rPr>
              <w:t>Operations</w:t>
            </w:r>
          </w:p>
        </w:tc>
        <w:tc>
          <w:tcPr>
            <w:tcW w:w="160" w:type="dxa"/>
            <w:vAlign w:val="bottom"/>
          </w:tcPr>
          <w:p>
            <w:pPr>
              <w:spacing w:after="0"/>
              <w:rPr>
                <w:sz w:val="21"/>
                <w:szCs w:val="21"/>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20"/>
                <w:szCs w:val="20"/>
                <w:color w:val="auto"/>
                <w:w w:val="98"/>
              </w:rPr>
              <w:t>Total</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00" w:type="dxa"/>
            <w:vAlign w:val="bottom"/>
            <w:gridSpan w:val="2"/>
          </w:tcPr>
          <w:p>
            <w:pPr>
              <w:spacing w:after="0" w:line="223" w:lineRule="exact"/>
              <w:rPr>
                <w:sz w:val="20"/>
                <w:szCs w:val="20"/>
                <w:color w:val="auto"/>
              </w:rPr>
            </w:pPr>
            <w:r>
              <w:rPr>
                <w:rFonts w:ascii="Arial" w:cs="Arial" w:eastAsia="Arial" w:hAnsi="Arial"/>
                <w:sz w:val="20"/>
                <w:szCs w:val="20"/>
                <w:i w:val="1"/>
                <w:iCs w:val="1"/>
                <w:color w:val="auto"/>
              </w:rPr>
              <w:t>in</w:t>
            </w:r>
          </w:p>
        </w:tc>
        <w:tc>
          <w:tcPr>
            <w:tcW w:w="116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Inventories, net</w:t>
            </w:r>
          </w:p>
        </w:tc>
        <w:tc>
          <w:tcPr>
            <w:tcW w:w="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360" w:type="dxa"/>
            <w:vAlign w:val="bottom"/>
            <w:gridSpan w:val="3"/>
            <w:shd w:val="clear" w:color="auto" w:fill="CFF0FC"/>
          </w:tcPr>
          <w:p>
            <w:pPr>
              <w:ind w:left="240"/>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19.5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6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19.5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340" w:type="dxa"/>
            <w:vAlign w:val="bottom"/>
            <w:gridSpan w:val="3"/>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6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Investment land</w:t>
            </w:r>
          </w:p>
        </w:tc>
        <w:tc>
          <w:tcPr>
            <w:tcW w:w="12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240"/>
              <w:spacing w:after="0" w:line="229"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640" w:type="dxa"/>
            <w:vAlign w:val="bottom"/>
          </w:tcPr>
          <w:p>
            <w:pPr>
              <w:jc w:val="right"/>
              <w:spacing w:after="0" w:line="229" w:lineRule="exact"/>
              <w:rPr>
                <w:sz w:val="20"/>
                <w:szCs w:val="20"/>
                <w:color w:val="auto"/>
              </w:rPr>
            </w:pPr>
            <w:r>
              <w:rPr>
                <w:rFonts w:ascii="Arial" w:cs="Arial" w:eastAsia="Arial" w:hAnsi="Arial"/>
                <w:sz w:val="20"/>
                <w:szCs w:val="20"/>
                <w:color w:val="auto"/>
              </w:rPr>
              <w:t>38.0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220"/>
              <w:spacing w:after="0" w:line="229"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Arial" w:cs="Arial" w:eastAsia="Arial" w:hAnsi="Arial"/>
                <w:sz w:val="20"/>
                <w:szCs w:val="20"/>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16.4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line="223" w:lineRule="exact"/>
              <w:rPr>
                <w:sz w:val="20"/>
                <w:szCs w:val="20"/>
                <w:color w:val="auto"/>
              </w:rPr>
            </w:pPr>
            <w:r>
              <w:rPr>
                <w:rFonts w:ascii="Arial" w:cs="Arial" w:eastAsia="Arial" w:hAnsi="Arial"/>
                <w:sz w:val="20"/>
                <w:szCs w:val="20"/>
                <w:color w:val="auto"/>
              </w:rPr>
              <w:t>Total current assets held for sale</w:t>
            </w: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38.0</w:t>
            </w:r>
          </w:p>
        </w:tc>
        <w:tc>
          <w:tcPr>
            <w:tcW w:w="120" w:type="dxa"/>
            <w:vAlign w:val="bottom"/>
          </w:tcPr>
          <w:p>
            <w:pPr>
              <w:spacing w:after="0"/>
              <w:rPr>
                <w:sz w:val="19"/>
                <w:szCs w:val="19"/>
                <w:color w:val="auto"/>
              </w:rPr>
            </w:pPr>
          </w:p>
        </w:tc>
        <w:tc>
          <w:tcPr>
            <w:tcW w:w="24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57.5</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32.7</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20"/>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69.5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Property, plant and equipment</w:t>
            </w:r>
          </w:p>
        </w:tc>
        <w:tc>
          <w:tcPr>
            <w:tcW w:w="120" w:type="dxa"/>
            <w:vAlign w:val="bottom"/>
          </w:tcPr>
          <w:p>
            <w:pPr>
              <w:jc w:val="right"/>
              <w:spacing w:after="0" w:line="229" w:lineRule="exact"/>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360" w:type="dxa"/>
            <w:vAlign w:val="bottom"/>
            <w:gridSpan w:val="3"/>
          </w:tcPr>
          <w:p>
            <w:pPr>
              <w:ind w:left="240"/>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Arial" w:cs="Arial" w:eastAsia="Arial" w:hAnsi="Arial"/>
                <w:sz w:val="20"/>
                <w:szCs w:val="20"/>
                <w:color w:val="auto"/>
                <w:w w:val="71"/>
              </w:rPr>
              <w:t>$</w:t>
            </w:r>
          </w:p>
        </w:tc>
        <w:tc>
          <w:tcPr>
            <w:tcW w:w="640" w:type="dxa"/>
            <w:vAlign w:val="bottom"/>
          </w:tcPr>
          <w:p>
            <w:pPr>
              <w:jc w:val="right"/>
              <w:spacing w:after="0" w:line="229" w:lineRule="exact"/>
              <w:rPr>
                <w:sz w:val="20"/>
                <w:szCs w:val="20"/>
                <w:color w:val="auto"/>
              </w:rPr>
            </w:pPr>
            <w:r>
              <w:rPr>
                <w:rFonts w:ascii="Arial" w:cs="Arial" w:eastAsia="Arial" w:hAnsi="Arial"/>
                <w:sz w:val="20"/>
                <w:szCs w:val="20"/>
                <w:color w:val="auto"/>
              </w:rPr>
              <w:t>130.0</w:t>
            </w:r>
          </w:p>
        </w:tc>
        <w:tc>
          <w:tcPr>
            <w:tcW w:w="120" w:type="dxa"/>
            <w:vAlign w:val="bottom"/>
          </w:tcPr>
          <w:p>
            <w:pPr>
              <w:spacing w:after="0"/>
              <w:rPr>
                <w:sz w:val="19"/>
                <w:szCs w:val="19"/>
                <w:color w:val="auto"/>
              </w:rPr>
            </w:pPr>
          </w:p>
        </w:tc>
        <w:tc>
          <w:tcPr>
            <w:tcW w:w="200" w:type="dxa"/>
            <w:vAlign w:val="bottom"/>
            <w:gridSpan w:val="2"/>
          </w:tcPr>
          <w:p>
            <w:pPr>
              <w:ind w:left="100"/>
              <w:spacing w:after="0" w:line="229" w:lineRule="exact"/>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340" w:type="dxa"/>
            <w:vAlign w:val="bottom"/>
            <w:gridSpan w:val="3"/>
          </w:tcPr>
          <w:p>
            <w:pPr>
              <w:jc w:val="right"/>
              <w:ind w:right="20"/>
              <w:spacing w:after="0" w:line="229"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226.0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line="229" w:lineRule="exact"/>
              <w:rPr>
                <w:sz w:val="20"/>
                <w:szCs w:val="20"/>
                <w:color w:val="auto"/>
              </w:rPr>
            </w:pPr>
            <w:r>
              <w:rPr>
                <w:rFonts w:ascii="Arial" w:cs="Arial" w:eastAsia="Arial" w:hAnsi="Arial"/>
                <w:sz w:val="20"/>
                <w:szCs w:val="20"/>
                <w:color w:val="auto"/>
              </w:rPr>
              <w:t>226.0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w w:val="98"/>
              </w:rPr>
              <w:t>Intangible assets, excluding goodwill</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208.5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208.5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264.9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Operating lease right-of-use assets</w:t>
            </w:r>
          </w:p>
        </w:tc>
        <w:tc>
          <w:tcPr>
            <w:tcW w:w="12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9" w:lineRule="exact"/>
              <w:rPr>
                <w:sz w:val="20"/>
                <w:szCs w:val="20"/>
                <w:color w:val="auto"/>
              </w:rPr>
            </w:pPr>
            <w:r>
              <w:rPr>
                <w:rFonts w:ascii="Arial" w:cs="Arial" w:eastAsia="Arial" w:hAnsi="Arial"/>
                <w:sz w:val="20"/>
                <w:szCs w:val="20"/>
                <w:color w:val="auto"/>
              </w:rPr>
              <w:t>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Arial" w:cs="Arial" w:eastAsia="Arial" w:hAnsi="Arial"/>
                <w:sz w:val="20"/>
                <w:szCs w:val="20"/>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Goodwill</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109.3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Other assets</w:t>
            </w:r>
          </w:p>
        </w:tc>
        <w:tc>
          <w:tcPr>
            <w:tcW w:w="12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line="229" w:lineRule="exact"/>
              <w:rPr>
                <w:sz w:val="20"/>
                <w:szCs w:val="20"/>
                <w:color w:val="auto"/>
              </w:rPr>
            </w:pPr>
            <w:r>
              <w:rPr>
                <w:rFonts w:ascii="Arial" w:cs="Arial" w:eastAsia="Arial" w:hAnsi="Arial"/>
                <w:sz w:val="20"/>
                <w:szCs w:val="20"/>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Arial" w:cs="Arial" w:eastAsia="Arial" w:hAnsi="Arial"/>
                <w:sz w:val="20"/>
                <w:szCs w:val="20"/>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Valuation allowance for loss on sale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(5.4 )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(5.4 )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(6.0 )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(6.0 )</w:t>
            </w:r>
          </w:p>
        </w:tc>
        <w:tc>
          <w:tcPr>
            <w:tcW w:w="0" w:type="dxa"/>
            <w:vAlign w:val="bottom"/>
          </w:tcPr>
          <w:p>
            <w:pPr>
              <w:spacing w:after="0"/>
              <w:rPr>
                <w:sz w:val="1"/>
                <w:szCs w:val="1"/>
                <w:color w:val="auto"/>
              </w:rPr>
            </w:pPr>
          </w:p>
        </w:tc>
      </w:tr>
      <w:tr>
        <w:trPr>
          <w:trHeight w:val="222"/>
        </w:trPr>
        <w:tc>
          <w:tcPr>
            <w:tcW w:w="324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w w:val="98"/>
              </w:rPr>
              <w:t>Total noncurrent assets held for sale</w:t>
            </w: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388.2</w:t>
            </w: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388.2</w:t>
            </w: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616.9</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616.9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spacing w:after="0"/>
              <w:rPr>
                <w:sz w:val="18"/>
                <w:szCs w:val="18"/>
                <w:color w:val="auto"/>
              </w:rPr>
            </w:pPr>
          </w:p>
        </w:tc>
        <w:tc>
          <w:tcPr>
            <w:tcW w:w="144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spacing w:after="0"/>
              <w:rPr>
                <w:sz w:val="18"/>
                <w:szCs w:val="18"/>
                <w:color w:val="auto"/>
              </w:rPr>
            </w:pPr>
          </w:p>
        </w:tc>
        <w:tc>
          <w:tcPr>
            <w:tcW w:w="14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Lease obligations</w:t>
            </w:r>
          </w:p>
        </w:tc>
        <w:tc>
          <w:tcPr>
            <w:tcW w:w="120" w:type="dxa"/>
            <w:vAlign w:val="bottom"/>
          </w:tcPr>
          <w:p>
            <w:pPr>
              <w:jc w:val="right"/>
              <w:spacing w:after="0" w:line="229" w:lineRule="exact"/>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360" w:type="dxa"/>
            <w:vAlign w:val="bottom"/>
            <w:gridSpan w:val="3"/>
          </w:tcPr>
          <w:p>
            <w:pPr>
              <w:ind w:left="240"/>
              <w:spacing w:after="0" w:line="229" w:lineRule="exact"/>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(5.2 )</w:t>
            </w:r>
          </w:p>
        </w:tc>
        <w:tc>
          <w:tcPr>
            <w:tcW w:w="12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Arial" w:cs="Arial" w:eastAsia="Arial" w:hAnsi="Arial"/>
                <w:sz w:val="20"/>
                <w:szCs w:val="20"/>
                <w:color w:val="auto"/>
                <w:w w:val="71"/>
              </w:rPr>
              <w:t>$</w:t>
            </w:r>
          </w:p>
        </w:tc>
        <w:tc>
          <w:tcPr>
            <w:tcW w:w="76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(5.2 )</w:t>
            </w:r>
          </w:p>
        </w:tc>
        <w:tc>
          <w:tcPr>
            <w:tcW w:w="200" w:type="dxa"/>
            <w:vAlign w:val="bottom"/>
            <w:gridSpan w:val="2"/>
          </w:tcPr>
          <w:p>
            <w:pPr>
              <w:ind w:left="100"/>
              <w:spacing w:after="0" w:line="229" w:lineRule="exact"/>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340" w:type="dxa"/>
            <w:vAlign w:val="bottom"/>
            <w:gridSpan w:val="3"/>
          </w:tcPr>
          <w:p>
            <w:pPr>
              <w:jc w:val="right"/>
              <w:ind w:right="20"/>
              <w:spacing w:after="0" w:line="229" w:lineRule="exact"/>
              <w:rPr>
                <w:sz w:val="20"/>
                <w:szCs w:val="20"/>
                <w:color w:val="auto"/>
              </w:rPr>
            </w:pPr>
            <w:r>
              <w:rPr>
                <w:rFonts w:ascii="Arial" w:cs="Arial" w:eastAsia="Arial" w:hAnsi="Arial"/>
                <w:sz w:val="20"/>
                <w:szCs w:val="20"/>
                <w:color w:val="auto"/>
              </w:rPr>
              <w:t>$</w:t>
            </w:r>
          </w:p>
        </w:tc>
        <w:tc>
          <w:tcPr>
            <w:tcW w:w="14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(7.5 )</w:t>
            </w:r>
          </w:p>
        </w:tc>
        <w:tc>
          <w:tcPr>
            <w:tcW w:w="10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Arial" w:cs="Arial" w:eastAsia="Arial" w:hAnsi="Arial"/>
                <w:sz w:val="20"/>
                <w:szCs w:val="20"/>
                <w:color w:val="auto"/>
                <w:w w:val="71"/>
              </w:rPr>
              <w:t>$</w:t>
            </w:r>
          </w:p>
        </w:tc>
        <w:tc>
          <w:tcPr>
            <w:tcW w:w="7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(7.5 )</w:t>
            </w:r>
          </w:p>
        </w:tc>
        <w:tc>
          <w:tcPr>
            <w:tcW w:w="0" w:type="dxa"/>
            <w:vAlign w:val="bottom"/>
          </w:tcPr>
          <w:p>
            <w:pPr>
              <w:spacing w:after="0"/>
              <w:rPr>
                <w:sz w:val="1"/>
                <w:szCs w:val="1"/>
                <w:color w:val="auto"/>
              </w:rPr>
            </w:pPr>
          </w:p>
        </w:tc>
      </w:tr>
      <w:tr>
        <w:trPr>
          <w:trHeight w:val="262"/>
        </w:trPr>
        <w:tc>
          <w:tcPr>
            <w:tcW w:w="32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 current liabilities held for sale</w:t>
            </w:r>
          </w:p>
        </w:tc>
        <w:tc>
          <w:tcPr>
            <w:tcW w:w="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FF0FC"/>
          </w:tcPr>
          <w:p>
            <w:pPr>
              <w:ind w:left="120"/>
              <w:spacing w:after="0" w:line="223" w:lineRule="exact"/>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(5.2</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(5.2</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200" w:type="dxa"/>
            <w:vAlign w:val="bottom"/>
            <w:tcBorders>
              <w:top w:val="single" w:sz="8" w:color="auto"/>
              <w:bottom w:val="single" w:sz="8" w:color="auto"/>
            </w:tcBorders>
            <w:gridSpan w:val="2"/>
            <w:shd w:val="clear" w:color="auto" w:fill="CFF0FC"/>
          </w:tcPr>
          <w:p>
            <w:pPr>
              <w:ind w:left="100"/>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FF0FC"/>
          </w:tcPr>
          <w:p>
            <w:pPr>
              <w:jc w:val="right"/>
              <w:ind w:right="20"/>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(7.5</w:t>
            </w:r>
          </w:p>
        </w:tc>
        <w:tc>
          <w:tcPr>
            <w:tcW w:w="10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(7.5</w:t>
            </w:r>
          </w:p>
        </w:tc>
        <w:tc>
          <w:tcPr>
            <w:tcW w:w="10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1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Asset retirement obligations</w:t>
            </w:r>
          </w:p>
        </w:tc>
        <w:tc>
          <w:tcPr>
            <w:tcW w:w="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360" w:type="dxa"/>
            <w:vAlign w:val="bottom"/>
            <w:gridSpan w:val="3"/>
            <w:shd w:val="clear" w:color="auto" w:fill="CFF0FC"/>
          </w:tcPr>
          <w:p>
            <w:pPr>
              <w:ind w:left="240"/>
              <w:spacing w:after="0" w:line="229" w:lineRule="exact"/>
              <w:rPr>
                <w:sz w:val="20"/>
                <w:szCs w:val="20"/>
                <w:color w:val="auto"/>
              </w:rPr>
            </w:pPr>
            <w:r>
              <w:rPr>
                <w:rFonts w:ascii="Arial" w:cs="Arial" w:eastAsia="Arial" w:hAnsi="Arial"/>
                <w:sz w:val="20"/>
                <w:szCs w:val="20"/>
                <w:color w:val="auto"/>
                <w:w w:val="89"/>
              </w:rPr>
              <w:t>$</w:t>
            </w:r>
          </w:p>
        </w:tc>
        <w:tc>
          <w:tcPr>
            <w:tcW w:w="14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(19.8 )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76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(19.8 )</w:t>
            </w:r>
          </w:p>
        </w:tc>
        <w:tc>
          <w:tcPr>
            <w:tcW w:w="20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340" w:type="dxa"/>
            <w:vAlign w:val="bottom"/>
            <w:gridSpan w:val="3"/>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w:t>
            </w:r>
          </w:p>
        </w:tc>
        <w:tc>
          <w:tcPr>
            <w:tcW w:w="140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(31.5 )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78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(31.5 )</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29" w:lineRule="exact"/>
              <w:rPr>
                <w:sz w:val="20"/>
                <w:szCs w:val="20"/>
                <w:color w:val="auto"/>
              </w:rPr>
            </w:pPr>
            <w:r>
              <w:rPr>
                <w:rFonts w:ascii="Arial" w:cs="Arial" w:eastAsia="Arial" w:hAnsi="Arial"/>
                <w:sz w:val="20"/>
                <w:szCs w:val="20"/>
                <w:color w:val="auto"/>
              </w:rPr>
              <w:t>Lease obligations</w:t>
            </w:r>
          </w:p>
        </w:tc>
        <w:tc>
          <w:tcPr>
            <w:tcW w:w="12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(8.5 )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(8.5 )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(22.0 )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(22.0 )</w:t>
            </w: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Other liabilities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(0.8 )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(0.8 )</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20"/>
              <w:spacing w:after="0" w:line="229" w:lineRule="exact"/>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40" w:type="dxa"/>
            <w:vAlign w:val="bottom"/>
          </w:tcPr>
          <w:p>
            <w:pPr>
              <w:ind w:left="20"/>
              <w:spacing w:after="0" w:line="179" w:lineRule="exact"/>
              <w:rPr>
                <w:sz w:val="20"/>
                <w:szCs w:val="20"/>
                <w:color w:val="auto"/>
              </w:rPr>
            </w:pPr>
            <w:r>
              <w:rPr>
                <w:rFonts w:ascii="Arial" w:cs="Arial" w:eastAsia="Arial" w:hAnsi="Arial"/>
                <w:sz w:val="20"/>
                <w:szCs w:val="20"/>
                <w:color w:val="auto"/>
              </w:rPr>
              <w:t>Total noncurrent liabilities held for</w:t>
            </w: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 w:type="dxa"/>
            <w:vAlign w:val="bottom"/>
            <w:vMerge w:val="restart"/>
          </w:tcPr>
          <w:p>
            <w:pPr>
              <w:spacing w:after="0"/>
              <w:rPr>
                <w:sz w:val="15"/>
                <w:szCs w:val="15"/>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20"/>
                <w:szCs w:val="20"/>
                <w:color w:val="auto"/>
                <w:w w:val="89"/>
              </w:rPr>
              <w:t>$</w:t>
            </w:r>
          </w:p>
        </w:tc>
        <w:tc>
          <w:tcPr>
            <w:tcW w:w="1440" w:type="dxa"/>
            <w:vAlign w:val="bottom"/>
            <w:gridSpan w:val="2"/>
            <w:vMerge w:val="restart"/>
          </w:tcPr>
          <w:p>
            <w:pPr>
              <w:jc w:val="right"/>
              <w:spacing w:after="0"/>
              <w:rPr>
                <w:sz w:val="20"/>
                <w:szCs w:val="20"/>
                <w:color w:val="auto"/>
              </w:rPr>
            </w:pPr>
            <w:r>
              <w:rPr>
                <w:rFonts w:ascii="Arial" w:cs="Arial" w:eastAsia="Arial" w:hAnsi="Arial"/>
                <w:sz w:val="20"/>
                <w:szCs w:val="20"/>
                <w:color w:val="auto"/>
              </w:rPr>
              <w:t>(29.1 )</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gridSpan w:val="2"/>
            <w:vMerge w:val="restart"/>
          </w:tcPr>
          <w:p>
            <w:pPr>
              <w:jc w:val="right"/>
              <w:spacing w:after="0"/>
              <w:rPr>
                <w:sz w:val="20"/>
                <w:szCs w:val="20"/>
                <w:color w:val="auto"/>
              </w:rPr>
            </w:pPr>
            <w:r>
              <w:rPr>
                <w:rFonts w:ascii="Arial" w:cs="Arial" w:eastAsia="Arial" w:hAnsi="Arial"/>
                <w:sz w:val="20"/>
                <w:szCs w:val="20"/>
                <w:color w:val="auto"/>
              </w:rPr>
              <w:t>(29.1 )</w:t>
            </w:r>
          </w:p>
        </w:tc>
        <w:tc>
          <w:tcPr>
            <w:tcW w:w="200" w:type="dxa"/>
            <w:vAlign w:val="bottom"/>
            <w:gridSpan w:val="2"/>
            <w:vMerge w:val="restart"/>
          </w:tcPr>
          <w:p>
            <w:pPr>
              <w:ind w:left="100"/>
              <w:spacing w:after="0"/>
              <w:rPr>
                <w:sz w:val="20"/>
                <w:szCs w:val="20"/>
                <w:color w:val="auto"/>
              </w:rPr>
            </w:pPr>
            <w:r>
              <w:rPr>
                <w:rFonts w:ascii="Arial" w:cs="Arial" w:eastAsia="Arial" w:hAnsi="Arial"/>
                <w:sz w:val="20"/>
                <w:szCs w:val="20"/>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gridSpan w:val="2"/>
            <w:vMerge w:val="restart"/>
          </w:tcPr>
          <w:p>
            <w:pPr>
              <w:jc w:val="right"/>
              <w:spacing w:after="0"/>
              <w:rPr>
                <w:sz w:val="20"/>
                <w:szCs w:val="20"/>
                <w:color w:val="auto"/>
              </w:rPr>
            </w:pPr>
            <w:r>
              <w:rPr>
                <w:rFonts w:ascii="Arial" w:cs="Arial" w:eastAsia="Arial" w:hAnsi="Arial"/>
                <w:sz w:val="20"/>
                <w:szCs w:val="20"/>
                <w:color w:val="auto"/>
              </w:rPr>
              <w:t>(53.5 )</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gridSpan w:val="2"/>
            <w:vMerge w:val="restart"/>
          </w:tcPr>
          <w:p>
            <w:pPr>
              <w:jc w:val="right"/>
              <w:spacing w:after="0"/>
              <w:rPr>
                <w:sz w:val="20"/>
                <w:szCs w:val="20"/>
                <w:color w:val="auto"/>
              </w:rPr>
            </w:pPr>
            <w:r>
              <w:rPr>
                <w:rFonts w:ascii="Arial" w:cs="Arial" w:eastAsia="Arial" w:hAnsi="Arial"/>
                <w:sz w:val="20"/>
                <w:szCs w:val="20"/>
                <w:color w:val="auto"/>
              </w:rPr>
              <w:t>(53.5 )</w:t>
            </w:r>
          </w:p>
        </w:tc>
        <w:tc>
          <w:tcPr>
            <w:tcW w:w="0" w:type="dxa"/>
            <w:vAlign w:val="bottom"/>
          </w:tcPr>
          <w:p>
            <w:pPr>
              <w:spacing w:after="0"/>
              <w:rPr>
                <w:sz w:val="1"/>
                <w:szCs w:val="1"/>
                <w:color w:val="auto"/>
              </w:rPr>
            </w:pPr>
          </w:p>
        </w:tc>
      </w:tr>
      <w:tr>
        <w:trPr>
          <w:trHeight w:val="205"/>
        </w:trPr>
        <w:tc>
          <w:tcPr>
            <w:tcW w:w="3240" w:type="dxa"/>
            <w:vAlign w:val="bottom"/>
          </w:tcPr>
          <w:p>
            <w:pPr>
              <w:ind w:left="20"/>
              <w:spacing w:after="0" w:line="206" w:lineRule="exact"/>
              <w:rPr>
                <w:sz w:val="20"/>
                <w:szCs w:val="20"/>
                <w:color w:val="auto"/>
              </w:rPr>
            </w:pPr>
            <w:r>
              <w:rPr>
                <w:rFonts w:ascii="Arial" w:cs="Arial" w:eastAsia="Arial" w:hAnsi="Arial"/>
                <w:sz w:val="20"/>
                <w:szCs w:val="20"/>
                <w:color w:val="auto"/>
              </w:rPr>
              <w:t>sale</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-2707640</wp:posOffset>
            </wp:positionV>
            <wp:extent cx="768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-2707640</wp:posOffset>
            </wp:positionV>
            <wp:extent cx="768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-2707640</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-2707640</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-2707640</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-2707640</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-1510030</wp:posOffset>
            </wp:positionV>
            <wp:extent cx="768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-1510030</wp:posOffset>
            </wp:positionV>
            <wp:extent cx="768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-1510030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-1510030</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-1510030</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-1510030</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-889000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-871855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-889000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-871855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-889000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-871855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-889000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-871855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-889000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-871855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-889000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-871855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-278765</wp:posOffset>
            </wp:positionV>
            <wp:extent cx="768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-278765</wp:posOffset>
            </wp:positionV>
            <wp:extent cx="768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-278765</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-278765</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-278765</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-278765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8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30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East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spacing w:after="0"/>
              <w:rPr>
                <w:sz w:val="20"/>
                <w:szCs w:val="20"/>
                <w:color w:val="auto"/>
              </w:rPr>
            </w:pPr>
            <w:r>
              <w:rPr>
                <w:rFonts w:ascii="Arial" w:cs="Arial" w:eastAsia="Arial" w:hAnsi="Arial"/>
                <w:sz w:val="20"/>
                <w:szCs w:val="20"/>
                <w:color w:val="auto"/>
                <w:w w:val="83"/>
              </w:rPr>
              <w:t>West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Group</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20"/>
                <w:szCs w:val="20"/>
                <w:color w:val="auto"/>
                <w:w w:val="89"/>
              </w:rPr>
              <w:t>Group</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Borders>
              <w:top w:val="single" w:sz="8" w:color="auto"/>
            </w:tcBorders>
            <w:gridSpan w:val="5"/>
          </w:tcPr>
          <w:p>
            <w:pPr>
              <w:spacing w:after="0" w:line="223" w:lineRule="exact"/>
              <w:rPr>
                <w:sz w:val="20"/>
                <w:szCs w:val="20"/>
                <w:color w:val="auto"/>
              </w:rPr>
            </w:pPr>
            <w:r>
              <w:rPr>
                <w:rFonts w:ascii="Arial" w:cs="Arial" w:eastAsia="Arial" w:hAnsi="Arial"/>
                <w:sz w:val="20"/>
                <w:szCs w:val="20"/>
                <w:i w:val="1"/>
                <w:iCs w:val="1"/>
                <w:color w:val="auto"/>
                <w:w w:val="85"/>
              </w:rPr>
              <w:t>(Dollars in Millions)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Balance at January 1, 2022</w:t>
            </w:r>
          </w:p>
        </w:tc>
        <w:tc>
          <w:tcPr>
            <w:tcW w:w="1020" w:type="dxa"/>
            <w:vAlign w:val="bottom"/>
            <w:shd w:val="clear" w:color="auto" w:fill="CFF0FC"/>
          </w:tcPr>
          <w:p>
            <w:pPr>
              <w:jc w:val="right"/>
              <w:ind w:right="801"/>
              <w:spacing w:after="0" w:line="229" w:lineRule="exact"/>
              <w:rPr>
                <w:sz w:val="20"/>
                <w:szCs w:val="20"/>
                <w:color w:val="auto"/>
              </w:rPr>
            </w:pPr>
            <w:r>
              <w:rPr>
                <w:rFonts w:ascii="Arial" w:cs="Arial" w:eastAsia="Arial" w:hAnsi="Arial"/>
                <w:sz w:val="20"/>
                <w:szCs w:val="20"/>
                <w:color w:val="auto"/>
                <w:w w:val="89"/>
              </w:rPr>
              <w:t>$</w:t>
            </w:r>
          </w:p>
        </w:tc>
        <w:tc>
          <w:tcPr>
            <w:tcW w:w="480" w:type="dxa"/>
            <w:vAlign w:val="bottom"/>
            <w:gridSpan w:val="3"/>
            <w:shd w:val="clear" w:color="auto" w:fill="CFF0FC"/>
          </w:tcPr>
          <w:p>
            <w:pPr>
              <w:jc w:val="right"/>
              <w:spacing w:after="0" w:line="229" w:lineRule="exact"/>
              <w:rPr>
                <w:sz w:val="20"/>
                <w:szCs w:val="20"/>
                <w:color w:val="auto"/>
              </w:rPr>
            </w:pPr>
            <w:r>
              <w:rPr>
                <w:rFonts w:ascii="Arial" w:cs="Arial" w:eastAsia="Arial" w:hAnsi="Arial"/>
                <w:sz w:val="20"/>
                <w:szCs w:val="20"/>
                <w:color w:val="auto"/>
                <w:w w:val="91"/>
              </w:rPr>
              <w:t>759.4</w:t>
            </w:r>
          </w:p>
        </w:tc>
        <w:tc>
          <w:tcPr>
            <w:tcW w:w="420" w:type="dxa"/>
            <w:vAlign w:val="bottom"/>
            <w:gridSpan w:val="2"/>
            <w:shd w:val="clear" w:color="auto" w:fill="CFF0FC"/>
          </w:tcPr>
          <w:p>
            <w:pPr>
              <w:ind w:left="300"/>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gridSpan w:val="4"/>
            <w:shd w:val="clear" w:color="auto" w:fill="CFF0FC"/>
          </w:tcPr>
          <w:p>
            <w:pPr>
              <w:jc w:val="right"/>
              <w:spacing w:after="0" w:line="229" w:lineRule="exact"/>
              <w:rPr>
                <w:sz w:val="20"/>
                <w:szCs w:val="20"/>
                <w:color w:val="auto"/>
              </w:rPr>
            </w:pPr>
            <w:r>
              <w:rPr>
                <w:rFonts w:ascii="Arial" w:cs="Arial" w:eastAsia="Arial" w:hAnsi="Arial"/>
                <w:sz w:val="20"/>
                <w:szCs w:val="20"/>
                <w:color w:val="auto"/>
              </w:rPr>
              <w:t>2,735.0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71"/>
              </w:rPr>
              <w:t>$</w:t>
            </w: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3,494.4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Acquisitions</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line="229" w:lineRule="exact"/>
              <w:rPr>
                <w:sz w:val="20"/>
                <w:szCs w:val="20"/>
                <w:color w:val="auto"/>
              </w:rPr>
            </w:pPr>
            <w:r>
              <w:rPr>
                <w:rFonts w:ascii="Arial" w:cs="Arial" w:eastAsia="Arial" w:hAnsi="Arial"/>
                <w:sz w:val="20"/>
                <w:szCs w:val="20"/>
                <w:color w:val="auto"/>
                <w:w w:val="99"/>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spacing w:after="0" w:line="229" w:lineRule="exact"/>
              <w:rPr>
                <w:sz w:val="20"/>
                <w:szCs w:val="20"/>
                <w:color w:val="auto"/>
              </w:rPr>
            </w:pPr>
            <w:r>
              <w:rPr>
                <w:rFonts w:ascii="Arial" w:cs="Arial" w:eastAsia="Arial" w:hAnsi="Arial"/>
                <w:sz w:val="20"/>
                <w:szCs w:val="20"/>
                <w:color w:val="auto"/>
              </w:rPr>
              <w:t>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Arial" w:cs="Arial" w:eastAsia="Arial" w:hAnsi="Arial"/>
                <w:sz w:val="20"/>
                <w:szCs w:val="20"/>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Adjustments to purchase price allocations</w:t>
            </w:r>
          </w:p>
        </w:tc>
        <w:tc>
          <w:tcPr>
            <w:tcW w:w="10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line="229" w:lineRule="exact"/>
              <w:rPr>
                <w:sz w:val="20"/>
                <w:szCs w:val="20"/>
                <w:color w:val="auto"/>
              </w:rPr>
            </w:pPr>
            <w:r>
              <w:rPr>
                <w:rFonts w:ascii="Arial" w:cs="Arial" w:eastAsia="Arial" w:hAnsi="Arial"/>
                <w:sz w:val="20"/>
                <w:szCs w:val="20"/>
                <w:color w:val="auto"/>
              </w:rPr>
              <w:t>5.0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spacing w:after="0" w:line="229" w:lineRule="exact"/>
              <w:rPr>
                <w:sz w:val="20"/>
                <w:szCs w:val="20"/>
                <w:color w:val="auto"/>
              </w:rPr>
            </w:pPr>
            <w:r>
              <w:rPr>
                <w:rFonts w:ascii="Arial" w:cs="Arial" w:eastAsia="Arial" w:hAnsi="Arial"/>
                <w:sz w:val="20"/>
                <w:szCs w:val="20"/>
                <w:color w:val="auto"/>
              </w:rPr>
              <w:t>52.8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Divestitures</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line="229" w:lineRule="exact"/>
              <w:rPr>
                <w:sz w:val="20"/>
                <w:szCs w:val="20"/>
                <w:color w:val="auto"/>
              </w:rPr>
            </w:pPr>
            <w:r>
              <w:rPr>
                <w:rFonts w:ascii="Arial" w:cs="Arial" w:eastAsia="Arial" w:hAnsi="Arial"/>
                <w:sz w:val="20"/>
                <w:szCs w:val="20"/>
                <w:color w:val="auto"/>
                <w:w w:val="99"/>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6"/>
          </w:tcPr>
          <w:p>
            <w:pPr>
              <w:jc w:val="right"/>
              <w:ind w:right="106"/>
              <w:spacing w:after="0" w:line="229" w:lineRule="exact"/>
              <w:rPr>
                <w:sz w:val="20"/>
                <w:szCs w:val="20"/>
                <w:color w:val="auto"/>
              </w:rPr>
            </w:pPr>
            <w:r>
              <w:rPr>
                <w:rFonts w:ascii="Arial" w:cs="Arial" w:eastAsia="Arial" w:hAnsi="Arial"/>
                <w:sz w:val="20"/>
                <w:szCs w:val="20"/>
                <w:color w:val="auto"/>
              </w:rPr>
              <w:t>(159.7 )</w:t>
            </w:r>
          </w:p>
        </w:tc>
        <w:tc>
          <w:tcPr>
            <w:tcW w:w="100" w:type="dxa"/>
            <w:vAlign w:val="bottom"/>
          </w:tcPr>
          <w:p>
            <w:pPr>
              <w:spacing w:after="0"/>
              <w:rPr>
                <w:sz w:val="19"/>
                <w:szCs w:val="19"/>
                <w:color w:val="auto"/>
              </w:rPr>
            </w:pPr>
          </w:p>
        </w:tc>
        <w:tc>
          <w:tcPr>
            <w:tcW w:w="156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(159.7 )</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Goodwill reclassified from assets held for sale</w:t>
            </w:r>
          </w:p>
        </w:tc>
        <w:tc>
          <w:tcPr>
            <w:tcW w:w="10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4"/>
            <w:shd w:val="clear" w:color="auto" w:fill="CFF0FC"/>
          </w:tcPr>
          <w:p>
            <w:pPr>
              <w:jc w:val="right"/>
              <w:spacing w:after="0" w:line="229" w:lineRule="exact"/>
              <w:rPr>
                <w:sz w:val="20"/>
                <w:szCs w:val="20"/>
                <w:color w:val="auto"/>
              </w:rPr>
            </w:pPr>
            <w:r>
              <w:rPr>
                <w:rFonts w:ascii="Arial" w:cs="Arial" w:eastAsia="Arial" w:hAnsi="Arial"/>
                <w:sz w:val="20"/>
                <w:szCs w:val="20"/>
                <w:color w:val="auto"/>
              </w:rPr>
              <w:t>4.3</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20"/>
              <w:spacing w:after="0" w:line="223" w:lineRule="exact"/>
              <w:rPr>
                <w:sz w:val="20"/>
                <w:szCs w:val="20"/>
                <w:color w:val="auto"/>
              </w:rPr>
            </w:pPr>
            <w:r>
              <w:rPr>
                <w:rFonts w:ascii="Arial" w:cs="Arial" w:eastAsia="Arial" w:hAnsi="Arial"/>
                <w:sz w:val="20"/>
                <w:szCs w:val="20"/>
                <w:color w:val="auto"/>
              </w:rPr>
              <w:t>Balance at June 30, 2022</w:t>
            </w:r>
          </w:p>
        </w:tc>
        <w:tc>
          <w:tcPr>
            <w:tcW w:w="1020" w:type="dxa"/>
            <w:vAlign w:val="bottom"/>
          </w:tcPr>
          <w:p>
            <w:pPr>
              <w:jc w:val="right"/>
              <w:ind w:right="801"/>
              <w:spacing w:after="0" w:line="223" w:lineRule="exact"/>
              <w:rPr>
                <w:sz w:val="20"/>
                <w:szCs w:val="20"/>
                <w:color w:val="auto"/>
              </w:rPr>
            </w:pPr>
            <w:r>
              <w:rPr>
                <w:rFonts w:ascii="Arial" w:cs="Arial" w:eastAsia="Arial" w:hAnsi="Arial"/>
                <w:sz w:val="20"/>
                <w:szCs w:val="20"/>
                <w:color w:val="auto"/>
                <w:w w:val="89"/>
              </w:rPr>
              <w:t>$</w:t>
            </w:r>
          </w:p>
        </w:tc>
        <w:tc>
          <w:tcPr>
            <w:tcW w:w="480" w:type="dxa"/>
            <w:vAlign w:val="bottom"/>
            <w:gridSpan w:val="3"/>
          </w:tcPr>
          <w:p>
            <w:pPr>
              <w:jc w:val="right"/>
              <w:spacing w:after="0" w:line="223" w:lineRule="exact"/>
              <w:rPr>
                <w:sz w:val="20"/>
                <w:szCs w:val="20"/>
                <w:color w:val="auto"/>
              </w:rPr>
            </w:pPr>
            <w:r>
              <w:rPr>
                <w:rFonts w:ascii="Arial" w:cs="Arial" w:eastAsia="Arial" w:hAnsi="Arial"/>
                <w:sz w:val="20"/>
                <w:szCs w:val="20"/>
                <w:color w:val="auto"/>
                <w:w w:val="91"/>
              </w:rPr>
              <w:t>764.4</w:t>
            </w:r>
          </w:p>
        </w:tc>
        <w:tc>
          <w:tcPr>
            <w:tcW w:w="420" w:type="dxa"/>
            <w:vAlign w:val="bottom"/>
            <w:gridSpan w:val="2"/>
          </w:tcPr>
          <w:p>
            <w:pPr>
              <w:ind w:left="300"/>
              <w:spacing w:after="0" w:line="223" w:lineRule="exact"/>
              <w:rPr>
                <w:sz w:val="20"/>
                <w:szCs w:val="20"/>
                <w:color w:val="auto"/>
              </w:rPr>
            </w:pPr>
            <w:r>
              <w:rPr>
                <w:rFonts w:ascii="Arial" w:cs="Arial" w:eastAsia="Arial" w:hAnsi="Arial"/>
                <w:sz w:val="20"/>
                <w:szCs w:val="20"/>
                <w:color w:val="auto"/>
                <w:w w:val="89"/>
              </w:rPr>
              <w:t>$</w:t>
            </w:r>
          </w:p>
        </w:tc>
        <w:tc>
          <w:tcPr>
            <w:tcW w:w="1320" w:type="dxa"/>
            <w:vAlign w:val="bottom"/>
            <w:gridSpan w:val="4"/>
          </w:tcPr>
          <w:p>
            <w:pPr>
              <w:jc w:val="right"/>
              <w:spacing w:after="0" w:line="223" w:lineRule="exact"/>
              <w:rPr>
                <w:sz w:val="20"/>
                <w:szCs w:val="20"/>
                <w:color w:val="auto"/>
              </w:rPr>
            </w:pPr>
            <w:r>
              <w:rPr>
                <w:rFonts w:ascii="Arial" w:cs="Arial" w:eastAsia="Arial" w:hAnsi="Arial"/>
                <w:sz w:val="20"/>
                <w:szCs w:val="20"/>
                <w:color w:val="auto"/>
              </w:rPr>
              <w:t>2,636.1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line="223" w:lineRule="exact"/>
              <w:rPr>
                <w:sz w:val="20"/>
                <w:szCs w:val="20"/>
                <w:color w:val="auto"/>
              </w:rPr>
            </w:pPr>
            <w:r>
              <w:rPr>
                <w:rFonts w:ascii="Arial" w:cs="Arial" w:eastAsia="Arial" w:hAnsi="Arial"/>
                <w:sz w:val="20"/>
                <w:szCs w:val="20"/>
                <w:color w:val="auto"/>
              </w:rPr>
              <w:t>3,400.5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20"/>
                <w:szCs w:val="20"/>
                <w:b w:val="1"/>
                <w:bCs w:val="1"/>
                <w:color w:val="auto"/>
              </w:rPr>
              <w:t>5.  Inventories, Net</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6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5"/>
          </w:tcPr>
          <w:p>
            <w:pPr>
              <w:ind w:left="160"/>
              <w:spacing w:after="0"/>
              <w:rPr>
                <w:sz w:val="20"/>
                <w:szCs w:val="20"/>
                <w:color w:val="auto"/>
              </w:rPr>
            </w:pPr>
            <w:r>
              <w:rPr>
                <w:rFonts w:ascii="Arial" w:cs="Arial" w:eastAsia="Arial" w:hAnsi="Arial"/>
                <w:sz w:val="20"/>
                <w:szCs w:val="20"/>
                <w:color w:val="auto"/>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80"/>
              <w:spacing w:after="0"/>
              <w:rPr>
                <w:sz w:val="20"/>
                <w:szCs w:val="20"/>
                <w:color w:val="auto"/>
              </w:rPr>
            </w:pPr>
            <w:r>
              <w:rPr>
                <w:rFonts w:ascii="Arial" w:cs="Arial" w:eastAsia="Arial" w:hAnsi="Arial"/>
                <w:sz w:val="20"/>
                <w:szCs w:val="20"/>
                <w:color w:val="auto"/>
              </w:rPr>
              <w:t>2022</w:t>
            </w:r>
          </w:p>
        </w:tc>
        <w:tc>
          <w:tcPr>
            <w:tcW w:w="280" w:type="dxa"/>
            <w:vAlign w:val="bottom"/>
            <w:gridSpan w:val="2"/>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64"/>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80" w:type="dxa"/>
            <w:vAlign w:val="bottom"/>
            <w:gridSpan w:val="2"/>
            <w:vMerge w:val="continue"/>
          </w:tcPr>
          <w:p>
            <w:pPr>
              <w:spacing w:after="0"/>
              <w:rPr>
                <w:sz w:val="19"/>
                <w:szCs w:val="19"/>
                <w:color w:val="auto"/>
              </w:rPr>
            </w:pPr>
          </w:p>
        </w:tc>
        <w:tc>
          <w:tcPr>
            <w:tcW w:w="1900" w:type="dxa"/>
            <w:vAlign w:val="bottom"/>
            <w:gridSpan w:val="5"/>
          </w:tcPr>
          <w:p>
            <w:pPr>
              <w:jc w:val="right"/>
              <w:ind w:right="1084"/>
              <w:spacing w:after="0" w:line="223" w:lineRule="exact"/>
              <w:rPr>
                <w:sz w:val="20"/>
                <w:szCs w:val="20"/>
                <w:color w:val="auto"/>
              </w:rPr>
            </w:pPr>
            <w:r>
              <w:rPr>
                <w:rFonts w:ascii="Arial" w:cs="Arial" w:eastAsia="Arial" w:hAnsi="Arial"/>
                <w:sz w:val="20"/>
                <w:szCs w:val="20"/>
                <w:i w:val="1"/>
                <w:iCs w:val="1"/>
                <w:color w:val="auto"/>
                <w:w w:val="95"/>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Finished products</w:t>
            </w:r>
          </w:p>
        </w:tc>
        <w:tc>
          <w:tcPr>
            <w:tcW w:w="10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
              <w:spacing w:after="0" w:line="229" w:lineRule="exact"/>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859.8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46"/>
              <w:spacing w:after="0" w:line="229" w:lineRule="exact"/>
              <w:rPr>
                <w:sz w:val="20"/>
                <w:szCs w:val="20"/>
                <w:color w:val="auto"/>
              </w:rPr>
            </w:pPr>
            <w:r>
              <w:rPr>
                <w:rFonts w:ascii="Arial" w:cs="Arial" w:eastAsia="Arial" w:hAnsi="Arial"/>
                <w:sz w:val="20"/>
                <w:szCs w:val="20"/>
                <w:color w:val="auto"/>
                <w:w w:val="71"/>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Products in process</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Arial" w:cs="Arial" w:eastAsia="Arial" w:hAnsi="Arial"/>
                <w:sz w:val="20"/>
                <w:szCs w:val="20"/>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Raw materials</w:t>
            </w: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Supplies and expendable parts</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1,105.2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966.9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29" w:lineRule="exact"/>
              <w:rPr>
                <w:sz w:val="20"/>
                <w:szCs w:val="20"/>
                <w:color w:val="auto"/>
              </w:rPr>
            </w:pPr>
            <w:r>
              <w:rPr>
                <w:rFonts w:ascii="Arial" w:cs="Arial" w:eastAsia="Arial" w:hAnsi="Arial"/>
                <w:sz w:val="20"/>
                <w:szCs w:val="20"/>
                <w:color w:val="auto"/>
              </w:rPr>
              <w:t>Less: Allowances</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(270.0 )</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(214.3 )</w:t>
            </w:r>
          </w:p>
        </w:tc>
        <w:tc>
          <w:tcPr>
            <w:tcW w:w="0" w:type="dxa"/>
            <w:vAlign w:val="bottom"/>
          </w:tcPr>
          <w:p>
            <w:pPr>
              <w:spacing w:after="0"/>
              <w:rPr>
                <w:sz w:val="1"/>
                <w:szCs w:val="1"/>
                <w:color w:val="auto"/>
              </w:rPr>
            </w:pPr>
          </w:p>
        </w:tc>
      </w:tr>
      <w:tr>
        <w:trPr>
          <w:trHeight w:val="262"/>
        </w:trPr>
        <w:tc>
          <w:tcPr>
            <w:tcW w:w="60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102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9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835.2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gridSpan w:val="3"/>
            <w:shd w:val="clear" w:color="auto" w:fill="CFF0FC"/>
          </w:tcPr>
          <w:p>
            <w:pPr>
              <w:jc w:val="right"/>
              <w:ind w:right="146"/>
              <w:spacing w:after="0" w:line="223" w:lineRule="exact"/>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752.6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739"/>
        </w:trPr>
        <w:tc>
          <w:tcPr>
            <w:tcW w:w="6060" w:type="dxa"/>
            <w:vAlign w:val="bottom"/>
          </w:tcPr>
          <w:p>
            <w:pPr>
              <w:spacing w:after="0"/>
              <w:rPr>
                <w:sz w:val="20"/>
                <w:szCs w:val="20"/>
                <w:color w:val="auto"/>
              </w:rPr>
            </w:pPr>
            <w:r>
              <w:rPr>
                <w:rFonts w:ascii="Arial" w:cs="Arial" w:eastAsia="Arial" w:hAnsi="Arial"/>
                <w:sz w:val="20"/>
                <w:szCs w:val="20"/>
                <w:b w:val="1"/>
                <w:bCs w:val="1"/>
                <w:color w:val="auto"/>
              </w:rPr>
              <w:t>6.  Long-Term Debt</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9"/>
                <w:szCs w:val="19"/>
                <w:color w:val="auto"/>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9"/>
                <w:szCs w:val="19"/>
                <w:color w:val="auto"/>
                <w:w w:val="88"/>
              </w:rPr>
              <w:t>December 31,</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84"/>
              <w:spacing w:after="0"/>
              <w:rPr>
                <w:sz w:val="20"/>
                <w:szCs w:val="20"/>
                <w:color w:val="auto"/>
              </w:rPr>
            </w:pPr>
            <w:r>
              <w:rPr>
                <w:rFonts w:ascii="Arial" w:cs="Arial" w:eastAsia="Arial" w:hAnsi="Arial"/>
                <w:sz w:val="19"/>
                <w:szCs w:val="19"/>
                <w:color w:val="auto"/>
                <w:w w:val="89"/>
              </w:rPr>
              <w:t>2022</w:t>
            </w:r>
          </w:p>
        </w:tc>
        <w:tc>
          <w:tcPr>
            <w:tcW w:w="100" w:type="dxa"/>
            <w:vAlign w:val="bottom"/>
            <w:tcBorders>
              <w:bottom w:val="single" w:sz="8" w:color="auto"/>
            </w:tcBorders>
          </w:tcPr>
          <w:p>
            <w:pPr>
              <w:spacing w:after="0"/>
              <w:rPr>
                <w:sz w:val="20"/>
                <w:szCs w:val="20"/>
                <w:color w:val="auto"/>
              </w:rPr>
            </w:pPr>
          </w:p>
        </w:tc>
        <w:tc>
          <w:tcPr>
            <w:tcW w:w="260" w:type="dxa"/>
            <w:vAlign w:val="bottom"/>
            <w:gridSpan w:val="3"/>
            <w:vMerge w:val="restart"/>
          </w:tcPr>
          <w:p>
            <w:pPr>
              <w:ind w:left="80"/>
              <w:spacing w:after="0"/>
              <w:rPr>
                <w:sz w:val="20"/>
                <w:szCs w:val="20"/>
                <w:color w:val="auto"/>
              </w:rPr>
            </w:pPr>
            <w:r>
              <w:rPr>
                <w:rFonts w:ascii="Arial" w:cs="Arial" w:eastAsia="Arial" w:hAnsi="Arial"/>
                <w:sz w:val="19"/>
                <w:szCs w:val="19"/>
                <w:i w:val="1"/>
                <w:iCs w:val="1"/>
                <w:color w:val="auto"/>
              </w:rPr>
              <w:t>in</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24"/>
              <w:spacing w:after="0"/>
              <w:rPr>
                <w:sz w:val="20"/>
                <w:szCs w:val="20"/>
                <w:color w:val="auto"/>
              </w:rPr>
            </w:pPr>
            <w:r>
              <w:rPr>
                <w:rFonts w:ascii="Arial" w:cs="Arial" w:eastAsia="Arial" w:hAnsi="Arial"/>
                <w:sz w:val="19"/>
                <w:szCs w:val="19"/>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09" w:lineRule="exact"/>
              <w:rPr>
                <w:sz w:val="20"/>
                <w:szCs w:val="20"/>
                <w:color w:val="auto"/>
              </w:rPr>
            </w:pPr>
            <w:r>
              <w:rPr>
                <w:rFonts w:ascii="Arial" w:cs="Arial" w:eastAsia="Arial" w:hAnsi="Arial"/>
                <w:sz w:val="19"/>
                <w:szCs w:val="19"/>
                <w:i w:val="1"/>
                <w:iCs w:val="1"/>
                <w:color w:val="auto"/>
              </w:rPr>
              <w:t>(Dollars</w:t>
            </w:r>
          </w:p>
        </w:tc>
        <w:tc>
          <w:tcPr>
            <w:tcW w:w="260" w:type="dxa"/>
            <w:vAlign w:val="bottom"/>
            <w:gridSpan w:val="3"/>
            <w:vMerge w:val="continue"/>
          </w:tcPr>
          <w:p>
            <w:pPr>
              <w:spacing w:after="0"/>
              <w:rPr>
                <w:sz w:val="18"/>
                <w:szCs w:val="18"/>
                <w:color w:val="auto"/>
              </w:rPr>
            </w:pPr>
          </w:p>
        </w:tc>
        <w:tc>
          <w:tcPr>
            <w:tcW w:w="1820" w:type="dxa"/>
            <w:vAlign w:val="bottom"/>
            <w:gridSpan w:val="3"/>
          </w:tcPr>
          <w:p>
            <w:pPr>
              <w:spacing w:after="0" w:line="209" w:lineRule="exact"/>
              <w:rPr>
                <w:sz w:val="20"/>
                <w:szCs w:val="20"/>
                <w:color w:val="auto"/>
              </w:rPr>
            </w:pPr>
            <w:r>
              <w:rPr>
                <w:rFonts w:ascii="Arial" w:cs="Arial" w:eastAsia="Arial" w:hAnsi="Arial"/>
                <w:sz w:val="19"/>
                <w:szCs w:val="19"/>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0.650% Senior Notes, due 2023</w:t>
            </w:r>
          </w:p>
        </w:tc>
        <w:tc>
          <w:tcPr>
            <w:tcW w:w="10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2"/>
              <w:spacing w:after="0" w:line="215" w:lineRule="exact"/>
              <w:rPr>
                <w:sz w:val="20"/>
                <w:szCs w:val="20"/>
                <w:color w:val="auto"/>
              </w:rPr>
            </w:pPr>
            <w:r>
              <w:rPr>
                <w:rFonts w:ascii="Arial" w:cs="Arial" w:eastAsia="Arial" w:hAnsi="Arial"/>
                <w:sz w:val="19"/>
                <w:szCs w:val="19"/>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698.3</w:t>
            </w:r>
          </w:p>
        </w:tc>
        <w:tc>
          <w:tcPr>
            <w:tcW w:w="1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80"/>
              <w:spacing w:after="0" w:line="215" w:lineRule="exact"/>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697.4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line="215" w:lineRule="exact"/>
              <w:rPr>
                <w:sz w:val="20"/>
                <w:szCs w:val="20"/>
                <w:color w:val="auto"/>
              </w:rPr>
            </w:pPr>
            <w:r>
              <w:rPr>
                <w:rFonts w:ascii="Arial" w:cs="Arial" w:eastAsia="Arial" w:hAnsi="Arial"/>
                <w:sz w:val="19"/>
                <w:szCs w:val="19"/>
                <w:color w:val="auto"/>
              </w:rPr>
              <w:t>4.250% Senior Notes, due 2024</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398.6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Arial" w:cs="Arial" w:eastAsia="Arial" w:hAnsi="Arial"/>
                <w:sz w:val="19"/>
                <w:szCs w:val="19"/>
                <w:color w:val="auto"/>
              </w:rPr>
              <w:t>398.3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7% Debentures, due 2025</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124.6</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124.6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line="215" w:lineRule="exact"/>
              <w:rPr>
                <w:sz w:val="20"/>
                <w:szCs w:val="20"/>
                <w:color w:val="auto"/>
              </w:rPr>
            </w:pPr>
            <w:r>
              <w:rPr>
                <w:rFonts w:ascii="Arial" w:cs="Arial" w:eastAsia="Arial" w:hAnsi="Arial"/>
                <w:sz w:val="19"/>
                <w:szCs w:val="19"/>
                <w:color w:val="auto"/>
              </w:rPr>
              <w:t>3.450% Senior Notes, due 2027</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298.1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Arial" w:cs="Arial" w:eastAsia="Arial" w:hAnsi="Arial"/>
                <w:sz w:val="19"/>
                <w:szCs w:val="19"/>
                <w:color w:val="auto"/>
              </w:rPr>
              <w:t>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3.500% Senior Notes, due 2027</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496.7</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496.4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line="215" w:lineRule="exact"/>
              <w:rPr>
                <w:sz w:val="20"/>
                <w:szCs w:val="20"/>
                <w:color w:val="auto"/>
              </w:rPr>
            </w:pPr>
            <w:r>
              <w:rPr>
                <w:rFonts w:ascii="Arial" w:cs="Arial" w:eastAsia="Arial" w:hAnsi="Arial"/>
                <w:sz w:val="19"/>
                <w:szCs w:val="19"/>
                <w:color w:val="auto"/>
              </w:rPr>
              <w:t>2.500% Senior Notes, due 2030</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471.8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Arial" w:cs="Arial" w:eastAsia="Arial" w:hAnsi="Arial"/>
                <w:sz w:val="19"/>
                <w:szCs w:val="19"/>
                <w:color w:val="auto"/>
              </w:rPr>
              <w:t>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2.400% Senior Notes, due 2031</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888.2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891.8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line="215" w:lineRule="exact"/>
              <w:rPr>
                <w:sz w:val="20"/>
                <w:szCs w:val="20"/>
                <w:color w:val="auto"/>
              </w:rPr>
            </w:pPr>
            <w:r>
              <w:rPr>
                <w:rFonts w:ascii="Arial" w:cs="Arial" w:eastAsia="Arial" w:hAnsi="Arial"/>
                <w:sz w:val="19"/>
                <w:szCs w:val="19"/>
                <w:color w:val="auto"/>
              </w:rPr>
              <w:t>6.25% Senior Notes, due 2037</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228.3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Arial" w:cs="Arial" w:eastAsia="Arial" w:hAnsi="Arial"/>
                <w:sz w:val="19"/>
                <w:szCs w:val="19"/>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4.250% Senior Notes, due 2047</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590.1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592.1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line="215" w:lineRule="exact"/>
              <w:rPr>
                <w:sz w:val="20"/>
                <w:szCs w:val="20"/>
                <w:color w:val="auto"/>
              </w:rPr>
            </w:pPr>
            <w:r>
              <w:rPr>
                <w:rFonts w:ascii="Arial" w:cs="Arial" w:eastAsia="Arial" w:hAnsi="Arial"/>
                <w:sz w:val="19"/>
                <w:szCs w:val="19"/>
                <w:color w:val="auto"/>
              </w:rPr>
              <w:t>3.200% Senior Notes, due 2051</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line="215" w:lineRule="exact"/>
              <w:rPr>
                <w:sz w:val="20"/>
                <w:szCs w:val="20"/>
                <w:color w:val="auto"/>
              </w:rPr>
            </w:pPr>
            <w:r>
              <w:rPr>
                <w:rFonts w:ascii="Arial" w:cs="Arial" w:eastAsia="Arial" w:hAnsi="Arial"/>
                <w:sz w:val="19"/>
                <w:szCs w:val="19"/>
                <w:color w:val="auto"/>
              </w:rPr>
              <w:t>849.6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Arial" w:cs="Arial" w:eastAsia="Arial" w:hAnsi="Arial"/>
                <w:sz w:val="19"/>
                <w:szCs w:val="19"/>
                <w:color w:val="auto"/>
              </w:rPr>
              <w:t>882.9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Other notes</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06"/>
              <w:spacing w:after="0" w:line="215" w:lineRule="exact"/>
              <w:rPr>
                <w:sz w:val="20"/>
                <w:szCs w:val="20"/>
                <w:color w:val="auto"/>
              </w:rPr>
            </w:pPr>
            <w:r>
              <w:rPr>
                <w:rFonts w:ascii="Arial" w:cs="Arial" w:eastAsia="Arial" w:hAnsi="Arial"/>
                <w:sz w:val="19"/>
                <w:szCs w:val="19"/>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5" w:lineRule="exact"/>
              <w:rPr>
                <w:sz w:val="20"/>
                <w:szCs w:val="20"/>
                <w:color w:val="auto"/>
              </w:rPr>
            </w:pPr>
            <w:r>
              <w:rPr>
                <w:rFonts w:ascii="Arial" w:cs="Arial" w:eastAsia="Arial" w:hAnsi="Arial"/>
                <w:sz w:val="19"/>
                <w:szCs w:val="19"/>
                <w:color w:val="auto"/>
              </w:rPr>
              <w:t>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FF0FC"/>
            </w:tcBorders>
          </w:tcPr>
          <w:p>
            <w:pPr>
              <w:ind w:left="20"/>
              <w:spacing w:after="0" w:line="209" w:lineRule="exact"/>
              <w:rPr>
                <w:sz w:val="20"/>
                <w:szCs w:val="20"/>
                <w:color w:val="auto"/>
              </w:rPr>
            </w:pPr>
            <w:r>
              <w:rPr>
                <w:rFonts w:ascii="Arial" w:cs="Arial" w:eastAsia="Arial" w:hAnsi="Arial"/>
                <w:sz w:val="19"/>
                <w:szCs w:val="19"/>
                <w:color w:val="auto"/>
              </w:rPr>
              <w:t>Total debt</w:t>
            </w:r>
          </w:p>
        </w:tc>
        <w:tc>
          <w:tcPr>
            <w:tcW w:w="10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19"/>
                <w:szCs w:val="19"/>
                <w:color w:val="auto"/>
              </w:rPr>
              <w:t>5,044.3</w:t>
            </w:r>
          </w:p>
        </w:tc>
        <w:tc>
          <w:tcPr>
            <w:tcW w:w="18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19"/>
                <w:szCs w:val="19"/>
                <w:color w:val="auto"/>
              </w:rPr>
              <w:t>5,100.9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0"/>
              <w:spacing w:after="0" w:line="215" w:lineRule="exact"/>
              <w:rPr>
                <w:sz w:val="20"/>
                <w:szCs w:val="20"/>
                <w:color w:val="auto"/>
              </w:rPr>
            </w:pPr>
            <w:r>
              <w:rPr>
                <w:rFonts w:ascii="Arial" w:cs="Arial" w:eastAsia="Arial" w:hAnsi="Arial"/>
                <w:sz w:val="19"/>
                <w:szCs w:val="19"/>
                <w:color w:val="auto"/>
              </w:rPr>
              <w:t>Less: Current maturities</w:t>
            </w: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line="215" w:lineRule="exact"/>
              <w:rPr>
                <w:sz w:val="20"/>
                <w:szCs w:val="20"/>
                <w:color w:val="auto"/>
              </w:rPr>
            </w:pPr>
            <w:r>
              <w:rPr>
                <w:rFonts w:ascii="Arial" w:cs="Arial" w:eastAsia="Arial" w:hAnsi="Arial"/>
                <w:sz w:val="19"/>
                <w:szCs w:val="19"/>
                <w:color w:val="auto"/>
              </w:rPr>
              <w:t>—</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line="215" w:lineRule="exact"/>
              <w:rPr>
                <w:sz w:val="20"/>
                <w:szCs w:val="20"/>
                <w:color w:val="auto"/>
              </w:rPr>
            </w:pPr>
            <w:r>
              <w:rPr>
                <w:rFonts w:ascii="Arial" w:cs="Arial" w:eastAsia="Arial" w:hAnsi="Arial"/>
                <w:sz w:val="19"/>
                <w:szCs w:val="19"/>
                <w:color w:val="auto"/>
              </w:rPr>
              <w:t>(0.1 )</w:t>
            </w:r>
          </w:p>
        </w:tc>
        <w:tc>
          <w:tcPr>
            <w:tcW w:w="0" w:type="dxa"/>
            <w:vAlign w:val="bottom"/>
          </w:tcPr>
          <w:p>
            <w:pPr>
              <w:spacing w:after="0"/>
              <w:rPr>
                <w:sz w:val="1"/>
                <w:szCs w:val="1"/>
                <w:color w:val="auto"/>
              </w:rPr>
            </w:pPr>
          </w:p>
        </w:tc>
      </w:tr>
      <w:tr>
        <w:trPr>
          <w:trHeight w:val="209"/>
        </w:trPr>
        <w:tc>
          <w:tcPr>
            <w:tcW w:w="6060" w:type="dxa"/>
            <w:vAlign w:val="bottom"/>
            <w:tcBorders>
              <w:top w:val="single" w:sz="8" w:color="CFF0FC"/>
            </w:tcBorders>
          </w:tcPr>
          <w:p>
            <w:pPr>
              <w:ind w:left="20"/>
              <w:spacing w:after="0" w:line="209" w:lineRule="exact"/>
              <w:rPr>
                <w:sz w:val="20"/>
                <w:szCs w:val="20"/>
                <w:color w:val="auto"/>
              </w:rPr>
            </w:pPr>
            <w:r>
              <w:rPr>
                <w:rFonts w:ascii="Arial" w:cs="Arial" w:eastAsia="Arial" w:hAnsi="Arial"/>
                <w:sz w:val="19"/>
                <w:szCs w:val="19"/>
                <w:color w:val="auto"/>
              </w:rPr>
              <w:t>Long-term debt</w:t>
            </w: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22"/>
              <w:spacing w:after="0" w:line="209" w:lineRule="exact"/>
              <w:rPr>
                <w:sz w:val="20"/>
                <w:szCs w:val="20"/>
                <w:color w:val="auto"/>
              </w:rPr>
            </w:pPr>
            <w:r>
              <w:rPr>
                <w:rFonts w:ascii="Arial" w:cs="Arial" w:eastAsia="Arial" w:hAnsi="Arial"/>
                <w:sz w:val="19"/>
                <w:szCs w:val="19"/>
                <w:color w:val="auto"/>
                <w:w w:val="75"/>
              </w:rPr>
              <w:t>$</w:t>
            </w: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line="209" w:lineRule="exact"/>
              <w:rPr>
                <w:sz w:val="20"/>
                <w:szCs w:val="20"/>
                <w:color w:val="auto"/>
              </w:rPr>
            </w:pPr>
            <w:r>
              <w:rPr>
                <w:rFonts w:ascii="Arial" w:cs="Arial" w:eastAsia="Arial" w:hAnsi="Arial"/>
                <w:sz w:val="19"/>
                <w:szCs w:val="19"/>
                <w:color w:val="auto"/>
              </w:rPr>
              <w:t>5,044.3</w:t>
            </w: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gridSpan w:val="2"/>
          </w:tcPr>
          <w:p>
            <w:pPr>
              <w:spacing w:after="0"/>
              <w:rPr>
                <w:sz w:val="18"/>
                <w:szCs w:val="18"/>
                <w:color w:val="auto"/>
              </w:rPr>
            </w:pPr>
          </w:p>
        </w:tc>
        <w:tc>
          <w:tcPr>
            <w:tcW w:w="26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19"/>
                <w:szCs w:val="19"/>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5,100.8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-5170805</wp:posOffset>
            </wp:positionV>
            <wp:extent cx="768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-5170805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-5170805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-3001010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-2983865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-3001010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-2983865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-449580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-449580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-167640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-167640</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During the six months ended June 30, 2022, the Company repurchased $60.5 million (par value) of its Senior Notes.</w:t>
      </w:r>
    </w:p>
    <w:p>
      <w:pPr>
        <w:spacing w:after="0" w:line="93" w:lineRule="exact"/>
        <w:rPr>
          <w:sz w:val="20"/>
          <w:szCs w:val="20"/>
          <w:color w:val="auto"/>
        </w:rPr>
      </w:pPr>
    </w:p>
    <w:p>
      <w:pPr>
        <w:jc w:val="both"/>
        <w:ind w:left="380"/>
        <w:spacing w:after="0" w:line="242" w:lineRule="auto"/>
        <w:rPr>
          <w:sz w:val="20"/>
          <w:szCs w:val="20"/>
          <w:color w:val="auto"/>
        </w:rPr>
      </w:pPr>
      <w:r>
        <w:rPr>
          <w:rFonts w:ascii="Arial" w:cs="Arial" w:eastAsia="Arial" w:hAnsi="Arial"/>
          <w:sz w:val="19"/>
          <w:szCs w:val="19"/>
          <w:color w:val="auto"/>
        </w:rPr>
        <w:t>The Company, through a wholly-owned special-purpose subsidiary, has a $400 million trade receivable securitization facility (the Trade Receivable Facility) that matures on September 21, 2022. The Trade Receivable Facility, with Truist Bank, Regions Bank, PNC Bank, N.A., MUFG Bank,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by the Company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London Inter-bank Offered Rate (LIBOR) plus 1.00%, subject to change in the event that this rate no longer reflects the lender’s cost of lending, for borrowings funded by all other lenders. The Trade Receivable Facility contains a cross-default provision to the Company’s other debt agreements. Subject to certain conditions, including lenders providing the requisite commitments, the Trade Receivable Facility may be increased to a borrowing base not to exceed $500 million. There were no borrowings outstanding under the Trade Receivable Facility at June 30, 2022 and December 31, 2021.</w:t>
      </w:r>
    </w:p>
    <w:p>
      <w:pPr>
        <w:spacing w:after="0" w:line="72"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The Company has a $800 million five-year senior unsecured revolving facility (the Revolving Facility) with JPMorgan Chase Bank, N.A., as Administrative Agent, Deutsche Bank Securities, Inc., PNC Bank, Truist Bank and Wells Fargo Bank, N.A., as Syndication Agents, and the lenders party thereto (the Credit Agreement). Borrowings under the Revolving Facility bear interest, at the Company’s option, at rates based upon LIBOR or a base rate, plus, for each rate, a margin determined in accordance with a ratings-based pricing grid. There were no borrowings outstanding under the Credit Agreement at June 30, 2022 or December 31, 2021. The Credit Agreement requires the Company’s ratio of consolidated net debt-to-consolidated earnings before interest, taxes, depreciation, depletion and amortization (EBITDA), as defined by the Revolving Facility, for the trailing-twelve months (the Ratio) to not exceed 3.50 times as of the end of any fiscal quarter, provided that the Company may exclude from the Ratio debt incurred in connection with certain acquisitions during such quarter or the three preceding quarters so long as the Ratio calculated without such exclusion does not exceed 4.00 times. Additionally, if there are no amounts outstanding under both the Revolving Facility and the Trade Receivable Facility, consolidated debt, including debt for which the Company is a guarantor (see Note 10), may be reduced in an amount equal to the lesser of $500 million or the sum of the Company’s unrestricted cash and temporary investments, for purposes of the covenant calculation. The Company was in compliance with this covenant at June 30, 2022.</w:t>
      </w:r>
    </w:p>
    <w:p>
      <w:pPr>
        <w:spacing w:after="0" w:line="61"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Revolving Facility expires on December 21, 2026, with any outstanding principal amounts, together with interest accrued thereon, due in full on that date. Available borrowings under the Revolving Facility are reduced by any outstanding letters of credit issued by the Company under the Revolving Facility. The Company had $2.6 million of outstanding letters of credit issued under the Revolving Facility at June 30, 2022 and December 31, 2021.</w:t>
      </w:r>
    </w:p>
    <w:p>
      <w:pPr>
        <w:spacing w:after="0" w:line="28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99" w:lineRule="exact"/>
        <w:rPr>
          <w:rFonts w:ascii="Arial" w:cs="Arial" w:eastAsia="Arial" w:hAnsi="Arial"/>
          <w:sz w:val="20"/>
          <w:szCs w:val="20"/>
          <w:b w:val="1"/>
          <w:bCs w:val="1"/>
          <w:color w:val="auto"/>
        </w:rPr>
      </w:pPr>
    </w:p>
    <w:p>
      <w:pPr>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temporary cash investments, restricted cash, accounts receivable, notes receivable, accounts payable, publicly-registered long-term notes, debentures and other long-term debt.</w:t>
      </w:r>
    </w:p>
    <w:p>
      <w:pPr>
        <w:spacing w:after="0" w:line="69"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8"/>
          <w:szCs w:val="18"/>
          <w:color w:val="auto"/>
        </w:rPr>
        <w:t>Temporary cash investments are placed primarily in money market funds, money market demand deposit accounts and Eurodollar time</w:t>
      </w:r>
    </w:p>
    <w:p>
      <w:pPr>
        <w:spacing w:after="0" w:line="25" w:lineRule="exact"/>
        <w:rPr>
          <w:sz w:val="20"/>
          <w:szCs w:val="20"/>
          <w:color w:val="auto"/>
        </w:rPr>
      </w:pPr>
    </w:p>
    <w:p>
      <w:pPr>
        <w:ind w:left="380"/>
        <w:spacing w:after="0" w:line="224" w:lineRule="auto"/>
        <w:rPr>
          <w:sz w:val="20"/>
          <w:szCs w:val="20"/>
          <w:color w:val="auto"/>
        </w:rPr>
      </w:pPr>
      <w:r>
        <w:rPr>
          <w:rFonts w:ascii="Arial" w:cs="Arial" w:eastAsia="Arial" w:hAnsi="Arial"/>
          <w:sz w:val="20"/>
          <w:szCs w:val="20"/>
          <w:color w:val="auto"/>
        </w:rPr>
        <w:t>deposits. The Company’s cash equivalents have original maturities of less than three months. Due to the short maturity of these investments, they are carried on the consolidated balance sheets at cost, which approximates fair value.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ind w:left="380" w:right="20"/>
        <w:spacing w:after="0" w:line="245" w:lineRule="auto"/>
        <w:rPr>
          <w:sz w:val="20"/>
          <w:szCs w:val="20"/>
          <w:color w:val="auto"/>
        </w:rPr>
      </w:pPr>
      <w:r>
        <w:rPr>
          <w:rFonts w:ascii="Arial" w:cs="Arial" w:eastAsia="Arial" w:hAnsi="Arial"/>
          <w:sz w:val="20"/>
          <w:szCs w:val="20"/>
          <w:color w:val="auto"/>
        </w:rPr>
        <w:t>Restricted cash is held in a trust account with a third-party intermediary. Due to the short-term nature of this account, the fair value of restricted cash approximates its carrying value.</w:t>
      </w:r>
    </w:p>
    <w:p>
      <w:pPr>
        <w:spacing w:after="0" w:line="69"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No single customer accounted for 10% or more of consolidated accounts receivable in the six-month periods ended June 30, 2022 and 2021. The estimated fair values of accounts receivable approximate their carrying amounts due to the short-term nature of the accounts.</w:t>
      </w:r>
    </w:p>
    <w:p>
      <w:pPr>
        <w:spacing w:after="0" w:line="77" w:lineRule="exact"/>
        <w:rPr>
          <w:sz w:val="20"/>
          <w:szCs w:val="20"/>
          <w:color w:val="auto"/>
        </w:rPr>
      </w:pPr>
    </w:p>
    <w:p>
      <w:pPr>
        <w:jc w:val="both"/>
        <w:ind w:left="380"/>
        <w:spacing w:after="0" w:line="245" w:lineRule="auto"/>
        <w:rPr>
          <w:sz w:val="20"/>
          <w:szCs w:val="20"/>
          <w:color w:val="auto"/>
        </w:rPr>
      </w:pPr>
      <w:r>
        <w:rPr>
          <w:rFonts w:ascii="Arial" w:cs="Arial" w:eastAsia="Arial" w:hAnsi="Arial"/>
          <w:sz w:val="20"/>
          <w:szCs w:val="20"/>
          <w:color w:val="auto"/>
        </w:rPr>
        <w:t>Notes receivable are primarily promissory notes with customers and are not publicly traded. Management estimates that the fair value of notes receivable approximates its carrying amount.</w:t>
      </w:r>
    </w:p>
    <w:p>
      <w:pPr>
        <w:spacing w:after="0" w:line="69" w:lineRule="exact"/>
        <w:rPr>
          <w:sz w:val="20"/>
          <w:szCs w:val="20"/>
          <w:color w:val="auto"/>
        </w:rPr>
      </w:pPr>
    </w:p>
    <w:p>
      <w:pPr>
        <w:jc w:val="both"/>
        <w:ind w:left="380"/>
        <w:spacing w:after="0" w:line="245" w:lineRule="auto"/>
        <w:rPr>
          <w:sz w:val="20"/>
          <w:szCs w:val="20"/>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9"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carrying values and fair values of the Company’s long-term debt were $5.04 billion and $4.48 billion, respectively, at June 30, 2022 and $5.10 billion and $5.45 billion, respectively, at December 31, 2021. The estimated fair value of the publicly-registered long-term notes was estimated using quoted market prices. The estimated fair values of other borrowings approximate their carrying amounts as the interest rates reset periodically.</w:t>
      </w:r>
    </w:p>
    <w:p>
      <w:pPr>
        <w:spacing w:after="0" w:line="28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99" w:lineRule="exact"/>
        <w:rPr>
          <w:rFonts w:ascii="Arial" w:cs="Arial" w:eastAsia="Arial" w:hAnsi="Arial"/>
          <w:sz w:val="20"/>
          <w:szCs w:val="20"/>
          <w:b w:val="1"/>
          <w:bCs w:val="1"/>
          <w:color w:val="auto"/>
        </w:rPr>
      </w:pPr>
    </w:p>
    <w:p>
      <w:pPr>
        <w:jc w:val="both"/>
        <w:ind w:left="380"/>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22.6% and 21.2% for the six months ended June 30, 2022 and 2021, respectively. The higher 2022 effective income tax rate versus 2021 was driven by the impact of the divestiture of the Colorado and Central Texas ready mixed concrete businesses.</w:t>
      </w:r>
    </w:p>
    <w:p>
      <w:pPr>
        <w:spacing w:after="0" w:line="73" w:lineRule="exact"/>
        <w:rPr>
          <w:rFonts w:ascii="Arial" w:cs="Arial" w:eastAsia="Arial" w:hAnsi="Arial"/>
          <w:sz w:val="20"/>
          <w:szCs w:val="20"/>
          <w:b w:val="1"/>
          <w:bCs w:val="1"/>
          <w:color w:val="auto"/>
        </w:rPr>
      </w:pPr>
    </w:p>
    <w:p>
      <w:pPr>
        <w:ind w:left="380" w:right="2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78" w:lineRule="exact"/>
        <w:rPr>
          <w:rFonts w:ascii="Arial" w:cs="Arial" w:eastAsia="Arial" w:hAnsi="Arial"/>
          <w:sz w:val="20"/>
          <w:szCs w:val="20"/>
          <w:b w:val="1"/>
          <w:bCs w:val="1"/>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99" w:lineRule="exact"/>
        <w:rPr>
          <w:rFonts w:ascii="Arial" w:cs="Arial" w:eastAsia="Arial" w:hAnsi="Arial"/>
          <w:sz w:val="20"/>
          <w:szCs w:val="20"/>
          <w:b w:val="1"/>
          <w:bCs w:val="1"/>
          <w:color w:val="auto"/>
        </w:rPr>
      </w:pPr>
    </w:p>
    <w:p>
      <w:pPr>
        <w:jc w:val="both"/>
        <w:ind w:left="380"/>
        <w:spacing w:after="0" w:line="288" w:lineRule="auto"/>
        <w:rPr>
          <w:rFonts w:ascii="Arial" w:cs="Arial" w:eastAsia="Arial" w:hAnsi="Arial"/>
          <w:sz w:val="20"/>
          <w:szCs w:val="20"/>
          <w:b w:val="1"/>
          <w:bCs w:val="1"/>
          <w:color w:val="auto"/>
        </w:rPr>
      </w:pPr>
      <w:r>
        <w:rPr>
          <w:rFonts w:ascii="Arial" w:cs="Arial" w:eastAsia="Arial" w:hAnsi="Arial"/>
          <w:sz w:val="16"/>
          <w:szCs w:val="16"/>
          <w:color w:val="auto"/>
        </w:rPr>
        <w:t>During the six months ended June 30, 2022, the Company amended its qualified pension plan and provided an enhanced benefit for eligible hourly active participants who retire subsequent to April 30, 2022. The amendment required a pension remeasurement. The Company elected the use of a practical expedient to perform the pension remeasurement as of February 28, 2022, the month-end closest</w:t>
      </w:r>
    </w:p>
    <w:p>
      <w:pPr>
        <w:jc w:val="both"/>
        <w:ind w:left="380"/>
        <w:spacing w:after="0" w:line="224" w:lineRule="auto"/>
        <w:rPr>
          <w:sz w:val="20"/>
          <w:szCs w:val="20"/>
          <w:color w:val="auto"/>
        </w:rPr>
      </w:pPr>
      <w:r>
        <w:rPr>
          <w:rFonts w:ascii="Arial" w:cs="Arial" w:eastAsia="Arial" w:hAnsi="Arial"/>
          <w:sz w:val="20"/>
          <w:szCs w:val="20"/>
          <w:color w:val="auto"/>
        </w:rPr>
        <w:t>to the approval of the plan amendment. The discount rate for the remeasurement was 3.75% compared with 3.23% prior to the remeasurement. The enhanced benefit and remeasurement resulted in higher pension expense for the year compared with the initial estimate of the annual pension expense for the qualified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8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20"/>
                <w:szCs w:val="20"/>
                <w:color w:val="auto"/>
              </w:rPr>
              <w:t>Pension</w:t>
            </w: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78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8"/>
          </w:tcPr>
          <w:p>
            <w:pPr>
              <w:ind w:left="220"/>
              <w:spacing w:after="0" w:line="223" w:lineRule="exact"/>
              <w:rPr>
                <w:sz w:val="20"/>
                <w:szCs w:val="20"/>
                <w:color w:val="auto"/>
              </w:rPr>
            </w:pPr>
            <w:r>
              <w:rPr>
                <w:rFonts w:ascii="Arial" w:cs="Arial" w:eastAsia="Arial" w:hAnsi="Arial"/>
                <w:sz w:val="20"/>
                <w:szCs w:val="20"/>
                <w:color w:val="auto"/>
              </w:rPr>
              <w:t>Three Months Ended June 30,</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2021</w:t>
            </w:r>
          </w:p>
        </w:tc>
        <w:tc>
          <w:tcPr>
            <w:tcW w:w="20" w:type="dxa"/>
            <w:vAlign w:val="bottom"/>
          </w:tcPr>
          <w:p>
            <w:pPr>
              <w:spacing w:after="0"/>
              <w:rPr>
                <w:sz w:val="19"/>
                <w:szCs w:val="19"/>
                <w:color w:val="auto"/>
              </w:rPr>
            </w:pPr>
          </w:p>
        </w:tc>
        <w:tc>
          <w:tcPr>
            <w:tcW w:w="260" w:type="dxa"/>
            <w:vAlign w:val="bottom"/>
            <w:vMerge w:val="restart"/>
          </w:tcPr>
          <w:p>
            <w:pPr>
              <w:ind w:left="120"/>
              <w:spacing w:after="0"/>
              <w:rPr>
                <w:sz w:val="20"/>
                <w:szCs w:val="20"/>
                <w:color w:val="auto"/>
              </w:rPr>
            </w:pPr>
            <w:r>
              <w:rPr>
                <w:rFonts w:ascii="Arial" w:cs="Arial" w:eastAsia="Arial" w:hAnsi="Arial"/>
                <w:sz w:val="20"/>
                <w:szCs w:val="20"/>
                <w:i w:val="1"/>
                <w:iCs w:val="1"/>
                <w:color w:val="auto"/>
                <w:w w:val="76"/>
              </w:rPr>
              <w:t>in</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6" w:lineRule="exact"/>
              <w:rPr>
                <w:sz w:val="20"/>
                <w:szCs w:val="20"/>
                <w:color w:val="auto"/>
              </w:rPr>
            </w:pPr>
            <w:r>
              <w:rPr>
                <w:rFonts w:ascii="Arial" w:cs="Arial" w:eastAsia="Arial" w:hAnsi="Arial"/>
                <w:sz w:val="20"/>
                <w:szCs w:val="20"/>
                <w:i w:val="1"/>
                <w:iCs w:val="1"/>
                <w:color w:val="auto"/>
              </w:rPr>
              <w:t>(Dollars</w:t>
            </w: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2"/>
          </w:tcPr>
          <w:p>
            <w:pPr>
              <w:ind w:left="40"/>
              <w:spacing w:after="0" w:line="206" w:lineRule="exact"/>
              <w:rPr>
                <w:sz w:val="20"/>
                <w:szCs w:val="20"/>
                <w:color w:val="auto"/>
              </w:rPr>
            </w:pPr>
            <w:r>
              <w:rPr>
                <w:rFonts w:ascii="Arial" w:cs="Arial" w:eastAsia="Arial" w:hAnsi="Arial"/>
                <w:sz w:val="20"/>
                <w:szCs w:val="20"/>
                <w:i w:val="1"/>
                <w:iCs w:val="1"/>
                <w:color w:val="auto"/>
              </w:rPr>
              <w:t>Millions)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860" w:type="dxa"/>
            <w:vAlign w:val="bottom"/>
          </w:tcPr>
          <w:p>
            <w:pPr>
              <w:ind w:left="20"/>
              <w:spacing w:after="0"/>
              <w:rPr>
                <w:sz w:val="20"/>
                <w:szCs w:val="20"/>
                <w:color w:val="auto"/>
              </w:rPr>
            </w:pPr>
            <w:r>
              <w:rPr>
                <w:rFonts w:ascii="Arial" w:cs="Arial" w:eastAsia="Arial" w:hAnsi="Arial"/>
                <w:sz w:val="20"/>
                <w:szCs w:val="20"/>
                <w:color w:val="auto"/>
              </w:rPr>
              <w:t>Service cost</w:t>
            </w:r>
          </w:p>
        </w:tc>
        <w:tc>
          <w:tcPr>
            <w:tcW w:w="360" w:type="dxa"/>
            <w:vAlign w:val="bottom"/>
            <w:gridSpan w:val="2"/>
          </w:tcPr>
          <w:p>
            <w:pPr>
              <w:jc w:val="right"/>
              <w:ind w:right="1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gridSpan w:val="2"/>
          </w:tcPr>
          <w:p>
            <w:pPr>
              <w:jc w:val="right"/>
              <w:ind w:right="1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gridSpan w:val="2"/>
          </w:tcPr>
          <w:p>
            <w:pPr>
              <w:jc w:val="right"/>
              <w:ind w:right="181"/>
              <w:spacing w:after="0"/>
              <w:rPr>
                <w:sz w:val="20"/>
                <w:szCs w:val="20"/>
                <w:color w:val="auto"/>
              </w:rPr>
            </w:pPr>
            <w:r>
              <w:rPr>
                <w:rFonts w:ascii="Arial" w:cs="Arial" w:eastAsia="Arial" w:hAnsi="Arial"/>
                <w:sz w:val="20"/>
                <w:szCs w:val="20"/>
                <w:color w:val="auto"/>
                <w:w w:val="71"/>
              </w:rPr>
              <w:t>$</w:t>
            </w:r>
          </w:p>
        </w:tc>
        <w:tc>
          <w:tcPr>
            <w:tcW w:w="156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81"/>
              <w:spacing w:after="0"/>
              <w:rPr>
                <w:sz w:val="20"/>
                <w:szCs w:val="20"/>
                <w:color w:val="auto"/>
              </w:rPr>
            </w:pPr>
            <w:r>
              <w:rPr>
                <w:rFonts w:ascii="Arial" w:cs="Arial" w:eastAsia="Arial" w:hAnsi="Arial"/>
                <w:sz w:val="20"/>
                <w:szCs w:val="20"/>
                <w:color w:val="auto"/>
                <w:w w:val="71"/>
              </w:rPr>
              <w:t>$</w:t>
            </w:r>
          </w:p>
        </w:tc>
        <w:tc>
          <w:tcPr>
            <w:tcW w:w="13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Interest cost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11.9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8.3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0.1</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Expected return on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200"/>
              <w:spacing w:after="0" w:line="229" w:lineRule="exact"/>
              <w:rPr>
                <w:sz w:val="20"/>
                <w:szCs w:val="20"/>
                <w:color w:val="auto"/>
              </w:rPr>
            </w:pPr>
            <w:r>
              <w:rPr>
                <w:rFonts w:ascii="Arial" w:cs="Arial" w:eastAsia="Arial" w:hAnsi="Arial"/>
                <w:sz w:val="20"/>
                <w:szCs w:val="20"/>
                <w:color w:val="auto"/>
              </w:rPr>
              <w:t>(22.5 )</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jc w:val="right"/>
              <w:ind w:right="101"/>
              <w:spacing w:after="0" w:line="229" w:lineRule="exact"/>
              <w:rPr>
                <w:sz w:val="20"/>
                <w:szCs w:val="20"/>
                <w:color w:val="auto"/>
              </w:rPr>
            </w:pPr>
            <w:r>
              <w:rPr>
                <w:rFonts w:ascii="Arial" w:cs="Arial" w:eastAsia="Arial" w:hAnsi="Arial"/>
                <w:sz w:val="20"/>
                <w:szCs w:val="20"/>
                <w:color w:val="auto"/>
              </w:rPr>
              <w:t>(16.3 )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3"/>
          </w:tcPr>
          <w:p>
            <w:pPr>
              <w:jc w:val="right"/>
              <w:ind w:right="181"/>
              <w:spacing w:after="0" w:line="229"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Amortization of:</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Prior service cost (credit)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1.4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3"/>
          </w:tcPr>
          <w:p>
            <w:pPr>
              <w:jc w:val="right"/>
              <w:ind w:right="101"/>
              <w:spacing w:after="0" w:line="229" w:lineRule="exact"/>
              <w:rPr>
                <w:sz w:val="20"/>
                <w:szCs w:val="20"/>
                <w:color w:val="auto"/>
              </w:rPr>
            </w:pPr>
            <w:r>
              <w:rPr>
                <w:rFonts w:ascii="Arial" w:cs="Arial" w:eastAsia="Arial" w:hAnsi="Arial"/>
                <w:sz w:val="20"/>
                <w:szCs w:val="20"/>
                <w:color w:val="auto"/>
              </w:rPr>
              <w:t>(0.2 )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Actuarial loss (gain)</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1.2</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01"/>
              <w:spacing w:after="0" w:line="229" w:lineRule="exact"/>
              <w:rPr>
                <w:sz w:val="20"/>
                <w:szCs w:val="20"/>
                <w:color w:val="auto"/>
              </w:rPr>
            </w:pPr>
            <w:r>
              <w:rPr>
                <w:rFonts w:ascii="Arial" w:cs="Arial" w:eastAsia="Arial" w:hAnsi="Arial"/>
                <w:sz w:val="20"/>
                <w:szCs w:val="20"/>
                <w:color w:val="auto"/>
              </w:rPr>
              <w:t>(0.1 )</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line="223" w:lineRule="exact"/>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8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(0.2</w:t>
            </w:r>
          </w:p>
        </w:tc>
        <w:tc>
          <w:tcPr>
            <w:tcW w:w="280" w:type="dxa"/>
            <w:vAlign w:val="bottom"/>
            <w:gridSpan w:val="2"/>
          </w:tcPr>
          <w:p>
            <w:pPr>
              <w:jc w:val="right"/>
              <w:ind w:right="101"/>
              <w:spacing w:after="0" w:line="223" w:lineRule="exact"/>
              <w:rPr>
                <w:sz w:val="20"/>
                <w:szCs w:val="20"/>
                <w:color w:val="auto"/>
              </w:rPr>
            </w:pPr>
            <w:r>
              <w:rPr>
                <w:rFonts w:ascii="Arial" w:cs="Arial" w:eastAsia="Arial" w:hAnsi="Arial"/>
                <w:sz w:val="20"/>
                <w:szCs w:val="20"/>
                <w:color w:val="auto"/>
                <w:w w:val="89"/>
              </w:rPr>
              <w:t>)</w:t>
            </w:r>
          </w:p>
        </w:tc>
        <w:tc>
          <w:tcPr>
            <w:tcW w:w="380" w:type="dxa"/>
            <w:vAlign w:val="bottom"/>
            <w:tcBorders>
              <w:top w:val="single" w:sz="8" w:color="auto"/>
              <w:bottom w:val="single" w:sz="8" w:color="auto"/>
            </w:tcBorders>
            <w:gridSpan w:val="2"/>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(0.1</w:t>
            </w:r>
          </w:p>
        </w:tc>
        <w:tc>
          <w:tcPr>
            <w:tcW w:w="100" w:type="dxa"/>
            <w:vAlign w:val="bottom"/>
          </w:tcPr>
          <w:p>
            <w:pPr>
              <w:jc w:val="right"/>
              <w:spacing w:after="0" w:line="22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20"/>
                <w:szCs w:val="20"/>
                <w:color w:val="auto"/>
              </w:rPr>
              <w:t>Pension</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76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Six Months</w:t>
            </w:r>
          </w:p>
        </w:tc>
        <w:tc>
          <w:tcPr>
            <w:tcW w:w="2200" w:type="dxa"/>
            <w:vAlign w:val="bottom"/>
            <w:tcBorders>
              <w:bottom w:val="single" w:sz="8" w:color="auto"/>
            </w:tcBorders>
            <w:gridSpan w:val="6"/>
          </w:tcPr>
          <w:p>
            <w:pPr>
              <w:ind w:left="120"/>
              <w:spacing w:after="0" w:line="223" w:lineRule="exact"/>
              <w:rPr>
                <w:sz w:val="20"/>
                <w:szCs w:val="20"/>
                <w:color w:val="auto"/>
              </w:rPr>
            </w:pPr>
            <w:r>
              <w:rPr>
                <w:rFonts w:ascii="Arial" w:cs="Arial" w:eastAsia="Arial" w:hAnsi="Arial"/>
                <w:sz w:val="20"/>
                <w:szCs w:val="20"/>
                <w:color w:val="auto"/>
              </w:rPr>
              <w:t>Ended June 30,</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2022</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20"/>
              <w:spacing w:after="0" w:line="223" w:lineRule="exact"/>
              <w:rPr>
                <w:sz w:val="20"/>
                <w:szCs w:val="20"/>
                <w:color w:val="auto"/>
              </w:rPr>
            </w:pPr>
            <w:r>
              <w:rPr>
                <w:rFonts w:ascii="Arial" w:cs="Arial" w:eastAsia="Arial" w:hAnsi="Arial"/>
                <w:sz w:val="20"/>
                <w:szCs w:val="20"/>
                <w:color w:val="auto"/>
              </w:rPr>
              <w:t>2021</w:t>
            </w:r>
          </w:p>
        </w:tc>
        <w:tc>
          <w:tcPr>
            <w:tcW w:w="20" w:type="dxa"/>
            <w:vAlign w:val="bottom"/>
            <w:tcBorders>
              <w:bottom w:val="single" w:sz="8" w:color="auto"/>
            </w:tcBorders>
          </w:tcPr>
          <w:p>
            <w:pPr>
              <w:spacing w:after="0"/>
              <w:rPr>
                <w:sz w:val="19"/>
                <w:szCs w:val="19"/>
                <w:color w:val="auto"/>
              </w:rPr>
            </w:pPr>
          </w:p>
        </w:tc>
        <w:tc>
          <w:tcPr>
            <w:tcW w:w="280" w:type="dxa"/>
            <w:vAlign w:val="bottom"/>
            <w:gridSpan w:val="2"/>
            <w:vMerge w:val="restart"/>
          </w:tcPr>
          <w:p>
            <w:pPr>
              <w:ind w:left="140"/>
              <w:spacing w:after="0"/>
              <w:rPr>
                <w:sz w:val="20"/>
                <w:szCs w:val="20"/>
                <w:color w:val="auto"/>
              </w:rPr>
            </w:pPr>
            <w:r>
              <w:rPr>
                <w:rFonts w:ascii="Arial" w:cs="Arial" w:eastAsia="Arial" w:hAnsi="Arial"/>
                <w:sz w:val="20"/>
                <w:szCs w:val="20"/>
                <w:i w:val="1"/>
                <w:iCs w:val="1"/>
                <w:color w:val="auto"/>
                <w:w w:val="76"/>
              </w:rPr>
              <w:t>in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2022</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80" w:type="dxa"/>
            <w:vAlign w:val="bottom"/>
            <w:gridSpan w:val="2"/>
            <w:vMerge w:val="continue"/>
          </w:tcPr>
          <w:p>
            <w:pPr>
              <w:spacing w:after="0"/>
              <w:rPr>
                <w:sz w:val="19"/>
                <w:szCs w:val="19"/>
                <w:color w:val="auto"/>
              </w:rPr>
            </w:pPr>
          </w:p>
        </w:tc>
        <w:tc>
          <w:tcPr>
            <w:tcW w:w="1680" w:type="dxa"/>
            <w:vAlign w:val="bottom"/>
            <w:gridSpan w:val="3"/>
          </w:tcPr>
          <w:p>
            <w:pPr>
              <w:jc w:val="right"/>
              <w:ind w:right="801"/>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Service cost</w:t>
            </w:r>
          </w:p>
        </w:tc>
        <w:tc>
          <w:tcPr>
            <w:tcW w:w="360" w:type="dxa"/>
            <w:vAlign w:val="bottom"/>
            <w:gridSpan w:val="2"/>
            <w:shd w:val="clear" w:color="auto" w:fill="CFF0FC"/>
          </w:tcPr>
          <w:p>
            <w:pPr>
              <w:jc w:val="right"/>
              <w:ind w:right="101"/>
              <w:spacing w:after="0" w:line="229" w:lineRule="exact"/>
              <w:rPr>
                <w:sz w:val="20"/>
                <w:szCs w:val="20"/>
                <w:color w:val="auto"/>
              </w:rPr>
            </w:pPr>
            <w:r>
              <w:rPr>
                <w:rFonts w:ascii="Arial" w:cs="Arial" w:eastAsia="Arial" w:hAnsi="Arial"/>
                <w:sz w:val="20"/>
                <w:szCs w:val="20"/>
                <w:color w:val="auto"/>
              </w:rPr>
              <w:t>$</w:t>
            </w:r>
          </w:p>
        </w:tc>
        <w:tc>
          <w:tcPr>
            <w:tcW w:w="122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24.0</w:t>
            </w: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1"/>
              <w:spacing w:after="0" w:line="229" w:lineRule="exact"/>
              <w:rPr>
                <w:sz w:val="20"/>
                <w:szCs w:val="20"/>
                <w:color w:val="auto"/>
              </w:rPr>
            </w:pPr>
            <w:r>
              <w:rPr>
                <w:rFonts w:ascii="Arial" w:cs="Arial" w:eastAsia="Arial" w:hAnsi="Arial"/>
                <w:sz w:val="20"/>
                <w:szCs w:val="20"/>
                <w:color w:val="auto"/>
              </w:rPr>
              <w:t>$</w:t>
            </w:r>
          </w:p>
        </w:tc>
        <w:tc>
          <w:tcPr>
            <w:tcW w:w="120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23.0</w:t>
            </w:r>
          </w:p>
        </w:tc>
        <w:tc>
          <w:tcPr>
            <w:tcW w:w="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40"/>
              <w:spacing w:after="0" w:line="229" w:lineRule="exact"/>
              <w:rPr>
                <w:sz w:val="20"/>
                <w:szCs w:val="20"/>
                <w:color w:val="auto"/>
              </w:rPr>
            </w:pPr>
            <w:r>
              <w:rPr>
                <w:rFonts w:ascii="Arial" w:cs="Arial" w:eastAsia="Arial" w:hAnsi="Arial"/>
                <w:sz w:val="20"/>
                <w:szCs w:val="20"/>
                <w:color w:val="auto"/>
              </w:rPr>
              <w:t>$</w:t>
            </w:r>
          </w:p>
        </w:tc>
        <w:tc>
          <w:tcPr>
            <w:tcW w:w="1560" w:type="dxa"/>
            <w:vAlign w:val="bottom"/>
            <w:gridSpan w:val="3"/>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rPr>
              <w:t>—</w:t>
            </w:r>
          </w:p>
        </w:tc>
        <w:tc>
          <w:tcPr>
            <w:tcW w:w="380" w:type="dxa"/>
            <w:vAlign w:val="bottom"/>
            <w:gridSpan w:val="2"/>
            <w:shd w:val="clear" w:color="auto" w:fill="CFF0FC"/>
          </w:tcPr>
          <w:p>
            <w:pPr>
              <w:jc w:val="right"/>
              <w:ind w:right="141"/>
              <w:spacing w:after="0" w:line="229" w:lineRule="exact"/>
              <w:rPr>
                <w:sz w:val="20"/>
                <w:szCs w:val="20"/>
                <w:color w:val="auto"/>
              </w:rPr>
            </w:pPr>
            <w:r>
              <w:rPr>
                <w:rFonts w:ascii="Arial" w:cs="Arial" w:eastAsia="Arial" w:hAnsi="Arial"/>
                <w:sz w:val="20"/>
                <w:szCs w:val="20"/>
                <w:color w:val="auto"/>
              </w:rPr>
              <w:t>$</w:t>
            </w:r>
          </w:p>
        </w:tc>
        <w:tc>
          <w:tcPr>
            <w:tcW w:w="1380" w:type="dxa"/>
            <w:vAlign w:val="bottom"/>
            <w:gridSpan w:val="2"/>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Interest cost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20.6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17.7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Expected return on assets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60"/>
              <w:spacing w:after="0" w:line="229" w:lineRule="exact"/>
              <w:rPr>
                <w:sz w:val="20"/>
                <w:szCs w:val="20"/>
                <w:color w:val="auto"/>
              </w:rPr>
            </w:pPr>
            <w:r>
              <w:rPr>
                <w:rFonts w:ascii="Arial" w:cs="Arial" w:eastAsia="Arial" w:hAnsi="Arial"/>
                <w:sz w:val="20"/>
                <w:szCs w:val="20"/>
                <w:color w:val="auto"/>
              </w:rPr>
              <w:t>(38.7 )</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81"/>
              <w:spacing w:after="0" w:line="229" w:lineRule="exact"/>
              <w:rPr>
                <w:sz w:val="20"/>
                <w:szCs w:val="20"/>
                <w:color w:val="auto"/>
              </w:rPr>
            </w:pPr>
            <w:r>
              <w:rPr>
                <w:rFonts w:ascii="Arial" w:cs="Arial" w:eastAsia="Arial" w:hAnsi="Arial"/>
                <w:sz w:val="20"/>
                <w:szCs w:val="20"/>
                <w:color w:val="auto"/>
              </w:rPr>
              <w:t>(35.1 )</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Amortization of:</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Prior service cost (credit)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2.5</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61"/>
              <w:spacing w:after="0" w:line="229" w:lineRule="exact"/>
              <w:rPr>
                <w:sz w:val="20"/>
                <w:szCs w:val="20"/>
                <w:color w:val="auto"/>
              </w:rPr>
            </w:pPr>
            <w:r>
              <w:rPr>
                <w:rFonts w:ascii="Arial" w:cs="Arial" w:eastAsia="Arial" w:hAnsi="Arial"/>
                <w:sz w:val="20"/>
                <w:szCs w:val="20"/>
                <w:color w:val="auto"/>
              </w:rPr>
              <w:t>(0.4 )</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(0.4 )</w:t>
            </w: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Actuarial loss (gain)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2.0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3"/>
          </w:tcPr>
          <w:p>
            <w:pPr>
              <w:jc w:val="right"/>
              <w:ind w:right="61"/>
              <w:spacing w:after="0" w:line="229" w:lineRule="exact"/>
              <w:rPr>
                <w:sz w:val="20"/>
                <w:szCs w:val="20"/>
                <w:color w:val="auto"/>
              </w:rPr>
            </w:pPr>
            <w:r>
              <w:rPr>
                <w:rFonts w:ascii="Arial" w:cs="Arial" w:eastAsia="Arial" w:hAnsi="Arial"/>
                <w:sz w:val="20"/>
                <w:szCs w:val="20"/>
                <w:color w:val="auto"/>
              </w:rPr>
              <w:t>(0.1 )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(0.1 )</w:t>
            </w:r>
          </w:p>
        </w:tc>
        <w:tc>
          <w:tcPr>
            <w:tcW w:w="0" w:type="dxa"/>
            <w:vAlign w:val="bottom"/>
          </w:tcPr>
          <w:p>
            <w:pPr>
              <w:spacing w:after="0"/>
              <w:rPr>
                <w:sz w:val="1"/>
                <w:szCs w:val="1"/>
                <w:color w:val="auto"/>
              </w:rPr>
            </w:pPr>
          </w:p>
        </w:tc>
      </w:tr>
      <w:tr>
        <w:trPr>
          <w:trHeight w:val="262"/>
        </w:trPr>
        <w:tc>
          <w:tcPr>
            <w:tcW w:w="3860" w:type="dxa"/>
            <w:vAlign w:val="bottom"/>
            <w:tcBorders>
              <w:top w:val="single" w:sz="8" w:color="CFF0FC"/>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Net periodic benefit cost (credit)</w:t>
            </w:r>
          </w:p>
        </w:tc>
        <w:tc>
          <w:tcPr>
            <w:tcW w:w="60" w:type="dxa"/>
            <w:vAlign w:val="bottom"/>
            <w:tcBorders>
              <w:top w:val="single" w:sz="8" w:color="CFF0FC"/>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gridSpan w:val="2"/>
            <w:shd w:val="clear" w:color="auto" w:fill="CFF0FC"/>
          </w:tcPr>
          <w:p>
            <w:pPr>
              <w:jc w:val="right"/>
              <w:ind w:right="20"/>
              <w:spacing w:after="0" w:line="223" w:lineRule="exact"/>
              <w:rPr>
                <w:sz w:val="20"/>
                <w:szCs w:val="20"/>
                <w:color w:val="auto"/>
              </w:rPr>
            </w:pPr>
            <w:r>
              <w:rPr>
                <w:rFonts w:ascii="Arial" w:cs="Arial" w:eastAsia="Arial" w:hAnsi="Arial"/>
                <w:sz w:val="20"/>
                <w:szCs w:val="20"/>
                <w:color w:val="auto"/>
              </w:rPr>
              <w:t>10.4</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6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gridSpan w:val="2"/>
            <w:shd w:val="clear" w:color="auto" w:fill="CFF0FC"/>
          </w:tcPr>
          <w:p>
            <w:pPr>
              <w:jc w:val="right"/>
              <w:ind w:right="20"/>
              <w:spacing w:after="0" w:line="223" w:lineRule="exact"/>
              <w:rPr>
                <w:sz w:val="20"/>
                <w:szCs w:val="20"/>
                <w:color w:val="auto"/>
              </w:rPr>
            </w:pPr>
            <w:r>
              <w:rPr>
                <w:rFonts w:ascii="Arial" w:cs="Arial" w:eastAsia="Arial" w:hAnsi="Arial"/>
                <w:sz w:val="20"/>
                <w:szCs w:val="20"/>
                <w:color w:val="auto"/>
              </w:rPr>
              <w:t>12.2</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20" w:type="dxa"/>
            <w:vAlign w:val="bottom"/>
            <w:tcBorders>
              <w:top w:val="single" w:sz="8" w:color="CFF0FC"/>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bottom w:val="single" w:sz="8" w:color="auto"/>
            </w:tcBorders>
            <w:gridSpan w:val="2"/>
            <w:shd w:val="clear" w:color="auto" w:fill="CFF0FC"/>
          </w:tcPr>
          <w:p>
            <w:pPr>
              <w:jc w:val="right"/>
              <w:spacing w:after="0" w:line="223" w:lineRule="exact"/>
              <w:rPr>
                <w:sz w:val="20"/>
                <w:szCs w:val="20"/>
                <w:color w:val="auto"/>
              </w:rPr>
            </w:pPr>
            <w:r>
              <w:rPr>
                <w:rFonts w:ascii="Arial" w:cs="Arial" w:eastAsia="Arial" w:hAnsi="Arial"/>
                <w:sz w:val="20"/>
                <w:szCs w:val="20"/>
                <w:color w:val="auto"/>
              </w:rPr>
              <w:t>(0.3</w:t>
            </w:r>
          </w:p>
        </w:tc>
        <w:tc>
          <w:tcPr>
            <w:tcW w:w="240" w:type="dxa"/>
            <w:vAlign w:val="bottom"/>
            <w:tcBorders>
              <w:top w:val="single" w:sz="8" w:color="CFF0FC"/>
              <w:bottom w:val="single" w:sz="8" w:color="CFF0FC"/>
            </w:tcBorders>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FF0FC"/>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2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(0.3</w:t>
            </w:r>
          </w:p>
        </w:tc>
        <w:tc>
          <w:tcPr>
            <w:tcW w:w="100" w:type="dxa"/>
            <w:vAlign w:val="bottom"/>
            <w:tcBorders>
              <w:top w:val="single" w:sz="8" w:color="CFF0FC"/>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-179070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-179070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-179070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jc w:val="both"/>
        <w:ind w:left="380"/>
        <w:spacing w:after="0" w:line="236" w:lineRule="auto"/>
        <w:rPr>
          <w:sz w:val="20"/>
          <w:szCs w:val="20"/>
          <w:color w:val="auto"/>
        </w:rPr>
      </w:pPr>
      <w:r>
        <w:rPr>
          <w:rFonts w:ascii="Arial" w:cs="Arial" w:eastAsia="Arial" w:hAnsi="Arial"/>
          <w:sz w:val="20"/>
          <w:szCs w:val="20"/>
          <w:color w:val="auto"/>
        </w:rPr>
        <w:t xml:space="preserve">The service cost component of net periodic benefit (credit) cost is included in </w:t>
      </w:r>
      <w:r>
        <w:rPr>
          <w:rFonts w:ascii="Arial" w:cs="Arial" w:eastAsia="Arial" w:hAnsi="Arial"/>
          <w:sz w:val="20"/>
          <w:szCs w:val="20"/>
          <w:i w:val="1"/>
          <w:iCs w:val="1"/>
          <w:color w:val="auto"/>
        </w:rPr>
        <w:t>Cost of revenues – products and services</w:t>
      </w:r>
      <w:r>
        <w:rPr>
          <w:rFonts w:ascii="Arial" w:cs="Arial" w:eastAsia="Arial" w:hAnsi="Arial"/>
          <w:sz w:val="20"/>
          <w:szCs w:val="20"/>
          <w:color w:val="auto"/>
        </w:rPr>
        <w:t xml:space="preserve"> and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&amp; administrative expenses</w:t>
      </w:r>
      <w:r>
        <w:rPr>
          <w:rFonts w:ascii="Arial" w:cs="Arial" w:eastAsia="Arial" w:hAnsi="Arial"/>
          <w:sz w:val="20"/>
          <w:szCs w:val="20"/>
          <w:color w:val="auto"/>
        </w:rPr>
        <w:t>. All other components are included in</w:t>
      </w:r>
      <w:r>
        <w:rPr>
          <w:rFonts w:ascii="Arial" w:cs="Arial" w:eastAsia="Arial" w:hAnsi="Arial"/>
          <w:sz w:val="20"/>
          <w:szCs w:val="20"/>
          <w:i w:val="1"/>
          <w:iCs w:val="1"/>
          <w:color w:val="auto"/>
        </w:rPr>
        <w:t xml:space="preserve"> Other nonoperating income, net</w:t>
      </w:r>
      <w:r>
        <w:rPr>
          <w:rFonts w:ascii="Arial" w:cs="Arial" w:eastAsia="Arial" w:hAnsi="Arial"/>
          <w:sz w:val="20"/>
          <w:szCs w:val="20"/>
          <w:color w:val="auto"/>
        </w:rPr>
        <w:t>, in the consolidated statements</w:t>
      </w:r>
      <w:r>
        <w:rPr>
          <w:rFonts w:ascii="Arial" w:cs="Arial" w:eastAsia="Arial" w:hAnsi="Arial"/>
          <w:sz w:val="20"/>
          <w:szCs w:val="20"/>
          <w:i w:val="1"/>
          <w:iCs w:val="1"/>
          <w:color w:val="auto"/>
        </w:rPr>
        <w:t xml:space="preserve"> </w:t>
      </w:r>
      <w:r>
        <w:rPr>
          <w:rFonts w:ascii="Arial" w:cs="Arial" w:eastAsia="Arial" w:hAnsi="Arial"/>
          <w:sz w:val="20"/>
          <w:szCs w:val="20"/>
          <w:color w:val="auto"/>
        </w:rPr>
        <w:t>of earnings and comprehensive earnings.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Legal and Administrative Proceedings</w:t>
      </w:r>
    </w:p>
    <w:p>
      <w:pPr>
        <w:spacing w:after="0" w:line="99" w:lineRule="exact"/>
        <w:rPr>
          <w:sz w:val="20"/>
          <w:szCs w:val="20"/>
          <w:color w:val="auto"/>
        </w:rPr>
      </w:pPr>
    </w:p>
    <w:p>
      <w:pPr>
        <w:jc w:val="both"/>
        <w:ind w:left="380"/>
        <w:spacing w:after="0" w:line="238" w:lineRule="auto"/>
        <w:rPr>
          <w:sz w:val="20"/>
          <w:szCs w:val="20"/>
          <w:color w:val="auto"/>
        </w:rPr>
      </w:pPr>
      <w:r>
        <w:rPr>
          <w:rFonts w:ascii="Arial" w:cs="Arial" w:eastAsia="Arial" w:hAnsi="Arial"/>
          <w:sz w:val="19"/>
          <w:szCs w:val="19"/>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8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8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Borrowing Arrangements with Affiliate</w:t>
      </w:r>
    </w:p>
    <w:p>
      <w:pPr>
        <w:spacing w:after="0" w:line="99" w:lineRule="exact"/>
        <w:rPr>
          <w:sz w:val="20"/>
          <w:szCs w:val="20"/>
          <w:color w:val="auto"/>
        </w:rPr>
      </w:pPr>
    </w:p>
    <w:p>
      <w:pPr>
        <w:jc w:val="both"/>
        <w:ind w:left="380"/>
        <w:spacing w:after="0" w:line="266" w:lineRule="auto"/>
        <w:rPr>
          <w:sz w:val="20"/>
          <w:szCs w:val="20"/>
          <w:color w:val="auto"/>
        </w:rPr>
      </w:pPr>
      <w:r>
        <w:rPr>
          <w:rFonts w:ascii="Arial" w:cs="Arial" w:eastAsia="Arial" w:hAnsi="Arial"/>
          <w:sz w:val="18"/>
          <w:szCs w:val="18"/>
          <w:color w:val="auto"/>
        </w:rPr>
        <w:t>The Company is a guarantor with an unconsolidated affiliate for a $15.0 million revolving line of credit agreement with Truist Bank, of which $3.7 million was outstanding as of June 30, 2022, and that has a maturity date of March 2024.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2" w:lineRule="exact"/>
        <w:rPr>
          <w:sz w:val="20"/>
          <w:szCs w:val="20"/>
          <w:color w:val="auto"/>
        </w:rPr>
      </w:pPr>
    </w:p>
    <w:p>
      <w:pPr>
        <w:jc w:val="both"/>
        <w:ind w:left="380" w:right="20"/>
        <w:spacing w:after="0" w:line="299" w:lineRule="auto"/>
        <w:rPr>
          <w:sz w:val="20"/>
          <w:szCs w:val="20"/>
          <w:color w:val="auto"/>
        </w:rPr>
      </w:pPr>
      <w:r>
        <w:rPr>
          <w:rFonts w:ascii="Arial" w:cs="Arial" w:eastAsia="Arial" w:hAnsi="Arial"/>
          <w:sz w:val="18"/>
          <w:szCs w:val="18"/>
          <w:color w:val="auto"/>
        </w:rPr>
        <w:t>In addition, the Company has a $6.0 million interest-only loan receivable, due December 31, 2024, outstanding from this unconsolidated affiliate as of June 30, 2022 and December 31, 2021. The interest rate is one-month LIBOR plus a current spread of 1.63%.</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Letters of Credit</w:t>
      </w:r>
    </w:p>
    <w:p>
      <w:pPr>
        <w:spacing w:after="0" w:line="99"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In the normal course of business, the Company provides certain third parties with standby letter of credit agreements guaranteeing payment for certain insurance claims, contract performance and permit requirements. At June 30, 2022, the Company was contingently liable for $17.2 million in letters of credit, of which $2.6 million were issued under the Company’s Revolving Facility.</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Business Segments</w:t>
      </w:r>
    </w:p>
    <w:p>
      <w:pPr>
        <w:spacing w:after="0" w:line="99"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color w:val="auto"/>
        </w:rPr>
        <w:t>The Building Materials business contains two reportable segments: the East Group and the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 and integration expenses; other operating income and expenses, net; and exclude interest expense; other nonoperating income and expenses, net; and income taxes. Corporate loss from operations primarily includes depreciation; expenses for corporate administrative functions; acquisition and integration expenses; and other nonrecurring income and expenses not reported in one of the operating segments. All long-term debt and related interest expense are held at Corporate.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The following table displays selected financial data for the Company’s reportable segments. Total revenues, as well as the consolidated statements of earnings and comprehensive earnings, exclude intersegment revenues, which represent sales from one segment to another segment and are eliminated in consolidation. Total revenues, product and services revenues, and earnings (loss) from operations reflect continuing operations only. In 2022, earnings from operations for the West Group include nonrecurring gains on divested assets of $151.7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5"/>
          </w:tcPr>
          <w:p>
            <w:pPr>
              <w:jc w:val="right"/>
              <w:ind w:right="981"/>
              <w:spacing w:after="0"/>
              <w:rPr>
                <w:sz w:val="20"/>
                <w:szCs w:val="20"/>
                <w:color w:val="auto"/>
              </w:rPr>
            </w:pPr>
            <w:r>
              <w:rPr>
                <w:rFonts w:ascii="Arial" w:cs="Arial" w:eastAsia="Arial" w:hAnsi="Arial"/>
                <w:sz w:val="20"/>
                <w:szCs w:val="20"/>
                <w:color w:val="auto"/>
              </w:rPr>
              <w:t>Three Months Ended</w:t>
            </w:r>
          </w:p>
        </w:tc>
        <w:tc>
          <w:tcPr>
            <w:tcW w:w="320" w:type="dxa"/>
            <w:vAlign w:val="bottom"/>
          </w:tcPr>
          <w:p>
            <w:pPr>
              <w:spacing w:after="0"/>
              <w:rPr>
                <w:sz w:val="19"/>
                <w:szCs w:val="19"/>
                <w:color w:val="auto"/>
              </w:rPr>
            </w:pPr>
          </w:p>
        </w:tc>
        <w:tc>
          <w:tcPr>
            <w:tcW w:w="3140" w:type="dxa"/>
            <w:vAlign w:val="bottom"/>
            <w:gridSpan w:val="5"/>
          </w:tcPr>
          <w:p>
            <w:pPr>
              <w:jc w:val="right"/>
              <w:ind w:right="104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4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2022</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2021</w:t>
            </w:r>
          </w:p>
        </w:tc>
        <w:tc>
          <w:tcPr>
            <w:tcW w:w="280" w:type="dxa"/>
            <w:vAlign w:val="bottom"/>
            <w:vMerge w:val="restart"/>
          </w:tcPr>
          <w:p>
            <w:pPr>
              <w:jc w:val="right"/>
              <w:spacing w:after="0"/>
              <w:rPr>
                <w:sz w:val="20"/>
                <w:szCs w:val="20"/>
                <w:color w:val="auto"/>
              </w:rPr>
            </w:pPr>
            <w:r>
              <w:rPr>
                <w:rFonts w:ascii="Arial" w:cs="Arial" w:eastAsia="Arial" w:hAnsi="Arial"/>
                <w:sz w:val="20"/>
                <w:szCs w:val="20"/>
                <w:i w:val="1"/>
                <w:iCs w:val="1"/>
                <w:color w:val="auto"/>
              </w:rPr>
              <w:t>in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2022</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80" w:type="dxa"/>
            <w:vAlign w:val="bottom"/>
            <w:vMerge w:val="continue"/>
          </w:tcPr>
          <w:p>
            <w:pPr>
              <w:spacing w:after="0"/>
              <w:rPr>
                <w:sz w:val="19"/>
                <w:szCs w:val="19"/>
                <w:color w:val="auto"/>
              </w:rPr>
            </w:pPr>
          </w:p>
        </w:tc>
        <w:tc>
          <w:tcPr>
            <w:tcW w:w="1480" w:type="dxa"/>
            <w:vAlign w:val="bottom"/>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Total revenues: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color w:val="auto"/>
              </w:rPr>
              <w:t>East Group</w:t>
            </w:r>
          </w:p>
        </w:tc>
        <w:tc>
          <w:tcPr>
            <w:tcW w:w="340" w:type="dxa"/>
            <w:vAlign w:val="bottom"/>
          </w:tcPr>
          <w:p>
            <w:pPr>
              <w:jc w:val="right"/>
              <w:ind w:right="1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674.5</w:t>
            </w:r>
          </w:p>
        </w:tc>
        <w:tc>
          <w:tcPr>
            <w:tcW w:w="300" w:type="dxa"/>
            <w:vAlign w:val="bottom"/>
          </w:tcPr>
          <w:p>
            <w:pPr>
              <w:spacing w:after="0"/>
              <w:rPr>
                <w:sz w:val="19"/>
                <w:szCs w:val="19"/>
                <w:color w:val="auto"/>
              </w:rPr>
            </w:pPr>
          </w:p>
        </w:tc>
        <w:tc>
          <w:tcPr>
            <w:tcW w:w="36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635.3</w:t>
            </w:r>
          </w:p>
        </w:tc>
        <w:tc>
          <w:tcPr>
            <w:tcW w:w="280" w:type="dxa"/>
            <w:vAlign w:val="bottom"/>
          </w:tcPr>
          <w:p>
            <w:pPr>
              <w:spacing w:after="0"/>
              <w:rPr>
                <w:sz w:val="19"/>
                <w:szCs w:val="19"/>
                <w:color w:val="auto"/>
              </w:rPr>
            </w:pPr>
          </w:p>
        </w:tc>
        <w:tc>
          <w:tcPr>
            <w:tcW w:w="320" w:type="dxa"/>
            <w:vAlign w:val="bottom"/>
          </w:tcPr>
          <w:p>
            <w:pPr>
              <w:ind w:left="20"/>
              <w:spacing w:after="0" w:line="229"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1,093.3</w:t>
            </w:r>
          </w:p>
        </w:tc>
        <w:tc>
          <w:tcPr>
            <w:tcW w:w="260" w:type="dxa"/>
            <w:vAlign w:val="bottom"/>
          </w:tcPr>
          <w:p>
            <w:pPr>
              <w:spacing w:after="0"/>
              <w:rPr>
                <w:sz w:val="19"/>
                <w:szCs w:val="19"/>
                <w:color w:val="auto"/>
              </w:rPr>
            </w:pPr>
          </w:p>
        </w:tc>
        <w:tc>
          <w:tcPr>
            <w:tcW w:w="440" w:type="dxa"/>
            <w:vAlign w:val="bottom"/>
          </w:tcPr>
          <w:p>
            <w:pPr>
              <w:jc w:val="right"/>
              <w:ind w:right="2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1,030.2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885.5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666.8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1,620.5</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1,183.4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1,560.0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0"/>
                <w:szCs w:val="20"/>
                <w:color w:val="auto"/>
              </w:rPr>
              <w:t>1,302.1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2,713.8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2,213.6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81.7</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75.8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158.7</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146.7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1,641.7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1,377.9</w:t>
            </w:r>
          </w:p>
        </w:tc>
        <w:tc>
          <w:tcPr>
            <w:tcW w:w="280" w:type="dxa"/>
            <w:vAlign w:val="bottom"/>
          </w:tcPr>
          <w:p>
            <w:pPr>
              <w:spacing w:after="0"/>
              <w:rPr>
                <w:sz w:val="19"/>
                <w:szCs w:val="19"/>
                <w:color w:val="auto"/>
              </w:rPr>
            </w:pPr>
          </w:p>
        </w:tc>
        <w:tc>
          <w:tcPr>
            <w:tcW w:w="3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2,872.5</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b w:val="1"/>
                <w:bCs w:val="1"/>
                <w:color w:val="auto"/>
              </w:rPr>
              <w:t>Products and services revenues: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East Group</w:t>
            </w:r>
          </w:p>
        </w:tc>
        <w:tc>
          <w:tcPr>
            <w:tcW w:w="340" w:type="dxa"/>
            <w:vAlign w:val="bottom"/>
            <w:shd w:val="clear" w:color="auto" w:fill="CFF0FC"/>
          </w:tcPr>
          <w:p>
            <w:pPr>
              <w:jc w:val="right"/>
              <w:ind w:right="1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632.4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596.5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1,027.0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816.8</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628.8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1,499.2</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1,449.2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1,225.3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2,526.2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2,082.0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74.6</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145.4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20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340" w:type="dxa"/>
            <w:vAlign w:val="bottom"/>
            <w:tcBorders>
              <w:bottom w:val="single" w:sz="8" w:color="auto"/>
            </w:tcBorders>
            <w:shd w:val="clear" w:color="auto" w:fill="CFF0FC"/>
          </w:tcPr>
          <w:p>
            <w:pPr>
              <w:jc w:val="right"/>
              <w:ind w:right="1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1,523.8</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1,295.3</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2,671.6</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2,217.2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Earnings (Loss) from operations: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color w:val="auto"/>
              </w:rPr>
              <w:t>East Group</w:t>
            </w:r>
          </w:p>
        </w:tc>
        <w:tc>
          <w:tcPr>
            <w:tcW w:w="340" w:type="dxa"/>
            <w:vAlign w:val="bottom"/>
          </w:tcPr>
          <w:p>
            <w:pPr>
              <w:jc w:val="right"/>
              <w:ind w:right="1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210.6</w:t>
            </w:r>
          </w:p>
        </w:tc>
        <w:tc>
          <w:tcPr>
            <w:tcW w:w="300" w:type="dxa"/>
            <w:vAlign w:val="bottom"/>
          </w:tcPr>
          <w:p>
            <w:pPr>
              <w:spacing w:after="0"/>
              <w:rPr>
                <w:sz w:val="19"/>
                <w:szCs w:val="19"/>
                <w:color w:val="auto"/>
              </w:rPr>
            </w:pPr>
          </w:p>
        </w:tc>
        <w:tc>
          <w:tcPr>
            <w:tcW w:w="36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197.8</w:t>
            </w:r>
          </w:p>
        </w:tc>
        <w:tc>
          <w:tcPr>
            <w:tcW w:w="280" w:type="dxa"/>
            <w:vAlign w:val="bottom"/>
          </w:tcPr>
          <w:p>
            <w:pPr>
              <w:spacing w:after="0"/>
              <w:rPr>
                <w:sz w:val="19"/>
                <w:szCs w:val="19"/>
                <w:color w:val="auto"/>
              </w:rPr>
            </w:pPr>
          </w:p>
        </w:tc>
        <w:tc>
          <w:tcPr>
            <w:tcW w:w="320" w:type="dxa"/>
            <w:vAlign w:val="bottom"/>
          </w:tcPr>
          <w:p>
            <w:pPr>
              <w:ind w:left="20"/>
              <w:spacing w:after="0" w:line="229"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238.5</w:t>
            </w:r>
          </w:p>
        </w:tc>
        <w:tc>
          <w:tcPr>
            <w:tcW w:w="260" w:type="dxa"/>
            <w:vAlign w:val="bottom"/>
          </w:tcPr>
          <w:p>
            <w:pPr>
              <w:spacing w:after="0"/>
              <w:rPr>
                <w:sz w:val="19"/>
                <w:szCs w:val="19"/>
                <w:color w:val="auto"/>
              </w:rPr>
            </w:pPr>
          </w:p>
        </w:tc>
        <w:tc>
          <w:tcPr>
            <w:tcW w:w="440" w:type="dxa"/>
            <w:vAlign w:val="bottom"/>
          </w:tcPr>
          <w:p>
            <w:pPr>
              <w:jc w:val="right"/>
              <w:ind w:right="22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259.5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West Group</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274.5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101.8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317.6</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133.6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3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485.1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0"/>
                <w:szCs w:val="20"/>
                <w:color w:val="auto"/>
              </w:rPr>
              <w:t>299.6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556.1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393.1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20.3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23.1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41.8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29" w:lineRule="exact"/>
              <w:rPr>
                <w:sz w:val="20"/>
                <w:szCs w:val="20"/>
                <w:color w:val="auto"/>
              </w:rPr>
            </w:pPr>
            <w:r>
              <w:rPr>
                <w:rFonts w:ascii="Arial" w:cs="Arial" w:eastAsia="Arial" w:hAnsi="Arial"/>
                <w:sz w:val="20"/>
                <w:szCs w:val="20"/>
                <w:color w:val="auto"/>
              </w:rPr>
              <w:t>Corporate</w:t>
            </w:r>
          </w:p>
        </w:tc>
        <w:tc>
          <w:tcPr>
            <w:tcW w:w="34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Arial" w:cs="Arial" w:eastAsia="Arial" w:hAnsi="Arial"/>
                <w:sz w:val="20"/>
                <w:szCs w:val="20"/>
                <w:color w:val="auto"/>
              </w:rPr>
              <w:t>(26.8 )</w:t>
            </w:r>
          </w:p>
        </w:tc>
        <w:tc>
          <w:tcPr>
            <w:tcW w:w="360" w:type="dxa"/>
            <w:vAlign w:val="bottom"/>
          </w:tcPr>
          <w:p>
            <w:pPr>
              <w:spacing w:after="0"/>
              <w:rPr>
                <w:sz w:val="19"/>
                <w:szCs w:val="19"/>
                <w:color w:val="auto"/>
              </w:rPr>
            </w:pPr>
          </w:p>
        </w:tc>
        <w:tc>
          <w:tcPr>
            <w:tcW w:w="1400" w:type="dxa"/>
            <w:vAlign w:val="bottom"/>
            <w:gridSpan w:val="2"/>
          </w:tcPr>
          <w:p>
            <w:pPr>
              <w:jc w:val="right"/>
              <w:ind w:right="101"/>
              <w:spacing w:after="0" w:line="229" w:lineRule="exact"/>
              <w:rPr>
                <w:sz w:val="20"/>
                <w:szCs w:val="20"/>
                <w:color w:val="auto"/>
              </w:rPr>
            </w:pPr>
            <w:r>
              <w:rPr>
                <w:rFonts w:ascii="Arial" w:cs="Arial" w:eastAsia="Arial" w:hAnsi="Arial"/>
                <w:sz w:val="20"/>
                <w:szCs w:val="20"/>
                <w:color w:val="auto"/>
              </w:rPr>
              <w:t>(15.2 )</w:t>
            </w:r>
          </w:p>
        </w:tc>
        <w:tc>
          <w:tcPr>
            <w:tcW w:w="320" w:type="dxa"/>
            <w:vAlign w:val="bottom"/>
          </w:tcPr>
          <w:p>
            <w:pPr>
              <w:spacing w:after="0"/>
              <w:rPr>
                <w:sz w:val="19"/>
                <w:szCs w:val="19"/>
                <w:color w:val="auto"/>
              </w:rPr>
            </w:pPr>
          </w:p>
        </w:tc>
        <w:tc>
          <w:tcPr>
            <w:tcW w:w="1420" w:type="dxa"/>
            <w:vAlign w:val="bottom"/>
            <w:gridSpan w:val="2"/>
          </w:tcPr>
          <w:p>
            <w:pPr>
              <w:jc w:val="right"/>
              <w:ind w:right="180"/>
              <w:spacing w:after="0" w:line="229" w:lineRule="exact"/>
              <w:rPr>
                <w:sz w:val="20"/>
                <w:szCs w:val="20"/>
                <w:color w:val="auto"/>
              </w:rPr>
            </w:pPr>
            <w:r>
              <w:rPr>
                <w:rFonts w:ascii="Arial" w:cs="Arial" w:eastAsia="Arial" w:hAnsi="Arial"/>
                <w:sz w:val="20"/>
                <w:szCs w:val="20"/>
                <w:color w:val="auto"/>
              </w:rPr>
              <w:t>(59.5 )</w:t>
            </w:r>
          </w:p>
        </w:tc>
        <w:tc>
          <w:tcPr>
            <w:tcW w:w="440" w:type="dxa"/>
            <w:vAlign w:val="bottom"/>
          </w:tcPr>
          <w:p>
            <w:pPr>
              <w:spacing w:after="0"/>
              <w:rPr>
                <w:sz w:val="19"/>
                <w:szCs w:val="19"/>
                <w:color w:val="auto"/>
              </w:rPr>
            </w:pPr>
          </w:p>
        </w:tc>
        <w:tc>
          <w:tcPr>
            <w:tcW w:w="128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(33.0 )</w:t>
            </w:r>
          </w:p>
        </w:tc>
        <w:tc>
          <w:tcPr>
            <w:tcW w:w="0" w:type="dxa"/>
            <w:vAlign w:val="bottom"/>
          </w:tcPr>
          <w:p>
            <w:pPr>
              <w:spacing w:after="0"/>
              <w:rPr>
                <w:sz w:val="1"/>
                <w:szCs w:val="1"/>
                <w:color w:val="auto"/>
              </w:rPr>
            </w:pPr>
          </w:p>
        </w:tc>
      </w:tr>
      <w:tr>
        <w:trPr>
          <w:trHeight w:val="262"/>
        </w:trPr>
        <w:tc>
          <w:tcPr>
            <w:tcW w:w="420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340" w:type="dxa"/>
            <w:vAlign w:val="bottom"/>
            <w:tcBorders>
              <w:top w:val="single" w:sz="8" w:color="auto"/>
              <w:bottom w:val="single" w:sz="8" w:color="auto"/>
            </w:tcBorders>
            <w:shd w:val="clear" w:color="auto" w:fill="CFF0FC"/>
          </w:tcPr>
          <w:p>
            <w:pPr>
              <w:jc w:val="right"/>
              <w:ind w:right="1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478.6</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307.5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538.4</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22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406.8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-2741930</wp:posOffset>
            </wp:positionV>
            <wp:extent cx="768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-2741930</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-2741930</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-2741930</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-2442210</wp:posOffset>
            </wp:positionV>
            <wp:extent cx="768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-2442210</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-2442210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-2442210</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-1230630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-1213485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-1230630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-1213485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-1230630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-1213485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-1230630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-1213485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-621030</wp:posOffset>
            </wp:positionV>
            <wp:extent cx="768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-621030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-621030</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-621030</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Revenues and Gross Profit</w:t>
      </w:r>
    </w:p>
    <w:p>
      <w:pPr>
        <w:spacing w:after="0" w:line="99"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The Building Materials business includes the aggregates, cement, ready mixed concrete and asphalt and paving product lines. Cement and ready mixed concrete product lines and paving services reside only in the West Group. The following table, which is reconciled to consolidated amounts, provides total revenues and gross profit (loss) by product line and reflects continuing operations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gridSpan w:val="5"/>
          </w:tcPr>
          <w:p>
            <w:pPr>
              <w:jc w:val="right"/>
              <w:ind w:right="1141"/>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19"/>
                <w:szCs w:val="19"/>
                <w:color w:val="auto"/>
              </w:rPr>
            </w:pPr>
          </w:p>
        </w:tc>
        <w:tc>
          <w:tcPr>
            <w:tcW w:w="3240" w:type="dxa"/>
            <w:vAlign w:val="bottom"/>
            <w:gridSpan w:val="5"/>
          </w:tcPr>
          <w:p>
            <w:pPr>
              <w:jc w:val="right"/>
              <w:ind w:right="112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20"/>
                <w:szCs w:val="20"/>
                <w:color w:val="auto"/>
              </w:rPr>
              <w:t>June 30,</w:t>
            </w:r>
          </w:p>
        </w:tc>
        <w:tc>
          <w:tcPr>
            <w:tcW w:w="11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2022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2021</w:t>
            </w:r>
          </w:p>
        </w:tc>
        <w:tc>
          <w:tcPr>
            <w:tcW w:w="360" w:type="dxa"/>
            <w:vAlign w:val="bottom"/>
            <w:vMerge w:val="restart"/>
          </w:tcPr>
          <w:p>
            <w:pPr>
              <w:jc w:val="right"/>
              <w:ind w:right="21"/>
              <w:spacing w:after="0"/>
              <w:rPr>
                <w:sz w:val="20"/>
                <w:szCs w:val="20"/>
                <w:color w:val="auto"/>
              </w:rPr>
            </w:pPr>
            <w:r>
              <w:rPr>
                <w:rFonts w:ascii="Arial" w:cs="Arial" w:eastAsia="Arial" w:hAnsi="Arial"/>
                <w:sz w:val="20"/>
                <w:szCs w:val="20"/>
                <w:i w:val="1"/>
                <w:iCs w:val="1"/>
                <w:color w:val="auto"/>
              </w:rPr>
              <w:t>in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2022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360" w:type="dxa"/>
            <w:vAlign w:val="bottom"/>
            <w:vMerge w:val="continue"/>
          </w:tcPr>
          <w:p>
            <w:pPr>
              <w:spacing w:after="0"/>
              <w:rPr>
                <w:sz w:val="19"/>
                <w:szCs w:val="19"/>
                <w:color w:val="auto"/>
              </w:rPr>
            </w:pPr>
          </w:p>
        </w:tc>
        <w:tc>
          <w:tcPr>
            <w:tcW w:w="1540" w:type="dxa"/>
            <w:vAlign w:val="bottom"/>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Total revenues: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Aggregates</w:t>
            </w:r>
          </w:p>
        </w:tc>
        <w:tc>
          <w:tcPr>
            <w:tcW w:w="360" w:type="dxa"/>
            <w:vAlign w:val="bottom"/>
          </w:tcPr>
          <w:p>
            <w:pPr>
              <w:jc w:val="right"/>
              <w:ind w:right="141"/>
              <w:spacing w:after="0" w:line="229" w:lineRule="exact"/>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955.2</w:t>
            </w:r>
          </w:p>
        </w:tc>
        <w:tc>
          <w:tcPr>
            <w:tcW w:w="300" w:type="dxa"/>
            <w:vAlign w:val="bottom"/>
          </w:tcPr>
          <w:p>
            <w:pPr>
              <w:spacing w:after="0"/>
              <w:rPr>
                <w:sz w:val="19"/>
                <w:szCs w:val="19"/>
                <w:color w:val="auto"/>
              </w:rPr>
            </w:pPr>
          </w:p>
        </w:tc>
        <w:tc>
          <w:tcPr>
            <w:tcW w:w="380" w:type="dxa"/>
            <w:vAlign w:val="bottom"/>
          </w:tcPr>
          <w:p>
            <w:pPr>
              <w:jc w:val="right"/>
              <w:ind w:right="18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801.8</w:t>
            </w:r>
          </w:p>
        </w:tc>
        <w:tc>
          <w:tcPr>
            <w:tcW w:w="360" w:type="dxa"/>
            <w:vAlign w:val="bottom"/>
          </w:tcPr>
          <w:p>
            <w:pPr>
              <w:spacing w:after="0"/>
              <w:rPr>
                <w:sz w:val="19"/>
                <w:szCs w:val="19"/>
                <w:color w:val="auto"/>
              </w:rPr>
            </w:pPr>
          </w:p>
        </w:tc>
        <w:tc>
          <w:tcPr>
            <w:tcW w:w="340" w:type="dxa"/>
            <w:vAlign w:val="bottom"/>
          </w:tcPr>
          <w:p>
            <w:pPr>
              <w:ind w:left="20"/>
              <w:spacing w:after="0" w:line="229"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29" w:lineRule="exact"/>
              <w:rPr>
                <w:sz w:val="20"/>
                <w:szCs w:val="20"/>
                <w:color w:val="auto"/>
              </w:rPr>
            </w:pPr>
            <w:r>
              <w:rPr>
                <w:rFonts w:ascii="Arial" w:cs="Arial" w:eastAsia="Arial" w:hAnsi="Arial"/>
                <w:sz w:val="20"/>
                <w:szCs w:val="20"/>
                <w:color w:val="auto"/>
              </w:rPr>
              <w:t>1,641.1</w:t>
            </w:r>
          </w:p>
        </w:tc>
        <w:tc>
          <w:tcPr>
            <w:tcW w:w="280" w:type="dxa"/>
            <w:vAlign w:val="bottom"/>
          </w:tcPr>
          <w:p>
            <w:pPr>
              <w:spacing w:after="0"/>
              <w:rPr>
                <w:sz w:val="19"/>
                <w:szCs w:val="19"/>
                <w:color w:val="auto"/>
              </w:rPr>
            </w:pPr>
          </w:p>
        </w:tc>
        <w:tc>
          <w:tcPr>
            <w:tcW w:w="440" w:type="dxa"/>
            <w:vAlign w:val="bottom"/>
          </w:tcPr>
          <w:p>
            <w:pPr>
              <w:jc w:val="right"/>
              <w:ind w:right="241"/>
              <w:spacing w:after="0" w:line="229" w:lineRule="exact"/>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1,374.4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Cement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157.9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116.5</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292.2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Ready mixed concrete</w:t>
            </w:r>
          </w:p>
        </w:tc>
        <w:tc>
          <w:tcPr>
            <w:tcW w:w="3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226.1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268.4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0"/>
                <w:szCs w:val="20"/>
                <w:color w:val="auto"/>
              </w:rPr>
              <w:t>516.2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Asphalt and paving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212.3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135.3</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267.1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Less: interproduct revenues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Arial" w:cs="Arial" w:eastAsia="Arial" w:hAnsi="Arial"/>
                <w:sz w:val="20"/>
                <w:szCs w:val="20"/>
                <w:color w:val="auto"/>
              </w:rPr>
              <w:t>(102.3 )</w:t>
            </w:r>
          </w:p>
        </w:tc>
        <w:tc>
          <w:tcPr>
            <w:tcW w:w="380" w:type="dxa"/>
            <w:vAlign w:val="bottom"/>
          </w:tcPr>
          <w:p>
            <w:pPr>
              <w:spacing w:after="0"/>
              <w:rPr>
                <w:sz w:val="19"/>
                <w:szCs w:val="19"/>
                <w:color w:val="auto"/>
              </w:rPr>
            </w:pPr>
          </w:p>
        </w:tc>
        <w:tc>
          <w:tcPr>
            <w:tcW w:w="154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(96.7 )</w:t>
            </w:r>
          </w:p>
        </w:tc>
        <w:tc>
          <w:tcPr>
            <w:tcW w:w="340" w:type="dxa"/>
            <w:vAlign w:val="bottom"/>
          </w:tcPr>
          <w:p>
            <w:pPr>
              <w:spacing w:after="0"/>
              <w:rPr>
                <w:sz w:val="19"/>
                <w:szCs w:val="19"/>
                <w:color w:val="auto"/>
              </w:rPr>
            </w:pPr>
          </w:p>
        </w:tc>
        <w:tc>
          <w:tcPr>
            <w:tcW w:w="1480" w:type="dxa"/>
            <w:vAlign w:val="bottom"/>
            <w:gridSpan w:val="2"/>
          </w:tcPr>
          <w:p>
            <w:pPr>
              <w:jc w:val="right"/>
              <w:ind w:right="200"/>
              <w:spacing w:after="0" w:line="229" w:lineRule="exact"/>
              <w:rPr>
                <w:sz w:val="20"/>
                <w:szCs w:val="20"/>
                <w:color w:val="auto"/>
              </w:rPr>
            </w:pPr>
            <w:r>
              <w:rPr>
                <w:rFonts w:ascii="Arial" w:cs="Arial" w:eastAsia="Arial" w:hAnsi="Arial"/>
                <w:sz w:val="20"/>
                <w:szCs w:val="20"/>
                <w:color w:val="auto"/>
              </w:rPr>
              <w:t>(190.4 )</w:t>
            </w:r>
          </w:p>
        </w:tc>
        <w:tc>
          <w:tcPr>
            <w:tcW w:w="440" w:type="dxa"/>
            <w:vAlign w:val="bottom"/>
          </w:tcPr>
          <w:p>
            <w:pPr>
              <w:spacing w:after="0"/>
              <w:rPr>
                <w:sz w:val="19"/>
                <w:szCs w:val="19"/>
                <w:color w:val="auto"/>
              </w:rPr>
            </w:pPr>
          </w:p>
        </w:tc>
        <w:tc>
          <w:tcPr>
            <w:tcW w:w="13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(169.8 )</w:t>
            </w:r>
          </w:p>
        </w:tc>
        <w:tc>
          <w:tcPr>
            <w:tcW w:w="0" w:type="dxa"/>
            <w:vAlign w:val="bottom"/>
          </w:tcPr>
          <w:p>
            <w:pPr>
              <w:spacing w:after="0"/>
              <w:rPr>
                <w:sz w:val="1"/>
                <w:szCs w:val="1"/>
                <w:color w:val="auto"/>
              </w:rPr>
            </w:pPr>
          </w:p>
        </w:tc>
      </w:tr>
      <w:tr>
        <w:trPr>
          <w:trHeight w:val="222"/>
        </w:trPr>
        <w:tc>
          <w:tcPr>
            <w:tcW w:w="3860" w:type="dxa"/>
            <w:vAlign w:val="bottom"/>
            <w:shd w:val="clear" w:color="auto" w:fill="CFF0FC"/>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1,449.2</w:t>
            </w:r>
          </w:p>
        </w:tc>
        <w:tc>
          <w:tcPr>
            <w:tcW w:w="3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1,225.3</w:t>
            </w:r>
          </w:p>
        </w:tc>
        <w:tc>
          <w:tcPr>
            <w:tcW w:w="3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2,526.2</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2,082.0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110.8</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76.8</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187.6</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1,560.0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1,302.1</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2,713.8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2,213.6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74.6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70.0</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145.4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7.1</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5.8</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13.3</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81.7</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75.8</w:t>
            </w:r>
          </w:p>
        </w:tc>
        <w:tc>
          <w:tcPr>
            <w:tcW w:w="3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158.7</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146.7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1,641.7</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1,377.9</w:t>
            </w:r>
          </w:p>
        </w:tc>
        <w:tc>
          <w:tcPr>
            <w:tcW w:w="360" w:type="dxa"/>
            <w:vAlign w:val="bottom"/>
          </w:tcPr>
          <w:p>
            <w:pPr>
              <w:spacing w:after="0"/>
              <w:rPr>
                <w:sz w:val="19"/>
                <w:szCs w:val="19"/>
                <w:color w:val="auto"/>
              </w:rPr>
            </w:pPr>
          </w:p>
        </w:tc>
        <w:tc>
          <w:tcPr>
            <w:tcW w:w="3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2,872.5</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Gross profit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Products and services: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Aggregates</w:t>
            </w:r>
          </w:p>
        </w:tc>
        <w:tc>
          <w:tcPr>
            <w:tcW w:w="360" w:type="dxa"/>
            <w:vAlign w:val="bottom"/>
            <w:shd w:val="clear" w:color="auto" w:fill="CFF0FC"/>
          </w:tcPr>
          <w:p>
            <w:pPr>
              <w:jc w:val="right"/>
              <w:ind w:right="141"/>
              <w:spacing w:after="0" w:line="229" w:lineRule="exact"/>
              <w:rPr>
                <w:sz w:val="20"/>
                <w:szCs w:val="20"/>
                <w:color w:val="auto"/>
              </w:rPr>
            </w:pPr>
            <w:r>
              <w:rPr>
                <w:rFonts w:ascii="Arial" w:cs="Arial" w:eastAsia="Arial" w:hAnsi="Arial"/>
                <w:sz w:val="20"/>
                <w:szCs w:val="20"/>
                <w:color w:val="auto"/>
                <w:w w:val="89"/>
              </w:rPr>
              <w:t>$</w:t>
            </w: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309.0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273.0</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410.9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41"/>
              <w:spacing w:after="0" w:line="229" w:lineRule="exact"/>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Cement</w:t>
            </w:r>
          </w:p>
        </w:tc>
        <w:tc>
          <w:tcPr>
            <w:tcW w:w="3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51.1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36.1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0"/>
                <w:szCs w:val="20"/>
                <w:color w:val="auto"/>
              </w:rPr>
              <w:t>78.5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Ready mixed concrete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14.3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19.1</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35.4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0"/>
              <w:spacing w:after="0" w:line="229" w:lineRule="exact"/>
              <w:rPr>
                <w:sz w:val="20"/>
                <w:szCs w:val="20"/>
                <w:color w:val="auto"/>
              </w:rPr>
            </w:pPr>
            <w:r>
              <w:rPr>
                <w:rFonts w:ascii="Arial" w:cs="Arial" w:eastAsia="Arial" w:hAnsi="Arial"/>
                <w:sz w:val="20"/>
                <w:szCs w:val="20"/>
                <w:color w:val="auto"/>
              </w:rPr>
              <w:t>Asphalt and paving services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26.4</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28.7</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FF0FC"/>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400.8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356.9</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537.9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Arial" w:cs="Arial" w:eastAsia="Arial" w:hAnsi="Arial"/>
                <w:sz w:val="20"/>
                <w:szCs w:val="20"/>
                <w:color w:val="auto"/>
              </w:rPr>
              <w:t>(1.7 )</w:t>
            </w:r>
          </w:p>
        </w:tc>
        <w:tc>
          <w:tcPr>
            <w:tcW w:w="3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0.7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line="229" w:lineRule="exact"/>
              <w:rPr>
                <w:sz w:val="20"/>
                <w:szCs w:val="20"/>
                <w:color w:val="auto"/>
              </w:rPr>
            </w:pPr>
            <w:r>
              <w:rPr>
                <w:rFonts w:ascii="Arial" w:cs="Arial" w:eastAsia="Arial" w:hAnsi="Arial"/>
                <w:sz w:val="20"/>
                <w:szCs w:val="20"/>
                <w:color w:val="auto"/>
              </w:rPr>
              <w:t>(0.4 )</w:t>
            </w:r>
          </w:p>
        </w:tc>
        <w:tc>
          <w:tcPr>
            <w:tcW w:w="4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399.1</w:t>
            </w:r>
          </w:p>
        </w:tc>
        <w:tc>
          <w:tcPr>
            <w:tcW w:w="3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357.6</w:t>
            </w:r>
          </w:p>
        </w:tc>
        <w:tc>
          <w:tcPr>
            <w:tcW w:w="3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537.5</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25.8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27.9</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52.6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Arial" w:cs="Arial" w:eastAsia="Arial" w:hAnsi="Arial"/>
                <w:sz w:val="20"/>
                <w:szCs w:val="20"/>
                <w:color w:val="auto"/>
              </w:rPr>
              <w:t>(1.3 )</w:t>
            </w:r>
          </w:p>
        </w:tc>
        <w:tc>
          <w:tcPr>
            <w:tcW w:w="380" w:type="dxa"/>
            <w:vAlign w:val="bottom"/>
          </w:tcPr>
          <w:p>
            <w:pPr>
              <w:spacing w:after="0"/>
              <w:rPr>
                <w:sz w:val="19"/>
                <w:szCs w:val="19"/>
                <w:color w:val="auto"/>
              </w:rPr>
            </w:pPr>
          </w:p>
        </w:tc>
        <w:tc>
          <w:tcPr>
            <w:tcW w:w="154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(0.9 )</w:t>
            </w:r>
          </w:p>
        </w:tc>
        <w:tc>
          <w:tcPr>
            <w:tcW w:w="340" w:type="dxa"/>
            <w:vAlign w:val="bottom"/>
          </w:tcPr>
          <w:p>
            <w:pPr>
              <w:spacing w:after="0"/>
              <w:rPr>
                <w:sz w:val="19"/>
                <w:szCs w:val="19"/>
                <w:color w:val="auto"/>
              </w:rPr>
            </w:pPr>
          </w:p>
        </w:tc>
        <w:tc>
          <w:tcPr>
            <w:tcW w:w="1480" w:type="dxa"/>
            <w:vAlign w:val="bottom"/>
            <w:gridSpan w:val="2"/>
          </w:tcPr>
          <w:p>
            <w:pPr>
              <w:jc w:val="right"/>
              <w:ind w:right="200"/>
              <w:spacing w:after="0" w:line="229" w:lineRule="exact"/>
              <w:rPr>
                <w:sz w:val="20"/>
                <w:szCs w:val="20"/>
                <w:color w:val="auto"/>
              </w:rPr>
            </w:pPr>
            <w:r>
              <w:rPr>
                <w:rFonts w:ascii="Arial" w:cs="Arial" w:eastAsia="Arial" w:hAnsi="Arial"/>
                <w:sz w:val="20"/>
                <w:szCs w:val="20"/>
                <w:color w:val="auto"/>
              </w:rPr>
              <w:t>(2.4 )</w:t>
            </w:r>
          </w:p>
        </w:tc>
        <w:tc>
          <w:tcPr>
            <w:tcW w:w="440" w:type="dxa"/>
            <w:vAlign w:val="bottom"/>
          </w:tcPr>
          <w:p>
            <w:pPr>
              <w:spacing w:after="0"/>
              <w:rPr>
                <w:sz w:val="19"/>
                <w:szCs w:val="19"/>
                <w:color w:val="auto"/>
              </w:rPr>
            </w:pPr>
          </w:p>
        </w:tc>
        <w:tc>
          <w:tcPr>
            <w:tcW w:w="13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22"/>
        </w:trPr>
        <w:tc>
          <w:tcPr>
            <w:tcW w:w="38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24.5</w:t>
            </w:r>
          </w:p>
        </w:tc>
        <w:tc>
          <w:tcPr>
            <w:tcW w:w="3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27.0</w:t>
            </w:r>
          </w:p>
        </w:tc>
        <w:tc>
          <w:tcPr>
            <w:tcW w:w="3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50.2</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20"/>
                <w:szCs w:val="20"/>
                <w:color w:val="auto"/>
              </w:rPr>
              <w:t>Corporate</w:t>
            </w:r>
          </w:p>
        </w:tc>
        <w:tc>
          <w:tcPr>
            <w:tcW w:w="3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color w:val="auto"/>
              </w:rPr>
              <w:t>1.6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0.5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line="229" w:lineRule="exact"/>
              <w:rPr>
                <w:sz w:val="20"/>
                <w:szCs w:val="20"/>
                <w:color w:val="auto"/>
              </w:rPr>
            </w:pPr>
            <w:r>
              <w:rPr>
                <w:rFonts w:ascii="Arial" w:cs="Arial" w:eastAsia="Arial" w:hAnsi="Arial"/>
                <w:sz w:val="20"/>
                <w:szCs w:val="20"/>
                <w:color w:val="auto"/>
              </w:rPr>
              <w:t>(6.4 )</w:t>
            </w:r>
          </w:p>
        </w:tc>
        <w:tc>
          <w:tcPr>
            <w:tcW w:w="440" w:type="dxa"/>
            <w:vAlign w:val="bottom"/>
          </w:tcPr>
          <w:p>
            <w:pPr>
              <w:spacing w:after="0"/>
              <w:rPr>
                <w:sz w:val="19"/>
                <w:szCs w:val="19"/>
                <w:color w:val="auto"/>
              </w:rPr>
            </w:pPr>
          </w:p>
        </w:tc>
        <w:tc>
          <w:tcPr>
            <w:tcW w:w="13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(0.2 )</w:t>
            </w:r>
          </w:p>
        </w:tc>
        <w:tc>
          <w:tcPr>
            <w:tcW w:w="0" w:type="dxa"/>
            <w:vAlign w:val="bottom"/>
          </w:tcPr>
          <w:p>
            <w:pPr>
              <w:spacing w:after="0"/>
              <w:rPr>
                <w:sz w:val="1"/>
                <w:szCs w:val="1"/>
                <w:color w:val="auto"/>
              </w:rPr>
            </w:pPr>
          </w:p>
        </w:tc>
      </w:tr>
      <w:tr>
        <w:trPr>
          <w:trHeight w:val="262"/>
        </w:trPr>
        <w:tc>
          <w:tcPr>
            <w:tcW w:w="38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36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425.2</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385.1</w:t>
            </w:r>
          </w:p>
        </w:tc>
        <w:tc>
          <w:tcPr>
            <w:tcW w:w="3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581.3</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241"/>
              <w:spacing w:after="0" w:line="223" w:lineRule="exact"/>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559.8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-2707640</wp:posOffset>
            </wp:positionV>
            <wp:extent cx="7683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-2707640</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-2707640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-2707640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Supplemental Cash Flow Information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gridSpan w:val="3"/>
          </w:tcPr>
          <w:p>
            <w:pPr>
              <w:jc w:val="center"/>
              <w:ind w:right="421"/>
              <w:spacing w:after="0"/>
              <w:rPr>
                <w:sz w:val="20"/>
                <w:szCs w:val="20"/>
                <w:color w:val="auto"/>
              </w:rPr>
            </w:pPr>
            <w:r>
              <w:rPr>
                <w:rFonts w:ascii="Arial" w:cs="Arial" w:eastAsia="Arial" w:hAnsi="Arial"/>
                <w:sz w:val="20"/>
                <w:szCs w:val="20"/>
                <w:color w:val="auto"/>
                <w:w w:val="89"/>
              </w:rPr>
              <w:t>Six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right="421"/>
              <w:spacing w:after="0"/>
              <w:rPr>
                <w:sz w:val="20"/>
                <w:szCs w:val="20"/>
                <w:color w:val="auto"/>
              </w:rPr>
            </w:pPr>
            <w:r>
              <w:rPr>
                <w:rFonts w:ascii="Arial" w:cs="Arial" w:eastAsia="Arial" w:hAnsi="Arial"/>
                <w:sz w:val="20"/>
                <w:szCs w:val="20"/>
                <w:color w:val="auto"/>
                <w:w w:val="85"/>
              </w:rPr>
              <w:t>June 30,</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620" w:type="dxa"/>
            <w:vAlign w:val="bottom"/>
            <w:tcBorders>
              <w:bottom w:val="single" w:sz="8" w:color="auto"/>
            </w:tcBorders>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i w:val="1"/>
                <w:iCs w:val="1"/>
                <w:color w:val="auto"/>
              </w:rPr>
              <w:t>in</w:t>
            </w:r>
          </w:p>
        </w:tc>
        <w:tc>
          <w:tcPr>
            <w:tcW w:w="1180" w:type="dxa"/>
            <w:vAlign w:val="bottom"/>
            <w:tcBorders>
              <w:bottom w:val="single" w:sz="8" w:color="auto"/>
            </w:tcBorders>
          </w:tcPr>
          <w:p>
            <w:pPr>
              <w:ind w:left="680"/>
              <w:spacing w:after="0" w:line="223" w:lineRule="exact"/>
              <w:rPr>
                <w:sz w:val="20"/>
                <w:szCs w:val="20"/>
                <w:color w:val="auto"/>
              </w:rPr>
            </w:pPr>
            <w:r>
              <w:rPr>
                <w:rFonts w:ascii="Arial" w:cs="Arial" w:eastAsia="Arial" w:hAnsi="Arial"/>
                <w:sz w:val="20"/>
                <w:szCs w:val="20"/>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19"/>
                <w:szCs w:val="19"/>
                <w:color w:val="auto"/>
              </w:rPr>
            </w:pPr>
          </w:p>
        </w:tc>
        <w:tc>
          <w:tcPr>
            <w:tcW w:w="1700" w:type="dxa"/>
            <w:vAlign w:val="bottom"/>
            <w:gridSpan w:val="2"/>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60" w:type="dxa"/>
            <w:vAlign w:val="bottom"/>
            <w:vMerge w:val="continue"/>
          </w:tcPr>
          <w:p>
            <w:pPr>
              <w:spacing w:after="0"/>
              <w:rPr>
                <w:sz w:val="19"/>
                <w:szCs w:val="19"/>
                <w:color w:val="auto"/>
              </w:rPr>
            </w:pPr>
          </w:p>
        </w:tc>
        <w:tc>
          <w:tcPr>
            <w:tcW w:w="1180" w:type="dxa"/>
            <w:vAlign w:val="bottom"/>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Noncash investing and financing activities:</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420" w:type="dxa"/>
            <w:vAlign w:val="bottom"/>
          </w:tcPr>
          <w:p>
            <w:pPr>
              <w:ind w:left="200"/>
              <w:spacing w:after="0" w:line="185" w:lineRule="exact"/>
              <w:rPr>
                <w:sz w:val="20"/>
                <w:szCs w:val="20"/>
                <w:color w:val="auto"/>
              </w:rPr>
            </w:pPr>
            <w:r>
              <w:rPr>
                <w:rFonts w:ascii="Arial" w:cs="Arial" w:eastAsia="Arial" w:hAnsi="Arial"/>
                <w:sz w:val="20"/>
                <w:szCs w:val="20"/>
                <w:color w:val="auto"/>
              </w:rPr>
              <w:t>Right-of-use assets obtained in exchange for</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420" w:type="dxa"/>
            <w:vAlign w:val="bottom"/>
          </w:tcPr>
          <w:p>
            <w:pPr>
              <w:ind w:left="340"/>
              <w:spacing w:after="0"/>
              <w:rPr>
                <w:sz w:val="20"/>
                <w:szCs w:val="20"/>
                <w:color w:val="auto"/>
              </w:rPr>
            </w:pPr>
            <w:r>
              <w:rPr>
                <w:rFonts w:ascii="Arial" w:cs="Arial" w:eastAsia="Arial" w:hAnsi="Arial"/>
                <w:sz w:val="20"/>
                <w:szCs w:val="20"/>
                <w:color w:val="auto"/>
              </w:rPr>
              <w:t>new finance lease liabilities</w:t>
            </w:r>
          </w:p>
        </w:tc>
        <w:tc>
          <w:tcPr>
            <w:tcW w:w="1080" w:type="dxa"/>
            <w:vAlign w:val="bottom"/>
          </w:tcPr>
          <w:p>
            <w:pPr>
              <w:jc w:val="right"/>
              <w:ind w:right="88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7.0</w:t>
            </w:r>
          </w:p>
        </w:tc>
        <w:tc>
          <w:tcPr>
            <w:tcW w:w="26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158.8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7420" w:type="dxa"/>
            <w:vAlign w:val="bottom"/>
            <w:shd w:val="clear" w:color="auto" w:fill="CFF0FC"/>
          </w:tcPr>
          <w:p>
            <w:pPr>
              <w:ind w:left="200"/>
              <w:spacing w:after="0" w:line="185" w:lineRule="exact"/>
              <w:rPr>
                <w:sz w:val="20"/>
                <w:szCs w:val="20"/>
                <w:color w:val="auto"/>
              </w:rPr>
            </w:pPr>
            <w:r>
              <w:rPr>
                <w:rFonts w:ascii="Arial" w:cs="Arial" w:eastAsia="Arial" w:hAnsi="Arial"/>
                <w:sz w:val="20"/>
                <w:szCs w:val="20"/>
                <w:color w:val="auto"/>
              </w:rPr>
              <w:t>Right-of-use assets obtained in exchange for new</w:t>
            </w: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420" w:type="dxa"/>
            <w:vAlign w:val="bottom"/>
            <w:shd w:val="clear" w:color="auto" w:fill="CFF0FC"/>
          </w:tcPr>
          <w:p>
            <w:pPr>
              <w:ind w:left="340"/>
              <w:spacing w:after="0"/>
              <w:rPr>
                <w:sz w:val="20"/>
                <w:szCs w:val="20"/>
                <w:color w:val="auto"/>
              </w:rPr>
            </w:pPr>
            <w:r>
              <w:rPr>
                <w:rFonts w:ascii="Arial" w:cs="Arial" w:eastAsia="Arial" w:hAnsi="Arial"/>
                <w:sz w:val="20"/>
                <w:szCs w:val="20"/>
                <w:color w:val="auto"/>
              </w:rPr>
              <w:t>operating lease liabilities</w:t>
            </w:r>
          </w:p>
        </w:tc>
        <w:tc>
          <w:tcPr>
            <w:tcW w:w="1080" w:type="dxa"/>
            <w:vAlign w:val="bottom"/>
            <w:shd w:val="clear" w:color="auto" w:fill="CFF0FC"/>
          </w:tcPr>
          <w:p>
            <w:pPr>
              <w:jc w:val="right"/>
              <w:ind w:right="88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ind w:left="20"/>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0"/>
              <w:spacing w:after="0" w:line="229" w:lineRule="exact"/>
              <w:rPr>
                <w:sz w:val="20"/>
                <w:szCs w:val="20"/>
                <w:color w:val="auto"/>
              </w:rPr>
            </w:pPr>
            <w:r>
              <w:rPr>
                <w:rFonts w:ascii="Arial" w:cs="Arial" w:eastAsia="Arial" w:hAnsi="Arial"/>
                <w:sz w:val="20"/>
                <w:szCs w:val="20"/>
                <w:color w:val="auto"/>
              </w:rPr>
              <w:t>Accrued liabilities for purchases of property, plant and equipment</w:t>
            </w:r>
          </w:p>
        </w:tc>
        <w:tc>
          <w:tcPr>
            <w:tcW w:w="1080" w:type="dxa"/>
            <w:vAlign w:val="bottom"/>
          </w:tcPr>
          <w:p>
            <w:pPr>
              <w:jc w:val="right"/>
              <w:ind w:right="881"/>
              <w:spacing w:after="0" w:line="229" w:lineRule="exact"/>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line="229" w:lineRule="exact"/>
              <w:rPr>
                <w:sz w:val="20"/>
                <w:szCs w:val="20"/>
                <w:color w:val="auto"/>
              </w:rPr>
            </w:pPr>
            <w:r>
              <w:rPr>
                <w:rFonts w:ascii="Arial" w:cs="Arial" w:eastAsia="Arial" w:hAnsi="Arial"/>
                <w:sz w:val="20"/>
                <w:szCs w:val="20"/>
                <w:color w:val="auto"/>
              </w:rPr>
              <w:t>27.3</w:t>
            </w:r>
          </w:p>
        </w:tc>
        <w:tc>
          <w:tcPr>
            <w:tcW w:w="260" w:type="dxa"/>
            <w:vAlign w:val="bottom"/>
          </w:tcPr>
          <w:p>
            <w:pPr>
              <w:spacing w:after="0"/>
              <w:rPr>
                <w:sz w:val="19"/>
                <w:szCs w:val="19"/>
                <w:color w:val="auto"/>
              </w:rPr>
            </w:pPr>
          </w:p>
        </w:tc>
        <w:tc>
          <w:tcPr>
            <w:tcW w:w="1180" w:type="dxa"/>
            <w:vAlign w:val="bottom"/>
          </w:tcPr>
          <w:p>
            <w:pPr>
              <w:ind w:left="20"/>
              <w:spacing w:after="0" w:line="229" w:lineRule="exact"/>
              <w:rPr>
                <w:sz w:val="20"/>
                <w:szCs w:val="20"/>
                <w:color w:val="auto"/>
              </w:rPr>
            </w:pPr>
            <w:r>
              <w:rPr>
                <w:rFonts w:ascii="Arial" w:cs="Arial" w:eastAsia="Arial" w:hAnsi="Arial"/>
                <w:sz w:val="20"/>
                <w:szCs w:val="20"/>
                <w:color w:val="auto"/>
              </w:rPr>
              <w:t>$</w:t>
            </w:r>
          </w:p>
        </w:tc>
        <w:tc>
          <w:tcPr>
            <w:tcW w:w="580" w:type="dxa"/>
            <w:vAlign w:val="bottom"/>
          </w:tcPr>
          <w:p>
            <w:pPr>
              <w:jc w:val="right"/>
              <w:spacing w:after="0" w:line="229" w:lineRule="exact"/>
              <w:rPr>
                <w:sz w:val="20"/>
                <w:szCs w:val="20"/>
                <w:color w:val="auto"/>
              </w:rPr>
            </w:pPr>
            <w:r>
              <w:rPr>
                <w:rFonts w:ascii="Arial" w:cs="Arial" w:eastAsia="Arial" w:hAnsi="Arial"/>
                <w:sz w:val="20"/>
                <w:szCs w:val="20"/>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Remeasurement of operating lease right-of-use assets</w:t>
            </w:r>
          </w:p>
        </w:tc>
        <w:tc>
          <w:tcPr>
            <w:tcW w:w="1080" w:type="dxa"/>
            <w:vAlign w:val="bottom"/>
            <w:shd w:val="clear" w:color="auto" w:fill="CFF0FC"/>
          </w:tcPr>
          <w:p>
            <w:pPr>
              <w:jc w:val="right"/>
              <w:ind w:right="881"/>
              <w:spacing w:after="0" w:line="229" w:lineRule="exact"/>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FF0FC"/>
          </w:tcPr>
          <w:p>
            <w:pPr>
              <w:jc w:val="right"/>
              <w:ind w:right="81"/>
              <w:spacing w:after="0" w:line="229" w:lineRule="exact"/>
              <w:rPr>
                <w:sz w:val="20"/>
                <w:szCs w:val="20"/>
                <w:color w:val="auto"/>
              </w:rPr>
            </w:pPr>
            <w:r>
              <w:rPr>
                <w:rFonts w:ascii="Arial" w:cs="Arial" w:eastAsia="Arial" w:hAnsi="Arial"/>
                <w:sz w:val="20"/>
                <w:szCs w:val="20"/>
                <w:color w:val="auto"/>
              </w:rPr>
              <w:t>(3.5 )</w:t>
            </w:r>
          </w:p>
        </w:tc>
        <w:tc>
          <w:tcPr>
            <w:tcW w:w="118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w:t>
            </w:r>
          </w:p>
        </w:tc>
        <w:tc>
          <w:tcPr>
            <w:tcW w:w="68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(6.3 )</w:t>
            </w:r>
          </w:p>
        </w:tc>
        <w:tc>
          <w:tcPr>
            <w:tcW w:w="0" w:type="dxa"/>
            <w:vAlign w:val="bottom"/>
          </w:tcPr>
          <w:p>
            <w:pPr>
              <w:spacing w:after="0"/>
              <w:rPr>
                <w:sz w:val="1"/>
                <w:szCs w:val="1"/>
                <w:color w:val="auto"/>
              </w:rPr>
            </w:pPr>
          </w:p>
        </w:tc>
      </w:tr>
      <w:tr>
        <w:trPr>
          <w:trHeight w:val="250"/>
        </w:trPr>
        <w:tc>
          <w:tcPr>
            <w:tcW w:w="7420" w:type="dxa"/>
            <w:vAlign w:val="bottom"/>
          </w:tcPr>
          <w:p>
            <w:pPr>
              <w:ind w:left="200"/>
              <w:spacing w:after="0"/>
              <w:rPr>
                <w:sz w:val="20"/>
                <w:szCs w:val="20"/>
                <w:color w:val="auto"/>
              </w:rPr>
            </w:pPr>
            <w:r>
              <w:rPr>
                <w:rFonts w:ascii="Arial" w:cs="Arial" w:eastAsia="Arial" w:hAnsi="Arial"/>
                <w:sz w:val="20"/>
                <w:szCs w:val="20"/>
                <w:color w:val="auto"/>
              </w:rPr>
              <w:t>Remeasurement of finance lease right-of-use assets</w:t>
            </w:r>
          </w:p>
        </w:tc>
        <w:tc>
          <w:tcPr>
            <w:tcW w:w="1080" w:type="dxa"/>
            <w:vAlign w:val="bottom"/>
          </w:tcPr>
          <w:p>
            <w:pPr>
              <w:jc w:val="right"/>
              <w:ind w:right="881"/>
              <w:spacing w:after="0"/>
              <w:rPr>
                <w:sz w:val="20"/>
                <w:szCs w:val="20"/>
                <w:color w:val="auto"/>
              </w:rPr>
            </w:pPr>
            <w:r>
              <w:rPr>
                <w:rFonts w:ascii="Arial" w:cs="Arial" w:eastAsia="Arial" w:hAnsi="Arial"/>
                <w:sz w:val="20"/>
                <w:szCs w:val="20"/>
                <w:color w:val="auto"/>
                <w:w w:val="71"/>
              </w:rPr>
              <w:t>$</w:t>
            </w:r>
          </w:p>
        </w:tc>
        <w:tc>
          <w:tcPr>
            <w:tcW w:w="880" w:type="dxa"/>
            <w:vAlign w:val="bottom"/>
            <w:gridSpan w:val="2"/>
          </w:tcPr>
          <w:p>
            <w:pPr>
              <w:jc w:val="right"/>
              <w:ind w:right="81"/>
              <w:spacing w:after="0"/>
              <w:rPr>
                <w:sz w:val="20"/>
                <w:szCs w:val="20"/>
                <w:color w:val="auto"/>
              </w:rPr>
            </w:pPr>
            <w:r>
              <w:rPr>
                <w:rFonts w:ascii="Arial" w:cs="Arial" w:eastAsia="Arial" w:hAnsi="Arial"/>
                <w:sz w:val="20"/>
                <w:szCs w:val="20"/>
                <w:color w:val="auto"/>
              </w:rPr>
              <w:t>(6.4 )</w:t>
            </w:r>
          </w:p>
        </w:tc>
        <w:tc>
          <w:tcPr>
            <w:tcW w:w="1180" w:type="dxa"/>
            <w:vAlign w:val="bottom"/>
          </w:tcPr>
          <w:p>
            <w:pPr>
              <w:ind w:left="20"/>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380"/>
        <w:spacing w:after="0" w:line="236" w:lineRule="auto"/>
        <w:rPr>
          <w:sz w:val="20"/>
          <w:szCs w:val="20"/>
          <w:color w:val="auto"/>
        </w:rPr>
      </w:pPr>
      <w:r>
        <w:rPr>
          <w:rFonts w:ascii="Arial" w:cs="Arial" w:eastAsia="Arial" w:hAnsi="Arial"/>
          <w:sz w:val="20"/>
          <w:szCs w:val="20"/>
          <w:color w:val="auto"/>
        </w:rPr>
        <w:t>For the six months ended June 30, 2021, the right-of-use assets obtained in exchange for new finance lease liabilities balance were primarily attributable to the lease of the new corporate headquarters, production equipment, and leases assumed as part of the Tiller acquisition.</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80" w:type="dxa"/>
            <w:vAlign w:val="bottom"/>
            <w:gridSpan w:val="3"/>
          </w:tcPr>
          <w:p>
            <w:pPr>
              <w:jc w:val="center"/>
              <w:ind w:right="421"/>
              <w:spacing w:after="0"/>
              <w:rPr>
                <w:sz w:val="20"/>
                <w:szCs w:val="20"/>
                <w:color w:val="auto"/>
              </w:rPr>
            </w:pPr>
            <w:r>
              <w:rPr>
                <w:rFonts w:ascii="Arial" w:cs="Arial" w:eastAsia="Arial" w:hAnsi="Arial"/>
                <w:sz w:val="20"/>
                <w:szCs w:val="20"/>
                <w:color w:val="auto"/>
                <w:w w:val="91"/>
              </w:rPr>
              <w:t>Six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72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center"/>
              <w:ind w:right="961"/>
              <w:spacing w:after="0"/>
              <w:rPr>
                <w:sz w:val="20"/>
                <w:szCs w:val="20"/>
                <w:color w:val="auto"/>
              </w:rPr>
            </w:pPr>
            <w:r>
              <w:rPr>
                <w:rFonts w:ascii="Arial" w:cs="Arial" w:eastAsia="Arial" w:hAnsi="Arial"/>
                <w:sz w:val="20"/>
                <w:szCs w:val="20"/>
                <w:color w:val="auto"/>
                <w:w w:val="83"/>
              </w:rPr>
              <w:t>June 30,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722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7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80" w:type="dxa"/>
            <w:vAlign w:val="bottom"/>
            <w:gridSpan w:val="3"/>
          </w:tcPr>
          <w:p>
            <w:pPr>
              <w:jc w:val="center"/>
              <w:ind w:right="421"/>
              <w:spacing w:after="0" w:line="206" w:lineRule="exact"/>
              <w:rPr>
                <w:sz w:val="20"/>
                <w:szCs w:val="20"/>
                <w:color w:val="auto"/>
              </w:rPr>
            </w:pPr>
            <w:r>
              <w:rPr>
                <w:rFonts w:ascii="Arial" w:cs="Arial" w:eastAsia="Arial" w:hAnsi="Arial"/>
                <w:sz w:val="20"/>
                <w:szCs w:val="20"/>
                <w:i w:val="1"/>
                <w:iCs w:val="1"/>
                <w:color w:val="auto"/>
                <w:w w:val="97"/>
              </w:rPr>
              <w:t>(Dollars in Millions)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7220" w:type="dxa"/>
            <w:vAlign w:val="bottom"/>
          </w:tcPr>
          <w:p>
            <w:pPr>
              <w:ind w:left="20"/>
              <w:spacing w:after="0"/>
              <w:rPr>
                <w:sz w:val="20"/>
                <w:szCs w:val="20"/>
                <w:color w:val="auto"/>
              </w:rPr>
            </w:pPr>
            <w:r>
              <w:rPr>
                <w:rFonts w:ascii="Arial" w:cs="Arial" w:eastAsia="Arial" w:hAnsi="Arial"/>
                <w:sz w:val="20"/>
                <w:szCs w:val="20"/>
                <w:color w:val="auto"/>
              </w:rPr>
              <w:t>Cash paid for interest, net of capitalized amount</w:t>
            </w:r>
          </w:p>
        </w:tc>
        <w:tc>
          <w:tcPr>
            <w:tcW w:w="1080" w:type="dxa"/>
            <w:vAlign w:val="bottom"/>
          </w:tcPr>
          <w:p>
            <w:pPr>
              <w:jc w:val="right"/>
              <w:ind w:right="861"/>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84.3</w:t>
            </w:r>
          </w:p>
        </w:tc>
        <w:tc>
          <w:tcPr>
            <w:tcW w:w="1740" w:type="dxa"/>
            <w:vAlign w:val="bottom"/>
            <w:gridSpan w:val="2"/>
          </w:tcPr>
          <w:p>
            <w:pPr>
              <w:jc w:val="right"/>
              <w:ind w:right="116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53.6</w:t>
            </w:r>
          </w:p>
        </w:tc>
        <w:tc>
          <w:tcPr>
            <w:tcW w:w="100" w:type="dxa"/>
            <w:vAlign w:val="bottom"/>
          </w:tcPr>
          <w:p>
            <w:pPr>
              <w:spacing w:after="0"/>
              <w:rPr>
                <w:sz w:val="21"/>
                <w:szCs w:val="21"/>
                <w:color w:val="auto"/>
              </w:rPr>
            </w:pPr>
          </w:p>
        </w:tc>
      </w:tr>
      <w:tr>
        <w:trPr>
          <w:trHeight w:val="229"/>
        </w:trPr>
        <w:tc>
          <w:tcPr>
            <w:tcW w:w="722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Cash paid for income taxes, net of refunds</w:t>
            </w:r>
          </w:p>
        </w:tc>
        <w:tc>
          <w:tcPr>
            <w:tcW w:w="1080" w:type="dxa"/>
            <w:vAlign w:val="bottom"/>
            <w:shd w:val="clear" w:color="auto" w:fill="CFF0FC"/>
          </w:tcPr>
          <w:p>
            <w:pPr>
              <w:jc w:val="right"/>
              <w:ind w:right="861"/>
              <w:spacing w:after="0" w:line="229" w:lineRule="exact"/>
              <w:rPr>
                <w:sz w:val="20"/>
                <w:szCs w:val="20"/>
                <w:color w:val="auto"/>
              </w:rPr>
            </w:pPr>
            <w:r>
              <w:rPr>
                <w:rFonts w:ascii="Arial" w:cs="Arial" w:eastAsia="Arial" w:hAnsi="Arial"/>
                <w:sz w:val="20"/>
                <w:szCs w:val="20"/>
                <w:color w:val="auto"/>
                <w:w w:val="89"/>
              </w:rPr>
              <w:t>$</w:t>
            </w:r>
          </w:p>
        </w:tc>
        <w:tc>
          <w:tcPr>
            <w:tcW w:w="5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42.9</w:t>
            </w:r>
          </w:p>
        </w:tc>
        <w:tc>
          <w:tcPr>
            <w:tcW w:w="1740" w:type="dxa"/>
            <w:vAlign w:val="bottom"/>
            <w:gridSpan w:val="2"/>
            <w:shd w:val="clear" w:color="auto" w:fill="CFF0FC"/>
          </w:tcPr>
          <w:p>
            <w:pPr>
              <w:jc w:val="right"/>
              <w:ind w:right="1161"/>
              <w:spacing w:after="0" w:line="229" w:lineRule="exact"/>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56.9</w:t>
            </w:r>
          </w:p>
        </w:tc>
        <w:tc>
          <w:tcPr>
            <w:tcW w:w="100" w:type="dxa"/>
            <w:vAlign w:val="bottom"/>
            <w:shd w:val="clear" w:color="auto" w:fill="CFF0FC"/>
          </w:tcPr>
          <w:p>
            <w:pPr>
              <w:spacing w:after="0"/>
              <w:rPr>
                <w:sz w:val="19"/>
                <w:szCs w:val="19"/>
                <w:color w:val="auto"/>
              </w:rPr>
            </w:pPr>
          </w:p>
        </w:tc>
      </w:tr>
    </w:tbl>
    <w:p>
      <w:pPr>
        <w:spacing w:after="0" w:line="158" w:lineRule="exact"/>
        <w:rPr>
          <w:sz w:val="20"/>
          <w:szCs w:val="20"/>
          <w:color w:val="auto"/>
        </w:rPr>
      </w:pPr>
    </w:p>
    <w:p>
      <w:pPr>
        <w:jc w:val="both"/>
        <w:ind w:left="380"/>
        <w:spacing w:after="0" w:line="236" w:lineRule="auto"/>
        <w:rPr>
          <w:sz w:val="20"/>
          <w:szCs w:val="20"/>
          <w:color w:val="auto"/>
        </w:rPr>
      </w:pPr>
      <w:r>
        <w:rPr>
          <w:rFonts w:ascii="Arial" w:cs="Arial" w:eastAsia="Arial" w:hAnsi="Arial"/>
          <w:sz w:val="20"/>
          <w:szCs w:val="20"/>
          <w:color w:val="auto"/>
        </w:rPr>
        <w:t xml:space="preserve">During the six months ended June 30, 2021, the Company received proceeds of $11.2 million, related to its company-owned life insurance policies. The proceeds are included in the </w:t>
      </w:r>
      <w:r>
        <w:rPr>
          <w:rFonts w:ascii="Arial" w:cs="Arial" w:eastAsia="Arial" w:hAnsi="Arial"/>
          <w:sz w:val="20"/>
          <w:szCs w:val="20"/>
          <w:i w:val="1"/>
          <w:iCs w:val="1"/>
          <w:color w:val="auto"/>
        </w:rPr>
        <w:t>Investments in life insurance contracts, net</w:t>
      </w:r>
      <w:r>
        <w:rPr>
          <w:rFonts w:ascii="Arial" w:cs="Arial" w:eastAsia="Arial" w:hAnsi="Arial"/>
          <w:sz w:val="20"/>
          <w:szCs w:val="20"/>
          <w:color w:val="auto"/>
        </w:rPr>
        <w:t>, in the investing activities of the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Other Operating Income, Net</w:t>
      </w:r>
    </w:p>
    <w:p>
      <w:pPr>
        <w:spacing w:after="0" w:line="99"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For the three and six months ended June 30, 2022, the increase in other operating income, net, was primarily attributable to the $151.7 million gain on the divestiture of the Colorado and Central Texas ready-mixed concrete operations. Other operating income, net, for the three and six months ended June 30, 2021 included a $12.3 million gain on the sale of the Company’s former corporate headquarters.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Other Nonoperating Income, Net</w:t>
      </w:r>
    </w:p>
    <w:p>
      <w:pPr>
        <w:spacing w:after="0" w:line="99" w:lineRule="exact"/>
        <w:rPr>
          <w:sz w:val="20"/>
          <w:szCs w:val="20"/>
          <w:color w:val="auto"/>
        </w:rPr>
      </w:pPr>
    </w:p>
    <w:p>
      <w:pPr>
        <w:jc w:val="both"/>
        <w:ind w:left="380"/>
        <w:spacing w:after="0" w:line="245" w:lineRule="auto"/>
        <w:rPr>
          <w:sz w:val="20"/>
          <w:szCs w:val="20"/>
          <w:color w:val="auto"/>
        </w:rPr>
      </w:pPr>
      <w:r>
        <w:rPr>
          <w:rFonts w:ascii="Arial" w:cs="Arial" w:eastAsia="Arial" w:hAnsi="Arial"/>
          <w:sz w:val="20"/>
          <w:szCs w:val="20"/>
          <w:color w:val="auto"/>
        </w:rPr>
        <w:t>Other nonoperating income, net, for the three months and six months ended June 30, 2022 included an $11.6 million pretax gain related to the repurchase of the Company’s debt.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As of June 30, 2022, the Company supplies aggregates (crushed stone, sand and gravel) through its network of approximately 350 quarries, mines and distribution yards in 28 states, Canada and The Bahamas. Martin Marietta also provides cement and downstream products and services, namely, ready mixed concrete, asphalt and paving, in vertically-integrated structured markets where the Company has a leading aggregates position. In addition, the Company has one cement plant, cement distribution terminals and ready mixed concrete operations in California that are classified as assets held for sale and reported as discontinued operations as of and for the six months ended June 30, 2022.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16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BUILDING MATERIALS BUSINESS</w:t>
      </w:r>
    </w:p>
    <w:p>
      <w:pPr>
        <w:ind w:left="4460"/>
        <w:spacing w:after="0"/>
        <w:rPr>
          <w:sz w:val="20"/>
          <w:szCs w:val="20"/>
          <w:color w:val="auto"/>
        </w:rPr>
      </w:pPr>
      <w:r>
        <w:rPr>
          <w:rFonts w:ascii="Arial" w:cs="Arial" w:eastAsia="Arial" w:hAnsi="Arial"/>
          <w:sz w:val="20"/>
          <w:szCs w:val="20"/>
          <w:b w:val="1"/>
          <w:bCs w:val="1"/>
          <w:color w:val="auto"/>
        </w:rPr>
        <w:t>(continuing operations only)</w:t>
      </w:r>
    </w:p>
    <w:tbl>
      <w:tblPr>
        <w:tblLayout w:type="fixed"/>
        <w:tblInd w:w="0" w:type="dxa"/>
        <w:tblCellMar>
          <w:top w:w="0" w:type="dxa"/>
          <w:left w:w="0" w:type="dxa"/>
          <w:bottom w:w="0" w:type="dxa"/>
          <w:right w:w="0" w:type="dxa"/>
        </w:tblCellMar>
      </w:tblPr>
      <w:tr>
        <w:trPr>
          <w:trHeight w:val="236"/>
        </w:trPr>
        <w:tc>
          <w:tcPr>
            <w:tcW w:w="2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6"/>
              </w:rPr>
              <w:t>Reportable Segments</w:t>
            </w:r>
          </w:p>
        </w:tc>
        <w:tc>
          <w:tcPr>
            <w:tcW w:w="120" w:type="dxa"/>
            <w:vAlign w:val="bottom"/>
            <w:tcBorders>
              <w:top w:val="single" w:sz="8" w:color="auto"/>
            </w:tcBorders>
          </w:tcPr>
          <w:p>
            <w:pPr>
              <w:spacing w:after="0"/>
              <w:rPr>
                <w:sz w:val="20"/>
                <w:szCs w:val="20"/>
                <w:color w:val="auto"/>
              </w:rPr>
            </w:pPr>
          </w:p>
        </w:tc>
        <w:tc>
          <w:tcPr>
            <w:tcW w:w="4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8"/>
              </w:rPr>
              <w:t>East Group</w:t>
            </w:r>
          </w:p>
        </w:tc>
        <w:tc>
          <w:tcPr>
            <w:tcW w:w="120" w:type="dxa"/>
            <w:vAlign w:val="bottom"/>
            <w:tcBorders>
              <w:top w:val="single" w:sz="8" w:color="auto"/>
            </w:tcBorders>
          </w:tcPr>
          <w:p>
            <w:pPr>
              <w:spacing w:after="0"/>
              <w:rPr>
                <w:sz w:val="20"/>
                <w:szCs w:val="20"/>
                <w:color w:val="auto"/>
              </w:rPr>
            </w:pPr>
          </w:p>
        </w:tc>
        <w:tc>
          <w:tcPr>
            <w:tcW w:w="4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165"/>
        </w:trPr>
        <w:tc>
          <w:tcPr>
            <w:tcW w:w="2180" w:type="dxa"/>
            <w:vAlign w:val="bottom"/>
          </w:tcPr>
          <w:p>
            <w:pPr>
              <w:jc w:val="center"/>
              <w:spacing w:after="0" w:line="165" w:lineRule="exact"/>
              <w:rPr>
                <w:sz w:val="20"/>
                <w:szCs w:val="20"/>
                <w:color w:val="auto"/>
              </w:rPr>
            </w:pPr>
            <w:r>
              <w:rPr>
                <w:rFonts w:ascii="Arial" w:cs="Arial" w:eastAsia="Arial" w:hAnsi="Arial"/>
                <w:sz w:val="19"/>
                <w:szCs w:val="19"/>
                <w:color w:val="auto"/>
                <w:w w:val="95"/>
              </w:rPr>
              <w:t>Operating Locations</w:t>
            </w:r>
          </w:p>
        </w:tc>
        <w:tc>
          <w:tcPr>
            <w:tcW w:w="120" w:type="dxa"/>
            <w:vAlign w:val="bottom"/>
          </w:tcPr>
          <w:p>
            <w:pPr>
              <w:spacing w:after="0"/>
              <w:rPr>
                <w:sz w:val="14"/>
                <w:szCs w:val="14"/>
                <w:color w:val="auto"/>
              </w:rPr>
            </w:pPr>
          </w:p>
        </w:tc>
        <w:tc>
          <w:tcPr>
            <w:tcW w:w="4420" w:type="dxa"/>
            <w:vAlign w:val="bottom"/>
          </w:tcPr>
          <w:p>
            <w:pPr>
              <w:jc w:val="center"/>
              <w:spacing w:after="0" w:line="165" w:lineRule="exact"/>
              <w:rPr>
                <w:sz w:val="20"/>
                <w:szCs w:val="20"/>
                <w:color w:val="auto"/>
              </w:rPr>
            </w:pPr>
            <w:r>
              <w:rPr>
                <w:rFonts w:ascii="Arial" w:cs="Arial" w:eastAsia="Arial" w:hAnsi="Arial"/>
                <w:sz w:val="19"/>
                <w:szCs w:val="19"/>
                <w:color w:val="auto"/>
                <w:w w:val="95"/>
              </w:rPr>
              <w:t>Alabama, Florida, Georgia, Indiana, Iowa,</w:t>
            </w:r>
          </w:p>
        </w:tc>
        <w:tc>
          <w:tcPr>
            <w:tcW w:w="120" w:type="dxa"/>
            <w:vAlign w:val="bottom"/>
          </w:tcPr>
          <w:p>
            <w:pPr>
              <w:spacing w:after="0"/>
              <w:rPr>
                <w:sz w:val="14"/>
                <w:szCs w:val="14"/>
                <w:color w:val="auto"/>
              </w:rPr>
            </w:pPr>
          </w:p>
        </w:tc>
        <w:tc>
          <w:tcPr>
            <w:tcW w:w="4400" w:type="dxa"/>
            <w:vAlign w:val="bottom"/>
          </w:tcPr>
          <w:p>
            <w:pPr>
              <w:jc w:val="center"/>
              <w:spacing w:after="0" w:line="165" w:lineRule="exact"/>
              <w:rPr>
                <w:sz w:val="20"/>
                <w:szCs w:val="20"/>
                <w:color w:val="auto"/>
              </w:rPr>
            </w:pPr>
            <w:r>
              <w:rPr>
                <w:rFonts w:ascii="Arial" w:cs="Arial" w:eastAsia="Arial" w:hAnsi="Arial"/>
                <w:sz w:val="19"/>
                <w:szCs w:val="19"/>
                <w:color w:val="auto"/>
                <w:w w:val="95"/>
              </w:rPr>
              <w:t>Arizona, Arkansas, California, Colorado, Louisiana,</w:t>
            </w:r>
          </w:p>
        </w:tc>
      </w:tr>
      <w:tr>
        <w:trPr>
          <w:trHeight w:val="202"/>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jc w:val="center"/>
              <w:spacing w:after="0" w:line="202" w:lineRule="exact"/>
              <w:rPr>
                <w:sz w:val="20"/>
                <w:szCs w:val="20"/>
                <w:color w:val="auto"/>
              </w:rPr>
            </w:pPr>
            <w:r>
              <w:rPr>
                <w:rFonts w:ascii="Arial" w:cs="Arial" w:eastAsia="Arial" w:hAnsi="Arial"/>
                <w:sz w:val="20"/>
                <w:szCs w:val="20"/>
                <w:color w:val="auto"/>
                <w:w w:val="90"/>
              </w:rPr>
              <w:t>Kansas, Kentucky, Maryland,</w:t>
            </w:r>
          </w:p>
        </w:tc>
        <w:tc>
          <w:tcPr>
            <w:tcW w:w="120" w:type="dxa"/>
            <w:vAlign w:val="bottom"/>
          </w:tcPr>
          <w:p>
            <w:pPr>
              <w:spacing w:after="0"/>
              <w:rPr>
                <w:sz w:val="17"/>
                <w:szCs w:val="17"/>
                <w:color w:val="auto"/>
              </w:rPr>
            </w:pPr>
          </w:p>
        </w:tc>
        <w:tc>
          <w:tcPr>
            <w:tcW w:w="4400" w:type="dxa"/>
            <w:vAlign w:val="bottom"/>
          </w:tcPr>
          <w:p>
            <w:pPr>
              <w:jc w:val="center"/>
              <w:spacing w:after="0" w:line="202" w:lineRule="exact"/>
              <w:rPr>
                <w:sz w:val="20"/>
                <w:szCs w:val="20"/>
                <w:color w:val="auto"/>
              </w:rPr>
            </w:pPr>
            <w:r>
              <w:rPr>
                <w:rFonts w:ascii="Arial" w:cs="Arial" w:eastAsia="Arial" w:hAnsi="Arial"/>
                <w:sz w:val="20"/>
                <w:szCs w:val="20"/>
                <w:color w:val="auto"/>
                <w:w w:val="89"/>
              </w:rPr>
              <w:t>Oklahoma, Texas, Utah,</w:t>
            </w:r>
          </w:p>
        </w:tc>
      </w:tr>
      <w:tr>
        <w:trPr>
          <w:trHeight w:val="202"/>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jc w:val="center"/>
              <w:spacing w:after="0" w:line="202" w:lineRule="exact"/>
              <w:rPr>
                <w:sz w:val="20"/>
                <w:szCs w:val="20"/>
                <w:color w:val="auto"/>
              </w:rPr>
            </w:pPr>
            <w:r>
              <w:rPr>
                <w:rFonts w:ascii="Arial" w:cs="Arial" w:eastAsia="Arial" w:hAnsi="Arial"/>
                <w:sz w:val="20"/>
                <w:szCs w:val="20"/>
                <w:color w:val="auto"/>
                <w:w w:val="89"/>
              </w:rPr>
              <w:t>Minnesota, Missouri, Nebraska,</w:t>
            </w:r>
          </w:p>
        </w:tc>
        <w:tc>
          <w:tcPr>
            <w:tcW w:w="120" w:type="dxa"/>
            <w:vAlign w:val="bottom"/>
          </w:tcPr>
          <w:p>
            <w:pPr>
              <w:spacing w:after="0"/>
              <w:rPr>
                <w:sz w:val="17"/>
                <w:szCs w:val="17"/>
                <w:color w:val="auto"/>
              </w:rPr>
            </w:pPr>
          </w:p>
        </w:tc>
        <w:tc>
          <w:tcPr>
            <w:tcW w:w="4400" w:type="dxa"/>
            <w:vAlign w:val="bottom"/>
          </w:tcPr>
          <w:p>
            <w:pPr>
              <w:ind w:left="1100"/>
              <w:spacing w:after="0" w:line="202" w:lineRule="exact"/>
              <w:rPr>
                <w:sz w:val="20"/>
                <w:szCs w:val="20"/>
                <w:color w:val="auto"/>
              </w:rPr>
            </w:pPr>
            <w:r>
              <w:rPr>
                <w:rFonts w:ascii="Arial" w:cs="Arial" w:eastAsia="Arial" w:hAnsi="Arial"/>
                <w:sz w:val="20"/>
                <w:szCs w:val="20"/>
                <w:color w:val="auto"/>
              </w:rPr>
              <w:t>Washington and Wyoming</w:t>
            </w:r>
          </w:p>
        </w:tc>
      </w:tr>
      <w:tr>
        <w:trPr>
          <w:trHeight w:val="202"/>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jc w:val="center"/>
              <w:spacing w:after="0" w:line="202" w:lineRule="exact"/>
              <w:rPr>
                <w:sz w:val="20"/>
                <w:szCs w:val="20"/>
                <w:color w:val="auto"/>
              </w:rPr>
            </w:pPr>
            <w:r>
              <w:rPr>
                <w:rFonts w:ascii="Arial" w:cs="Arial" w:eastAsia="Arial" w:hAnsi="Arial"/>
                <w:sz w:val="20"/>
                <w:szCs w:val="20"/>
                <w:color w:val="auto"/>
                <w:w w:val="90"/>
              </w:rPr>
              <w:t>North Carolina, Ohio, Pennsylvania,</w:t>
            </w:r>
          </w:p>
        </w:tc>
        <w:tc>
          <w:tcPr>
            <w:tcW w:w="12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202"/>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jc w:val="center"/>
              <w:spacing w:after="0" w:line="202" w:lineRule="exact"/>
              <w:rPr>
                <w:sz w:val="20"/>
                <w:szCs w:val="20"/>
                <w:color w:val="auto"/>
              </w:rPr>
            </w:pPr>
            <w:r>
              <w:rPr>
                <w:rFonts w:ascii="Arial" w:cs="Arial" w:eastAsia="Arial" w:hAnsi="Arial"/>
                <w:sz w:val="20"/>
                <w:szCs w:val="20"/>
                <w:color w:val="auto"/>
                <w:w w:val="89"/>
              </w:rPr>
              <w:t>South Carolina, Tennessee, Virginia,</w:t>
            </w:r>
          </w:p>
        </w:tc>
        <w:tc>
          <w:tcPr>
            <w:tcW w:w="12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250"/>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jc w:val="center"/>
              <w:spacing w:after="0"/>
              <w:rPr>
                <w:sz w:val="20"/>
                <w:szCs w:val="20"/>
                <w:color w:val="auto"/>
              </w:rPr>
            </w:pPr>
            <w:r>
              <w:rPr>
                <w:rFonts w:ascii="Arial" w:cs="Arial" w:eastAsia="Arial" w:hAnsi="Arial"/>
                <w:sz w:val="20"/>
                <w:szCs w:val="20"/>
                <w:color w:val="auto"/>
                <w:w w:val="89"/>
              </w:rPr>
              <w:t>West Virginia, Nova Scotia and The Bahamas</w:t>
            </w:r>
          </w:p>
        </w:tc>
        <w:tc>
          <w:tcPr>
            <w:tcW w:w="1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329"/>
        </w:trPr>
        <w:tc>
          <w:tcPr>
            <w:tcW w:w="2180" w:type="dxa"/>
            <w:vAlign w:val="bottom"/>
          </w:tcPr>
          <w:p>
            <w:pPr>
              <w:jc w:val="center"/>
              <w:spacing w:after="0"/>
              <w:rPr>
                <w:sz w:val="20"/>
                <w:szCs w:val="20"/>
                <w:color w:val="auto"/>
              </w:rPr>
            </w:pPr>
            <w:r>
              <w:rPr>
                <w:rFonts w:ascii="Arial" w:cs="Arial" w:eastAsia="Arial" w:hAnsi="Arial"/>
                <w:sz w:val="20"/>
                <w:szCs w:val="20"/>
                <w:color w:val="auto"/>
                <w:w w:val="89"/>
              </w:rPr>
              <w:t>Product Lines</w:t>
            </w:r>
          </w:p>
        </w:tc>
        <w:tc>
          <w:tcPr>
            <w:tcW w:w="1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20"/>
                <w:szCs w:val="20"/>
                <w:color w:val="auto"/>
                <w:w w:val="88"/>
              </w:rPr>
              <w:t>Aggregates and Asphalt</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50"/>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89"/>
              </w:rPr>
              <w:t>Mixed Concrete, Asphalt and Paving Services</w:t>
            </w:r>
          </w:p>
        </w:tc>
      </w:tr>
      <w:tr>
        <w:trPr>
          <w:trHeight w:val="329"/>
        </w:trPr>
        <w:tc>
          <w:tcPr>
            <w:tcW w:w="2180" w:type="dxa"/>
            <w:vAlign w:val="bottom"/>
          </w:tcPr>
          <w:p>
            <w:pPr>
              <w:jc w:val="center"/>
              <w:spacing w:after="0"/>
              <w:rPr>
                <w:sz w:val="20"/>
                <w:szCs w:val="20"/>
                <w:color w:val="auto"/>
              </w:rPr>
            </w:pPr>
            <w:r>
              <w:rPr>
                <w:rFonts w:ascii="Arial" w:cs="Arial" w:eastAsia="Arial" w:hAnsi="Arial"/>
                <w:sz w:val="20"/>
                <w:szCs w:val="20"/>
                <w:color w:val="auto"/>
                <w:w w:val="91"/>
              </w:rPr>
              <w:t>Facility Types</w:t>
            </w:r>
          </w:p>
        </w:tc>
        <w:tc>
          <w:tcPr>
            <w:tcW w:w="1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20"/>
                <w:szCs w:val="20"/>
                <w:color w:val="auto"/>
                <w:w w:val="89"/>
              </w:rPr>
              <w:t>Quarries, Mines, Asphalt Plants and</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89"/>
              </w:rPr>
              <w:t>Quarries, Mines, Cement Plants, Asphalt Plants, Ready</w:t>
            </w:r>
          </w:p>
        </w:tc>
      </w:tr>
      <w:tr>
        <w:trPr>
          <w:trHeight w:val="202"/>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jc w:val="center"/>
              <w:spacing w:after="0" w:line="202" w:lineRule="exact"/>
              <w:rPr>
                <w:sz w:val="20"/>
                <w:szCs w:val="20"/>
                <w:color w:val="auto"/>
              </w:rPr>
            </w:pPr>
            <w:r>
              <w:rPr>
                <w:rFonts w:ascii="Arial" w:cs="Arial" w:eastAsia="Arial" w:hAnsi="Arial"/>
                <w:sz w:val="20"/>
                <w:szCs w:val="20"/>
                <w:color w:val="auto"/>
                <w:w w:val="94"/>
              </w:rPr>
              <w:t>Distribution Facilities</w:t>
            </w:r>
          </w:p>
        </w:tc>
        <w:tc>
          <w:tcPr>
            <w:tcW w:w="120" w:type="dxa"/>
            <w:vAlign w:val="bottom"/>
          </w:tcPr>
          <w:p>
            <w:pPr>
              <w:spacing w:after="0"/>
              <w:rPr>
                <w:sz w:val="17"/>
                <w:szCs w:val="17"/>
                <w:color w:val="auto"/>
              </w:rPr>
            </w:pPr>
          </w:p>
        </w:tc>
        <w:tc>
          <w:tcPr>
            <w:tcW w:w="4400" w:type="dxa"/>
            <w:vAlign w:val="bottom"/>
          </w:tcPr>
          <w:p>
            <w:pPr>
              <w:jc w:val="center"/>
              <w:spacing w:after="0" w:line="202" w:lineRule="exact"/>
              <w:rPr>
                <w:sz w:val="20"/>
                <w:szCs w:val="20"/>
                <w:color w:val="auto"/>
              </w:rPr>
            </w:pPr>
            <w:r>
              <w:rPr>
                <w:rFonts w:ascii="Arial" w:cs="Arial" w:eastAsia="Arial" w:hAnsi="Arial"/>
                <w:sz w:val="20"/>
                <w:szCs w:val="20"/>
                <w:color w:val="auto"/>
                <w:w w:val="89"/>
              </w:rPr>
              <w:t>Mixed Concrete Plants and</w:t>
            </w:r>
          </w:p>
        </w:tc>
      </w:tr>
      <w:tr>
        <w:trPr>
          <w:trHeight w:val="250"/>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391"/>
        </w:trPr>
        <w:tc>
          <w:tcPr>
            <w:tcW w:w="2180" w:type="dxa"/>
            <w:vAlign w:val="bottom"/>
          </w:tcPr>
          <w:p>
            <w:pPr>
              <w:jc w:val="center"/>
              <w:spacing w:after="0"/>
              <w:rPr>
                <w:sz w:val="20"/>
                <w:szCs w:val="20"/>
                <w:color w:val="auto"/>
              </w:rPr>
            </w:pPr>
            <w:r>
              <w:rPr>
                <w:rFonts w:ascii="Arial" w:cs="Arial" w:eastAsia="Arial" w:hAnsi="Arial"/>
                <w:sz w:val="20"/>
                <w:szCs w:val="20"/>
                <w:color w:val="auto"/>
                <w:w w:val="89"/>
              </w:rPr>
              <w:t>Modes of Transportation</w:t>
            </w:r>
          </w:p>
        </w:tc>
        <w:tc>
          <w:tcPr>
            <w:tcW w:w="12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20"/>
                <w:szCs w:val="20"/>
                <w:color w:val="auto"/>
                <w:w w:val="91"/>
              </w:rPr>
              <w:t>Truck, Rail and Ship</w:t>
            </w:r>
          </w:p>
        </w:tc>
        <w:tc>
          <w:tcPr>
            <w:tcW w:w="1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1"/>
              </w:rPr>
              <w:t>Truck, Rail and Ship</w:t>
            </w:r>
          </w:p>
        </w:tc>
      </w:tr>
    </w:tbl>
    <w:p>
      <w:pPr>
        <w:spacing w:after="0" w:line="200" w:lineRule="exact"/>
        <w:rPr>
          <w:sz w:val="20"/>
          <w:szCs w:val="20"/>
          <w:color w:val="auto"/>
        </w:rPr>
      </w:pPr>
    </w:p>
    <w:p>
      <w:pPr>
        <w:spacing w:after="0" w:line="29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southwest and west. Excessive rainfall, and conversely excessive drought,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93"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2021. There were no changes to the Company’s critical accounting policies during the six months ended June 30,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from continuing operations before interest; income taxes; depreciation, depletion and amortization; the earnings/loss from nonconsolidated equity affiliates; acquisition and integration expenses; the impact of selling acquired inventory after markup to fair value as part of acquisition accounting; and the nonrecurring gain on divestiture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from continuing operations attributable to Martin Marietta to Adjusted EBITDA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4"/>
          </w:tcPr>
          <w:p>
            <w:pPr>
              <w:jc w:val="right"/>
              <w:ind w:right="40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jc w:val="right"/>
              <w:ind w:right="541"/>
              <w:spacing w:after="0"/>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2021</w:t>
            </w:r>
          </w:p>
        </w:tc>
        <w:tc>
          <w:tcPr>
            <w:tcW w:w="240" w:type="dxa"/>
            <w:vAlign w:val="bottom"/>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9"/>
                <w:szCs w:val="19"/>
                <w:color w:val="auto"/>
              </w:rPr>
            </w:pPr>
          </w:p>
        </w:tc>
        <w:tc>
          <w:tcPr>
            <w:tcW w:w="1200" w:type="dxa"/>
            <w:vAlign w:val="bottom"/>
            <w:gridSpan w:val="2"/>
          </w:tcPr>
          <w:p>
            <w:pPr>
              <w:ind w:left="20"/>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Net earnings from continuing operations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4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attributable to Martin Marietta</w:t>
            </w:r>
          </w:p>
        </w:tc>
        <w:tc>
          <w:tcPr>
            <w:tcW w:w="2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225.8</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377.7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29" w:lineRule="exact"/>
              <w:rPr>
                <w:sz w:val="20"/>
                <w:szCs w:val="20"/>
                <w:color w:val="auto"/>
              </w:rPr>
            </w:pPr>
            <w:r>
              <w:rPr>
                <w:rFonts w:ascii="Arial" w:cs="Arial" w:eastAsia="Arial" w:hAnsi="Arial"/>
                <w:sz w:val="20"/>
                <w:szCs w:val="20"/>
                <w:color w:val="auto"/>
              </w:rPr>
              <w:t>Add back (Deduct):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Interest expense, net of 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82.7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line="229" w:lineRule="exact"/>
              <w:rPr>
                <w:sz w:val="20"/>
                <w:szCs w:val="20"/>
                <w:color w:val="auto"/>
              </w:rPr>
            </w:pPr>
            <w:r>
              <w:rPr>
                <w:rFonts w:ascii="Arial" w:cs="Arial" w:eastAsia="Arial" w:hAnsi="Arial"/>
                <w:sz w:val="20"/>
                <w:szCs w:val="20"/>
                <w:color w:val="auto"/>
              </w:rPr>
              <w:t>Income tax expense for controlling interests</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104.4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0"/>
                <w:szCs w:val="20"/>
                <w:color w:val="auto"/>
              </w:rPr>
              <w:t>62.2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0"/>
                <w:szCs w:val="20"/>
                <w:color w:val="auto"/>
              </w:rPr>
              <w:t>110.2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FF0FC"/>
          </w:tcPr>
          <w:p>
            <w:pPr>
              <w:ind w:left="200"/>
              <w:spacing w:after="0" w:line="185" w:lineRule="exact"/>
              <w:rPr>
                <w:sz w:val="20"/>
                <w:szCs w:val="20"/>
                <w:color w:val="auto"/>
              </w:rPr>
            </w:pPr>
            <w:r>
              <w:rPr>
                <w:rFonts w:ascii="Arial" w:cs="Arial" w:eastAsia="Arial" w:hAnsi="Arial"/>
                <w:sz w:val="20"/>
                <w:szCs w:val="20"/>
                <w:color w:val="auto"/>
              </w:rPr>
              <w:t>Depreciation, depletion and amortization and</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460" w:type="dxa"/>
            <w:vAlign w:val="bottom"/>
            <w:shd w:val="clear" w:color="auto" w:fill="CFF0FC"/>
          </w:tcPr>
          <w:p>
            <w:pPr>
              <w:ind w:left="340"/>
              <w:spacing w:after="0"/>
              <w:rPr>
                <w:sz w:val="20"/>
                <w:szCs w:val="20"/>
                <w:color w:val="auto"/>
              </w:rPr>
            </w:pPr>
            <w:r>
              <w:rPr>
                <w:rFonts w:ascii="Arial" w:cs="Arial" w:eastAsia="Arial" w:hAnsi="Arial"/>
                <w:sz w:val="20"/>
                <w:szCs w:val="20"/>
                <w:color w:val="auto"/>
              </w:rPr>
              <w:t>earnings/loss from nonconsolidated equity affiliates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252.3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line="229" w:lineRule="exact"/>
              <w:rPr>
                <w:sz w:val="20"/>
                <w:szCs w:val="20"/>
                <w:color w:val="auto"/>
              </w:rPr>
            </w:pPr>
            <w:r>
              <w:rPr>
                <w:rFonts w:ascii="Arial" w:cs="Arial" w:eastAsia="Arial" w:hAnsi="Arial"/>
                <w:sz w:val="20"/>
                <w:szCs w:val="20"/>
                <w:color w:val="auto"/>
              </w:rPr>
              <w:t>Acquisition and integration expenses</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0"/>
                <w:szCs w:val="20"/>
                <w:color w:val="auto"/>
              </w:rPr>
              <w:t>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0"/>
                <w:szCs w:val="20"/>
                <w:color w:val="auto"/>
              </w:rPr>
              <w:t>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460" w:type="dxa"/>
            <w:vAlign w:val="bottom"/>
            <w:shd w:val="clear" w:color="auto" w:fill="CFF0FC"/>
          </w:tcPr>
          <w:p>
            <w:pPr>
              <w:ind w:left="200"/>
              <w:spacing w:after="0" w:line="185" w:lineRule="exact"/>
              <w:rPr>
                <w:sz w:val="20"/>
                <w:szCs w:val="20"/>
                <w:color w:val="auto"/>
              </w:rPr>
            </w:pPr>
            <w:r>
              <w:rPr>
                <w:rFonts w:ascii="Arial" w:cs="Arial" w:eastAsia="Arial" w:hAnsi="Arial"/>
                <w:sz w:val="20"/>
                <w:szCs w:val="20"/>
                <w:color w:val="auto"/>
              </w:rPr>
              <w:t>Impact of selling acquired inventory after markup</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460" w:type="dxa"/>
            <w:vAlign w:val="bottom"/>
            <w:shd w:val="clear" w:color="auto" w:fill="CFF0FC"/>
          </w:tcPr>
          <w:p>
            <w:pPr>
              <w:ind w:left="340"/>
              <w:spacing w:after="0"/>
              <w:rPr>
                <w:sz w:val="20"/>
                <w:szCs w:val="20"/>
                <w:color w:val="auto"/>
              </w:rPr>
            </w:pPr>
            <w:r>
              <w:rPr>
                <w:rFonts w:ascii="Arial" w:cs="Arial" w:eastAsia="Arial" w:hAnsi="Arial"/>
                <w:sz w:val="20"/>
                <w:szCs w:val="20"/>
                <w:color w:val="auto"/>
              </w:rPr>
              <w:t>to fair value as a part of acquisition accounting</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line="229" w:lineRule="exact"/>
              <w:rPr>
                <w:sz w:val="20"/>
                <w:szCs w:val="20"/>
                <w:color w:val="auto"/>
              </w:rPr>
            </w:pPr>
            <w:r>
              <w:rPr>
                <w:rFonts w:ascii="Arial" w:cs="Arial" w:eastAsia="Arial" w:hAnsi="Arial"/>
                <w:sz w:val="20"/>
                <w:szCs w:val="20"/>
                <w:color w:val="auto"/>
              </w:rPr>
              <w:t>Gain on divestiture</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line="229" w:lineRule="exact"/>
              <w:rPr>
                <w:sz w:val="20"/>
                <w:szCs w:val="20"/>
                <w:color w:val="auto"/>
              </w:rPr>
            </w:pPr>
            <w:r>
              <w:rPr>
                <w:rFonts w:ascii="Arial" w:cs="Arial" w:eastAsia="Arial" w:hAnsi="Arial"/>
                <w:sz w:val="20"/>
                <w:szCs w:val="20"/>
                <w:color w:val="auto"/>
              </w:rPr>
              <w:t>(151.7 )</w:t>
            </w:r>
          </w:p>
        </w:tc>
        <w:tc>
          <w:tcPr>
            <w:tcW w:w="30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line="229" w:lineRule="exact"/>
              <w:rPr>
                <w:sz w:val="20"/>
                <w:szCs w:val="20"/>
                <w:color w:val="auto"/>
              </w:rPr>
            </w:pPr>
            <w:r>
              <w:rPr>
                <w:rFonts w:ascii="Arial" w:cs="Arial" w:eastAsia="Arial" w:hAnsi="Arial"/>
                <w:sz w:val="20"/>
                <w:szCs w:val="20"/>
                <w:color w:val="auto"/>
              </w:rPr>
              <w:t>(151.7 )</w:t>
            </w:r>
          </w:p>
        </w:tc>
        <w:tc>
          <w:tcPr>
            <w:tcW w:w="3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4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Adjusted EBITDA</w:t>
            </w:r>
          </w:p>
        </w:tc>
        <w:tc>
          <w:tcPr>
            <w:tcW w:w="26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478.3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439.2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675.5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644.8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-24765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-7620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Adjusted earnings from operations and adjusted earnings per diluted share from continuing operations represent non-GAAP financial measures and exclude acquisition and integration expenses; the impact of selling acquired inventory after its markup to fair value as part of acquisition accounting and the impact of the gain on divestiture. Management presents these measures for investors to evaluate and forecast the Company’s results, as the impact of these items are non-recurring.</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consolidated earnings from operations to adjusted consolidated earnings from operations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4"/>
          </w:tcPr>
          <w:p>
            <w:pPr>
              <w:jc w:val="right"/>
              <w:ind w:right="541"/>
              <w:spacing w:after="0"/>
              <w:rPr>
                <w:sz w:val="20"/>
                <w:szCs w:val="20"/>
                <w:color w:val="auto"/>
              </w:rPr>
            </w:pPr>
            <w:r>
              <w:rPr>
                <w:rFonts w:ascii="Arial" w:cs="Arial" w:eastAsia="Arial" w:hAnsi="Arial"/>
                <w:sz w:val="20"/>
                <w:szCs w:val="20"/>
                <w:color w:val="auto"/>
              </w:rPr>
              <w:t>Three Months Ended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4"/>
          </w:tcPr>
          <w:p>
            <w:pPr>
              <w:jc w:val="right"/>
              <w:ind w:right="581"/>
              <w:spacing w:after="0"/>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10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2021</w:t>
            </w:r>
          </w:p>
        </w:tc>
        <w:tc>
          <w:tcPr>
            <w:tcW w:w="30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300" w:type="dxa"/>
            <w:vAlign w:val="bottom"/>
            <w:vMerge w:val="continue"/>
          </w:tcPr>
          <w:p>
            <w:pPr>
              <w:spacing w:after="0"/>
              <w:rPr>
                <w:sz w:val="19"/>
                <w:szCs w:val="19"/>
                <w:color w:val="auto"/>
              </w:rPr>
            </w:pPr>
          </w:p>
        </w:tc>
        <w:tc>
          <w:tcPr>
            <w:tcW w:w="1240" w:type="dxa"/>
            <w:vAlign w:val="bottom"/>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08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Consolidated earnings from operations in</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0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accordance with GAAP</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478.6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307.5</w:t>
            </w:r>
          </w:p>
        </w:tc>
        <w:tc>
          <w:tcPr>
            <w:tcW w:w="560" w:type="dxa"/>
            <w:vAlign w:val="bottom"/>
            <w:gridSpan w:val="2"/>
            <w:shd w:val="clear" w:color="auto" w:fill="CFF0FC"/>
          </w:tcPr>
          <w:p>
            <w:pPr>
              <w:ind w:left="32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line="229" w:lineRule="exact"/>
              <w:rPr>
                <w:sz w:val="20"/>
                <w:szCs w:val="20"/>
                <w:color w:val="auto"/>
              </w:rPr>
            </w:pPr>
            <w:r>
              <w:rPr>
                <w:rFonts w:ascii="Arial" w:cs="Arial" w:eastAsia="Arial" w:hAnsi="Arial"/>
                <w:sz w:val="20"/>
                <w:szCs w:val="20"/>
                <w:color w:val="auto"/>
              </w:rPr>
              <w:t>Add back (Deduct):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Acquisition and integration expenses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080" w:type="dxa"/>
            <w:vAlign w:val="bottom"/>
          </w:tcPr>
          <w:p>
            <w:pPr>
              <w:ind w:left="120"/>
              <w:spacing w:after="0" w:line="185" w:lineRule="exact"/>
              <w:rPr>
                <w:sz w:val="20"/>
                <w:szCs w:val="20"/>
                <w:color w:val="auto"/>
              </w:rPr>
            </w:pPr>
            <w:r>
              <w:rPr>
                <w:rFonts w:ascii="Arial" w:cs="Arial" w:eastAsia="Arial" w:hAnsi="Arial"/>
                <w:sz w:val="20"/>
                <w:szCs w:val="20"/>
                <w:color w:val="auto"/>
              </w:rPr>
              <w:t>Impact of selling acquired inventory after its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60"/>
              <w:spacing w:after="0" w:line="202" w:lineRule="exact"/>
              <w:rPr>
                <w:sz w:val="20"/>
                <w:szCs w:val="20"/>
                <w:color w:val="auto"/>
              </w:rPr>
            </w:pPr>
            <w:r>
              <w:rPr>
                <w:rFonts w:ascii="Arial" w:cs="Arial" w:eastAsia="Arial" w:hAnsi="Arial"/>
                <w:sz w:val="20"/>
                <w:szCs w:val="20"/>
                <w:color w:val="auto"/>
              </w:rPr>
              <w:t>markup to fair value as part of acquisition</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080" w:type="dxa"/>
            <w:vAlign w:val="bottom"/>
          </w:tcPr>
          <w:p>
            <w:pPr>
              <w:ind w:left="260"/>
              <w:spacing w:after="0"/>
              <w:rPr>
                <w:sz w:val="20"/>
                <w:szCs w:val="20"/>
                <w:color w:val="auto"/>
              </w:rPr>
            </w:pPr>
            <w:r>
              <w:rPr>
                <w:rFonts w:ascii="Arial" w:cs="Arial" w:eastAsia="Arial" w:hAnsi="Arial"/>
                <w:sz w:val="20"/>
                <w:szCs w:val="20"/>
                <w:color w:val="auto"/>
              </w:rPr>
              <w:t>accounting</w:t>
            </w:r>
          </w:p>
        </w:tc>
        <w:tc>
          <w:tcPr>
            <w:tcW w:w="2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Gain on divestiture</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line="229" w:lineRule="exact"/>
              <w:rPr>
                <w:sz w:val="20"/>
                <w:szCs w:val="20"/>
                <w:color w:val="auto"/>
              </w:rPr>
            </w:pPr>
            <w:r>
              <w:rPr>
                <w:rFonts w:ascii="Arial" w:cs="Arial" w:eastAsia="Arial" w:hAnsi="Arial"/>
                <w:sz w:val="20"/>
                <w:szCs w:val="20"/>
                <w:color w:val="auto"/>
              </w:rPr>
              <w:t>(151.7 )</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line="229" w:lineRule="exact"/>
              <w:rPr>
                <w:sz w:val="20"/>
                <w:szCs w:val="20"/>
                <w:color w:val="auto"/>
              </w:rPr>
            </w:pPr>
            <w:r>
              <w:rPr>
                <w:rFonts w:ascii="Arial" w:cs="Arial" w:eastAsia="Arial" w:hAnsi="Arial"/>
                <w:sz w:val="20"/>
                <w:szCs w:val="20"/>
                <w:color w:val="auto"/>
              </w:rPr>
              <w:t>(151.7 )</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8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Adjusted consolidated earnings from operations</w:t>
            </w:r>
          </w:p>
        </w:tc>
        <w:tc>
          <w:tcPr>
            <w:tcW w:w="280" w:type="dxa"/>
            <w:vAlign w:val="bottom"/>
            <w:tcBorders>
              <w:top w:val="single" w:sz="8" w:color="auto"/>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329.8</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324.4</w:t>
            </w: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391.0</w:t>
            </w: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425.0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-175895</wp:posOffset>
            </wp:positionV>
            <wp:extent cx="7683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-175895</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-175895</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 reconciliation of earnings per diluted share from continuing operations to adjusted earnings per diluted share from continuing operations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20"/>
                <w:szCs w:val="20"/>
                <w:color w:val="auto"/>
                <w:w w:val="88"/>
              </w:rPr>
              <w:t>Three Months Ended June 30, 2022</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40"/>
              <w:spacing w:after="0" w:line="223" w:lineRule="exact"/>
              <w:rPr>
                <w:sz w:val="20"/>
                <w:szCs w:val="20"/>
                <w:color w:val="auto"/>
              </w:rPr>
            </w:pPr>
            <w:r>
              <w:rPr>
                <w:rFonts w:ascii="Arial" w:cs="Arial" w:eastAsia="Arial" w:hAnsi="Arial"/>
                <w:sz w:val="20"/>
                <w:szCs w:val="20"/>
                <w:color w:val="auto"/>
              </w:rPr>
              <w:t>Pretax</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374"/>
              <w:spacing w:after="0" w:line="223" w:lineRule="exact"/>
              <w:rPr>
                <w:sz w:val="20"/>
                <w:szCs w:val="20"/>
                <w:color w:val="auto"/>
              </w:rPr>
            </w:pPr>
            <w:r>
              <w:rPr>
                <w:rFonts w:ascii="Arial" w:cs="Arial" w:eastAsia="Arial" w:hAnsi="Arial"/>
                <w:sz w:val="20"/>
                <w:szCs w:val="20"/>
                <w:color w:val="auto"/>
                <w:w w:val="97"/>
              </w:rPr>
              <w:t>Income 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460"/>
              <w:spacing w:after="0" w:line="223" w:lineRule="exact"/>
              <w:rPr>
                <w:sz w:val="20"/>
                <w:szCs w:val="20"/>
                <w:color w:val="auto"/>
              </w:rPr>
            </w:pPr>
            <w:r>
              <w:rPr>
                <w:rFonts w:ascii="Arial" w:cs="Arial" w:eastAsia="Arial" w:hAnsi="Arial"/>
                <w:sz w:val="20"/>
                <w:szCs w:val="20"/>
                <w:color w:val="auto"/>
                <w:w w:val="99"/>
              </w:rPr>
              <w:t>After-Tax</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01"/>
              <w:spacing w:after="0" w:line="223" w:lineRule="exact"/>
              <w:rPr>
                <w:sz w:val="20"/>
                <w:szCs w:val="20"/>
                <w:color w:val="auto"/>
              </w:rPr>
            </w:pPr>
            <w:r>
              <w:rPr>
                <w:rFonts w:ascii="Arial" w:cs="Arial" w:eastAsia="Arial" w:hAnsi="Arial"/>
                <w:sz w:val="20"/>
                <w:szCs w:val="20"/>
                <w:color w:val="auto"/>
                <w:w w:val="91"/>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140"/>
              <w:spacing w:after="0" w:line="223" w:lineRule="exact"/>
              <w:rPr>
                <w:sz w:val="20"/>
                <w:szCs w:val="20"/>
                <w:color w:val="auto"/>
              </w:rPr>
            </w:pPr>
            <w:r>
              <w:rPr>
                <w:rFonts w:ascii="Arial" w:cs="Arial" w:eastAsia="Arial" w:hAnsi="Arial"/>
                <w:sz w:val="20"/>
                <w:szCs w:val="20"/>
                <w:i w:val="1"/>
                <w:iCs w:val="1"/>
                <w:color w:val="auto"/>
              </w:rPr>
              <w:t>(In Millions,</w:t>
            </w:r>
          </w:p>
        </w:tc>
        <w:tc>
          <w:tcPr>
            <w:tcW w:w="320" w:type="dxa"/>
            <w:vAlign w:val="bottom"/>
            <w:gridSpan w:val="2"/>
          </w:tcPr>
          <w:p>
            <w:pPr>
              <w:spacing w:after="0"/>
              <w:rPr>
                <w:sz w:val="20"/>
                <w:szCs w:val="20"/>
                <w:color w:val="auto"/>
              </w:rPr>
            </w:pPr>
            <w:r>
              <w:rPr>
                <w:rFonts w:ascii="Arial" w:cs="Arial" w:eastAsia="Arial" w:hAnsi="Arial"/>
                <w:sz w:val="13"/>
                <w:szCs w:val="13"/>
                <w:i w:val="1"/>
                <w:iCs w:val="1"/>
                <w:color w:val="auto"/>
                <w:w w:val="75"/>
              </w:rPr>
              <w:t>Except</w:t>
            </w:r>
          </w:p>
        </w:tc>
        <w:tc>
          <w:tcPr>
            <w:tcW w:w="1240" w:type="dxa"/>
            <w:vAlign w:val="bottom"/>
            <w:tcBorders>
              <w:top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i w:val="1"/>
                <w:iCs w:val="1"/>
                <w:color w:val="auto"/>
              </w:rPr>
              <w:t>per Share)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Earnings per diluted share from continuing</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operations in accordance with GAAP</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line="229" w:lineRule="exact"/>
              <w:rPr>
                <w:sz w:val="20"/>
                <w:szCs w:val="20"/>
                <w:color w:val="auto"/>
              </w:rPr>
            </w:pPr>
            <w:r>
              <w:rPr>
                <w:rFonts w:ascii="Arial" w:cs="Arial" w:eastAsia="Arial" w:hAnsi="Arial"/>
                <w:sz w:val="20"/>
                <w:szCs w:val="20"/>
                <w:color w:val="auto"/>
              </w:rPr>
              <w:t>Impact of acquisition and integration expenses</w:t>
            </w:r>
          </w:p>
        </w:tc>
        <w:tc>
          <w:tcPr>
            <w:tcW w:w="380" w:type="dxa"/>
            <w:vAlign w:val="bottom"/>
            <w:gridSpan w:val="2"/>
          </w:tcPr>
          <w:p>
            <w:pPr>
              <w:jc w:val="right"/>
              <w:ind w:right="60"/>
              <w:spacing w:after="0" w:line="229" w:lineRule="exact"/>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2.9</w:t>
            </w:r>
          </w:p>
        </w:tc>
        <w:tc>
          <w:tcPr>
            <w:tcW w:w="120" w:type="dxa"/>
            <w:vAlign w:val="bottom"/>
          </w:tcPr>
          <w:p>
            <w:pPr>
              <w:spacing w:after="0"/>
              <w:rPr>
                <w:sz w:val="19"/>
                <w:szCs w:val="19"/>
                <w:color w:val="auto"/>
              </w:rPr>
            </w:pPr>
          </w:p>
        </w:tc>
        <w:tc>
          <w:tcPr>
            <w:tcW w:w="2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w:t>
            </w:r>
          </w:p>
        </w:tc>
        <w:tc>
          <w:tcPr>
            <w:tcW w:w="1480" w:type="dxa"/>
            <w:vAlign w:val="bottom"/>
            <w:gridSpan w:val="3"/>
          </w:tcPr>
          <w:p>
            <w:pPr>
              <w:jc w:val="right"/>
              <w:ind w:right="94"/>
              <w:spacing w:after="0" w:line="229" w:lineRule="exact"/>
              <w:rPr>
                <w:sz w:val="20"/>
                <w:szCs w:val="20"/>
                <w:color w:val="auto"/>
              </w:rPr>
            </w:pPr>
            <w:r>
              <w:rPr>
                <w:rFonts w:ascii="Arial" w:cs="Arial" w:eastAsia="Arial" w:hAnsi="Arial"/>
                <w:sz w:val="20"/>
                <w:szCs w:val="20"/>
                <w:color w:val="auto"/>
              </w:rPr>
              <w:t>(0.6 )</w:t>
            </w:r>
          </w:p>
        </w:tc>
        <w:tc>
          <w:tcPr>
            <w:tcW w:w="2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Impact of gain on divestiture</w:t>
            </w:r>
          </w:p>
        </w:tc>
        <w:tc>
          <w:tcPr>
            <w:tcW w:w="380" w:type="dxa"/>
            <w:vAlign w:val="bottom"/>
            <w:gridSpan w:val="2"/>
            <w:shd w:val="clear" w:color="auto" w:fill="CFF0FC"/>
          </w:tcPr>
          <w:p>
            <w:pPr>
              <w:jc w:val="right"/>
              <w:ind w:right="60"/>
              <w:spacing w:after="0" w:line="229" w:lineRule="exact"/>
              <w:rPr>
                <w:sz w:val="20"/>
                <w:szCs w:val="20"/>
                <w:color w:val="auto"/>
              </w:rPr>
            </w:pPr>
            <w:r>
              <w:rPr>
                <w:rFonts w:ascii="Arial" w:cs="Arial" w:eastAsia="Arial" w:hAnsi="Arial"/>
                <w:sz w:val="20"/>
                <w:szCs w:val="20"/>
                <w:color w:val="auto"/>
              </w:rPr>
              <w:t>$</w:t>
            </w:r>
          </w:p>
        </w:tc>
        <w:tc>
          <w:tcPr>
            <w:tcW w:w="1280" w:type="dxa"/>
            <w:vAlign w:val="bottom"/>
            <w:gridSpan w:val="3"/>
            <w:shd w:val="clear" w:color="auto" w:fill="CFF0FC"/>
          </w:tcPr>
          <w:p>
            <w:pPr>
              <w:jc w:val="right"/>
              <w:ind w:right="40"/>
              <w:spacing w:after="0" w:line="229" w:lineRule="exact"/>
              <w:rPr>
                <w:sz w:val="20"/>
                <w:szCs w:val="20"/>
                <w:color w:val="auto"/>
              </w:rPr>
            </w:pPr>
            <w:r>
              <w:rPr>
                <w:rFonts w:ascii="Arial" w:cs="Arial" w:eastAsia="Arial" w:hAnsi="Arial"/>
                <w:sz w:val="20"/>
                <w:szCs w:val="20"/>
                <w:color w:val="auto"/>
              </w:rPr>
              <w:t>(151.7 )</w:t>
            </w:r>
          </w:p>
        </w:tc>
        <w:tc>
          <w:tcPr>
            <w:tcW w:w="2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43.6</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300" w:type="dxa"/>
            <w:vAlign w:val="bottom"/>
            <w:gridSpan w:val="3"/>
            <w:shd w:val="clear" w:color="auto" w:fill="CFF0FC"/>
          </w:tcPr>
          <w:p>
            <w:pPr>
              <w:jc w:val="right"/>
              <w:ind w:right="140"/>
              <w:spacing w:after="0" w:line="229" w:lineRule="exact"/>
              <w:rPr>
                <w:sz w:val="20"/>
                <w:szCs w:val="20"/>
                <w:color w:val="auto"/>
              </w:rPr>
            </w:pPr>
            <w:r>
              <w:rPr>
                <w:rFonts w:ascii="Arial" w:cs="Arial" w:eastAsia="Arial" w:hAnsi="Arial"/>
                <w:sz w:val="20"/>
                <w:szCs w:val="20"/>
                <w:color w:val="auto"/>
              </w:rPr>
              <w:t>(108.1 )</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(1.73 )</w:t>
            </w:r>
          </w:p>
        </w:tc>
        <w:tc>
          <w:tcPr>
            <w:tcW w:w="0" w:type="dxa"/>
            <w:vAlign w:val="bottom"/>
          </w:tcPr>
          <w:p>
            <w:pPr>
              <w:spacing w:after="0"/>
              <w:rPr>
                <w:sz w:val="1"/>
                <w:szCs w:val="1"/>
                <w:color w:val="auto"/>
              </w:rPr>
            </w:pPr>
          </w:p>
        </w:tc>
      </w:tr>
      <w:tr>
        <w:trPr>
          <w:trHeight w:val="179"/>
        </w:trPr>
        <w:tc>
          <w:tcPr>
            <w:tcW w:w="4860" w:type="dxa"/>
            <w:vAlign w:val="bottom"/>
            <w:tcBorders>
              <w:top w:val="single" w:sz="8" w:color="CFF0FC"/>
            </w:tcBorders>
          </w:tcPr>
          <w:p>
            <w:pPr>
              <w:ind w:left="20"/>
              <w:spacing w:after="0" w:line="179" w:lineRule="exact"/>
              <w:rPr>
                <w:sz w:val="20"/>
                <w:szCs w:val="20"/>
                <w:color w:val="auto"/>
              </w:rPr>
            </w:pPr>
            <w:r>
              <w:rPr>
                <w:rFonts w:ascii="Arial" w:cs="Arial" w:eastAsia="Arial" w:hAnsi="Arial"/>
                <w:sz w:val="20"/>
                <w:szCs w:val="20"/>
                <w:color w:val="auto"/>
              </w:rPr>
              <w:t>Adjusted earnings per diluted share from</w:t>
            </w: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3.96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60"/>
              <w:spacing w:after="0" w:line="206" w:lineRule="exact"/>
              <w:rPr>
                <w:sz w:val="20"/>
                <w:szCs w:val="20"/>
                <w:color w:val="auto"/>
              </w:rPr>
            </w:pPr>
            <w:r>
              <w:rPr>
                <w:rFonts w:ascii="Arial" w:cs="Arial" w:eastAsia="Arial" w:hAnsi="Arial"/>
                <w:sz w:val="20"/>
                <w:szCs w:val="20"/>
                <w:color w:val="auto"/>
              </w:rPr>
              <w:t>continuing operations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10"/>
            <w:vMerge w:val="restart"/>
          </w:tcPr>
          <w:p>
            <w:pPr>
              <w:jc w:val="right"/>
              <w:ind w:right="380"/>
              <w:spacing w:after="0"/>
              <w:rPr>
                <w:sz w:val="20"/>
                <w:szCs w:val="20"/>
                <w:color w:val="auto"/>
              </w:rPr>
            </w:pPr>
            <w:r>
              <w:rPr>
                <w:rFonts w:ascii="Arial" w:cs="Arial" w:eastAsia="Arial" w:hAnsi="Arial"/>
                <w:sz w:val="20"/>
                <w:szCs w:val="20"/>
                <w:color w:val="auto"/>
                <w:w w:val="89"/>
              </w:rPr>
              <w:t>Three Months Ended June 30, 2021</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w w:val="96"/>
              </w:rPr>
              <w:t>Pretax</w:t>
            </w: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w w:val="88"/>
              </w:rPr>
              <w:t>Income Tax</w:t>
            </w:r>
          </w:p>
        </w:tc>
        <w:tc>
          <w:tcPr>
            <w:tcW w:w="30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00"/>
              <w:spacing w:after="0" w:line="223" w:lineRule="exact"/>
              <w:rPr>
                <w:sz w:val="20"/>
                <w:szCs w:val="20"/>
                <w:color w:val="auto"/>
              </w:rPr>
            </w:pPr>
            <w:r>
              <w:rPr>
                <w:rFonts w:ascii="Arial" w:cs="Arial" w:eastAsia="Arial" w:hAnsi="Arial"/>
                <w:sz w:val="20"/>
                <w:szCs w:val="20"/>
                <w:color w:val="auto"/>
                <w:w w:val="97"/>
              </w:rPr>
              <w:t>After-Tax</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w w:val="93"/>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jc w:val="right"/>
              <w:ind w:right="560"/>
              <w:spacing w:after="0" w:line="223" w:lineRule="exact"/>
              <w:rPr>
                <w:sz w:val="20"/>
                <w:szCs w:val="20"/>
                <w:color w:val="auto"/>
              </w:rPr>
            </w:pPr>
            <w:r>
              <w:rPr>
                <w:rFonts w:ascii="Arial" w:cs="Arial" w:eastAsia="Arial" w:hAnsi="Arial"/>
                <w:sz w:val="20"/>
                <w:szCs w:val="20"/>
                <w:i w:val="1"/>
                <w:iCs w:val="1"/>
                <w:color w:val="auto"/>
                <w:w w:val="91"/>
              </w:rPr>
              <w:t>(In Millions, Except per Share)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Earnings per diluted share from continuing</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operations in accordance with GAAP</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line="229" w:lineRule="exact"/>
              <w:rPr>
                <w:sz w:val="20"/>
                <w:szCs w:val="20"/>
                <w:color w:val="auto"/>
              </w:rPr>
            </w:pPr>
            <w:r>
              <w:rPr>
                <w:rFonts w:ascii="Arial" w:cs="Arial" w:eastAsia="Arial" w:hAnsi="Arial"/>
                <w:sz w:val="20"/>
                <w:szCs w:val="20"/>
                <w:color w:val="auto"/>
              </w:rPr>
              <w:t>Impact of acquisition and integration expenses</w:t>
            </w:r>
          </w:p>
        </w:tc>
        <w:tc>
          <w:tcPr>
            <w:tcW w:w="200" w:type="dxa"/>
            <w:vAlign w:val="bottom"/>
          </w:tcPr>
          <w:p>
            <w:pPr>
              <w:jc w:val="right"/>
              <w:ind w:right="1"/>
              <w:spacing w:after="0" w:line="229" w:lineRule="exact"/>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0"/>
                <w:szCs w:val="20"/>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line="229" w:lineRule="exact"/>
              <w:rPr>
                <w:sz w:val="20"/>
                <w:szCs w:val="20"/>
                <w:color w:val="auto"/>
              </w:rPr>
            </w:pPr>
            <w:r>
              <w:rPr>
                <w:rFonts w:ascii="Arial" w:cs="Arial" w:eastAsia="Arial" w:hAnsi="Arial"/>
                <w:sz w:val="20"/>
                <w:szCs w:val="20"/>
                <w:color w:val="auto"/>
                <w:w w:val="71"/>
              </w:rPr>
              <w:t>$</w:t>
            </w:r>
          </w:p>
        </w:tc>
        <w:tc>
          <w:tcPr>
            <w:tcW w:w="120" w:type="dxa"/>
            <w:vAlign w:val="bottom"/>
          </w:tcPr>
          <w:p>
            <w:pPr>
              <w:spacing w:after="0"/>
              <w:rPr>
                <w:sz w:val="19"/>
                <w:szCs w:val="19"/>
                <w:color w:val="auto"/>
              </w:rPr>
            </w:pPr>
          </w:p>
        </w:tc>
        <w:tc>
          <w:tcPr>
            <w:tcW w:w="1480" w:type="dxa"/>
            <w:vAlign w:val="bottom"/>
            <w:gridSpan w:val="3"/>
          </w:tcPr>
          <w:p>
            <w:pPr>
              <w:jc w:val="right"/>
              <w:ind w:right="154"/>
              <w:spacing w:after="0" w:line="229" w:lineRule="exact"/>
              <w:rPr>
                <w:sz w:val="20"/>
                <w:szCs w:val="20"/>
                <w:color w:val="auto"/>
              </w:rPr>
            </w:pPr>
            <w:r>
              <w:rPr>
                <w:rFonts w:ascii="Arial" w:cs="Arial" w:eastAsia="Arial" w:hAnsi="Arial"/>
                <w:sz w:val="20"/>
                <w:szCs w:val="20"/>
                <w:color w:val="auto"/>
              </w:rPr>
              <w:t>(2.2 )</w:t>
            </w:r>
          </w:p>
        </w:tc>
        <w:tc>
          <w:tcPr>
            <w:tcW w:w="240" w:type="dxa"/>
            <w:vAlign w:val="bottom"/>
            <w:gridSpan w:val="2"/>
          </w:tcPr>
          <w:p>
            <w:pPr>
              <w:jc w:val="right"/>
              <w:ind w:right="4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7.1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120"/>
              <w:spacing w:after="0" w:line="185" w:lineRule="exact"/>
              <w:rPr>
                <w:sz w:val="20"/>
                <w:szCs w:val="20"/>
                <w:color w:val="auto"/>
              </w:rPr>
            </w:pPr>
            <w:r>
              <w:rPr>
                <w:rFonts w:ascii="Arial" w:cs="Arial" w:eastAsia="Arial" w:hAnsi="Arial"/>
                <w:sz w:val="20"/>
                <w:szCs w:val="20"/>
                <w:color w:val="auto"/>
              </w:rPr>
              <w:t>Impact of selling acquired inventory after its</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FF0FC"/>
          </w:tcPr>
          <w:p>
            <w:pPr>
              <w:ind w:left="260"/>
              <w:spacing w:after="0" w:line="202" w:lineRule="exact"/>
              <w:rPr>
                <w:sz w:val="20"/>
                <w:szCs w:val="20"/>
                <w:color w:val="auto"/>
              </w:rPr>
            </w:pPr>
            <w:r>
              <w:rPr>
                <w:rFonts w:ascii="Arial" w:cs="Arial" w:eastAsia="Arial" w:hAnsi="Arial"/>
                <w:sz w:val="20"/>
                <w:szCs w:val="20"/>
                <w:color w:val="auto"/>
              </w:rPr>
              <w:t>markup to fair value as part of acquisition</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accounting</w:t>
            </w:r>
          </w:p>
        </w:tc>
        <w:tc>
          <w:tcPr>
            <w:tcW w:w="2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gridSpan w:val="3"/>
            <w:shd w:val="clear" w:color="auto" w:fill="CFF0FC"/>
          </w:tcPr>
          <w:p>
            <w:pPr>
              <w:jc w:val="right"/>
              <w:ind w:right="154"/>
              <w:spacing w:after="0"/>
              <w:rPr>
                <w:sz w:val="20"/>
                <w:szCs w:val="20"/>
                <w:color w:val="auto"/>
              </w:rPr>
            </w:pPr>
            <w:r>
              <w:rPr>
                <w:rFonts w:ascii="Arial" w:cs="Arial" w:eastAsia="Arial" w:hAnsi="Arial"/>
                <w:sz w:val="20"/>
                <w:szCs w:val="20"/>
                <w:color w:val="auto"/>
              </w:rPr>
              <w:t>(1.9 )</w:t>
            </w:r>
          </w:p>
        </w:tc>
        <w:tc>
          <w:tcPr>
            <w:tcW w:w="240" w:type="dxa"/>
            <w:vAlign w:val="bottom"/>
            <w:tcBorders>
              <w:bottom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5.7</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860" w:type="dxa"/>
            <w:vAlign w:val="bottom"/>
          </w:tcPr>
          <w:p>
            <w:pPr>
              <w:ind w:left="20"/>
              <w:spacing w:after="0" w:line="179" w:lineRule="exact"/>
              <w:rPr>
                <w:sz w:val="20"/>
                <w:szCs w:val="20"/>
                <w:color w:val="auto"/>
              </w:rPr>
            </w:pPr>
            <w:r>
              <w:rPr>
                <w:rFonts w:ascii="Arial" w:cs="Arial" w:eastAsia="Arial" w:hAnsi="Arial"/>
                <w:sz w:val="20"/>
                <w:szCs w:val="20"/>
                <w:color w:val="auto"/>
              </w:rPr>
              <w:t>Adjusted earnings per diluted share from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3.81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tcPr>
          <w:p>
            <w:pPr>
              <w:ind w:left="160"/>
              <w:spacing w:after="0" w:line="206" w:lineRule="exact"/>
              <w:rPr>
                <w:sz w:val="20"/>
                <w:szCs w:val="20"/>
                <w:color w:val="auto"/>
              </w:rPr>
            </w:pPr>
            <w:r>
              <w:rPr>
                <w:rFonts w:ascii="Arial" w:cs="Arial" w:eastAsia="Arial" w:hAnsi="Arial"/>
                <w:sz w:val="20"/>
                <w:szCs w:val="20"/>
                <w:color w:val="auto"/>
              </w:rPr>
              <w:t>continuing operations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-1955165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-278765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20"/>
                <w:szCs w:val="20"/>
                <w:color w:val="auto"/>
                <w:w w:val="88"/>
              </w:rPr>
              <w:t>Six Months Ended June 30, 2022</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500"/>
              <w:spacing w:after="0" w:line="223" w:lineRule="exact"/>
              <w:rPr>
                <w:sz w:val="20"/>
                <w:szCs w:val="20"/>
                <w:color w:val="auto"/>
              </w:rPr>
            </w:pPr>
            <w:r>
              <w:rPr>
                <w:rFonts w:ascii="Arial" w:cs="Arial" w:eastAsia="Arial" w:hAnsi="Arial"/>
                <w:sz w:val="20"/>
                <w:szCs w:val="20"/>
                <w:color w:val="auto"/>
              </w:rPr>
              <w:t>Pretax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374"/>
              <w:spacing w:after="0" w:line="223" w:lineRule="exact"/>
              <w:rPr>
                <w:sz w:val="20"/>
                <w:szCs w:val="20"/>
                <w:color w:val="auto"/>
              </w:rPr>
            </w:pPr>
            <w:r>
              <w:rPr>
                <w:rFonts w:ascii="Arial" w:cs="Arial" w:eastAsia="Arial" w:hAnsi="Arial"/>
                <w:sz w:val="20"/>
                <w:szCs w:val="20"/>
                <w:color w:val="auto"/>
                <w:w w:val="97"/>
              </w:rPr>
              <w:t>Income 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460"/>
              <w:spacing w:after="0" w:line="223" w:lineRule="exact"/>
              <w:rPr>
                <w:sz w:val="20"/>
                <w:szCs w:val="20"/>
                <w:color w:val="auto"/>
              </w:rPr>
            </w:pPr>
            <w:r>
              <w:rPr>
                <w:rFonts w:ascii="Arial" w:cs="Arial" w:eastAsia="Arial" w:hAnsi="Arial"/>
                <w:sz w:val="20"/>
                <w:szCs w:val="20"/>
                <w:color w:val="auto"/>
                <w:w w:val="99"/>
              </w:rPr>
              <w:t>After-Tax</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01"/>
              <w:spacing w:after="0" w:line="223" w:lineRule="exact"/>
              <w:rPr>
                <w:sz w:val="20"/>
                <w:szCs w:val="20"/>
                <w:color w:val="auto"/>
              </w:rPr>
            </w:pPr>
            <w:r>
              <w:rPr>
                <w:rFonts w:ascii="Arial" w:cs="Arial" w:eastAsia="Arial" w:hAnsi="Arial"/>
                <w:sz w:val="20"/>
                <w:szCs w:val="20"/>
                <w:color w:val="auto"/>
                <w:w w:val="91"/>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74"/>
              <w:spacing w:after="0" w:line="223" w:lineRule="exact"/>
              <w:rPr>
                <w:sz w:val="20"/>
                <w:szCs w:val="20"/>
                <w:color w:val="auto"/>
              </w:rPr>
            </w:pPr>
            <w:r>
              <w:rPr>
                <w:rFonts w:ascii="Arial" w:cs="Arial" w:eastAsia="Arial" w:hAnsi="Arial"/>
                <w:sz w:val="20"/>
                <w:szCs w:val="20"/>
                <w:i w:val="1"/>
                <w:iCs w:val="1"/>
                <w:color w:val="auto"/>
              </w:rPr>
              <w:t>(In Millions,</w:t>
            </w:r>
          </w:p>
        </w:tc>
        <w:tc>
          <w:tcPr>
            <w:tcW w:w="320" w:type="dxa"/>
            <w:vAlign w:val="bottom"/>
            <w:gridSpan w:val="2"/>
          </w:tcPr>
          <w:p>
            <w:pPr>
              <w:spacing w:after="0"/>
              <w:rPr>
                <w:sz w:val="20"/>
                <w:szCs w:val="20"/>
                <w:color w:val="auto"/>
              </w:rPr>
            </w:pPr>
            <w:r>
              <w:rPr>
                <w:rFonts w:ascii="Arial" w:cs="Arial" w:eastAsia="Arial" w:hAnsi="Arial"/>
                <w:sz w:val="13"/>
                <w:szCs w:val="13"/>
                <w:i w:val="1"/>
                <w:iCs w:val="1"/>
                <w:color w:val="auto"/>
                <w:w w:val="75"/>
              </w:rPr>
              <w:t>Except</w:t>
            </w:r>
          </w:p>
        </w:tc>
        <w:tc>
          <w:tcPr>
            <w:tcW w:w="1240" w:type="dxa"/>
            <w:vAlign w:val="bottom"/>
            <w:tcBorders>
              <w:top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i w:val="1"/>
                <w:iCs w:val="1"/>
                <w:color w:val="auto"/>
              </w:rPr>
              <w:t>per Share)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Earnings per diluted share from continuing</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operations in accordance with GAAP</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line="229" w:lineRule="exact"/>
              <w:rPr>
                <w:sz w:val="20"/>
                <w:szCs w:val="20"/>
                <w:color w:val="auto"/>
              </w:rPr>
            </w:pPr>
            <w:r>
              <w:rPr>
                <w:rFonts w:ascii="Arial" w:cs="Arial" w:eastAsia="Arial" w:hAnsi="Arial"/>
                <w:sz w:val="20"/>
                <w:szCs w:val="20"/>
                <w:color w:val="auto"/>
              </w:rPr>
              <w:t>Impact of acquisition and integration expenses</w:t>
            </w:r>
          </w:p>
        </w:tc>
        <w:tc>
          <w:tcPr>
            <w:tcW w:w="380" w:type="dxa"/>
            <w:vAlign w:val="bottom"/>
            <w:gridSpan w:val="2"/>
          </w:tcPr>
          <w:p>
            <w:pPr>
              <w:jc w:val="right"/>
              <w:ind w:right="60"/>
              <w:spacing w:after="0" w:line="229" w:lineRule="exact"/>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line="229" w:lineRule="exact"/>
              <w:rPr>
                <w:sz w:val="20"/>
                <w:szCs w:val="20"/>
                <w:color w:val="auto"/>
              </w:rPr>
            </w:pPr>
            <w:r>
              <w:rPr>
                <w:rFonts w:ascii="Arial" w:cs="Arial" w:eastAsia="Arial" w:hAnsi="Arial"/>
                <w:sz w:val="20"/>
                <w:szCs w:val="20"/>
                <w:color w:val="auto"/>
                <w:w w:val="89"/>
              </w:rPr>
              <w:t>$</w:t>
            </w:r>
          </w:p>
        </w:tc>
        <w:tc>
          <w:tcPr>
            <w:tcW w:w="1480" w:type="dxa"/>
            <w:vAlign w:val="bottom"/>
            <w:gridSpan w:val="3"/>
          </w:tcPr>
          <w:p>
            <w:pPr>
              <w:jc w:val="right"/>
              <w:ind w:right="94"/>
              <w:spacing w:after="0" w:line="229" w:lineRule="exact"/>
              <w:rPr>
                <w:sz w:val="20"/>
                <w:szCs w:val="20"/>
                <w:color w:val="auto"/>
              </w:rPr>
            </w:pPr>
            <w:r>
              <w:rPr>
                <w:rFonts w:ascii="Arial" w:cs="Arial" w:eastAsia="Arial" w:hAnsi="Arial"/>
                <w:sz w:val="20"/>
                <w:szCs w:val="20"/>
                <w:color w:val="auto"/>
              </w:rPr>
              <w:t>(0.9 )</w:t>
            </w:r>
          </w:p>
        </w:tc>
        <w:tc>
          <w:tcPr>
            <w:tcW w:w="2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3.4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Impact of gain on divestiture</w:t>
            </w:r>
          </w:p>
        </w:tc>
        <w:tc>
          <w:tcPr>
            <w:tcW w:w="380" w:type="dxa"/>
            <w:vAlign w:val="bottom"/>
            <w:gridSpan w:val="2"/>
            <w:shd w:val="clear" w:color="auto" w:fill="CFF0FC"/>
          </w:tcPr>
          <w:p>
            <w:pPr>
              <w:jc w:val="right"/>
              <w:ind w:right="60"/>
              <w:spacing w:after="0" w:line="229" w:lineRule="exact"/>
              <w:rPr>
                <w:sz w:val="20"/>
                <w:szCs w:val="20"/>
                <w:color w:val="auto"/>
              </w:rPr>
            </w:pPr>
            <w:r>
              <w:rPr>
                <w:rFonts w:ascii="Arial" w:cs="Arial" w:eastAsia="Arial" w:hAnsi="Arial"/>
                <w:sz w:val="20"/>
                <w:szCs w:val="20"/>
                <w:color w:val="auto"/>
              </w:rPr>
              <w:t>$</w:t>
            </w:r>
          </w:p>
        </w:tc>
        <w:tc>
          <w:tcPr>
            <w:tcW w:w="1240" w:type="dxa"/>
            <w:vAlign w:val="bottom"/>
            <w:gridSpan w:val="3"/>
            <w:shd w:val="clear" w:color="auto" w:fill="CFF0FC"/>
          </w:tcPr>
          <w:p>
            <w:pPr>
              <w:jc w:val="right"/>
              <w:spacing w:after="0" w:line="229" w:lineRule="exact"/>
              <w:rPr>
                <w:sz w:val="20"/>
                <w:szCs w:val="20"/>
                <w:color w:val="auto"/>
              </w:rPr>
            </w:pPr>
            <w:r>
              <w:rPr>
                <w:rFonts w:ascii="Arial" w:cs="Arial" w:eastAsia="Arial" w:hAnsi="Arial"/>
                <w:sz w:val="20"/>
                <w:szCs w:val="20"/>
                <w:color w:val="auto"/>
              </w:rPr>
              <w:t>(151.7 )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89"/>
              </w:rPr>
              <w:t>$</w:t>
            </w:r>
          </w:p>
        </w:tc>
        <w:tc>
          <w:tcPr>
            <w:tcW w:w="12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43.6</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1300" w:type="dxa"/>
            <w:vAlign w:val="bottom"/>
            <w:gridSpan w:val="3"/>
            <w:shd w:val="clear" w:color="auto" w:fill="CFF0FC"/>
          </w:tcPr>
          <w:p>
            <w:pPr>
              <w:jc w:val="right"/>
              <w:ind w:right="140"/>
              <w:spacing w:after="0" w:line="229" w:lineRule="exact"/>
              <w:rPr>
                <w:sz w:val="20"/>
                <w:szCs w:val="20"/>
                <w:color w:val="auto"/>
              </w:rPr>
            </w:pPr>
            <w:r>
              <w:rPr>
                <w:rFonts w:ascii="Arial" w:cs="Arial" w:eastAsia="Arial" w:hAnsi="Arial"/>
                <w:sz w:val="20"/>
                <w:szCs w:val="20"/>
                <w:color w:val="auto"/>
              </w:rPr>
              <w:t>(108.1 )</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(1.73 )</w:t>
            </w:r>
          </w:p>
        </w:tc>
        <w:tc>
          <w:tcPr>
            <w:tcW w:w="0" w:type="dxa"/>
            <w:vAlign w:val="bottom"/>
          </w:tcPr>
          <w:p>
            <w:pPr>
              <w:spacing w:after="0"/>
              <w:rPr>
                <w:sz w:val="1"/>
                <w:szCs w:val="1"/>
                <w:color w:val="auto"/>
              </w:rPr>
            </w:pPr>
          </w:p>
        </w:tc>
      </w:tr>
      <w:tr>
        <w:trPr>
          <w:trHeight w:val="179"/>
        </w:trPr>
        <w:tc>
          <w:tcPr>
            <w:tcW w:w="4860" w:type="dxa"/>
            <w:vAlign w:val="bottom"/>
            <w:tcBorders>
              <w:top w:val="single" w:sz="8" w:color="CFF0FC"/>
            </w:tcBorders>
          </w:tcPr>
          <w:p>
            <w:pPr>
              <w:ind w:left="20"/>
              <w:spacing w:after="0" w:line="179" w:lineRule="exact"/>
              <w:rPr>
                <w:sz w:val="20"/>
                <w:szCs w:val="20"/>
                <w:color w:val="auto"/>
              </w:rPr>
            </w:pPr>
            <w:r>
              <w:rPr>
                <w:rFonts w:ascii="Arial" w:cs="Arial" w:eastAsia="Arial" w:hAnsi="Arial"/>
                <w:sz w:val="20"/>
                <w:szCs w:val="20"/>
                <w:color w:val="auto"/>
              </w:rPr>
              <w:t>Adjusted earnings per diluted share from</w:t>
            </w: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60"/>
              <w:spacing w:after="0" w:line="206" w:lineRule="exact"/>
              <w:rPr>
                <w:sz w:val="20"/>
                <w:szCs w:val="20"/>
                <w:color w:val="auto"/>
              </w:rPr>
            </w:pPr>
            <w:r>
              <w:rPr>
                <w:rFonts w:ascii="Arial" w:cs="Arial" w:eastAsia="Arial" w:hAnsi="Arial"/>
                <w:sz w:val="20"/>
                <w:szCs w:val="20"/>
                <w:color w:val="auto"/>
              </w:rPr>
              <w:t>continuing operations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9"/>
            <w:vMerge w:val="restart"/>
          </w:tcPr>
          <w:p>
            <w:pPr>
              <w:jc w:val="right"/>
              <w:ind w:right="460"/>
              <w:spacing w:after="0"/>
              <w:rPr>
                <w:sz w:val="20"/>
                <w:szCs w:val="20"/>
                <w:color w:val="auto"/>
              </w:rPr>
            </w:pPr>
            <w:r>
              <w:rPr>
                <w:rFonts w:ascii="Arial" w:cs="Arial" w:eastAsia="Arial" w:hAnsi="Arial"/>
                <w:sz w:val="20"/>
                <w:szCs w:val="20"/>
                <w:color w:val="auto"/>
                <w:w w:val="90"/>
              </w:rPr>
              <w:t>Six Months Ended June 30, 2021</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680"/>
              <w:spacing w:after="0" w:line="223" w:lineRule="exact"/>
              <w:rPr>
                <w:sz w:val="20"/>
                <w:szCs w:val="20"/>
                <w:color w:val="auto"/>
              </w:rPr>
            </w:pPr>
            <w:r>
              <w:rPr>
                <w:rFonts w:ascii="Arial" w:cs="Arial" w:eastAsia="Arial" w:hAnsi="Arial"/>
                <w:sz w:val="20"/>
                <w:szCs w:val="20"/>
                <w:color w:val="auto"/>
                <w:w w:val="93"/>
              </w:rPr>
              <w:t>Pretax</w:t>
            </w:r>
          </w:p>
        </w:tc>
        <w:tc>
          <w:tcPr>
            <w:tcW w:w="160" w:type="dxa"/>
            <w:vAlign w:val="bottom"/>
          </w:tcPr>
          <w:p>
            <w:pPr>
              <w:spacing w:after="0"/>
              <w:rPr>
                <w:sz w:val="19"/>
                <w:szCs w:val="19"/>
                <w:color w:val="auto"/>
              </w:rPr>
            </w:pPr>
          </w:p>
        </w:tc>
        <w:tc>
          <w:tcPr>
            <w:tcW w:w="1600" w:type="dxa"/>
            <w:vAlign w:val="bottom"/>
            <w:gridSpan w:val="4"/>
          </w:tcPr>
          <w:p>
            <w:pPr>
              <w:jc w:val="right"/>
              <w:ind w:right="514"/>
              <w:spacing w:after="0" w:line="223" w:lineRule="exact"/>
              <w:rPr>
                <w:sz w:val="20"/>
                <w:szCs w:val="20"/>
                <w:color w:val="auto"/>
              </w:rPr>
            </w:pPr>
            <w:r>
              <w:rPr>
                <w:rFonts w:ascii="Arial" w:cs="Arial" w:eastAsia="Arial" w:hAnsi="Arial"/>
                <w:sz w:val="20"/>
                <w:szCs w:val="20"/>
                <w:color w:val="auto"/>
                <w:w w:val="95"/>
              </w:rPr>
              <w:t>Income 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480"/>
              <w:spacing w:after="0" w:line="223" w:lineRule="exact"/>
              <w:rPr>
                <w:sz w:val="20"/>
                <w:szCs w:val="20"/>
                <w:color w:val="auto"/>
              </w:rPr>
            </w:pPr>
            <w:r>
              <w:rPr>
                <w:rFonts w:ascii="Arial" w:cs="Arial" w:eastAsia="Arial" w:hAnsi="Arial"/>
                <w:sz w:val="20"/>
                <w:szCs w:val="20"/>
                <w:color w:val="auto"/>
                <w:w w:val="97"/>
              </w:rPr>
              <w:t>After-Tax</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81"/>
              <w:spacing w:after="0" w:line="223" w:lineRule="exact"/>
              <w:rPr>
                <w:sz w:val="20"/>
                <w:szCs w:val="20"/>
                <w:color w:val="auto"/>
              </w:rPr>
            </w:pPr>
            <w:r>
              <w:rPr>
                <w:rFonts w:ascii="Arial" w:cs="Arial" w:eastAsia="Arial" w:hAnsi="Arial"/>
                <w:sz w:val="20"/>
                <w:szCs w:val="20"/>
                <w:color w:val="auto"/>
                <w:w w:val="93"/>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61"/>
              <w:spacing w:after="0" w:line="223" w:lineRule="exact"/>
              <w:rPr>
                <w:sz w:val="20"/>
                <w:szCs w:val="20"/>
                <w:color w:val="auto"/>
              </w:rPr>
            </w:pPr>
            <w:r>
              <w:rPr>
                <w:rFonts w:ascii="Arial" w:cs="Arial" w:eastAsia="Arial" w:hAnsi="Arial"/>
                <w:sz w:val="20"/>
                <w:szCs w:val="20"/>
                <w:i w:val="1"/>
                <w:iCs w:val="1"/>
                <w:color w:val="auto"/>
                <w:w w:val="96"/>
              </w:rPr>
              <w:t>(In Millions,</w:t>
            </w:r>
          </w:p>
        </w:tc>
        <w:tc>
          <w:tcPr>
            <w:tcW w:w="320" w:type="dxa"/>
            <w:vAlign w:val="bottom"/>
            <w:gridSpan w:val="2"/>
          </w:tcPr>
          <w:p>
            <w:pPr>
              <w:jc w:val="right"/>
              <w:spacing w:after="0"/>
              <w:rPr>
                <w:sz w:val="20"/>
                <w:szCs w:val="20"/>
                <w:color w:val="auto"/>
              </w:rPr>
            </w:pPr>
            <w:r>
              <w:rPr>
                <w:rFonts w:ascii="Arial" w:cs="Arial" w:eastAsia="Arial" w:hAnsi="Arial"/>
                <w:sz w:val="13"/>
                <w:szCs w:val="13"/>
                <w:i w:val="1"/>
                <w:iCs w:val="1"/>
                <w:color w:val="auto"/>
                <w:w w:val="75"/>
              </w:rPr>
              <w:t>Except</w:t>
            </w:r>
          </w:p>
        </w:tc>
        <w:tc>
          <w:tcPr>
            <w:tcW w:w="1360" w:type="dxa"/>
            <w:vAlign w:val="bottom"/>
            <w:tcBorders>
              <w:top w:val="single" w:sz="8" w:color="auto"/>
            </w:tcBorders>
            <w:gridSpan w:val="4"/>
          </w:tcPr>
          <w:p>
            <w:pPr>
              <w:jc w:val="right"/>
              <w:ind w:right="380"/>
              <w:spacing w:after="0" w:line="223" w:lineRule="exact"/>
              <w:rPr>
                <w:sz w:val="20"/>
                <w:szCs w:val="20"/>
                <w:color w:val="auto"/>
              </w:rPr>
            </w:pPr>
            <w:r>
              <w:rPr>
                <w:rFonts w:ascii="Arial" w:cs="Arial" w:eastAsia="Arial" w:hAnsi="Arial"/>
                <w:sz w:val="20"/>
                <w:szCs w:val="20"/>
                <w:i w:val="1"/>
                <w:iCs w:val="1"/>
                <w:color w:val="auto"/>
              </w:rPr>
              <w:t>per Share)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Earnings per diluted share from continuing</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operations in accordance with GAAP</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line="229" w:lineRule="exact"/>
              <w:rPr>
                <w:sz w:val="20"/>
                <w:szCs w:val="20"/>
                <w:color w:val="auto"/>
              </w:rPr>
            </w:pPr>
            <w:r>
              <w:rPr>
                <w:rFonts w:ascii="Arial" w:cs="Arial" w:eastAsia="Arial" w:hAnsi="Arial"/>
                <w:sz w:val="20"/>
                <w:szCs w:val="20"/>
                <w:color w:val="auto"/>
              </w:rPr>
              <w:t>Impact of acquisition and integration expenses</w:t>
            </w:r>
          </w:p>
        </w:tc>
        <w:tc>
          <w:tcPr>
            <w:tcW w:w="200" w:type="dxa"/>
            <w:vAlign w:val="bottom"/>
          </w:tcPr>
          <w:p>
            <w:pPr>
              <w:jc w:val="right"/>
              <w:spacing w:after="0" w:line="229" w:lineRule="exact"/>
              <w:rPr>
                <w:sz w:val="20"/>
                <w:szCs w:val="20"/>
                <w:color w:val="auto"/>
              </w:rPr>
            </w:pPr>
            <w:r>
              <w:rPr>
                <w:rFonts w:ascii="Arial" w:cs="Arial" w:eastAsia="Arial" w:hAnsi="Arial"/>
                <w:sz w:val="20"/>
                <w:szCs w:val="20"/>
                <w:color w:val="auto"/>
                <w:w w:val="89"/>
              </w:rPr>
              <w:t>$</w:t>
            </w:r>
          </w:p>
        </w:tc>
        <w:tc>
          <w:tcPr>
            <w:tcW w:w="180" w:type="dxa"/>
            <w:vAlign w:val="bottom"/>
          </w:tcPr>
          <w:p>
            <w:pPr>
              <w:spacing w:after="0"/>
              <w:rPr>
                <w:sz w:val="19"/>
                <w:szCs w:val="19"/>
                <w:color w:val="auto"/>
              </w:rPr>
            </w:pPr>
          </w:p>
        </w:tc>
        <w:tc>
          <w:tcPr>
            <w:tcW w:w="1000" w:type="dxa"/>
            <w:vAlign w:val="bottom"/>
          </w:tcPr>
          <w:p>
            <w:pPr>
              <w:jc w:val="right"/>
              <w:spacing w:after="0" w:line="229" w:lineRule="exact"/>
              <w:rPr>
                <w:sz w:val="20"/>
                <w:szCs w:val="20"/>
                <w:color w:val="auto"/>
              </w:rPr>
            </w:pPr>
            <w:r>
              <w:rPr>
                <w:rFonts w:ascii="Arial" w:cs="Arial" w:eastAsia="Arial" w:hAnsi="Arial"/>
                <w:sz w:val="20"/>
                <w:szCs w:val="20"/>
                <w:color w:val="auto"/>
              </w:rPr>
              <w:t>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9"/>
                <w:szCs w:val="19"/>
                <w:color w:val="auto"/>
              </w:rPr>
            </w:pPr>
          </w:p>
        </w:tc>
        <w:tc>
          <w:tcPr>
            <w:tcW w:w="124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(2.4 )</w:t>
            </w:r>
          </w:p>
        </w:tc>
        <w:tc>
          <w:tcPr>
            <w:tcW w:w="240" w:type="dxa"/>
            <w:vAlign w:val="bottom"/>
          </w:tcPr>
          <w:p>
            <w:pPr>
              <w:spacing w:after="0"/>
              <w:rPr>
                <w:sz w:val="19"/>
                <w:szCs w:val="19"/>
                <w:color w:val="auto"/>
              </w:rPr>
            </w:pPr>
          </w:p>
        </w:tc>
        <w:tc>
          <w:tcPr>
            <w:tcW w:w="240" w:type="dxa"/>
            <w:vAlign w:val="bottom"/>
            <w:gridSpan w:val="2"/>
          </w:tcPr>
          <w:p>
            <w:pPr>
              <w:jc w:val="right"/>
              <w:ind w:right="41"/>
              <w:spacing w:after="0" w:line="229" w:lineRule="exact"/>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120"/>
              <w:spacing w:after="0" w:line="185" w:lineRule="exact"/>
              <w:rPr>
                <w:sz w:val="20"/>
                <w:szCs w:val="20"/>
                <w:color w:val="auto"/>
              </w:rPr>
            </w:pPr>
            <w:r>
              <w:rPr>
                <w:rFonts w:ascii="Arial" w:cs="Arial" w:eastAsia="Arial" w:hAnsi="Arial"/>
                <w:sz w:val="20"/>
                <w:szCs w:val="20"/>
                <w:color w:val="auto"/>
              </w:rPr>
              <w:t>Impact of selling acquired inventory after its</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FF0FC"/>
          </w:tcPr>
          <w:p>
            <w:pPr>
              <w:ind w:left="260"/>
              <w:spacing w:after="0" w:line="202" w:lineRule="exact"/>
              <w:rPr>
                <w:sz w:val="20"/>
                <w:szCs w:val="20"/>
                <w:color w:val="auto"/>
              </w:rPr>
            </w:pPr>
            <w:r>
              <w:rPr>
                <w:rFonts w:ascii="Arial" w:cs="Arial" w:eastAsia="Arial" w:hAnsi="Arial"/>
                <w:sz w:val="20"/>
                <w:szCs w:val="20"/>
                <w:color w:val="auto"/>
              </w:rPr>
              <w:t>markup to fair value as part of acquisition</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accounting</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(1.9 )</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5.7</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860" w:type="dxa"/>
            <w:vAlign w:val="bottom"/>
          </w:tcPr>
          <w:p>
            <w:pPr>
              <w:ind w:left="20"/>
              <w:spacing w:after="0" w:line="179" w:lineRule="exact"/>
              <w:rPr>
                <w:sz w:val="20"/>
                <w:szCs w:val="20"/>
                <w:color w:val="auto"/>
              </w:rPr>
            </w:pPr>
            <w:r>
              <w:rPr>
                <w:rFonts w:ascii="Arial" w:cs="Arial" w:eastAsia="Arial" w:hAnsi="Arial"/>
                <w:sz w:val="20"/>
                <w:szCs w:val="20"/>
                <w:color w:val="auto"/>
              </w:rPr>
              <w:t>Adjusted earnings per diluted share from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tcPr>
          <w:p>
            <w:pPr>
              <w:ind w:left="160"/>
              <w:spacing w:after="0" w:line="206" w:lineRule="exact"/>
              <w:rPr>
                <w:sz w:val="20"/>
                <w:szCs w:val="20"/>
                <w:color w:val="auto"/>
              </w:rPr>
            </w:pPr>
            <w:r>
              <w:rPr>
                <w:rFonts w:ascii="Arial" w:cs="Arial" w:eastAsia="Arial" w:hAnsi="Arial"/>
                <w:sz w:val="20"/>
                <w:szCs w:val="20"/>
                <w:color w:val="auto"/>
              </w:rPr>
              <w:t>continuing operations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-1955165</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-278765</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Mix-adjusted average selling price (mix-adjusted ASP) excludes the impacts of product, geographic and other mix from the current-period average selling price and is a non-GAAP measure. Mix-adjusted ASP is calculated by comparing current-period shipments to like-for-like shipments in the comparable prior period. Management uses this metric to evaluate the effectiveness of the Company’s pricing increases and believes this information is useful to investors as it provides same-on-same pricing trends.</w:t>
      </w:r>
    </w:p>
    <w:p>
      <w:pPr>
        <w:jc w:val="center"/>
        <w:spacing w:after="0"/>
        <w:rPr>
          <w:sz w:val="20"/>
          <w:szCs w:val="20"/>
          <w:color w:val="auto"/>
        </w:rPr>
      </w:pPr>
      <w:r>
        <w:rPr>
          <w:rFonts w:ascii="Arial" w:cs="Arial" w:eastAsia="Arial" w:hAnsi="Arial"/>
          <w:sz w:val="20"/>
          <w:szCs w:val="20"/>
          <w:color w:val="auto"/>
        </w:rPr>
        <w:t>Page 29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59"/>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MANAGEMENT’S DISCUSSION AND ANALYSIS OF FINANCIAL CONDITION AND</w:t>
      </w:r>
    </w:p>
    <w:p>
      <w:pPr>
        <w:jc w:val="center"/>
        <w:ind w:right="-119"/>
        <w:spacing w:after="0" w:line="238" w:lineRule="auto"/>
        <w:rPr>
          <w:sz w:val="20"/>
          <w:szCs w:val="20"/>
          <w:color w:val="auto"/>
        </w:rPr>
      </w:pPr>
      <w:r>
        <w:rPr>
          <w:rFonts w:ascii="Arial" w:cs="Arial" w:eastAsia="Arial" w:hAnsi="Arial"/>
          <w:sz w:val="20"/>
          <w:szCs w:val="20"/>
          <w:color w:val="auto"/>
        </w:rPr>
        <w:t>RESULTS OF OPERATIONS</w:t>
      </w:r>
    </w:p>
    <w:p>
      <w:pPr>
        <w:jc w:val="center"/>
        <w:ind w:right="-1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reconciles reported average selling price to mix-adjusted ASP and corresponding variances.</w:t>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Organic East Group - Aggregates: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Reported average selling price</w:t>
      </w:r>
    </w:p>
    <w:p>
      <w:pPr>
        <w:spacing w:after="0" w:line="15" w:lineRule="exact"/>
        <w:rPr>
          <w:sz w:val="20"/>
          <w:szCs w:val="20"/>
          <w:color w:val="auto"/>
        </w:rPr>
      </w:pPr>
    </w:p>
    <w:p>
      <w:pPr>
        <w:ind w:left="160" w:hanging="147"/>
        <w:spacing w:after="0" w:line="227" w:lineRule="auto"/>
        <w:rPr>
          <w:sz w:val="20"/>
          <w:szCs w:val="20"/>
          <w:color w:val="auto"/>
        </w:rPr>
      </w:pPr>
      <w:r>
        <w:rPr>
          <w:rFonts w:ascii="Arial" w:cs="Arial" w:eastAsia="Arial" w:hAnsi="Arial"/>
          <w:sz w:val="20"/>
          <w:szCs w:val="20"/>
          <w:color w:val="auto"/>
        </w:rPr>
        <w:t>Adjustment for favorable impact of product, geographic and other mix</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Mix-adjusted ASP</w:t>
      </w:r>
    </w:p>
    <w:p>
      <w:pPr>
        <w:spacing w:after="0" w:line="268" w:lineRule="exact"/>
        <w:rPr>
          <w:sz w:val="20"/>
          <w:szCs w:val="20"/>
          <w:color w:val="auto"/>
        </w:rPr>
      </w:pPr>
    </w:p>
    <w:p>
      <w:pPr>
        <w:ind w:left="20" w:right="1300"/>
        <w:spacing w:after="0" w:line="330" w:lineRule="auto"/>
        <w:rPr>
          <w:sz w:val="20"/>
          <w:szCs w:val="20"/>
          <w:color w:val="auto"/>
        </w:rPr>
      </w:pPr>
      <w:r>
        <w:rPr>
          <w:rFonts w:ascii="Arial" w:cs="Arial" w:eastAsia="Arial" w:hAnsi="Arial"/>
          <w:sz w:val="19"/>
          <w:szCs w:val="19"/>
          <w:color w:val="auto"/>
        </w:rPr>
        <w:t>Reported average selling price variance Mix-adjusted ASP variance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Organic West Group - Aggregates: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Reported average selling price</w:t>
      </w:r>
    </w:p>
    <w:p>
      <w:pPr>
        <w:spacing w:after="0" w:line="15" w:lineRule="exact"/>
        <w:rPr>
          <w:sz w:val="20"/>
          <w:szCs w:val="20"/>
          <w:color w:val="auto"/>
        </w:rPr>
      </w:pPr>
    </w:p>
    <w:p>
      <w:pPr>
        <w:ind w:left="160" w:right="920" w:hanging="147"/>
        <w:spacing w:after="0" w:line="227" w:lineRule="auto"/>
        <w:rPr>
          <w:sz w:val="20"/>
          <w:szCs w:val="20"/>
          <w:color w:val="auto"/>
        </w:rPr>
      </w:pPr>
      <w:r>
        <w:rPr>
          <w:rFonts w:ascii="Arial" w:cs="Arial" w:eastAsia="Arial" w:hAnsi="Arial"/>
          <w:sz w:val="20"/>
          <w:szCs w:val="20"/>
          <w:color w:val="auto"/>
        </w:rPr>
        <w:t>Adjustment for favorable impact of product, geographic and other mix</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Mix-adjusted ASP</w:t>
      </w:r>
    </w:p>
    <w:p>
      <w:pPr>
        <w:spacing w:after="0" w:line="268" w:lineRule="exact"/>
        <w:rPr>
          <w:sz w:val="20"/>
          <w:szCs w:val="20"/>
          <w:color w:val="auto"/>
        </w:rPr>
      </w:pPr>
    </w:p>
    <w:p>
      <w:pPr>
        <w:ind w:left="20" w:right="1300"/>
        <w:spacing w:after="0" w:line="330" w:lineRule="auto"/>
        <w:rPr>
          <w:sz w:val="20"/>
          <w:szCs w:val="20"/>
          <w:color w:val="auto"/>
        </w:rPr>
      </w:pPr>
      <w:r>
        <w:rPr>
          <w:rFonts w:ascii="Arial" w:cs="Arial" w:eastAsia="Arial" w:hAnsi="Arial"/>
          <w:sz w:val="19"/>
          <w:szCs w:val="19"/>
          <w:color w:val="auto"/>
        </w:rPr>
        <w:t>Reported average selling price variance Mix-adjusted ASP variance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Total Organic Aggregates: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Reported average selling price</w:t>
      </w:r>
    </w:p>
    <w:p>
      <w:pPr>
        <w:spacing w:after="0" w:line="15" w:lineRule="exact"/>
        <w:rPr>
          <w:sz w:val="20"/>
          <w:szCs w:val="20"/>
          <w:color w:val="auto"/>
        </w:rPr>
      </w:pPr>
    </w:p>
    <w:p>
      <w:pPr>
        <w:ind w:left="160" w:right="920" w:hanging="147"/>
        <w:spacing w:after="0" w:line="227" w:lineRule="auto"/>
        <w:rPr>
          <w:sz w:val="20"/>
          <w:szCs w:val="20"/>
          <w:color w:val="auto"/>
        </w:rPr>
      </w:pPr>
      <w:r>
        <w:rPr>
          <w:rFonts w:ascii="Arial" w:cs="Arial" w:eastAsia="Arial" w:hAnsi="Arial"/>
          <w:sz w:val="20"/>
          <w:szCs w:val="20"/>
          <w:color w:val="auto"/>
        </w:rPr>
        <w:t>Adjustment for favorable impact of product, geographic and other mix</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Mix-adjusted ASP</w:t>
      </w:r>
    </w:p>
    <w:p>
      <w:pPr>
        <w:spacing w:after="0" w:line="268" w:lineRule="exact"/>
        <w:rPr>
          <w:sz w:val="20"/>
          <w:szCs w:val="20"/>
          <w:color w:val="auto"/>
        </w:rPr>
      </w:pPr>
    </w:p>
    <w:p>
      <w:pPr>
        <w:ind w:left="20" w:right="1300"/>
        <w:spacing w:after="0" w:line="330" w:lineRule="auto"/>
        <w:rPr>
          <w:sz w:val="20"/>
          <w:szCs w:val="20"/>
          <w:color w:val="auto"/>
        </w:rPr>
      </w:pPr>
      <w:r>
        <w:rPr>
          <w:rFonts w:ascii="Arial" w:cs="Arial" w:eastAsia="Arial" w:hAnsi="Arial"/>
          <w:sz w:val="19"/>
          <w:szCs w:val="19"/>
          <w:color w:val="auto"/>
        </w:rPr>
        <w:t>Reported average selling price variance Mix-adjusted ASP variance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Cement: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Reported average selling price</w:t>
      </w:r>
    </w:p>
    <w:p>
      <w:pPr>
        <w:spacing w:after="0" w:line="15" w:lineRule="exact"/>
        <w:rPr>
          <w:sz w:val="20"/>
          <w:szCs w:val="20"/>
          <w:color w:val="auto"/>
        </w:rPr>
      </w:pPr>
    </w:p>
    <w:p>
      <w:pPr>
        <w:ind w:left="160" w:right="920" w:hanging="147"/>
        <w:spacing w:after="0" w:line="227" w:lineRule="auto"/>
        <w:rPr>
          <w:sz w:val="20"/>
          <w:szCs w:val="20"/>
          <w:color w:val="auto"/>
        </w:rPr>
      </w:pPr>
      <w:r>
        <w:rPr>
          <w:rFonts w:ascii="Arial" w:cs="Arial" w:eastAsia="Arial" w:hAnsi="Arial"/>
          <w:sz w:val="20"/>
          <w:szCs w:val="20"/>
          <w:color w:val="auto"/>
        </w:rPr>
        <w:t>Adjustment for favorable impact of product, geographic and other mix</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Mix-adjusted ASP</w:t>
      </w:r>
    </w:p>
    <w:p>
      <w:pPr>
        <w:spacing w:after="0" w:line="268" w:lineRule="exact"/>
        <w:rPr>
          <w:sz w:val="20"/>
          <w:szCs w:val="20"/>
          <w:color w:val="auto"/>
        </w:rPr>
      </w:pPr>
    </w:p>
    <w:p>
      <w:pPr>
        <w:ind w:left="20" w:right="1300"/>
        <w:spacing w:after="0" w:line="330" w:lineRule="auto"/>
        <w:rPr>
          <w:sz w:val="20"/>
          <w:szCs w:val="20"/>
          <w:color w:val="auto"/>
        </w:rPr>
      </w:pPr>
      <w:r>
        <w:rPr>
          <w:rFonts w:ascii="Arial" w:cs="Arial" w:eastAsia="Arial" w:hAnsi="Arial"/>
          <w:sz w:val="19"/>
          <w:szCs w:val="19"/>
          <w:color w:val="auto"/>
        </w:rPr>
        <w:t>Reported average selling price variance Mix-adjusted ASP variance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2500" w:type="dxa"/>
            <w:vAlign w:val="bottom"/>
            <w:gridSpan w:val="4"/>
          </w:tcPr>
          <w:p>
            <w:pPr>
              <w:jc w:val="right"/>
              <w:ind w:right="44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jc w:val="right"/>
              <w:ind w:right="521"/>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2022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2022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2021</w:t>
            </w:r>
          </w:p>
        </w:tc>
        <w:tc>
          <w:tcPr>
            <w:tcW w:w="0" w:type="dxa"/>
            <w:vAlign w:val="bottom"/>
          </w:tcPr>
          <w:p>
            <w:pPr>
              <w:spacing w:after="0"/>
              <w:rPr>
                <w:sz w:val="1"/>
                <w:szCs w:val="1"/>
                <w:color w:val="auto"/>
              </w:rPr>
            </w:pPr>
          </w:p>
        </w:tc>
      </w:tr>
      <w:tr>
        <w:trPr>
          <w:trHeight w:val="451"/>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16.79</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15.59</w:t>
            </w: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16.91</w:t>
            </w:r>
          </w:p>
        </w:tc>
        <w:tc>
          <w:tcPr>
            <w:tcW w:w="24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20"/>
                <w:szCs w:val="20"/>
                <w:color w:val="auto"/>
              </w:rPr>
              <w:t>(0.08 )</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61"/>
              <w:spacing w:after="0"/>
              <w:rPr>
                <w:sz w:val="20"/>
                <w:szCs w:val="20"/>
                <w:color w:val="auto"/>
              </w:rPr>
            </w:pPr>
            <w:r>
              <w:rPr>
                <w:rFonts w:ascii="Arial" w:cs="Arial" w:eastAsia="Arial" w:hAnsi="Arial"/>
                <w:sz w:val="20"/>
                <w:szCs w:val="20"/>
                <w:color w:val="auto"/>
              </w:rPr>
              <w:t>(0.06 )</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16.71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0" w:type="dxa"/>
            <w:vAlign w:val="bottom"/>
          </w:tcPr>
          <w:p>
            <w:pPr>
              <w:spacing w:after="0"/>
              <w:rPr>
                <w:sz w:val="24"/>
                <w:szCs w:val="24"/>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7.6 %</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6.6 %</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7.1</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6.3</w:t>
            </w: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vMerge w:val="restart"/>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14.03</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jc w:val="right"/>
              <w:ind w:right="16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13.93</w:t>
            </w:r>
          </w:p>
        </w:tc>
        <w:tc>
          <w:tcPr>
            <w:tcW w:w="0" w:type="dxa"/>
            <w:vAlign w:val="bottom"/>
          </w:tcPr>
          <w:p>
            <w:pPr>
              <w:spacing w:after="0" w:line="20" w:lineRule="exact"/>
              <w:rPr>
                <w:sz w:val="1"/>
                <w:szCs w:val="1"/>
                <w:color w:val="auto"/>
              </w:rPr>
            </w:pPr>
          </w:p>
        </w:tc>
      </w:tr>
      <w:tr>
        <w:trPr>
          <w:trHeight w:val="672"/>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15.67</w:t>
            </w:r>
          </w:p>
        </w:tc>
        <w:tc>
          <w:tcPr>
            <w:tcW w:w="28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15.37</w:t>
            </w:r>
          </w:p>
        </w:tc>
        <w:tc>
          <w:tcPr>
            <w:tcW w:w="2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20"/>
                <w:szCs w:val="20"/>
                <w:color w:val="auto"/>
              </w:rPr>
              <w:t>(0.47 )</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61"/>
              <w:spacing w:after="0"/>
              <w:rPr>
                <w:sz w:val="20"/>
                <w:szCs w:val="20"/>
                <w:color w:val="auto"/>
              </w:rPr>
            </w:pPr>
            <w:r>
              <w:rPr>
                <w:rFonts w:ascii="Arial" w:cs="Arial" w:eastAsia="Arial" w:hAnsi="Arial"/>
                <w:sz w:val="20"/>
                <w:szCs w:val="20"/>
                <w:color w:val="auto"/>
              </w:rPr>
              <w:t>(0.45 )</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0" w:type="dxa"/>
            <w:vAlign w:val="bottom"/>
          </w:tcPr>
          <w:p>
            <w:pPr>
              <w:spacing w:after="0"/>
              <w:rPr>
                <w:sz w:val="24"/>
                <w:szCs w:val="24"/>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11.7 %</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10.3 %</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8.3</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7.1</w:t>
            </w: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vMerge w:val="restart"/>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15.07</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jc w:val="right"/>
              <w:ind w:right="16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15.17</w:t>
            </w:r>
          </w:p>
        </w:tc>
        <w:tc>
          <w:tcPr>
            <w:tcW w:w="0" w:type="dxa"/>
            <w:vAlign w:val="bottom"/>
          </w:tcPr>
          <w:p>
            <w:pPr>
              <w:spacing w:after="0" w:line="20" w:lineRule="exact"/>
              <w:rPr>
                <w:sz w:val="1"/>
                <w:szCs w:val="1"/>
                <w:color w:val="auto"/>
              </w:rPr>
            </w:pPr>
          </w:p>
        </w:tc>
      </w:tr>
      <w:tr>
        <w:trPr>
          <w:trHeight w:val="672"/>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16.40</w:t>
            </w:r>
          </w:p>
        </w:tc>
        <w:tc>
          <w:tcPr>
            <w:tcW w:w="28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16.34</w:t>
            </w:r>
          </w:p>
        </w:tc>
        <w:tc>
          <w:tcPr>
            <w:tcW w:w="2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20"/>
                <w:szCs w:val="20"/>
                <w:color w:val="auto"/>
              </w:rPr>
              <w:t>(0.20 )</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61"/>
              <w:spacing w:after="0"/>
              <w:rPr>
                <w:sz w:val="20"/>
                <w:szCs w:val="20"/>
                <w:color w:val="auto"/>
              </w:rPr>
            </w:pPr>
            <w:r>
              <w:rPr>
                <w:rFonts w:ascii="Arial" w:cs="Arial" w:eastAsia="Arial" w:hAnsi="Arial"/>
                <w:sz w:val="20"/>
                <w:szCs w:val="20"/>
                <w:color w:val="auto"/>
              </w:rPr>
              <w:t>(0.18 )</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0" w:type="dxa"/>
            <w:vAlign w:val="bottom"/>
          </w:tcPr>
          <w:p>
            <w:pPr>
              <w:spacing w:after="0"/>
              <w:rPr>
                <w:sz w:val="24"/>
                <w:szCs w:val="24"/>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8.8 %</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7.7 %</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7.5</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6.5</w:t>
            </w: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vMerge w:val="restart"/>
          </w:tcPr>
          <w:p>
            <w:pPr>
              <w:jc w:val="right"/>
              <w:ind w:right="141"/>
              <w:spacing w:after="0"/>
              <w:rPr>
                <w:sz w:val="20"/>
                <w:szCs w:val="20"/>
                <w:color w:val="auto"/>
              </w:rPr>
            </w:pPr>
            <w:r>
              <w:rPr>
                <w:rFonts w:ascii="Arial" w:cs="Arial" w:eastAsia="Arial" w:hAnsi="Arial"/>
                <w:sz w:val="20"/>
                <w:szCs w:val="20"/>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122.11</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restart"/>
          </w:tcPr>
          <w:p>
            <w:pPr>
              <w:jc w:val="right"/>
              <w:ind w:right="161"/>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118.80</w:t>
            </w:r>
          </w:p>
        </w:tc>
        <w:tc>
          <w:tcPr>
            <w:tcW w:w="0" w:type="dxa"/>
            <w:vAlign w:val="bottom"/>
          </w:tcPr>
          <w:p>
            <w:pPr>
              <w:spacing w:after="0" w:line="20" w:lineRule="exact"/>
              <w:rPr>
                <w:sz w:val="1"/>
                <w:szCs w:val="1"/>
                <w:color w:val="auto"/>
              </w:rPr>
            </w:pPr>
          </w:p>
        </w:tc>
      </w:tr>
      <w:tr>
        <w:trPr>
          <w:trHeight w:val="672"/>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140.00</w:t>
            </w:r>
          </w:p>
        </w:tc>
        <w:tc>
          <w:tcPr>
            <w:tcW w:w="28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134.79</w:t>
            </w:r>
          </w:p>
        </w:tc>
        <w:tc>
          <w:tcPr>
            <w:tcW w:w="2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20"/>
                <w:szCs w:val="20"/>
                <w:color w:val="auto"/>
              </w:rPr>
              <w:t>(2.67 )</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61"/>
              <w:spacing w:after="0"/>
              <w:rPr>
                <w:sz w:val="20"/>
                <w:szCs w:val="20"/>
                <w:color w:val="auto"/>
              </w:rPr>
            </w:pPr>
            <w:r>
              <w:rPr>
                <w:rFonts w:ascii="Arial" w:cs="Arial" w:eastAsia="Arial" w:hAnsi="Arial"/>
                <w:sz w:val="20"/>
                <w:szCs w:val="20"/>
                <w:color w:val="auto"/>
              </w:rPr>
              <w:t>(2.04 )</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137.33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132.75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0" w:type="dxa"/>
            <w:vAlign w:val="bottom"/>
          </w:tcPr>
          <w:p>
            <w:pPr>
              <w:spacing w:after="0"/>
              <w:rPr>
                <w:sz w:val="24"/>
                <w:szCs w:val="24"/>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14.7 %</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13.5 %</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12.5</w:t>
            </w:r>
          </w:p>
        </w:tc>
        <w:tc>
          <w:tcPr>
            <w:tcW w:w="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11.7</w:t>
            </w: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-5284470</wp:posOffset>
            </wp:positionV>
            <wp:extent cx="7132955" cy="1708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-4839970</wp:posOffset>
            </wp:positionV>
            <wp:extent cx="7132955" cy="1708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-4523740</wp:posOffset>
            </wp:positionV>
            <wp:extent cx="7132955" cy="1708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-4181475</wp:posOffset>
            </wp:positionV>
            <wp:extent cx="7132955" cy="145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-3890645</wp:posOffset>
            </wp:positionV>
            <wp:extent cx="7132955" cy="1708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-3446145</wp:posOffset>
            </wp:positionV>
            <wp:extent cx="7132955" cy="1708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-3129280</wp:posOffset>
            </wp:positionV>
            <wp:extent cx="7132955" cy="1708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-2787650</wp:posOffset>
            </wp:positionV>
            <wp:extent cx="7132955"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-2496820</wp:posOffset>
            </wp:positionV>
            <wp:extent cx="7132955" cy="1708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-2051685</wp:posOffset>
            </wp:positionV>
            <wp:extent cx="7132955" cy="1708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-1735455</wp:posOffset>
            </wp:positionV>
            <wp:extent cx="7132955" cy="1708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-1393190</wp:posOffset>
            </wp:positionV>
            <wp:extent cx="7132955" cy="145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-1102360</wp:posOffset>
            </wp:positionV>
            <wp:extent cx="7132955" cy="1708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-657860</wp:posOffset>
            </wp:positionV>
            <wp:extent cx="7132955" cy="1708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-341630</wp:posOffset>
            </wp:positionV>
            <wp:extent cx="7132955" cy="1708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Page 30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57150</wp:posOffset>
            </wp:positionV>
            <wp:extent cx="71583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4440" w:space="640"/>
            <w:col w:w="6060"/>
          </w:cols>
          <w:pgMar w:left="320" w:top="122" w:right="439" w:bottom="1440" w:gutter="0" w:footer="0" w:header="0"/>
          <w:type w:val="continuous"/>
        </w:sectPr>
      </w:pPr>
    </w:p>
    <w:bookmarkStart w:id="30" w:name="page31"/>
    <w:bookmarkEnd w:id="3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June 30, 2022</w:t>
      </w:r>
    </w:p>
    <w:p>
      <w:pPr>
        <w:spacing w:after="0" w:line="9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Financial highlights for the quarter ended June 30, 2022 (unless noted, all comparisons are versus the prior-year quarter and for continuing operations):</w:t>
      </w:r>
    </w:p>
    <w:p>
      <w:pPr>
        <w:spacing w:after="0" w:line="69" w:lineRule="exact"/>
        <w:rPr>
          <w:sz w:val="20"/>
          <w:szCs w:val="20"/>
          <w:color w:val="auto"/>
        </w:rPr>
      </w:pPr>
    </w:p>
    <w:p>
      <w:pPr>
        <w:ind w:left="760" w:hanging="378"/>
        <w:spacing w:after="0"/>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total revenues of $1.64 billion compared with $1.38 billion</w:t>
      </w:r>
    </w:p>
    <w:p>
      <w:pPr>
        <w:spacing w:after="0" w:line="1" w:lineRule="exact"/>
        <w:rPr>
          <w:rFonts w:ascii="Arial" w:cs="Arial" w:eastAsia="Arial" w:hAnsi="Arial"/>
          <w:sz w:val="20"/>
          <w:szCs w:val="20"/>
          <w:color w:val="007DC6"/>
        </w:rPr>
      </w:pP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$1.45 billion compared with $1.23 billion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Magnesia Specialties products revenues of $74.6 million compared with $70.0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gross profit of $425.2 million compared with $385.1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Consolidated earnings from operations of $478.6 million compared with $307.5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Adjusted consolidated earnings from operations of $329.8 million compared with $324.4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Net earnings from continuing operations attributable to Martin Marietta of $353.2 million compared with $225.8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Adjusted EBITDA of $478.3 million compared with $439.2 million</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Earnings per diluted share from continuing operations of $5.65 compared with $3.61</w:t>
      </w:r>
    </w:p>
    <w:p>
      <w:pPr>
        <w:ind w:left="760" w:hanging="378"/>
        <w:spacing w:after="0" w:line="224" w:lineRule="auto"/>
        <w:tabs>
          <w:tab w:leader="none" w:pos="760" w:val="left"/>
        </w:tabs>
        <w:numPr>
          <w:ilvl w:val="0"/>
          <w:numId w:val="9"/>
        </w:numPr>
        <w:rPr>
          <w:rFonts w:ascii="Arial" w:cs="Arial" w:eastAsia="Arial" w:hAnsi="Arial"/>
          <w:sz w:val="20"/>
          <w:szCs w:val="20"/>
          <w:color w:val="007DC6"/>
        </w:rPr>
      </w:pPr>
      <w:r>
        <w:rPr>
          <w:rFonts w:ascii="Arial" w:cs="Arial" w:eastAsia="Arial" w:hAnsi="Arial"/>
          <w:sz w:val="20"/>
          <w:szCs w:val="20"/>
          <w:color w:val="auto"/>
        </w:rPr>
        <w:t>Adjusted earnings per diluted share from continuing operations of $3.96 compared with $3.81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following tables present total revenues, gross profit (loss), selling, general and administrative (SG&amp;A) expenses and earnings (loss) from operations data for the Company and its reportable segments by product line for continuing operations for the three months ended June 30, 2022 and 2021. In each case, the data is stated as a percentage of revenues of the Company or the relevant segment or product line, as the case may be. For the three months ended June 30, 2022, earnings from operations for the West Group include a $151.7 million nonrecurring gain on divested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4"/>
          </w:tcPr>
          <w:p>
            <w:pPr>
              <w:jc w:val="right"/>
              <w:ind w:right="2000"/>
              <w:spacing w:after="0"/>
              <w:rPr>
                <w:sz w:val="20"/>
                <w:szCs w:val="20"/>
                <w:color w:val="auto"/>
              </w:rPr>
            </w:pPr>
            <w:r>
              <w:rPr>
                <w:rFonts w:ascii="Arial" w:cs="Arial" w:eastAsia="Arial" w:hAnsi="Arial"/>
                <w:sz w:val="20"/>
                <w:szCs w:val="20"/>
                <w:color w:val="auto"/>
                <w:w w:val="98"/>
              </w:rPr>
              <w:t>Three Months Ended June 30,</w:t>
            </w: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2022</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Amount</w:t>
            </w:r>
          </w:p>
        </w:tc>
        <w:tc>
          <w:tcPr>
            <w:tcW w:w="380" w:type="dxa"/>
            <w:vAlign w:val="bottom"/>
          </w:tcPr>
          <w:p>
            <w:pPr>
              <w:spacing w:after="0"/>
              <w:rPr>
                <w:sz w:val="19"/>
                <w:szCs w:val="19"/>
                <w:color w:val="auto"/>
              </w:rPr>
            </w:pPr>
          </w:p>
        </w:tc>
        <w:tc>
          <w:tcPr>
            <w:tcW w:w="1560" w:type="dxa"/>
            <w:vAlign w:val="bottom"/>
            <w:vMerge w:val="restart"/>
          </w:tcPr>
          <w:p>
            <w:pPr>
              <w:ind w:left="680"/>
              <w:spacing w:after="0"/>
              <w:rPr>
                <w:sz w:val="20"/>
                <w:szCs w:val="20"/>
                <w:color w:val="auto"/>
              </w:rPr>
            </w:pPr>
            <w:r>
              <w:rPr>
                <w:rFonts w:ascii="Arial" w:cs="Arial" w:eastAsia="Arial" w:hAnsi="Arial"/>
                <w:sz w:val="20"/>
                <w:szCs w:val="20"/>
                <w:i w:val="1"/>
                <w:iCs w:val="1"/>
                <w:color w:val="auto"/>
                <w:w w:val="95"/>
              </w:rPr>
              <w:t>(Dollars in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Amount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440" w:type="dxa"/>
            <w:vAlign w:val="bottom"/>
            <w:gridSpan w:val="2"/>
          </w:tcPr>
          <w:p>
            <w:pPr>
              <w:jc w:val="right"/>
              <w:ind w:right="581"/>
              <w:spacing w:after="0" w:line="223" w:lineRule="exact"/>
              <w:rPr>
                <w:sz w:val="20"/>
                <w:szCs w:val="20"/>
                <w:color w:val="auto"/>
              </w:rPr>
            </w:pPr>
            <w:r>
              <w:rPr>
                <w:rFonts w:ascii="Arial" w:cs="Arial" w:eastAsia="Arial" w:hAnsi="Arial"/>
                <w:sz w:val="20"/>
                <w:szCs w:val="20"/>
                <w:i w:val="1"/>
                <w:iCs w:val="1"/>
                <w:color w:val="auto"/>
              </w:rPr>
              <w:t>Millions)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300"/>
              <w:spacing w:after="0" w:line="229" w:lineRule="exact"/>
              <w:rPr>
                <w:sz w:val="20"/>
                <w:szCs w:val="20"/>
                <w:color w:val="auto"/>
              </w:rPr>
            </w:pPr>
            <w:r>
              <w:rPr>
                <w:rFonts w:ascii="Arial" w:cs="Arial" w:eastAsia="Arial" w:hAnsi="Arial"/>
                <w:sz w:val="20"/>
                <w:szCs w:val="20"/>
                <w:color w:val="auto"/>
              </w:rPr>
              <w:t>East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w w:val="89"/>
              </w:rPr>
              <w:t>$</w:t>
            </w:r>
          </w:p>
        </w:tc>
        <w:tc>
          <w:tcPr>
            <w:tcW w:w="10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590.6</w:t>
            </w:r>
          </w:p>
        </w:tc>
        <w:tc>
          <w:tcPr>
            <w:tcW w:w="3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1"/>
              <w:spacing w:after="0" w:line="229" w:lineRule="exact"/>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554.2</w:t>
            </w: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480"/>
              <w:spacing w:after="0" w:line="229" w:lineRule="exact"/>
              <w:rPr>
                <w:sz w:val="20"/>
                <w:szCs w:val="20"/>
                <w:color w:val="auto"/>
              </w:rPr>
            </w:pPr>
            <w:r>
              <w:rPr>
                <w:rFonts w:ascii="Arial" w:cs="Arial" w:eastAsia="Arial" w:hAnsi="Arial"/>
                <w:sz w:val="20"/>
                <w:szCs w:val="20"/>
                <w:color w:val="auto"/>
              </w:rPr>
              <w:t>Asphalt</w:t>
            </w:r>
          </w:p>
        </w:tc>
        <w:tc>
          <w:tcPr>
            <w:tcW w:w="24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47.4</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47.1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line="229" w:lineRule="exact"/>
              <w:rPr>
                <w:sz w:val="20"/>
                <w:szCs w:val="20"/>
                <w:color w:val="auto"/>
              </w:rPr>
            </w:pPr>
            <w:r>
              <w:rPr>
                <w:rFonts w:ascii="Arial" w:cs="Arial" w:eastAsia="Arial" w:hAnsi="Arial"/>
                <w:sz w:val="20"/>
                <w:szCs w:val="20"/>
                <w:color w:val="auto"/>
              </w:rPr>
              <w:t>(5.6 )</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60" w:type="dxa"/>
            <w:vAlign w:val="bottom"/>
            <w:gridSpan w:val="2"/>
            <w:shd w:val="clear" w:color="auto" w:fill="CFF0FC"/>
          </w:tcPr>
          <w:p>
            <w:pPr>
              <w:jc w:val="right"/>
              <w:ind w:right="1600"/>
              <w:spacing w:after="0" w:line="229" w:lineRule="exact"/>
              <w:rPr>
                <w:sz w:val="20"/>
                <w:szCs w:val="20"/>
                <w:color w:val="auto"/>
              </w:rPr>
            </w:pPr>
            <w:r>
              <w:rPr>
                <w:rFonts w:ascii="Arial" w:cs="Arial" w:eastAsia="Arial" w:hAnsi="Arial"/>
                <w:sz w:val="20"/>
                <w:szCs w:val="20"/>
                <w:color w:val="auto"/>
              </w:rPr>
              <w:t>(4.8 )</w:t>
            </w:r>
          </w:p>
        </w:tc>
        <w:tc>
          <w:tcPr>
            <w:tcW w:w="0" w:type="dxa"/>
            <w:vAlign w:val="bottom"/>
          </w:tcPr>
          <w:p>
            <w:pPr>
              <w:spacing w:after="0"/>
              <w:rPr>
                <w:sz w:val="1"/>
                <w:szCs w:val="1"/>
                <w:color w:val="auto"/>
              </w:rPr>
            </w:pPr>
          </w:p>
        </w:tc>
      </w:tr>
      <w:tr>
        <w:trPr>
          <w:trHeight w:val="222"/>
        </w:trPr>
        <w:tc>
          <w:tcPr>
            <w:tcW w:w="4860" w:type="dxa"/>
            <w:vAlign w:val="bottom"/>
            <w:tcBorders>
              <w:top w:val="single" w:sz="8" w:color="CFF0FC"/>
            </w:tcBorders>
          </w:tcPr>
          <w:p>
            <w:pPr>
              <w:ind w:left="300"/>
              <w:spacing w:after="0" w:line="223" w:lineRule="exact"/>
              <w:rPr>
                <w:sz w:val="20"/>
                <w:szCs w:val="20"/>
                <w:color w:val="auto"/>
              </w:rPr>
            </w:pPr>
            <w:r>
              <w:rPr>
                <w:rFonts w:ascii="Arial" w:cs="Arial" w:eastAsia="Arial" w:hAnsi="Arial"/>
                <w:sz w:val="20"/>
                <w:szCs w:val="20"/>
                <w:color w:val="auto"/>
              </w:rPr>
              <w:t>East Group Total</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632.4</w:t>
            </w:r>
          </w:p>
        </w:tc>
        <w:tc>
          <w:tcPr>
            <w:tcW w:w="380" w:type="dxa"/>
            <w:vAlign w:val="bottom"/>
            <w:tcBorders>
              <w:top w:val="single" w:sz="8" w:color="CFF0FC"/>
            </w:tcBorders>
          </w:tcPr>
          <w:p>
            <w:pPr>
              <w:spacing w:after="0"/>
              <w:rPr>
                <w:sz w:val="19"/>
                <w:szCs w:val="19"/>
                <w:color w:val="auto"/>
              </w:rPr>
            </w:pPr>
          </w:p>
        </w:tc>
        <w:tc>
          <w:tcPr>
            <w:tcW w:w="15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596.5</w:t>
            </w:r>
          </w:p>
        </w:tc>
        <w:tc>
          <w:tcPr>
            <w:tcW w:w="16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shd w:val="clear" w:color="auto" w:fill="CFF0FC"/>
          </w:tcPr>
          <w:p>
            <w:pPr>
              <w:ind w:left="300"/>
              <w:spacing w:after="0" w:line="223" w:lineRule="exact"/>
              <w:rPr>
                <w:sz w:val="20"/>
                <w:szCs w:val="20"/>
                <w:color w:val="auto"/>
              </w:rPr>
            </w:pPr>
            <w:r>
              <w:rPr>
                <w:rFonts w:ascii="Arial" w:cs="Arial" w:eastAsia="Arial" w:hAnsi="Arial"/>
                <w:sz w:val="20"/>
                <w:szCs w:val="20"/>
                <w:color w:val="auto"/>
              </w:rPr>
              <w:t>West Group</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480"/>
              <w:spacing w:after="0" w:line="229" w:lineRule="exact"/>
              <w:rPr>
                <w:sz w:val="20"/>
                <w:szCs w:val="20"/>
                <w:color w:val="auto"/>
              </w:rPr>
            </w:pPr>
            <w:r>
              <w:rPr>
                <w:rFonts w:ascii="Arial" w:cs="Arial" w:eastAsia="Arial" w:hAnsi="Arial"/>
                <w:sz w:val="20"/>
                <w:szCs w:val="20"/>
                <w:color w:val="auto"/>
              </w:rPr>
              <w:t>Aggregates</w:t>
            </w:r>
          </w:p>
        </w:tc>
        <w:tc>
          <w:tcPr>
            <w:tcW w:w="24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364.6</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247.6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Cement</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157.9</w:t>
            </w: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116.5</w:t>
            </w: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480"/>
              <w:spacing w:after="0" w:line="229" w:lineRule="exact"/>
              <w:rPr>
                <w:sz w:val="20"/>
                <w:szCs w:val="20"/>
                <w:color w:val="auto"/>
              </w:rPr>
            </w:pPr>
            <w:r>
              <w:rPr>
                <w:rFonts w:ascii="Arial" w:cs="Arial" w:eastAsia="Arial" w:hAnsi="Arial"/>
                <w:sz w:val="20"/>
                <w:szCs w:val="20"/>
                <w:color w:val="auto"/>
              </w:rPr>
              <w:t>Ready mixed concrete</w:t>
            </w:r>
          </w:p>
        </w:tc>
        <w:tc>
          <w:tcPr>
            <w:tcW w:w="24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226.1</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268.4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Asphalt and paving</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164.9</w:t>
            </w: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88.2</w:t>
            </w: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480"/>
              <w:spacing w:after="0" w:line="229" w:lineRule="exact"/>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19"/>
                <w:szCs w:val="19"/>
                <w:color w:val="auto"/>
              </w:rPr>
            </w:pPr>
          </w:p>
        </w:tc>
        <w:tc>
          <w:tcPr>
            <w:tcW w:w="1460" w:type="dxa"/>
            <w:vAlign w:val="bottom"/>
            <w:gridSpan w:val="2"/>
          </w:tcPr>
          <w:p>
            <w:pPr>
              <w:jc w:val="right"/>
              <w:ind w:right="300"/>
              <w:spacing w:after="0" w:line="229" w:lineRule="exact"/>
              <w:rPr>
                <w:sz w:val="20"/>
                <w:szCs w:val="20"/>
                <w:color w:val="auto"/>
              </w:rPr>
            </w:pPr>
            <w:r>
              <w:rPr>
                <w:rFonts w:ascii="Arial" w:cs="Arial" w:eastAsia="Arial" w:hAnsi="Arial"/>
                <w:sz w:val="20"/>
                <w:szCs w:val="20"/>
                <w:color w:val="auto"/>
              </w:rPr>
              <w:t>(96.7 )</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2"/>
          </w:tcPr>
          <w:p>
            <w:pPr>
              <w:jc w:val="right"/>
              <w:ind w:right="1600"/>
              <w:spacing w:after="0" w:line="229" w:lineRule="exact"/>
              <w:rPr>
                <w:sz w:val="20"/>
                <w:szCs w:val="20"/>
                <w:color w:val="auto"/>
              </w:rPr>
            </w:pPr>
            <w:r>
              <w:rPr>
                <w:rFonts w:ascii="Arial" w:cs="Arial" w:eastAsia="Arial" w:hAnsi="Arial"/>
                <w:sz w:val="20"/>
                <w:szCs w:val="20"/>
                <w:color w:val="auto"/>
              </w:rPr>
              <w:t>(91.9 )</w:t>
            </w:r>
          </w:p>
        </w:tc>
        <w:tc>
          <w:tcPr>
            <w:tcW w:w="0" w:type="dxa"/>
            <w:vAlign w:val="bottom"/>
          </w:tcPr>
          <w:p>
            <w:pPr>
              <w:spacing w:after="0"/>
              <w:rPr>
                <w:sz w:val="1"/>
                <w:szCs w:val="1"/>
                <w:color w:val="auto"/>
              </w:rPr>
            </w:pPr>
          </w:p>
        </w:tc>
      </w:tr>
      <w:tr>
        <w:trPr>
          <w:trHeight w:val="222"/>
        </w:trPr>
        <w:tc>
          <w:tcPr>
            <w:tcW w:w="4860" w:type="dxa"/>
            <w:vAlign w:val="bottom"/>
            <w:tcBorders>
              <w:bottom w:val="single" w:sz="8" w:color="CFF0FC"/>
            </w:tcBorders>
            <w:shd w:val="clear" w:color="auto" w:fill="CFF0FC"/>
          </w:tcPr>
          <w:p>
            <w:pPr>
              <w:ind w:left="300"/>
              <w:spacing w:after="0" w:line="223" w:lineRule="exact"/>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816.8</w:t>
            </w:r>
          </w:p>
        </w:tc>
        <w:tc>
          <w:tcPr>
            <w:tcW w:w="3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628.8</w:t>
            </w:r>
          </w:p>
        </w:tc>
        <w:tc>
          <w:tcPr>
            <w:tcW w:w="16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240" w:type="dxa"/>
            <w:vAlign w:val="bottom"/>
          </w:tcPr>
          <w:p>
            <w:pPr>
              <w:spacing w:after="0"/>
              <w:rPr>
                <w:sz w:val="19"/>
                <w:szCs w:val="19"/>
                <w:color w:val="auto"/>
              </w:rPr>
            </w:pPr>
          </w:p>
        </w:tc>
        <w:tc>
          <w:tcPr>
            <w:tcW w:w="1080" w:type="dxa"/>
            <w:vAlign w:val="bottom"/>
          </w:tcPr>
          <w:p>
            <w:pPr>
              <w:jc w:val="right"/>
              <w:spacing w:after="0" w:line="223" w:lineRule="exact"/>
              <w:rPr>
                <w:sz w:val="20"/>
                <w:szCs w:val="20"/>
                <w:color w:val="auto"/>
              </w:rPr>
            </w:pPr>
            <w:r>
              <w:rPr>
                <w:rFonts w:ascii="Arial" w:cs="Arial" w:eastAsia="Arial" w:hAnsi="Arial"/>
                <w:sz w:val="20"/>
                <w:szCs w:val="20"/>
                <w:color w:val="auto"/>
              </w:rPr>
              <w:t>1,449.2</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1,225.3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110.8</w:t>
            </w:r>
          </w:p>
        </w:tc>
        <w:tc>
          <w:tcPr>
            <w:tcW w:w="3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76.8</w:t>
            </w:r>
          </w:p>
        </w:tc>
        <w:tc>
          <w:tcPr>
            <w:tcW w:w="16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1,560.0</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1,302.1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line="229" w:lineRule="exact"/>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0"/>
                <w:szCs w:val="20"/>
                <w:color w:val="auto"/>
              </w:rPr>
              <w:t>74.6</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70.0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7.1</w:t>
            </w:r>
          </w:p>
        </w:tc>
        <w:tc>
          <w:tcPr>
            <w:tcW w:w="3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5.8</w:t>
            </w:r>
          </w:p>
        </w:tc>
        <w:tc>
          <w:tcPr>
            <w:tcW w:w="16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81.7</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75.8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8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1,641.7</w:t>
            </w:r>
          </w:p>
        </w:tc>
        <w:tc>
          <w:tcPr>
            <w:tcW w:w="3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1,377.9</w:t>
            </w:r>
          </w:p>
        </w:tc>
        <w:tc>
          <w:tcPr>
            <w:tcW w:w="16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-2416810</wp:posOffset>
            </wp:positionV>
            <wp:extent cx="7683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-2416810</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-1228090</wp:posOffset>
            </wp:positionV>
            <wp:extent cx="7683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-1228090</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-928370</wp:posOffset>
            </wp:positionV>
            <wp:extent cx="7683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-928370</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-330200</wp:posOffset>
            </wp:positionV>
            <wp:extent cx="7683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-330200</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20"/>
                <w:szCs w:val="20"/>
                <w:color w:val="auto"/>
                <w:w w:val="95"/>
              </w:rPr>
              <w:t>Three Months Ended June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0"/>
              <w:spacing w:after="0" w:line="223" w:lineRule="exact"/>
              <w:rPr>
                <w:sz w:val="20"/>
                <w:szCs w:val="20"/>
                <w:color w:val="auto"/>
              </w:rPr>
            </w:pPr>
            <w:r>
              <w:rPr>
                <w:rFonts w:ascii="Arial" w:cs="Arial" w:eastAsia="Arial" w:hAnsi="Arial"/>
                <w:sz w:val="20"/>
                <w:szCs w:val="20"/>
                <w:color w:val="auto"/>
              </w:rPr>
              <w:t>2022</w:t>
            </w: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tcPr>
          <w:p>
            <w:pPr>
              <w:jc w:val="right"/>
              <w:ind w:right="760"/>
              <w:spacing w:after="0" w:line="223" w:lineRule="exact"/>
              <w:rPr>
                <w:sz w:val="20"/>
                <w:szCs w:val="20"/>
                <w:color w:val="auto"/>
              </w:rPr>
            </w:pPr>
            <w:r>
              <w:rPr>
                <w:rFonts w:ascii="Arial" w:cs="Arial" w:eastAsia="Arial" w:hAnsi="Arial"/>
                <w:sz w:val="20"/>
                <w:szCs w:val="20"/>
                <w:color w:val="auto"/>
              </w:rPr>
              <w:t>Amount</w:t>
            </w: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w w:val="89"/>
              </w:rPr>
              <w:t>% of Revenues</w:t>
            </w:r>
          </w:p>
        </w:tc>
        <w:tc>
          <w:tcPr>
            <w:tcW w:w="24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60" w:type="dxa"/>
            <w:vAlign w:val="bottom"/>
          </w:tcPr>
          <w:p>
            <w:pPr>
              <w:spacing w:after="0"/>
              <w:rPr>
                <w:sz w:val="19"/>
                <w:szCs w:val="19"/>
                <w:color w:val="auto"/>
              </w:rPr>
            </w:pPr>
          </w:p>
        </w:tc>
        <w:tc>
          <w:tcPr>
            <w:tcW w:w="1480" w:type="dxa"/>
            <w:vAlign w:val="bottom"/>
            <w:gridSpan w:val="3"/>
          </w:tcPr>
          <w:p>
            <w:pPr>
              <w:jc w:val="right"/>
              <w:ind w:right="700"/>
              <w:spacing w:after="0" w:line="223" w:lineRule="exact"/>
              <w:rPr>
                <w:sz w:val="20"/>
                <w:szCs w:val="20"/>
                <w:color w:val="auto"/>
              </w:rPr>
            </w:pPr>
            <w:r>
              <w:rPr>
                <w:rFonts w:ascii="Arial" w:cs="Arial" w:eastAsia="Arial" w:hAnsi="Arial"/>
                <w:sz w:val="20"/>
                <w:szCs w:val="20"/>
                <w:color w:val="auto"/>
              </w:rPr>
              <w:t>Amount</w:t>
            </w:r>
          </w:p>
        </w:tc>
        <w:tc>
          <w:tcPr>
            <w:tcW w:w="1300" w:type="dxa"/>
            <w:vAlign w:val="bottom"/>
          </w:tcPr>
          <w:p>
            <w:pPr>
              <w:jc w:val="right"/>
              <w:ind w:right="1"/>
              <w:spacing w:after="0" w:line="223" w:lineRule="exact"/>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Gross profit (loss):</w:t>
            </w: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21"/>
                <w:szCs w:val="21"/>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80"/>
              <w:spacing w:after="0" w:line="229" w:lineRule="exact"/>
              <w:rPr>
                <w:sz w:val="20"/>
                <w:szCs w:val="20"/>
                <w:color w:val="auto"/>
              </w:rPr>
            </w:pPr>
            <w:r>
              <w:rPr>
                <w:rFonts w:ascii="Arial" w:cs="Arial" w:eastAsia="Arial" w:hAnsi="Arial"/>
                <w:sz w:val="20"/>
                <w:szCs w:val="20"/>
                <w:color w:val="auto"/>
              </w:rPr>
              <w:t>Aggregates</w:t>
            </w: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309.0</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32.3</w:t>
            </w:r>
          </w:p>
        </w:tc>
        <w:tc>
          <w:tcPr>
            <w:tcW w:w="500" w:type="dxa"/>
            <w:vAlign w:val="bottom"/>
            <w:gridSpan w:val="2"/>
          </w:tcPr>
          <w:p>
            <w:pPr>
              <w:ind w:left="260"/>
              <w:spacing w:after="0" w:line="229"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273.0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Cement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51.1</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36.1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80"/>
              <w:spacing w:after="0" w:line="229" w:lineRule="exact"/>
              <w:rPr>
                <w:sz w:val="20"/>
                <w:szCs w:val="20"/>
                <w:color w:val="auto"/>
              </w:rPr>
            </w:pPr>
            <w:r>
              <w:rPr>
                <w:rFonts w:ascii="Arial" w:cs="Arial" w:eastAsia="Arial" w:hAnsi="Arial"/>
                <w:sz w:val="20"/>
                <w:szCs w:val="20"/>
                <w:color w:val="auto"/>
              </w:rPr>
              <w:t>Ready mixed concrete</w:t>
            </w: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14.3</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19.1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shd w:val="clear" w:color="auto" w:fill="CFF0FC"/>
          </w:tcPr>
          <w:p>
            <w:pPr>
              <w:ind w:left="480"/>
              <w:spacing w:after="0" w:line="229" w:lineRule="exact"/>
              <w:rPr>
                <w:sz w:val="20"/>
                <w:szCs w:val="20"/>
                <w:color w:val="auto"/>
              </w:rPr>
            </w:pPr>
            <w:r>
              <w:rPr>
                <w:rFonts w:ascii="Arial" w:cs="Arial" w:eastAsia="Arial" w:hAnsi="Arial"/>
                <w:sz w:val="20"/>
                <w:szCs w:val="20"/>
                <w:color w:val="auto"/>
              </w:rPr>
              <w:t>Asphalt and paving</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26.4</w:t>
            </w:r>
          </w:p>
        </w:tc>
        <w:tc>
          <w:tcPr>
            <w:tcW w:w="3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12.4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28.7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26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400.8</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27.7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356.9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Arial" w:cs="Arial" w:eastAsia="Arial" w:hAnsi="Arial"/>
                <w:sz w:val="20"/>
                <w:szCs w:val="20"/>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line="229" w:lineRule="exact"/>
              <w:rPr>
                <w:sz w:val="20"/>
                <w:szCs w:val="20"/>
                <w:color w:val="auto"/>
              </w:rPr>
            </w:pPr>
            <w:r>
              <w:rPr>
                <w:rFonts w:ascii="Arial" w:cs="Arial" w:eastAsia="Arial" w:hAnsi="Arial"/>
                <w:sz w:val="20"/>
                <w:szCs w:val="20"/>
                <w:color w:val="auto"/>
              </w:rPr>
              <w:t>(1.7 )</w:t>
            </w: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399.1</w:t>
            </w:r>
          </w:p>
        </w:tc>
        <w:tc>
          <w:tcPr>
            <w:tcW w:w="34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25.6</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357.6</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27.5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20"/>
              <w:spacing w:after="0" w:line="229" w:lineRule="exact"/>
              <w:rPr>
                <w:sz w:val="20"/>
                <w:szCs w:val="20"/>
                <w:color w:val="auto"/>
              </w:rPr>
            </w:pPr>
            <w:r>
              <w:rPr>
                <w:rFonts w:ascii="Arial" w:cs="Arial" w:eastAsia="Arial" w:hAnsi="Arial"/>
                <w:sz w:val="20"/>
                <w:szCs w:val="20"/>
                <w:color w:val="auto"/>
              </w:rPr>
              <w:t>Products</w:t>
            </w: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25.8</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34.6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27.9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Arial" w:cs="Arial" w:eastAsia="Arial" w:hAnsi="Arial"/>
                <w:sz w:val="20"/>
                <w:szCs w:val="20"/>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line="229" w:lineRule="exact"/>
              <w:rPr>
                <w:sz w:val="20"/>
                <w:szCs w:val="20"/>
                <w:color w:val="auto"/>
              </w:rPr>
            </w:pPr>
            <w:r>
              <w:rPr>
                <w:rFonts w:ascii="Arial" w:cs="Arial" w:eastAsia="Arial" w:hAnsi="Arial"/>
                <w:sz w:val="20"/>
                <w:szCs w:val="20"/>
                <w:color w:val="auto"/>
              </w:rPr>
              <w:t>(1.3 )</w:t>
            </w: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line="229" w:lineRule="exact"/>
              <w:rPr>
                <w:sz w:val="20"/>
                <w:szCs w:val="20"/>
                <w:color w:val="auto"/>
              </w:rPr>
            </w:pPr>
            <w:r>
              <w:rPr>
                <w:rFonts w:ascii="Arial" w:cs="Arial" w:eastAsia="Arial" w:hAnsi="Arial"/>
                <w:sz w:val="20"/>
                <w:szCs w:val="20"/>
                <w:color w:val="auto"/>
              </w:rPr>
              <w:t>(0.9 )</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24.5</w:t>
            </w:r>
          </w:p>
        </w:tc>
        <w:tc>
          <w:tcPr>
            <w:tcW w:w="34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30.0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27.0</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35.6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w:t>
            </w:r>
          </w:p>
        </w:tc>
        <w:tc>
          <w:tcPr>
            <w:tcW w:w="3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0.5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425.2</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rPr>
              <w:t>25.9</w:t>
            </w:r>
          </w:p>
        </w:tc>
        <w:tc>
          <w:tcPr>
            <w:tcW w:w="500" w:type="dxa"/>
            <w:vAlign w:val="bottom"/>
            <w:gridSpan w:val="2"/>
          </w:tcPr>
          <w:p>
            <w:pPr>
              <w:ind w:left="260"/>
              <w:spacing w:after="0" w:line="223"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385.1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Arial" w:cs="Arial" w:eastAsia="Arial" w:hAnsi="Arial"/>
                <w:sz w:val="20"/>
                <w:szCs w:val="20"/>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-1381760</wp:posOffset>
            </wp:positionV>
            <wp:extent cx="768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-1381760</wp:posOffset>
            </wp:positionV>
            <wp:extent cx="685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-1082675</wp:posOffset>
            </wp:positionV>
            <wp:extent cx="768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-1082675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-483870</wp:posOffset>
            </wp:positionV>
            <wp:extent cx="768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-483870</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-175895</wp:posOffset>
            </wp:positionV>
            <wp:extent cx="7683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-175895</wp:posOffset>
            </wp:positionV>
            <wp:extent cx="685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20"/>
                <w:szCs w:val="20"/>
                <w:color w:val="auto"/>
                <w:w w:val="95"/>
              </w:rPr>
              <w:t>Three Months Ended June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0"/>
              <w:spacing w:after="0" w:line="223" w:lineRule="exact"/>
              <w:rPr>
                <w:sz w:val="20"/>
                <w:szCs w:val="20"/>
                <w:color w:val="auto"/>
              </w:rPr>
            </w:pPr>
            <w:r>
              <w:rPr>
                <w:rFonts w:ascii="Arial" w:cs="Arial" w:eastAsia="Arial" w:hAnsi="Arial"/>
                <w:sz w:val="20"/>
                <w:szCs w:val="20"/>
                <w:color w:val="auto"/>
              </w:rPr>
              <w:t>2022</w:t>
            </w: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right"/>
              <w:ind w:right="401"/>
              <w:spacing w:after="0" w:line="179" w:lineRule="exact"/>
              <w:rPr>
                <w:sz w:val="20"/>
                <w:szCs w:val="20"/>
                <w:color w:val="auto"/>
              </w:rPr>
            </w:pPr>
            <w:r>
              <w:rPr>
                <w:rFonts w:ascii="Arial" w:cs="Arial" w:eastAsia="Arial" w:hAnsi="Arial"/>
                <w:sz w:val="20"/>
                <w:szCs w:val="20"/>
                <w:color w:val="auto"/>
              </w:rPr>
              <w:t>%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spacing w:after="0" w:line="179"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20"/>
                <w:szCs w:val="20"/>
                <w:color w:val="auto"/>
              </w:rPr>
              <w:t>Amount</w:t>
            </w:r>
          </w:p>
        </w:tc>
        <w:tc>
          <w:tcPr>
            <w:tcW w:w="1320" w:type="dxa"/>
            <w:vAlign w:val="bottom"/>
          </w:tcPr>
          <w:p>
            <w:pPr>
              <w:jc w:val="right"/>
              <w:ind w:right="201"/>
              <w:spacing w:after="0"/>
              <w:rPr>
                <w:sz w:val="20"/>
                <w:szCs w:val="20"/>
                <w:color w:val="auto"/>
              </w:rPr>
            </w:pPr>
            <w:r>
              <w:rPr>
                <w:rFonts w:ascii="Arial" w:cs="Arial" w:eastAsia="Arial" w:hAnsi="Arial"/>
                <w:sz w:val="20"/>
                <w:szCs w:val="20"/>
                <w:color w:val="auto"/>
              </w:rPr>
              <w:t>Revenues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20"/>
                <w:szCs w:val="20"/>
                <w:color w:val="auto"/>
              </w:rPr>
              <w:t>Amount</w:t>
            </w:r>
          </w:p>
        </w:tc>
        <w:tc>
          <w:tcPr>
            <w:tcW w:w="1300" w:type="dxa"/>
            <w:vAlign w:val="bottom"/>
          </w:tcPr>
          <w:p>
            <w:pPr>
              <w:jc w:val="center"/>
              <w:ind w:right="1"/>
              <w:spacing w:after="0"/>
              <w:rPr>
                <w:sz w:val="20"/>
                <w:szCs w:val="20"/>
                <w:color w:val="auto"/>
              </w:rPr>
            </w:pPr>
            <w:r>
              <w:rPr>
                <w:rFonts w:ascii="Arial" w:cs="Arial" w:eastAsia="Arial" w:hAnsi="Arial"/>
                <w:sz w:val="20"/>
                <w:szCs w:val="20"/>
                <w:color w:val="auto"/>
                <w:w w:val="84"/>
              </w:rPr>
              <w:t>Revenues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40" w:type="dxa"/>
            <w:vAlign w:val="bottom"/>
            <w:shd w:val="clear" w:color="auto" w:fill="CFF0FC"/>
          </w:tcPr>
          <w:p>
            <w:pPr>
              <w:spacing w:after="0" w:line="223" w:lineRule="exact"/>
              <w:rPr>
                <w:sz w:val="20"/>
                <w:szCs w:val="20"/>
                <w:color w:val="auto"/>
              </w:rPr>
            </w:pPr>
            <w:r>
              <w:rPr>
                <w:rFonts w:ascii="Arial" w:cs="Arial" w:eastAsia="Arial" w:hAnsi="Arial"/>
                <w:sz w:val="20"/>
                <w:szCs w:val="20"/>
                <w:i w:val="1"/>
                <w:iCs w:val="1"/>
                <w:color w:val="auto"/>
              </w:rPr>
              <w:t>in</w:t>
            </w:r>
          </w:p>
        </w:tc>
        <w:tc>
          <w:tcPr>
            <w:tcW w:w="1420" w:type="dxa"/>
            <w:vAlign w:val="bottom"/>
            <w:tcBorders>
              <w:top w:val="single" w:sz="8" w:color="auto"/>
            </w:tcBorders>
            <w:gridSpan w:val="2"/>
            <w:shd w:val="clear" w:color="auto" w:fill="CFF0FC"/>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line="229" w:lineRule="exact"/>
              <w:rPr>
                <w:sz w:val="20"/>
                <w:szCs w:val="20"/>
                <w:color w:val="auto"/>
              </w:rPr>
            </w:pPr>
            <w:r>
              <w:rPr>
                <w:rFonts w:ascii="Arial" w:cs="Arial" w:eastAsia="Arial" w:hAnsi="Arial"/>
                <w:sz w:val="20"/>
                <w:szCs w:val="20"/>
                <w:b w:val="1"/>
                <w:bCs w:val="1"/>
                <w:color w:val="auto"/>
              </w:rPr>
              <w:t>Selling, general &amp; administrative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0"/>
              <w:spacing w:after="0" w:line="229" w:lineRule="exact"/>
              <w:rPr>
                <w:sz w:val="20"/>
                <w:szCs w:val="20"/>
                <w:color w:val="auto"/>
              </w:rPr>
            </w:pPr>
            <w:r>
              <w:rPr>
                <w:rFonts w:ascii="Arial" w:cs="Arial" w:eastAsia="Arial" w:hAnsi="Arial"/>
                <w:sz w:val="20"/>
                <w:szCs w:val="20"/>
                <w:color w:val="auto"/>
              </w:rPr>
              <w:t>East Group</w:t>
            </w:r>
          </w:p>
        </w:tc>
        <w:tc>
          <w:tcPr>
            <w:tcW w:w="260" w:type="dxa"/>
            <w:vAlign w:val="bottom"/>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28.7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gridSpan w:val="2"/>
          </w:tcPr>
          <w:p>
            <w:pPr>
              <w:ind w:left="260"/>
              <w:spacing w:after="0" w:line="229"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26.3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41.7</w:t>
            </w:r>
          </w:p>
        </w:tc>
        <w:tc>
          <w:tcPr>
            <w:tcW w:w="3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33.6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70.4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59.9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4.0</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line="229" w:lineRule="exact"/>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29.7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18.8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7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104.1</w:t>
            </w:r>
          </w:p>
        </w:tc>
        <w:tc>
          <w:tcPr>
            <w:tcW w:w="3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82.4</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4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20"/>
                <w:szCs w:val="20"/>
                <w:color w:val="auto"/>
                <w:w w:val="95"/>
              </w:rPr>
              <w:t>Three Months Ended June 30,</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0"/>
              <w:spacing w:after="0" w:line="223" w:lineRule="exact"/>
              <w:rPr>
                <w:sz w:val="20"/>
                <w:szCs w:val="20"/>
                <w:color w:val="auto"/>
              </w:rPr>
            </w:pPr>
            <w:r>
              <w:rPr>
                <w:rFonts w:ascii="Arial" w:cs="Arial" w:eastAsia="Arial" w:hAnsi="Arial"/>
                <w:sz w:val="20"/>
                <w:szCs w:val="20"/>
                <w:color w:val="auto"/>
              </w:rPr>
              <w:t>2022</w:t>
            </w: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tcPr>
          <w:p>
            <w:pPr>
              <w:jc w:val="right"/>
              <w:ind w:right="760"/>
              <w:spacing w:after="0" w:line="223" w:lineRule="exact"/>
              <w:rPr>
                <w:sz w:val="20"/>
                <w:szCs w:val="20"/>
                <w:color w:val="auto"/>
              </w:rPr>
            </w:pPr>
            <w:r>
              <w:rPr>
                <w:rFonts w:ascii="Arial" w:cs="Arial" w:eastAsia="Arial" w:hAnsi="Arial"/>
                <w:sz w:val="20"/>
                <w:szCs w:val="20"/>
                <w:color w:val="auto"/>
              </w:rPr>
              <w:t>Amount</w:t>
            </w:r>
          </w:p>
        </w:tc>
        <w:tc>
          <w:tcPr>
            <w:tcW w:w="1320" w:type="dxa"/>
            <w:vAlign w:val="bottom"/>
          </w:tcPr>
          <w:p>
            <w:pPr>
              <w:jc w:val="right"/>
              <w:spacing w:after="0" w:line="223" w:lineRule="exact"/>
              <w:rPr>
                <w:sz w:val="20"/>
                <w:szCs w:val="20"/>
                <w:color w:val="auto"/>
              </w:rPr>
            </w:pPr>
            <w:r>
              <w:rPr>
                <w:rFonts w:ascii="Arial" w:cs="Arial" w:eastAsia="Arial" w:hAnsi="Arial"/>
                <w:sz w:val="20"/>
                <w:szCs w:val="20"/>
                <w:color w:val="auto"/>
                <w:w w:val="89"/>
              </w:rPr>
              <w:t>% of Revenues</w:t>
            </w:r>
          </w:p>
        </w:tc>
        <w:tc>
          <w:tcPr>
            <w:tcW w:w="24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60" w:type="dxa"/>
            <w:vAlign w:val="bottom"/>
          </w:tcPr>
          <w:p>
            <w:pPr>
              <w:spacing w:after="0"/>
              <w:rPr>
                <w:sz w:val="19"/>
                <w:szCs w:val="19"/>
                <w:color w:val="auto"/>
              </w:rPr>
            </w:pPr>
          </w:p>
        </w:tc>
        <w:tc>
          <w:tcPr>
            <w:tcW w:w="1480" w:type="dxa"/>
            <w:vAlign w:val="bottom"/>
            <w:gridSpan w:val="3"/>
          </w:tcPr>
          <w:p>
            <w:pPr>
              <w:jc w:val="right"/>
              <w:ind w:right="700"/>
              <w:spacing w:after="0" w:line="223" w:lineRule="exact"/>
              <w:rPr>
                <w:sz w:val="20"/>
                <w:szCs w:val="20"/>
                <w:color w:val="auto"/>
              </w:rPr>
            </w:pPr>
            <w:r>
              <w:rPr>
                <w:rFonts w:ascii="Arial" w:cs="Arial" w:eastAsia="Arial" w:hAnsi="Arial"/>
                <w:sz w:val="20"/>
                <w:szCs w:val="20"/>
                <w:color w:val="auto"/>
              </w:rPr>
              <w:t>Amount</w:t>
            </w:r>
          </w:p>
        </w:tc>
        <w:tc>
          <w:tcPr>
            <w:tcW w:w="1300" w:type="dxa"/>
            <w:vAlign w:val="bottom"/>
          </w:tcPr>
          <w:p>
            <w:pPr>
              <w:jc w:val="center"/>
              <w:ind w:right="1"/>
              <w:spacing w:after="0" w:line="223" w:lineRule="exact"/>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9"/>
                <w:szCs w:val="19"/>
                <w:color w:val="auto"/>
              </w:rPr>
            </w:pPr>
          </w:p>
        </w:tc>
        <w:tc>
          <w:tcPr>
            <w:tcW w:w="14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Earnings (Loss) from operations: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East Group</w:t>
            </w:r>
          </w:p>
        </w:tc>
        <w:tc>
          <w:tcPr>
            <w:tcW w:w="2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210.6</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60"/>
              <w:spacing w:after="0" w:line="229" w:lineRule="exact"/>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197.8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0"/>
              <w:spacing w:after="0" w:line="229" w:lineRule="exact"/>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274.5</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485.1</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299.6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20.3</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0"/>
                <w:szCs w:val="20"/>
                <w:color w:val="auto"/>
              </w:rPr>
              <w:t>23.1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Corporate</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line="229" w:lineRule="exact"/>
              <w:rPr>
                <w:sz w:val="20"/>
                <w:szCs w:val="20"/>
                <w:color w:val="auto"/>
              </w:rPr>
            </w:pPr>
            <w:r>
              <w:rPr>
                <w:rFonts w:ascii="Arial" w:cs="Arial" w:eastAsia="Arial" w:hAnsi="Arial"/>
                <w:sz w:val="20"/>
                <w:szCs w:val="20"/>
                <w:color w:val="auto"/>
              </w:rPr>
              <w:t>(26.8 )</w:t>
            </w: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line="229" w:lineRule="exact"/>
              <w:rPr>
                <w:sz w:val="20"/>
                <w:szCs w:val="20"/>
                <w:color w:val="auto"/>
              </w:rPr>
            </w:pPr>
            <w:r>
              <w:rPr>
                <w:rFonts w:ascii="Arial" w:cs="Arial" w:eastAsia="Arial" w:hAnsi="Arial"/>
                <w:sz w:val="20"/>
                <w:szCs w:val="20"/>
                <w:color w:val="auto"/>
              </w:rPr>
              <w:t>(15.2 )</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478.6</w:t>
            </w:r>
          </w:p>
        </w:tc>
        <w:tc>
          <w:tcPr>
            <w:tcW w:w="34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29.2</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307.5</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22.3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-2579370</wp:posOffset>
            </wp:positionV>
            <wp:extent cx="7683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-2579370</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-1983740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-1966595</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-1983740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-1966595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-175895</wp:posOffset>
            </wp:positionV>
            <wp:extent cx="7683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-175895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2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12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80"/>
        <w:spacing w:after="0" w:line="226" w:lineRule="auto"/>
        <w:rPr>
          <w:sz w:val="20"/>
          <w:szCs w:val="20"/>
          <w:color w:val="auto"/>
        </w:rPr>
      </w:pPr>
      <w:r>
        <w:rPr>
          <w:rFonts w:ascii="Arial" w:cs="Arial" w:eastAsia="Arial" w:hAnsi="Arial"/>
          <w:sz w:val="20"/>
          <w:szCs w:val="20"/>
          <w:color w:val="auto"/>
        </w:rPr>
        <w:t>RESULTS OF OPERATIONS</w:t>
      </w:r>
    </w:p>
    <w:p>
      <w:pPr>
        <w:jc w:val="center"/>
        <w:ind w:right="20"/>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88" w:lineRule="exact"/>
        <w:rPr>
          <w:sz w:val="20"/>
          <w:szCs w:val="20"/>
          <w:color w:val="auto"/>
        </w:rPr>
      </w:pPr>
    </w:p>
    <w:p>
      <w:pPr>
        <w:jc w:val="center"/>
        <w:ind w:left="6880"/>
        <w:spacing w:after="0"/>
        <w:rPr>
          <w:sz w:val="20"/>
          <w:szCs w:val="20"/>
          <w:color w:val="auto"/>
        </w:rPr>
      </w:pPr>
      <w:r>
        <w:rPr>
          <w:rFonts w:ascii="Arial" w:cs="Arial" w:eastAsia="Arial" w:hAnsi="Arial"/>
          <w:sz w:val="20"/>
          <w:szCs w:val="20"/>
          <w:color w:val="auto"/>
        </w:rPr>
        <w:t>Three Months Ended</w:t>
      </w:r>
    </w:p>
    <w:p>
      <w:pPr>
        <w:spacing w:after="0" w:line="15" w:lineRule="exact"/>
        <w:rPr>
          <w:sz w:val="20"/>
          <w:szCs w:val="20"/>
          <w:color w:val="auto"/>
        </w:rPr>
      </w:pPr>
    </w:p>
    <w:p>
      <w:pPr>
        <w:jc w:val="center"/>
        <w:ind w:left="6880"/>
        <w:spacing w:after="0"/>
        <w:rPr>
          <w:sz w:val="20"/>
          <w:szCs w:val="20"/>
          <w:color w:val="auto"/>
        </w:rPr>
      </w:pPr>
      <w:r>
        <w:rPr>
          <w:rFonts w:ascii="Arial" w:cs="Arial" w:eastAsia="Arial" w:hAnsi="Arial"/>
          <w:sz w:val="20"/>
          <w:szCs w:val="20"/>
          <w:color w:val="auto"/>
        </w:rPr>
        <w:t>June 30, 2022</w:t>
      </w:r>
    </w:p>
    <w:tbl>
      <w:tblPr>
        <w:tblLayout w:type="fixed"/>
        <w:tblInd w:w="0" w:type="dxa"/>
        <w:tblCellMar>
          <w:top w:w="0" w:type="dxa"/>
          <w:left w:w="0" w:type="dxa"/>
          <w:bottom w:w="0" w:type="dxa"/>
          <w:right w:w="0" w:type="dxa"/>
        </w:tblCellMar>
      </w:tblPr>
      <w:tr>
        <w:trPr>
          <w:trHeight w:val="222"/>
        </w:trPr>
        <w:tc>
          <w:tcPr>
            <w:tcW w:w="70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Volume</w:t>
            </w:r>
          </w:p>
        </w:tc>
        <w:tc>
          <w:tcPr>
            <w:tcW w:w="6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ind w:left="401"/>
              <w:spacing w:after="0" w:line="223" w:lineRule="exact"/>
              <w:rPr>
                <w:sz w:val="20"/>
                <w:szCs w:val="20"/>
                <w:color w:val="auto"/>
              </w:rPr>
            </w:pPr>
            <w:r>
              <w:rPr>
                <w:rFonts w:ascii="Arial" w:cs="Arial" w:eastAsia="Arial" w:hAnsi="Arial"/>
                <w:sz w:val="20"/>
                <w:szCs w:val="20"/>
                <w:color w:val="auto"/>
                <w:w w:val="91"/>
              </w:rPr>
              <w:t>Pricing</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7000" w:type="dxa"/>
            <w:vAlign w:val="bottom"/>
            <w:shd w:val="clear" w:color="auto" w:fill="CFF0FC"/>
          </w:tcPr>
          <w:p>
            <w:pPr>
              <w:ind w:left="20"/>
              <w:spacing w:after="0" w:line="222" w:lineRule="exact"/>
              <w:rPr>
                <w:sz w:val="20"/>
                <w:szCs w:val="20"/>
                <w:color w:val="auto"/>
              </w:rPr>
            </w:pPr>
            <w:r>
              <w:rPr>
                <w:rFonts w:ascii="Arial" w:cs="Arial" w:eastAsia="Arial" w:hAnsi="Arial"/>
                <w:sz w:val="19"/>
                <w:szCs w:val="19"/>
                <w:b w:val="1"/>
                <w:bCs w:val="1"/>
                <w:color w:val="auto"/>
              </w:rPr>
              <w:t>Volume/Pricing Variance</w:t>
            </w:r>
            <w:r>
              <w:rPr>
                <w:rFonts w:ascii="Arial" w:cs="Arial" w:eastAsia="Arial" w:hAnsi="Arial"/>
                <w:sz w:val="25"/>
                <w:szCs w:val="25"/>
                <w:color w:val="auto"/>
                <w:vertAlign w:val="superscript"/>
              </w:rPr>
              <w:t>(1)</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8300" w:type="dxa"/>
            <w:vAlign w:val="bottom"/>
            <w:gridSpan w:val="3"/>
          </w:tcPr>
          <w:p>
            <w:pPr>
              <w:ind w:left="200"/>
              <w:spacing w:after="0" w:line="212" w:lineRule="exact"/>
              <w:rPr>
                <w:sz w:val="20"/>
                <w:szCs w:val="20"/>
                <w:color w:val="auto"/>
              </w:rPr>
            </w:pPr>
            <w:r>
              <w:rPr>
                <w:rFonts w:ascii="Arial" w:cs="Arial" w:eastAsia="Arial" w:hAnsi="Arial"/>
                <w:sz w:val="20"/>
                <w:szCs w:val="20"/>
                <w:color w:val="auto"/>
              </w:rPr>
              <w:t>East Group</w:t>
            </w:r>
          </w:p>
        </w:tc>
        <w:tc>
          <w:tcPr>
            <w:tcW w:w="960" w:type="dxa"/>
            <w:vAlign w:val="bottom"/>
            <w:gridSpan w:val="3"/>
          </w:tcPr>
          <w:p>
            <w:pPr>
              <w:jc w:val="right"/>
              <w:ind w:right="40"/>
              <w:spacing w:after="0" w:line="212" w:lineRule="exact"/>
              <w:rPr>
                <w:sz w:val="20"/>
                <w:szCs w:val="20"/>
                <w:color w:val="auto"/>
              </w:rPr>
            </w:pPr>
            <w:r>
              <w:rPr>
                <w:rFonts w:ascii="Arial" w:cs="Arial" w:eastAsia="Arial" w:hAnsi="Arial"/>
                <w:sz w:val="20"/>
                <w:szCs w:val="20"/>
                <w:color w:val="auto"/>
              </w:rPr>
              <w:t>(1.0 )%</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gridSpan w:val="3"/>
          </w:tcPr>
          <w:p>
            <w:pPr>
              <w:jc w:val="right"/>
              <w:spacing w:after="0" w:line="212" w:lineRule="exact"/>
              <w:rPr>
                <w:sz w:val="20"/>
                <w:szCs w:val="20"/>
                <w:color w:val="auto"/>
              </w:rPr>
            </w:pPr>
            <w:r>
              <w:rPr>
                <w:rFonts w:ascii="Arial" w:cs="Arial" w:eastAsia="Arial" w:hAnsi="Arial"/>
                <w:sz w:val="20"/>
                <w:szCs w:val="20"/>
                <w:color w:val="auto"/>
              </w:rPr>
              <w:t>7.6 %</w:t>
            </w:r>
          </w:p>
        </w:tc>
      </w:tr>
      <w:tr>
        <w:trPr>
          <w:trHeight w:val="199"/>
        </w:trPr>
        <w:tc>
          <w:tcPr>
            <w:tcW w:w="8300" w:type="dxa"/>
            <w:vAlign w:val="bottom"/>
            <w:gridSpan w:val="3"/>
          </w:tcPr>
          <w:p>
            <w:pPr>
              <w:ind w:left="200"/>
              <w:spacing w:after="0" w:line="199" w:lineRule="exact"/>
              <w:rPr>
                <w:sz w:val="20"/>
                <w:szCs w:val="20"/>
                <w:color w:val="auto"/>
              </w:rPr>
            </w:pPr>
            <w:r>
              <w:rPr>
                <w:rFonts w:ascii="Arial" w:cs="Arial" w:eastAsia="Arial" w:hAnsi="Arial"/>
                <w:sz w:val="20"/>
                <w:szCs w:val="20"/>
                <w:color w:val="auto"/>
              </w:rPr>
              <w:t>West Group</w:t>
            </w:r>
          </w:p>
        </w:tc>
        <w:tc>
          <w:tcPr>
            <w:tcW w:w="960" w:type="dxa"/>
            <w:vAlign w:val="bottom"/>
            <w:gridSpan w:val="3"/>
          </w:tcPr>
          <w:p>
            <w:pPr>
              <w:jc w:val="right"/>
              <w:ind w:right="100"/>
              <w:spacing w:after="0" w:line="199" w:lineRule="exact"/>
              <w:rPr>
                <w:sz w:val="20"/>
                <w:szCs w:val="20"/>
                <w:color w:val="auto"/>
              </w:rPr>
            </w:pPr>
            <w:r>
              <w:rPr>
                <w:rFonts w:ascii="Arial" w:cs="Arial" w:eastAsia="Arial" w:hAnsi="Arial"/>
                <w:sz w:val="20"/>
                <w:szCs w:val="20"/>
                <w:color w:val="auto"/>
              </w:rPr>
              <w:t>30.0 %</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gridSpan w:val="3"/>
          </w:tcPr>
          <w:p>
            <w:pPr>
              <w:jc w:val="right"/>
              <w:spacing w:after="0" w:line="199" w:lineRule="exact"/>
              <w:rPr>
                <w:sz w:val="20"/>
                <w:szCs w:val="20"/>
                <w:color w:val="auto"/>
              </w:rPr>
            </w:pPr>
            <w:r>
              <w:rPr>
                <w:rFonts w:ascii="Arial" w:cs="Arial" w:eastAsia="Arial" w:hAnsi="Arial"/>
                <w:sz w:val="20"/>
                <w:szCs w:val="20"/>
                <w:color w:val="auto"/>
              </w:rPr>
              <w:t>11.6 %</w:t>
            </w:r>
          </w:p>
        </w:tc>
      </w:tr>
      <w:tr>
        <w:trPr>
          <w:trHeight w:val="229"/>
        </w:trPr>
        <w:tc>
          <w:tcPr>
            <w:tcW w:w="8300" w:type="dxa"/>
            <w:vAlign w:val="bottom"/>
            <w:gridSpan w:val="3"/>
          </w:tcPr>
          <w:p>
            <w:pPr>
              <w:ind w:left="20"/>
              <w:spacing w:after="0" w:line="228" w:lineRule="exact"/>
              <w:rPr>
                <w:sz w:val="20"/>
                <w:szCs w:val="20"/>
                <w:color w:val="auto"/>
              </w:rPr>
            </w:pPr>
            <w:r>
              <w:rPr>
                <w:rFonts w:ascii="Arial" w:cs="Arial" w:eastAsia="Arial" w:hAnsi="Arial"/>
                <w:sz w:val="20"/>
                <w:szCs w:val="20"/>
                <w:color w:val="auto"/>
              </w:rPr>
              <w:t>Total aggregates operations</w:t>
            </w:r>
            <w:r>
              <w:rPr>
                <w:rFonts w:ascii="Arial" w:cs="Arial" w:eastAsia="Arial" w:hAnsi="Arial"/>
                <w:sz w:val="26"/>
                <w:szCs w:val="26"/>
                <w:color w:val="auto"/>
                <w:vertAlign w:val="superscript"/>
              </w:rPr>
              <w:t>(2)</w:t>
            </w:r>
          </w:p>
        </w:tc>
        <w:tc>
          <w:tcPr>
            <w:tcW w:w="960" w:type="dxa"/>
            <w:vAlign w:val="bottom"/>
            <w:gridSpan w:val="3"/>
          </w:tcPr>
          <w:p>
            <w:pPr>
              <w:jc w:val="right"/>
              <w:ind w:right="100"/>
              <w:spacing w:after="0" w:line="229" w:lineRule="exact"/>
              <w:rPr>
                <w:sz w:val="20"/>
                <w:szCs w:val="20"/>
                <w:color w:val="auto"/>
              </w:rPr>
            </w:pPr>
            <w:r>
              <w:rPr>
                <w:rFonts w:ascii="Arial" w:cs="Arial" w:eastAsia="Arial" w:hAnsi="Arial"/>
                <w:sz w:val="20"/>
                <w:szCs w:val="20"/>
                <w:color w:val="auto"/>
              </w:rPr>
              <w:t>9.3 %</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gridSpan w:val="3"/>
          </w:tcPr>
          <w:p>
            <w:pPr>
              <w:jc w:val="right"/>
              <w:spacing w:after="0" w:line="229" w:lineRule="exact"/>
              <w:rPr>
                <w:sz w:val="20"/>
                <w:szCs w:val="20"/>
                <w:color w:val="auto"/>
              </w:rPr>
            </w:pPr>
            <w:r>
              <w:rPr>
                <w:rFonts w:ascii="Arial" w:cs="Arial" w:eastAsia="Arial" w:hAnsi="Arial"/>
                <w:sz w:val="20"/>
                <w:szCs w:val="20"/>
                <w:color w:val="auto"/>
              </w:rPr>
              <w:t>8.4 %</w:t>
            </w:r>
          </w:p>
        </w:tc>
      </w:tr>
      <w:tr>
        <w:trPr>
          <w:trHeight w:val="276"/>
        </w:trPr>
        <w:tc>
          <w:tcPr>
            <w:tcW w:w="8300" w:type="dxa"/>
            <w:vAlign w:val="bottom"/>
            <w:gridSpan w:val="3"/>
          </w:tcPr>
          <w:p>
            <w:pPr>
              <w:ind w:left="20"/>
              <w:spacing w:after="0" w:line="276" w:lineRule="exact"/>
              <w:rPr>
                <w:sz w:val="20"/>
                <w:szCs w:val="20"/>
                <w:color w:val="auto"/>
              </w:rPr>
            </w:pPr>
            <w:r>
              <w:rPr>
                <w:rFonts w:ascii="Arial" w:cs="Arial" w:eastAsia="Arial" w:hAnsi="Arial"/>
                <w:sz w:val="20"/>
                <w:szCs w:val="20"/>
                <w:color w:val="auto"/>
              </w:rPr>
              <w:t>Organic aggregates operations</w:t>
            </w:r>
            <w:r>
              <w:rPr>
                <w:rFonts w:ascii="Arial" w:cs="Arial" w:eastAsia="Arial" w:hAnsi="Arial"/>
                <w:sz w:val="26"/>
                <w:szCs w:val="26"/>
                <w:color w:val="auto"/>
                <w:vertAlign w:val="superscript"/>
              </w:rPr>
              <w:t>(3)</w:t>
            </w:r>
          </w:p>
        </w:tc>
        <w:tc>
          <w:tcPr>
            <w:tcW w:w="960" w:type="dxa"/>
            <w:vAlign w:val="bottom"/>
            <w:gridSpan w:val="3"/>
          </w:tcPr>
          <w:p>
            <w:pPr>
              <w:jc w:val="right"/>
              <w:ind w:right="100"/>
              <w:spacing w:after="0"/>
              <w:rPr>
                <w:sz w:val="20"/>
                <w:szCs w:val="20"/>
                <w:color w:val="auto"/>
              </w:rPr>
            </w:pPr>
            <w:r>
              <w:rPr>
                <w:rFonts w:ascii="Arial" w:cs="Arial" w:eastAsia="Arial" w:hAnsi="Arial"/>
                <w:sz w:val="20"/>
                <w:szCs w:val="20"/>
                <w:color w:val="auto"/>
              </w:rPr>
              <w:t>1.8 %</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8.8 %</w:t>
            </w:r>
          </w:p>
        </w:tc>
      </w:tr>
      <w:tr>
        <w:trPr>
          <w:trHeight w:val="616"/>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gridSpan w:val="5"/>
          </w:tcPr>
          <w:p>
            <w:pPr>
              <w:jc w:val="center"/>
              <w:ind w:right="561"/>
              <w:spacing w:after="0"/>
              <w:rPr>
                <w:sz w:val="20"/>
                <w:szCs w:val="20"/>
                <w:color w:val="auto"/>
              </w:rPr>
            </w:pPr>
            <w:r>
              <w:rPr>
                <w:rFonts w:ascii="Arial" w:cs="Arial" w:eastAsia="Arial" w:hAnsi="Arial"/>
                <w:sz w:val="20"/>
                <w:szCs w:val="20"/>
                <w:color w:val="auto"/>
                <w:w w:val="88"/>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7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jc w:val="center"/>
              <w:ind w:right="561"/>
              <w:spacing w:after="0"/>
              <w:rPr>
                <w:sz w:val="20"/>
                <w:szCs w:val="20"/>
                <w:color w:val="auto"/>
              </w:rPr>
            </w:pPr>
            <w:r>
              <w:rPr>
                <w:rFonts w:ascii="Arial" w:cs="Arial" w:eastAsia="Arial" w:hAnsi="Arial"/>
                <w:sz w:val="20"/>
                <w:szCs w:val="20"/>
                <w:color w:val="auto"/>
                <w:w w:val="85"/>
              </w:rPr>
              <w:t>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7120" w:type="dxa"/>
            <w:vAlign w:val="bottom"/>
            <w:gridSpan w:val="2"/>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700" w:type="dxa"/>
            <w:vAlign w:val="bottom"/>
            <w:tcBorders>
              <w:bottom w:val="single" w:sz="8" w:color="auto"/>
            </w:tcBorders>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34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7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20" w:type="dxa"/>
            <w:vAlign w:val="bottom"/>
            <w:gridSpan w:val="5"/>
          </w:tcPr>
          <w:p>
            <w:pPr>
              <w:jc w:val="center"/>
              <w:ind w:right="581"/>
              <w:spacing w:after="0" w:line="223" w:lineRule="exact"/>
              <w:rPr>
                <w:sz w:val="20"/>
                <w:szCs w:val="20"/>
                <w:color w:val="auto"/>
              </w:rPr>
            </w:pPr>
            <w:r>
              <w:rPr>
                <w:rFonts w:ascii="Arial" w:cs="Arial" w:eastAsia="Arial" w:hAnsi="Arial"/>
                <w:sz w:val="20"/>
                <w:szCs w:val="20"/>
                <w:i w:val="1"/>
                <w:iCs w:val="1"/>
                <w:color w:val="auto"/>
                <w:w w:val="92"/>
              </w:rPr>
              <w:t>(Tons in Millions)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300" w:type="dxa"/>
            <w:vAlign w:val="bottom"/>
            <w:gridSpan w:val="3"/>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Shipments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300" w:type="dxa"/>
            <w:vAlign w:val="bottom"/>
            <w:gridSpan w:val="3"/>
          </w:tcPr>
          <w:p>
            <w:pPr>
              <w:ind w:left="200"/>
              <w:spacing w:after="0" w:line="229" w:lineRule="exact"/>
              <w:rPr>
                <w:sz w:val="20"/>
                <w:szCs w:val="20"/>
                <w:color w:val="auto"/>
              </w:rPr>
            </w:pPr>
            <w:r>
              <w:rPr>
                <w:rFonts w:ascii="Arial" w:cs="Arial" w:eastAsia="Arial" w:hAnsi="Arial"/>
                <w:sz w:val="20"/>
                <w:szCs w:val="20"/>
                <w:color w:val="auto"/>
              </w:rPr>
              <w:t>East Group</w:t>
            </w:r>
          </w:p>
        </w:tc>
        <w:tc>
          <w:tcPr>
            <w:tcW w:w="700" w:type="dxa"/>
            <w:vAlign w:val="bottom"/>
            <w:gridSpan w:val="2"/>
          </w:tcPr>
          <w:p>
            <w:pPr>
              <w:jc w:val="right"/>
              <w:ind w:right="20"/>
              <w:spacing w:after="0" w:line="229" w:lineRule="exact"/>
              <w:rPr>
                <w:sz w:val="20"/>
                <w:szCs w:val="20"/>
                <w:color w:val="auto"/>
              </w:rPr>
            </w:pPr>
            <w:r>
              <w:rPr>
                <w:rFonts w:ascii="Arial" w:cs="Arial" w:eastAsia="Arial" w:hAnsi="Arial"/>
                <w:sz w:val="20"/>
                <w:szCs w:val="20"/>
                <w:color w:val="auto"/>
              </w:rPr>
              <w:t>35.0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jc w:val="right"/>
              <w:spacing w:after="0" w:line="229" w:lineRule="exact"/>
              <w:rPr>
                <w:sz w:val="20"/>
                <w:szCs w:val="20"/>
                <w:color w:val="auto"/>
              </w:rPr>
            </w:pPr>
            <w:r>
              <w:rPr>
                <w:rFonts w:ascii="Arial" w:cs="Arial" w:eastAsia="Arial" w:hAnsi="Arial"/>
                <w:sz w:val="20"/>
                <w:szCs w:val="20"/>
                <w:color w:val="auto"/>
              </w:rPr>
              <w:t>35.4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120" w:type="dxa"/>
            <w:vAlign w:val="bottom"/>
            <w:tcBorders>
              <w:bottom w:val="single" w:sz="8" w:color="CFF0FC"/>
            </w:tcBorders>
            <w:gridSpan w:val="2"/>
            <w:shd w:val="clear" w:color="auto" w:fill="CFF0FC"/>
          </w:tcPr>
          <w:p>
            <w:pPr>
              <w:ind w:left="200"/>
              <w:spacing w:after="0" w:line="229" w:lineRule="exact"/>
              <w:rPr>
                <w:sz w:val="20"/>
                <w:szCs w:val="20"/>
                <w:color w:val="auto"/>
              </w:rPr>
            </w:pPr>
            <w:r>
              <w:rPr>
                <w:rFonts w:ascii="Arial" w:cs="Arial" w:eastAsia="Arial" w:hAnsi="Arial"/>
                <w:sz w:val="20"/>
                <w:szCs w:val="20"/>
                <w:color w:val="auto"/>
              </w:rPr>
              <w:t>West Group</w:t>
            </w: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ind w:right="20"/>
              <w:spacing w:after="0" w:line="229" w:lineRule="exact"/>
              <w:rPr>
                <w:sz w:val="20"/>
                <w:szCs w:val="20"/>
                <w:color w:val="auto"/>
              </w:rPr>
            </w:pPr>
            <w:r>
              <w:rPr>
                <w:rFonts w:ascii="Arial" w:cs="Arial" w:eastAsia="Arial" w:hAnsi="Arial"/>
                <w:sz w:val="20"/>
                <w:szCs w:val="20"/>
                <w:color w:val="auto"/>
              </w:rPr>
              <w:t>22.8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17.5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8300" w:type="dxa"/>
            <w:vAlign w:val="bottom"/>
            <w:gridSpan w:val="3"/>
          </w:tcPr>
          <w:p>
            <w:pPr>
              <w:ind w:left="20"/>
              <w:spacing w:after="0" w:line="222" w:lineRule="exact"/>
              <w:rPr>
                <w:sz w:val="20"/>
                <w:szCs w:val="20"/>
                <w:color w:val="auto"/>
              </w:rPr>
            </w:pPr>
            <w:r>
              <w:rPr>
                <w:rFonts w:ascii="Arial" w:cs="Arial" w:eastAsia="Arial" w:hAnsi="Arial"/>
                <w:sz w:val="19"/>
                <w:szCs w:val="19"/>
                <w:color w:val="auto"/>
              </w:rPr>
              <w:t>Total aggregates operations</w:t>
            </w:r>
            <w:r>
              <w:rPr>
                <w:rFonts w:ascii="Arial" w:cs="Arial" w:eastAsia="Arial" w:hAnsi="Arial"/>
                <w:sz w:val="25"/>
                <w:szCs w:val="25"/>
                <w:color w:val="auto"/>
                <w:vertAlign w:val="superscript"/>
              </w:rPr>
              <w:t>(2)</w:t>
            </w:r>
          </w:p>
        </w:tc>
        <w:tc>
          <w:tcPr>
            <w:tcW w:w="700" w:type="dxa"/>
            <w:vAlign w:val="bottom"/>
            <w:gridSpan w:val="2"/>
          </w:tcPr>
          <w:p>
            <w:pPr>
              <w:jc w:val="right"/>
              <w:ind w:right="20"/>
              <w:spacing w:after="0" w:line="223" w:lineRule="exact"/>
              <w:rPr>
                <w:sz w:val="20"/>
                <w:szCs w:val="20"/>
                <w:color w:val="auto"/>
              </w:rPr>
            </w:pPr>
            <w:r>
              <w:rPr>
                <w:rFonts w:ascii="Arial" w:cs="Arial" w:eastAsia="Arial" w:hAnsi="Arial"/>
                <w:sz w:val="20"/>
                <w:szCs w:val="20"/>
                <w:color w:val="auto"/>
              </w:rPr>
              <w:t>57.8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jc w:val="right"/>
              <w:spacing w:after="0" w:line="223" w:lineRule="exact"/>
              <w:rPr>
                <w:sz w:val="20"/>
                <w:szCs w:val="20"/>
                <w:color w:val="auto"/>
              </w:rPr>
            </w:pPr>
            <w:r>
              <w:rPr>
                <w:rFonts w:ascii="Arial" w:cs="Arial" w:eastAsia="Arial" w:hAnsi="Arial"/>
                <w:sz w:val="20"/>
                <w:szCs w:val="20"/>
                <w:color w:val="auto"/>
              </w:rPr>
              <w:t>52.9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-1906270</wp:posOffset>
            </wp:positionV>
            <wp:extent cx="7132955"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-1615440</wp:posOffset>
            </wp:positionV>
            <wp:extent cx="7132955" cy="145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-175895</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Volume/pricing variances reflect the percentage increase from the comparable period in the prior year.</w:t>
      </w:r>
    </w:p>
    <w:p>
      <w:pPr>
        <w:spacing w:after="0" w:line="1" w:lineRule="exact"/>
        <w:rPr>
          <w:rFonts w:ascii="Arial" w:cs="Arial" w:eastAsia="Arial" w:hAnsi="Arial"/>
          <w:sz w:val="23"/>
          <w:szCs w:val="23"/>
          <w:i w:val="1"/>
          <w:iCs w:val="1"/>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Total aggregates operations include acquisitions from the date of acquisition and divestitures through the date of disposal.</w:t>
      </w:r>
    </w:p>
    <w:p>
      <w:pPr>
        <w:spacing w:after="0" w:line="1" w:lineRule="exact"/>
        <w:rPr>
          <w:rFonts w:ascii="Arial" w:cs="Arial" w:eastAsia="Arial" w:hAnsi="Arial"/>
          <w:sz w:val="23"/>
          <w:szCs w:val="23"/>
          <w:i w:val="1"/>
          <w:iCs w:val="1"/>
          <w:color w:val="auto"/>
          <w:vertAlign w:val="superscript"/>
        </w:rPr>
      </w:pPr>
    </w:p>
    <w:p>
      <w:pPr>
        <w:ind w:right="80" w:firstLine="8"/>
        <w:spacing w:after="0" w:line="226" w:lineRule="auto"/>
        <w:tabs>
          <w:tab w:leader="none" w:pos="185"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Organic aggregates operations exclude volume and pricing data for acquisitions that have not been included in prior-year operations for the comparable period and divestitures.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Page 35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35" w:name="page36"/>
    <w:bookmarkEnd w:id="35"/>
    <w:p>
      <w:pPr>
        <w:jc w:val="center"/>
        <w:ind w:right="1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1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100"/>
        <w:spacing w:after="0" w:line="226" w:lineRule="auto"/>
        <w:rPr>
          <w:sz w:val="20"/>
          <w:szCs w:val="20"/>
          <w:color w:val="auto"/>
        </w:rPr>
      </w:pPr>
      <w:r>
        <w:rPr>
          <w:rFonts w:ascii="Arial" w:cs="Arial" w:eastAsia="Arial" w:hAnsi="Arial"/>
          <w:sz w:val="20"/>
          <w:szCs w:val="20"/>
          <w:color w:val="auto"/>
        </w:rPr>
        <w:t>RESULTS OF OPERATIONS</w:t>
      </w:r>
    </w:p>
    <w:p>
      <w:pPr>
        <w:jc w:val="center"/>
        <w:ind w:right="40"/>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by product line for the Building Materials business:</w:t>
      </w:r>
    </w:p>
    <w:p>
      <w:pPr>
        <w:spacing w:after="0" w:line="188" w:lineRule="exact"/>
        <w:rPr>
          <w:sz w:val="20"/>
          <w:szCs w:val="20"/>
          <w:color w:val="auto"/>
        </w:rPr>
      </w:pPr>
    </w:p>
    <w:p>
      <w:pPr>
        <w:ind w:left="7860"/>
        <w:spacing w:after="0"/>
        <w:rPr>
          <w:sz w:val="20"/>
          <w:szCs w:val="20"/>
          <w:color w:val="auto"/>
        </w:rPr>
      </w:pPr>
      <w:r>
        <w:rPr>
          <w:rFonts w:ascii="Arial" w:cs="Arial" w:eastAsia="Arial" w:hAnsi="Arial"/>
          <w:sz w:val="20"/>
          <w:szCs w:val="20"/>
          <w:color w:val="auto"/>
        </w:rPr>
        <w:t>Three Months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Shipments</w:t>
            </w:r>
          </w:p>
        </w:tc>
        <w:tc>
          <w:tcPr>
            <w:tcW w:w="8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1440" w:type="dxa"/>
            <w:vAlign w:val="bottom"/>
            <w:tcBorders>
              <w:top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ind w:left="220"/>
              <w:spacing w:after="0" w:line="223" w:lineRule="exact"/>
              <w:rPr>
                <w:sz w:val="20"/>
                <w:szCs w:val="20"/>
                <w:color w:val="auto"/>
              </w:rPr>
            </w:pPr>
            <w:r>
              <w:rPr>
                <w:rFonts w:ascii="Arial" w:cs="Arial" w:eastAsia="Arial" w:hAnsi="Arial"/>
                <w:sz w:val="20"/>
                <w:szCs w:val="20"/>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0"/>
              <w:spacing w:after="0" w:line="229" w:lineRule="exact"/>
              <w:rPr>
                <w:sz w:val="20"/>
                <w:szCs w:val="20"/>
                <w:color w:val="auto"/>
              </w:rPr>
            </w:pPr>
            <w:r>
              <w:rPr>
                <w:rFonts w:ascii="Arial" w:cs="Arial" w:eastAsia="Arial" w:hAnsi="Arial"/>
                <w:sz w:val="20"/>
                <w:szCs w:val="20"/>
                <w:color w:val="auto"/>
              </w:rPr>
              <w:t>Aggregates (in millions):</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760" w:type="dxa"/>
            <w:vAlign w:val="bottom"/>
            <w:gridSpan w:val="2"/>
          </w:tcPr>
          <w:p>
            <w:pPr>
              <w:ind w:left="30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jc w:val="right"/>
              <w:spacing w:after="0"/>
              <w:rPr>
                <w:sz w:val="20"/>
                <w:szCs w:val="20"/>
                <w:color w:val="auto"/>
              </w:rPr>
            </w:pPr>
            <w:r>
              <w:rPr>
                <w:rFonts w:ascii="Arial" w:cs="Arial" w:eastAsia="Arial" w:hAnsi="Arial"/>
                <w:sz w:val="20"/>
                <w:szCs w:val="20"/>
                <w:color w:val="auto"/>
                <w:w w:val="87"/>
              </w:rPr>
              <w:t>53.5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87"/>
              </w:rPr>
              <w:t>48.8</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Internal tons used in other product lines</w:t>
            </w:r>
          </w:p>
        </w:tc>
        <w:tc>
          <w:tcPr>
            <w:tcW w:w="8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3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940" w:type="dxa"/>
            <w:vAlign w:val="bottom"/>
            <w:vMerge w:val="restart"/>
          </w:tcPr>
          <w:p>
            <w:pPr>
              <w:ind w:left="120"/>
              <w:spacing w:after="0"/>
              <w:rPr>
                <w:sz w:val="20"/>
                <w:szCs w:val="20"/>
                <w:color w:val="auto"/>
              </w:rPr>
            </w:pPr>
            <w:r>
              <w:rPr>
                <w:rFonts w:ascii="Arial" w:cs="Arial" w:eastAsia="Arial" w:hAnsi="Arial"/>
                <w:sz w:val="20"/>
                <w:szCs w:val="20"/>
                <w:color w:val="auto"/>
              </w:rPr>
              <w:t>Total aggregates tons</w:t>
            </w:r>
          </w:p>
        </w:tc>
        <w:tc>
          <w:tcPr>
            <w:tcW w:w="820" w:type="dxa"/>
            <w:vAlign w:val="bottom"/>
            <w:vMerge w:val="restart"/>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w w:val="87"/>
              </w:rPr>
              <w:t>57.8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w w:val="87"/>
              </w:rPr>
              <w:t>52.9</w:t>
            </w:r>
          </w:p>
        </w:tc>
        <w:tc>
          <w:tcPr>
            <w:tcW w:w="1760" w:type="dxa"/>
            <w:vAlign w:val="bottom"/>
            <w:gridSpan w:val="4"/>
          </w:tcPr>
          <w:p>
            <w:pPr>
              <w:jc w:val="right"/>
              <w:ind w:right="20"/>
              <w:spacing w:after="0"/>
              <w:rPr>
                <w:sz w:val="20"/>
                <w:szCs w:val="20"/>
                <w:color w:val="auto"/>
              </w:rPr>
            </w:pPr>
            <w:r>
              <w:rPr>
                <w:rFonts w:ascii="Arial" w:cs="Arial" w:eastAsia="Arial" w:hAnsi="Arial"/>
                <w:sz w:val="20"/>
                <w:szCs w:val="20"/>
                <w:color w:val="auto"/>
              </w:rPr>
              <w:t>9.3 %</w:t>
            </w:r>
          </w:p>
        </w:tc>
        <w:tc>
          <w:tcPr>
            <w:tcW w:w="0" w:type="dxa"/>
            <w:vAlign w:val="bottom"/>
          </w:tcPr>
          <w:p>
            <w:pPr>
              <w:spacing w:after="0"/>
              <w:rPr>
                <w:sz w:val="1"/>
                <w:szCs w:val="1"/>
                <w:color w:val="auto"/>
              </w:rPr>
            </w:pPr>
          </w:p>
        </w:tc>
      </w:tr>
      <w:tr>
        <w:trPr>
          <w:trHeight w:val="63"/>
        </w:trPr>
        <w:tc>
          <w:tcPr>
            <w:tcW w:w="6940" w:type="dxa"/>
            <w:vAlign w:val="bottom"/>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line="229" w:lineRule="exact"/>
              <w:rPr>
                <w:sz w:val="20"/>
                <w:szCs w:val="20"/>
                <w:color w:val="auto"/>
              </w:rPr>
            </w:pPr>
            <w:r>
              <w:rPr>
                <w:rFonts w:ascii="Arial" w:cs="Arial" w:eastAsia="Arial" w:hAnsi="Arial"/>
                <w:sz w:val="20"/>
                <w:szCs w:val="20"/>
                <w:color w:val="auto"/>
              </w:rPr>
              <w:t>Cement (in millions):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120"/>
              <w:spacing w:after="0" w:line="229" w:lineRule="exact"/>
              <w:rPr>
                <w:sz w:val="20"/>
                <w:szCs w:val="20"/>
                <w:color w:val="auto"/>
              </w:rPr>
            </w:pPr>
            <w:r>
              <w:rPr>
                <w:rFonts w:ascii="Arial" w:cs="Arial" w:eastAsia="Arial" w:hAnsi="Arial"/>
                <w:sz w:val="20"/>
                <w:szCs w:val="20"/>
                <w:color w:val="auto"/>
              </w:rPr>
              <w:t>Tons to external customers</w:t>
            </w:r>
          </w:p>
        </w:tc>
        <w:tc>
          <w:tcPr>
            <w:tcW w:w="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0.5</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line="229" w:lineRule="exact"/>
              <w:rPr>
                <w:sz w:val="20"/>
                <w:szCs w:val="20"/>
                <w:color w:val="auto"/>
              </w:rPr>
            </w:pPr>
            <w:r>
              <w:rPr>
                <w:rFonts w:ascii="Arial" w:cs="Arial" w:eastAsia="Arial" w:hAnsi="Arial"/>
                <w:sz w:val="20"/>
                <w:szCs w:val="20"/>
                <w:color w:val="auto"/>
              </w:rPr>
              <w:t>Internal tons used in ready mixed concrete</w:t>
            </w: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0.3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0.4</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20"/>
              <w:spacing w:after="0" w:line="223" w:lineRule="exact"/>
              <w:rPr>
                <w:sz w:val="20"/>
                <w:szCs w:val="20"/>
                <w:color w:val="auto"/>
              </w:rPr>
            </w:pPr>
            <w:r>
              <w:rPr>
                <w:rFonts w:ascii="Arial" w:cs="Arial" w:eastAsia="Arial" w:hAnsi="Arial"/>
                <w:sz w:val="20"/>
                <w:szCs w:val="20"/>
                <w:color w:val="auto"/>
              </w:rPr>
              <w:t>Total cement tons</w:t>
            </w:r>
          </w:p>
        </w:tc>
        <w:tc>
          <w:tcPr>
            <w:tcW w:w="8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0.9</w:t>
            </w:r>
          </w:p>
        </w:tc>
        <w:tc>
          <w:tcPr>
            <w:tcW w:w="1760" w:type="dxa"/>
            <w:vAlign w:val="bottom"/>
            <w:gridSpan w:val="4"/>
          </w:tcPr>
          <w:p>
            <w:pPr>
              <w:jc w:val="right"/>
              <w:ind w:right="20"/>
              <w:spacing w:after="0" w:line="223" w:lineRule="exact"/>
              <w:rPr>
                <w:sz w:val="20"/>
                <w:szCs w:val="20"/>
                <w:color w:val="auto"/>
              </w:rPr>
            </w:pPr>
            <w:r>
              <w:rPr>
                <w:rFonts w:ascii="Arial" w:cs="Arial" w:eastAsia="Arial" w:hAnsi="Arial"/>
                <w:sz w:val="20"/>
                <w:szCs w:val="20"/>
                <w:color w:val="auto"/>
              </w:rPr>
              <w:t>19.8 %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760" w:type="dxa"/>
            <w:vAlign w:val="bottom"/>
            <w:gridSpan w:val="2"/>
          </w:tcPr>
          <w:p>
            <w:pPr>
              <w:ind w:left="20"/>
              <w:spacing w:after="0"/>
              <w:rPr>
                <w:sz w:val="20"/>
                <w:szCs w:val="20"/>
                <w:color w:val="auto"/>
              </w:rPr>
            </w:pPr>
            <w:r>
              <w:rPr>
                <w:rFonts w:ascii="Arial" w:cs="Arial" w:eastAsia="Arial" w:hAnsi="Arial"/>
                <w:sz w:val="20"/>
                <w:szCs w:val="20"/>
                <w:color w:val="auto"/>
              </w:rPr>
              <w:t>Ready Mixed Concrete (in millions of cubic yards)</w:t>
            </w:r>
          </w:p>
        </w:tc>
        <w:tc>
          <w:tcPr>
            <w:tcW w:w="380" w:type="dxa"/>
            <w:vAlign w:val="bottom"/>
          </w:tcPr>
          <w:p>
            <w:pPr>
              <w:jc w:val="right"/>
              <w:spacing w:after="0"/>
              <w:rPr>
                <w:sz w:val="20"/>
                <w:szCs w:val="20"/>
                <w:color w:val="auto"/>
              </w:rPr>
            </w:pPr>
            <w:r>
              <w:rPr>
                <w:rFonts w:ascii="Arial" w:cs="Arial" w:eastAsia="Arial" w:hAnsi="Arial"/>
                <w:sz w:val="20"/>
                <w:szCs w:val="20"/>
                <w:color w:val="auto"/>
              </w:rPr>
              <w:t>1.8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2.3</w:t>
            </w:r>
          </w:p>
        </w:tc>
        <w:tc>
          <w:tcPr>
            <w:tcW w:w="1760" w:type="dxa"/>
            <w:vAlign w:val="bottom"/>
            <w:gridSpan w:val="4"/>
          </w:tcPr>
          <w:p>
            <w:pPr>
              <w:jc w:val="right"/>
              <w:spacing w:after="0"/>
              <w:rPr>
                <w:sz w:val="20"/>
                <w:szCs w:val="20"/>
                <w:color w:val="auto"/>
              </w:rPr>
            </w:pPr>
            <w:r>
              <w:rPr>
                <w:rFonts w:ascii="Arial" w:cs="Arial" w:eastAsia="Arial" w:hAnsi="Arial"/>
                <w:sz w:val="20"/>
                <w:szCs w:val="20"/>
                <w:color w:val="auto"/>
              </w:rPr>
              <w:t>(22.6 )%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0"/>
              <w:spacing w:after="0" w:line="229" w:lineRule="exact"/>
              <w:rPr>
                <w:sz w:val="20"/>
                <w:szCs w:val="20"/>
                <w:color w:val="auto"/>
              </w:rPr>
            </w:pPr>
            <w:r>
              <w:rPr>
                <w:rFonts w:ascii="Arial" w:cs="Arial" w:eastAsia="Arial" w:hAnsi="Arial"/>
                <w:sz w:val="20"/>
                <w:szCs w:val="20"/>
                <w:color w:val="auto"/>
              </w:rPr>
              <w:t>Asphalt (in millions):</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0"/>
              <w:spacing w:after="0" w:line="229" w:lineRule="exact"/>
              <w:rPr>
                <w:sz w:val="20"/>
                <w:szCs w:val="20"/>
                <w:color w:val="auto"/>
              </w:rPr>
            </w:pPr>
            <w:r>
              <w:rPr>
                <w:rFonts w:ascii="Arial" w:cs="Arial" w:eastAsia="Arial" w:hAnsi="Arial"/>
                <w:sz w:val="20"/>
                <w:szCs w:val="20"/>
                <w:color w:val="auto"/>
              </w:rPr>
              <w:t>Tons to external customers</w:t>
            </w: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1.9</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1.2</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20"/>
                <w:szCs w:val="20"/>
                <w:color w:val="auto"/>
              </w:rPr>
              <w:t>Internal tons used in paving business</w:t>
            </w:r>
          </w:p>
        </w:tc>
        <w:tc>
          <w:tcPr>
            <w:tcW w:w="8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0.7</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0.6</w:t>
            </w:r>
          </w:p>
        </w:tc>
        <w:tc>
          <w:tcPr>
            <w:tcW w:w="3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gridSpan w:val="2"/>
          </w:tcPr>
          <w:p>
            <w:pPr>
              <w:ind w:left="20"/>
              <w:spacing w:after="0" w:line="223" w:lineRule="exact"/>
              <w:rPr>
                <w:sz w:val="20"/>
                <w:szCs w:val="20"/>
                <w:color w:val="auto"/>
              </w:rPr>
            </w:pPr>
            <w:r>
              <w:rPr>
                <w:rFonts w:ascii="Arial" w:cs="Arial" w:eastAsia="Arial" w:hAnsi="Arial"/>
                <w:sz w:val="20"/>
                <w:szCs w:val="20"/>
                <w:color w:val="auto"/>
              </w:rPr>
              <w:t>Total asphalt tons</w:t>
            </w:r>
          </w:p>
        </w:tc>
        <w:tc>
          <w:tcPr>
            <w:tcW w:w="380" w:type="dxa"/>
            <w:vAlign w:val="bottom"/>
          </w:tcPr>
          <w:p>
            <w:pPr>
              <w:jc w:val="right"/>
              <w:spacing w:after="0" w:line="223" w:lineRule="exact"/>
              <w:rPr>
                <w:sz w:val="20"/>
                <w:szCs w:val="20"/>
                <w:color w:val="auto"/>
              </w:rPr>
            </w:pPr>
            <w:r>
              <w:rPr>
                <w:rFonts w:ascii="Arial" w:cs="Arial" w:eastAsia="Arial" w:hAnsi="Arial"/>
                <w:sz w:val="20"/>
                <w:szCs w:val="20"/>
                <w:color w:val="auto"/>
              </w:rPr>
              <w:t>2.6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0"/>
                <w:szCs w:val="20"/>
                <w:color w:val="auto"/>
              </w:rPr>
              <w:t>1.8</w:t>
            </w:r>
          </w:p>
        </w:tc>
        <w:tc>
          <w:tcPr>
            <w:tcW w:w="1760" w:type="dxa"/>
            <w:vAlign w:val="bottom"/>
            <w:gridSpan w:val="4"/>
          </w:tcPr>
          <w:p>
            <w:pPr>
              <w:jc w:val="right"/>
              <w:ind w:right="20"/>
              <w:spacing w:after="0" w:line="223" w:lineRule="exact"/>
              <w:rPr>
                <w:sz w:val="20"/>
                <w:szCs w:val="20"/>
                <w:color w:val="auto"/>
              </w:rPr>
            </w:pPr>
            <w:r>
              <w:rPr>
                <w:rFonts w:ascii="Arial" w:cs="Arial" w:eastAsia="Arial" w:hAnsi="Arial"/>
                <w:sz w:val="20"/>
                <w:szCs w:val="20"/>
                <w:color w:val="auto"/>
              </w:rPr>
              <w:t>40.2 %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-2117090</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-2117090</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7132955" cy="1708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132955" cy="1708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-175895</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-175895</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gridSpan w:val="3"/>
          </w:tcPr>
          <w:p>
            <w:pPr>
              <w:spacing w:after="0"/>
              <w:rPr>
                <w:sz w:val="20"/>
                <w:szCs w:val="20"/>
                <w:color w:val="auto"/>
              </w:rPr>
            </w:pPr>
            <w:r>
              <w:rPr>
                <w:rFonts w:ascii="Arial" w:cs="Arial" w:eastAsia="Arial" w:hAnsi="Arial"/>
                <w:sz w:val="20"/>
                <w:szCs w:val="20"/>
                <w:color w:val="auto"/>
                <w:w w:val="93"/>
              </w:rPr>
              <w:t>The average selling price by product line for the Building Materials business is as follows: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ind w:left="1180"/>
              <w:spacing w:after="0"/>
              <w:rPr>
                <w:sz w:val="20"/>
                <w:szCs w:val="20"/>
                <w:color w:val="auto"/>
              </w:rPr>
            </w:pPr>
            <w:r>
              <w:rPr>
                <w:rFonts w:ascii="Arial" w:cs="Arial" w:eastAsia="Arial" w:hAnsi="Arial"/>
                <w:sz w:val="20"/>
                <w:szCs w:val="20"/>
                <w:color w:val="auto"/>
                <w:w w:val="92"/>
              </w:rPr>
              <w:t>Three Months Ended June 30,</w:t>
            </w:r>
          </w:p>
        </w:tc>
        <w:tc>
          <w:tcPr>
            <w:tcW w:w="1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60" w:type="dxa"/>
            <w:vAlign w:val="bottom"/>
            <w:vMerge w:val="restart"/>
          </w:tcPr>
          <w:p>
            <w:pPr>
              <w:ind w:left="20"/>
              <w:spacing w:after="0"/>
              <w:rPr>
                <w:sz w:val="20"/>
                <w:szCs w:val="20"/>
                <w:color w:val="auto"/>
              </w:rPr>
            </w:pPr>
            <w:r>
              <w:rPr>
                <w:rFonts w:ascii="Arial" w:cs="Arial" w:eastAsia="Arial" w:hAnsi="Arial"/>
                <w:sz w:val="20"/>
                <w:szCs w:val="20"/>
                <w:color w:val="auto"/>
              </w:rPr>
              <w:t>Aggregates (per ton)</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2022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2021</w:t>
            </w:r>
          </w:p>
        </w:tc>
        <w:tc>
          <w:tcPr>
            <w:tcW w:w="400" w:type="dxa"/>
            <w:vAlign w:val="bottom"/>
          </w:tcPr>
          <w:p>
            <w:pPr>
              <w:spacing w:after="0"/>
              <w:rPr>
                <w:sz w:val="19"/>
                <w:szCs w:val="19"/>
                <w:color w:val="auto"/>
              </w:rPr>
            </w:pPr>
          </w:p>
        </w:tc>
        <w:tc>
          <w:tcPr>
            <w:tcW w:w="142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 Change</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6"/>
        </w:trPr>
        <w:tc>
          <w:tcPr>
            <w:tcW w:w="5660" w:type="dxa"/>
            <w:vAlign w:val="bottom"/>
            <w:vMerge w:val="continue"/>
          </w:tcPr>
          <w:p>
            <w:pPr>
              <w:spacing w:after="0"/>
              <w:rPr>
                <w:sz w:val="17"/>
                <w:szCs w:val="17"/>
                <w:color w:val="auto"/>
              </w:rPr>
            </w:pPr>
          </w:p>
        </w:tc>
        <w:tc>
          <w:tcPr>
            <w:tcW w:w="380" w:type="dxa"/>
            <w:vAlign w:val="bottom"/>
          </w:tcPr>
          <w:p>
            <w:pPr>
              <w:jc w:val="right"/>
              <w:ind w:right="161"/>
              <w:spacing w:after="0" w:line="206"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06" w:lineRule="exact"/>
              <w:rPr>
                <w:sz w:val="20"/>
                <w:szCs w:val="20"/>
                <w:color w:val="auto"/>
              </w:rPr>
            </w:pPr>
            <w:r>
              <w:rPr>
                <w:rFonts w:ascii="Arial" w:cs="Arial" w:eastAsia="Arial" w:hAnsi="Arial"/>
                <w:sz w:val="20"/>
                <w:szCs w:val="20"/>
                <w:color w:val="auto"/>
              </w:rPr>
              <w:t>16.34</w:t>
            </w:r>
          </w:p>
        </w:tc>
        <w:tc>
          <w:tcPr>
            <w:tcW w:w="300" w:type="dxa"/>
            <w:vAlign w:val="bottom"/>
          </w:tcPr>
          <w:p>
            <w:pPr>
              <w:spacing w:after="0"/>
              <w:rPr>
                <w:sz w:val="17"/>
                <w:szCs w:val="17"/>
                <w:color w:val="auto"/>
              </w:rPr>
            </w:pPr>
          </w:p>
        </w:tc>
        <w:tc>
          <w:tcPr>
            <w:tcW w:w="380" w:type="dxa"/>
            <w:vAlign w:val="bottom"/>
          </w:tcPr>
          <w:p>
            <w:pPr>
              <w:jc w:val="right"/>
              <w:ind w:right="181"/>
              <w:spacing w:after="0" w:line="206" w:lineRule="exact"/>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line="206" w:lineRule="exact"/>
              <w:rPr>
                <w:sz w:val="20"/>
                <w:szCs w:val="20"/>
                <w:color w:val="auto"/>
              </w:rPr>
            </w:pPr>
            <w:r>
              <w:rPr>
                <w:rFonts w:ascii="Arial" w:cs="Arial" w:eastAsia="Arial" w:hAnsi="Arial"/>
                <w:sz w:val="20"/>
                <w:szCs w:val="20"/>
                <w:color w:val="auto"/>
              </w:rPr>
              <w:t>15.07</w:t>
            </w:r>
          </w:p>
        </w:tc>
        <w:tc>
          <w:tcPr>
            <w:tcW w:w="400" w:type="dxa"/>
            <w:vAlign w:val="bottom"/>
          </w:tcPr>
          <w:p>
            <w:pPr>
              <w:spacing w:after="0"/>
              <w:rPr>
                <w:sz w:val="17"/>
                <w:szCs w:val="17"/>
                <w:color w:val="auto"/>
              </w:rPr>
            </w:pPr>
          </w:p>
        </w:tc>
        <w:tc>
          <w:tcPr>
            <w:tcW w:w="1420" w:type="dxa"/>
            <w:vAlign w:val="bottom"/>
          </w:tcPr>
          <w:p>
            <w:pPr>
              <w:jc w:val="right"/>
              <w:spacing w:after="0" w:line="206" w:lineRule="exact"/>
              <w:rPr>
                <w:sz w:val="20"/>
                <w:szCs w:val="20"/>
                <w:color w:val="auto"/>
              </w:rPr>
            </w:pPr>
            <w:r>
              <w:rPr>
                <w:rFonts w:ascii="Arial" w:cs="Arial" w:eastAsia="Arial" w:hAnsi="Arial"/>
                <w:sz w:val="20"/>
                <w:szCs w:val="20"/>
                <w:color w:val="auto"/>
              </w:rPr>
              <w:t>8.4</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29" w:lineRule="exact"/>
              <w:rPr>
                <w:sz w:val="20"/>
                <w:szCs w:val="20"/>
                <w:color w:val="auto"/>
              </w:rPr>
            </w:pPr>
            <w:r>
              <w:rPr>
                <w:rFonts w:ascii="Arial" w:cs="Arial" w:eastAsia="Arial" w:hAnsi="Arial"/>
                <w:sz w:val="20"/>
                <w:szCs w:val="20"/>
                <w:color w:val="auto"/>
              </w:rPr>
              <w:t>Cement (per ton)</w:t>
            </w:r>
          </w:p>
        </w:tc>
        <w:tc>
          <w:tcPr>
            <w:tcW w:w="38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140.00</w:t>
            </w:r>
          </w:p>
        </w:tc>
        <w:tc>
          <w:tcPr>
            <w:tcW w:w="68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122.11</w:t>
            </w:r>
          </w:p>
        </w:tc>
        <w:tc>
          <w:tcPr>
            <w:tcW w:w="400" w:type="dxa"/>
            <w:vAlign w:val="bottom"/>
          </w:tcPr>
          <w:p>
            <w:pPr>
              <w:spacing w:after="0"/>
              <w:rPr>
                <w:sz w:val="19"/>
                <w:szCs w:val="19"/>
                <w:color w:val="auto"/>
              </w:rPr>
            </w:pPr>
          </w:p>
        </w:tc>
        <w:tc>
          <w:tcPr>
            <w:tcW w:w="16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14.7 %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29" w:lineRule="exact"/>
              <w:rPr>
                <w:sz w:val="20"/>
                <w:szCs w:val="20"/>
                <w:color w:val="auto"/>
              </w:rPr>
            </w:pPr>
            <w:r>
              <w:rPr>
                <w:rFonts w:ascii="Arial" w:cs="Arial" w:eastAsia="Arial" w:hAnsi="Arial"/>
                <w:sz w:val="20"/>
                <w:szCs w:val="20"/>
                <w:color w:val="auto"/>
              </w:rPr>
              <w:t>Ready Mixed Concrete (per cubic yard)</w:t>
            </w:r>
          </w:p>
        </w:tc>
        <w:tc>
          <w:tcPr>
            <w:tcW w:w="38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124.51</w:t>
            </w:r>
          </w:p>
        </w:tc>
        <w:tc>
          <w:tcPr>
            <w:tcW w:w="68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114.27</w:t>
            </w:r>
          </w:p>
        </w:tc>
        <w:tc>
          <w:tcPr>
            <w:tcW w:w="400" w:type="dxa"/>
            <w:vAlign w:val="bottom"/>
          </w:tcPr>
          <w:p>
            <w:pPr>
              <w:spacing w:after="0"/>
              <w:rPr>
                <w:sz w:val="19"/>
                <w:szCs w:val="19"/>
                <w:color w:val="auto"/>
              </w:rPr>
            </w:pPr>
          </w:p>
        </w:tc>
        <w:tc>
          <w:tcPr>
            <w:tcW w:w="16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9.0 %</w:t>
            </w: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60.54</w:t>
            </w:r>
          </w:p>
        </w:tc>
        <w:tc>
          <w:tcPr>
            <w:tcW w:w="68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48.83</w:t>
            </w:r>
          </w:p>
        </w:tc>
        <w:tc>
          <w:tcPr>
            <w:tcW w:w="4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24.0 %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132955"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955"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93" w:lineRule="exact"/>
        <w:rPr>
          <w:sz w:val="20"/>
          <w:szCs w:val="20"/>
          <w:color w:val="auto"/>
        </w:rPr>
      </w:pPr>
    </w:p>
    <w:p>
      <w:pPr>
        <w:jc w:val="both"/>
        <w:ind w:right="100"/>
        <w:spacing w:after="0" w:line="299" w:lineRule="auto"/>
        <w:rPr>
          <w:sz w:val="20"/>
          <w:szCs w:val="20"/>
          <w:color w:val="auto"/>
        </w:rPr>
      </w:pPr>
      <w:r>
        <w:rPr>
          <w:rFonts w:ascii="Arial" w:cs="Arial" w:eastAsia="Arial" w:hAnsi="Arial"/>
          <w:sz w:val="18"/>
          <w:szCs w:val="18"/>
          <w:color w:val="auto"/>
        </w:rPr>
        <w:t>Organic aggregates shipments to the infrastructure market increased 5%, primarily driven by increased highway projects in Indiana, Arkansas, Colorado and the Gulf Coast. The infrastructure market accounted for 35% of second-quarter organic aggregates shipments.</w:t>
      </w:r>
    </w:p>
    <w:p>
      <w:pPr>
        <w:spacing w:after="0" w:line="23" w:lineRule="exact"/>
        <w:rPr>
          <w:sz w:val="20"/>
          <w:szCs w:val="20"/>
          <w:color w:val="auto"/>
        </w:rPr>
      </w:pPr>
    </w:p>
    <w:p>
      <w:pPr>
        <w:jc w:val="both"/>
        <w:ind w:right="100"/>
        <w:spacing w:after="0" w:line="245" w:lineRule="auto"/>
        <w:rPr>
          <w:sz w:val="20"/>
          <w:szCs w:val="20"/>
          <w:color w:val="auto"/>
        </w:rPr>
      </w:pPr>
      <w:r>
        <w:rPr>
          <w:rFonts w:ascii="Arial" w:cs="Arial" w:eastAsia="Arial" w:hAnsi="Arial"/>
          <w:sz w:val="20"/>
          <w:szCs w:val="20"/>
          <w:color w:val="auto"/>
        </w:rPr>
        <w:t>Organic aggregates shipments to the nonresidential market were flat compared to a strong prior-year quarter. The nonresidential market represented 35% of second-quarter organic aggregates shipments.</w:t>
      </w:r>
    </w:p>
    <w:p>
      <w:pPr>
        <w:spacing w:after="0" w:line="69" w:lineRule="exact"/>
        <w:rPr>
          <w:sz w:val="20"/>
          <w:szCs w:val="20"/>
          <w:color w:val="auto"/>
        </w:rPr>
      </w:pPr>
    </w:p>
    <w:p>
      <w:pPr>
        <w:jc w:val="both"/>
        <w:ind w:right="100"/>
        <w:spacing w:after="0" w:line="236" w:lineRule="auto"/>
        <w:rPr>
          <w:sz w:val="20"/>
          <w:szCs w:val="20"/>
          <w:color w:val="auto"/>
        </w:rPr>
      </w:pPr>
      <w:r>
        <w:rPr>
          <w:rFonts w:ascii="Arial" w:cs="Arial" w:eastAsia="Arial" w:hAnsi="Arial"/>
          <w:sz w:val="20"/>
          <w:szCs w:val="20"/>
          <w:color w:val="auto"/>
        </w:rPr>
        <w:t>Organic aggregates shipments to the residential market increased 4%, reflecting strong demand in Texas and Colorado that was partially offset by supply chain issues and decreased housing starts in the East. The residential market accounted for 25% of second-quarter organic aggregates shipments.</w:t>
      </w:r>
    </w:p>
    <w:p>
      <w:pPr>
        <w:spacing w:after="0" w:line="76"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The ChemRock/Rail market accounted for the remaining 5% of second-quarter organic aggregates shipments. Volumes to this end use decreased 10%, driven by lower ballast shipments to the Class I western railroads.</w:t>
      </w:r>
    </w:p>
    <w:p>
      <w:pPr>
        <w:jc w:val="center"/>
        <w:ind w:right="100"/>
        <w:spacing w:after="0"/>
        <w:rPr>
          <w:sz w:val="20"/>
          <w:szCs w:val="20"/>
          <w:color w:val="auto"/>
        </w:rPr>
      </w:pPr>
      <w:r>
        <w:rPr>
          <w:rFonts w:ascii="Arial" w:cs="Arial" w:eastAsia="Arial" w:hAnsi="Arial"/>
          <w:sz w:val="20"/>
          <w:szCs w:val="20"/>
          <w:color w:val="auto"/>
        </w:rPr>
        <w:t>Page 36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93" w:lineRule="exact"/>
        <w:rPr>
          <w:sz w:val="20"/>
          <w:szCs w:val="20"/>
          <w:color w:val="auto"/>
        </w:rPr>
      </w:pPr>
    </w:p>
    <w:p>
      <w:pPr>
        <w:jc w:val="both"/>
        <w:spacing w:after="0"/>
        <w:rPr>
          <w:sz w:val="20"/>
          <w:szCs w:val="20"/>
          <w:color w:val="auto"/>
        </w:rPr>
      </w:pPr>
      <w:r>
        <w:rPr>
          <w:rFonts w:ascii="Arial" w:cs="Arial" w:eastAsia="Arial" w:hAnsi="Arial"/>
          <w:sz w:val="19"/>
          <w:szCs w:val="19"/>
          <w:color w:val="auto"/>
        </w:rPr>
        <w:t>Second-quarter organic aggregates shipments increased 1.8%, as healthy underlying public and private product demand was partially constrained by supply chain and logistics-related bottlenecks. Organic pricing increased 8.8%, or 7.5% on a mix-adjusted basis, over the prior-year quarter as the Company began to benefit from April 1 price increases. Including acquired operations, total aggregates shipments and pricing grew 9.3% and 8.4%, respectively. East Group total shipments decreased 1.0%, as strong underlying demand was negatively impacted from unfavorable weather in April, coupled with rail and marine-shipping challenges. East Group pricing increased 7.6%. West Group total shipments improved 30.0%, driven primarily by contributions from acquired operations and strong Texas customer demand. West Group pricing, inclusive of acquisitions, increased 11.6%. West Group organic pricing increased 11.7%, or 8.3% on a mix-adjusted basis, benefitting from increased sales of higher-priced clean stone and long-haul shipments from higher-priced distribution yards. Second-quarter aggregates product gross profit improved 13.2% to $309.0 million while gross margin declined 170 basis points to 32.3%, primarily due to significantly higher energy, contract services, supplies and internal freight costs.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Cement shipments increased 19.8% to a new quarterly record of 1.1 million tons while pricing increased 14.7%, or 12.5% on a mix-adjusted basis, driven by continued strong demand and tight cement supply in Texas. Cement product gross profit grew to $51.1 million, an increase of 41.7%, and gross margin expanded 140 basis points to 32.4%, driven by volume and pricing gains but partially offset by significant energy-related headwinds and unplanned kiln outages at both the Midlothian and Hunter plants.</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On an organic basis, ready mix shipments and pricing increased 3.4% and 17.4%, respectively, driven by strong demand in Dallas/Fort Worth, Austin and San Antonio. Ready mix product revenues and gross profit from continuing operations declined 15.8% and 25.1%, respectively, driven primarily by the divestiture of our Colorado and Central Texas ready mix concrete businesses on April 1, which was partially offset by acquired operations in Arizona.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Including contributions from the acquired West Coast operations, total asphalt shipments and pricing increased 40.2% and 24.0%, respectively. However, rapid cost acceleration of liquid asphalt, or bitumen, contributed to the gross margin compression of 880 basis points in the second quarter.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Magnesia Specialties second-quarter product revenues increased 6.6% to $74.6 million, driven by continued strong global demand for magnesia-based chemical products. Product gross profit declined 7.6% to $25.8 million, as higher energy costs pressured margins in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Consolidated SG&amp;A for second quarter 2022 was 6.3% of total revenues compared with 6.0% in the prior-year quarter, an increase of 30 basis points. Earnings from operations for the quarter were $478.6 million in 2022 compared with $307.5 million in 2021, with the increase driven by the $151.7 million gain on the divestiture of the Colorado and Central Texas ready-mixed concrete operations and year-over-year price increases, partially offset by higher costs for energy, supplies, freight and personnel.</w:t>
      </w:r>
    </w:p>
    <w:p>
      <w:pPr>
        <w:spacing w:after="0" w:line="6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net, was income of $160.4 million in 2022 and $14.1 million in 2021. The increase in other operating income, net, was primarily attributable to the $151.7 million gain on the divestiture of the Colorado and Central Texas ready-mixed concrete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19"/>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operations. Other operating income, net, for the three months ended June 30, 2021 included a $12.3 million gain on the sale of the Company’s former corporate headquarters.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Other nonoperating income, net, includes interest income; pension and postretirement benefit cost excluding service cost; foreign currency transaction gains and losses; equity earnings or losses from nonconsolidated affiliates and other miscellaneous income and expenses. For the second quarter, other nonoperating income, net, was $22.0 million and $8.7 million in 2022 and 2021, respectively. The 2022 amount included an $11.6 million pretax gain related to repurchases of the Company’s debt.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Six Months Ended June 30, 2022</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six months ended June 30, 2022 (unless noted, all comparisons are versus the prior-year period:</w:t>
      </w:r>
    </w:p>
    <w:p>
      <w:pPr>
        <w:spacing w:after="0" w:line="120"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total revenues of $2.87 billion compared with $2.36 billion</w:t>
      </w:r>
    </w:p>
    <w:p>
      <w:pPr>
        <w:spacing w:after="0" w:line="1" w:lineRule="exact"/>
        <w:rPr>
          <w:rFonts w:ascii="Arial" w:cs="Arial" w:eastAsia="Arial" w:hAnsi="Arial"/>
          <w:sz w:val="20"/>
          <w:szCs w:val="20"/>
          <w:color w:val="007DC6"/>
        </w:rPr>
      </w:pP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$2.53 billion compared with $2.08 billion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Magnesia Specialties products revenues of $145.4 million compared with $135.2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gross profit of $581.3 million compared with $559.8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Consolidated earnings from operations of $538.4 million compared with $406.8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Adjusted consolidated earnings from operations of $391.0 million compared with $425.0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Net earnings from continuing operations attributable to Martin Marietta of $377.7 million compared with $291.1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Adjusted EBITDA of $675.5 million compared with $644.8 million</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Earnings per diluted share from continuing operations of $6.04 compared with $4.65</w:t>
      </w:r>
    </w:p>
    <w:p>
      <w:pPr>
        <w:ind w:left="760" w:hanging="378"/>
        <w:spacing w:after="0" w:line="224" w:lineRule="auto"/>
        <w:tabs>
          <w:tab w:leader="none" w:pos="760" w:val="left"/>
        </w:tabs>
        <w:numPr>
          <w:ilvl w:val="0"/>
          <w:numId w:val="11"/>
        </w:numPr>
        <w:rPr>
          <w:rFonts w:ascii="Arial" w:cs="Arial" w:eastAsia="Arial" w:hAnsi="Arial"/>
          <w:sz w:val="20"/>
          <w:szCs w:val="20"/>
          <w:color w:val="007DC6"/>
        </w:rPr>
      </w:pPr>
      <w:r>
        <w:rPr>
          <w:rFonts w:ascii="Arial" w:cs="Arial" w:eastAsia="Arial" w:hAnsi="Arial"/>
          <w:sz w:val="20"/>
          <w:szCs w:val="20"/>
          <w:color w:val="auto"/>
        </w:rPr>
        <w:t>Adjusted earnings per diluted share of $4.36 compared with $4.87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following tables present total revenues, gross profit (loss), selling, general and administrative (SG&amp;A) expenses and earnings (loss) from operations data for the Company and its reportable segments by product line for continuing operations for the six months ended June 30, 2022 and 2021. In each case, the data is stated as a percentage of revenues of the Company or the relevant segment or product line, as the case may be. For the six months ended June 30, 2022, earnings from operations for the West Group include a $151.7 million nonrecurring gain on divested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gridSpan w:val="4"/>
          </w:tcPr>
          <w:p>
            <w:pPr>
              <w:jc w:val="right"/>
              <w:ind w:right="2160"/>
              <w:spacing w:after="0"/>
              <w:rPr>
                <w:sz w:val="20"/>
                <w:szCs w:val="20"/>
                <w:color w:val="auto"/>
              </w:rPr>
            </w:pPr>
            <w:r>
              <w:rPr>
                <w:rFonts w:ascii="Arial" w:cs="Arial" w:eastAsia="Arial" w:hAnsi="Arial"/>
                <w:sz w:val="20"/>
                <w:szCs w:val="20"/>
                <w:color w:val="auto"/>
              </w:rPr>
              <w:t>Six Months Ended June 30,</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2022</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2021</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Amount</w:t>
            </w:r>
          </w:p>
        </w:tc>
        <w:tc>
          <w:tcPr>
            <w:tcW w:w="440" w:type="dxa"/>
            <w:vAlign w:val="bottom"/>
          </w:tcPr>
          <w:p>
            <w:pPr>
              <w:spacing w:after="0"/>
              <w:rPr>
                <w:sz w:val="19"/>
                <w:szCs w:val="19"/>
                <w:color w:val="auto"/>
              </w:rPr>
            </w:pPr>
          </w:p>
        </w:tc>
        <w:tc>
          <w:tcPr>
            <w:tcW w:w="1520" w:type="dxa"/>
            <w:vAlign w:val="bottom"/>
            <w:vMerge w:val="restart"/>
          </w:tcPr>
          <w:p>
            <w:pPr>
              <w:ind w:left="600"/>
              <w:spacing w:after="0"/>
              <w:rPr>
                <w:sz w:val="20"/>
                <w:szCs w:val="20"/>
                <w:color w:val="auto"/>
              </w:rPr>
            </w:pPr>
            <w:r>
              <w:rPr>
                <w:rFonts w:ascii="Arial" w:cs="Arial" w:eastAsia="Arial" w:hAnsi="Arial"/>
                <w:sz w:val="20"/>
                <w:szCs w:val="20"/>
                <w:i w:val="1"/>
                <w:iCs w:val="1"/>
                <w:color w:val="auto"/>
                <w:w w:val="99"/>
              </w:rPr>
              <w:t>(Dollars in</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Amount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360" w:type="dxa"/>
            <w:vAlign w:val="bottom"/>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00"/>
              <w:spacing w:after="0" w:line="229" w:lineRule="exact"/>
              <w:rPr>
                <w:sz w:val="20"/>
                <w:szCs w:val="20"/>
                <w:color w:val="auto"/>
              </w:rPr>
            </w:pPr>
            <w:r>
              <w:rPr>
                <w:rFonts w:ascii="Arial" w:cs="Arial" w:eastAsia="Arial" w:hAnsi="Arial"/>
                <w:sz w:val="20"/>
                <w:szCs w:val="20"/>
                <w:color w:val="auto"/>
              </w:rPr>
              <w:t>East Group</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21"/>
              <w:spacing w:after="0" w:line="229" w:lineRule="exact"/>
              <w:rPr>
                <w:sz w:val="20"/>
                <w:szCs w:val="20"/>
                <w:color w:val="auto"/>
              </w:rPr>
            </w:pPr>
            <w:r>
              <w:rPr>
                <w:rFonts w:ascii="Arial" w:cs="Arial" w:eastAsia="Arial" w:hAnsi="Arial"/>
                <w:sz w:val="20"/>
                <w:szCs w:val="20"/>
                <w:color w:val="auto"/>
                <w:w w:val="89"/>
              </w:rPr>
              <w:t>$</w:t>
            </w:r>
          </w:p>
        </w:tc>
        <w:tc>
          <w:tcPr>
            <w:tcW w:w="11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985.6</w:t>
            </w:r>
          </w:p>
        </w:tc>
        <w:tc>
          <w:tcPr>
            <w:tcW w:w="4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540"/>
              <w:spacing w:after="0" w:line="229" w:lineRule="exact"/>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926.8</w:t>
            </w: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line="229" w:lineRule="exact"/>
              <w:rPr>
                <w:sz w:val="20"/>
                <w:szCs w:val="20"/>
                <w:color w:val="auto"/>
              </w:rPr>
            </w:pPr>
            <w:r>
              <w:rPr>
                <w:rFonts w:ascii="Arial" w:cs="Arial" w:eastAsia="Arial" w:hAnsi="Arial"/>
                <w:sz w:val="20"/>
                <w:szCs w:val="20"/>
                <w:color w:val="auto"/>
              </w:rPr>
              <w:t>Asphalt</w:t>
            </w:r>
          </w:p>
        </w:tc>
        <w:tc>
          <w:tcPr>
            <w:tcW w:w="2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47.5</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47.1</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60"/>
              <w:spacing w:after="0" w:line="229" w:lineRule="exact"/>
              <w:rPr>
                <w:sz w:val="20"/>
                <w:szCs w:val="20"/>
                <w:color w:val="auto"/>
              </w:rPr>
            </w:pPr>
            <w:r>
              <w:rPr>
                <w:rFonts w:ascii="Arial" w:cs="Arial" w:eastAsia="Arial" w:hAnsi="Arial"/>
                <w:sz w:val="20"/>
                <w:szCs w:val="20"/>
                <w:color w:val="auto"/>
              </w:rPr>
              <w:t>(6.1 )</w:t>
            </w: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900" w:type="dxa"/>
            <w:vAlign w:val="bottom"/>
            <w:gridSpan w:val="2"/>
            <w:shd w:val="clear" w:color="auto" w:fill="CFF0FC"/>
          </w:tcPr>
          <w:p>
            <w:pPr>
              <w:jc w:val="right"/>
              <w:ind w:right="1700"/>
              <w:spacing w:after="0" w:line="229" w:lineRule="exact"/>
              <w:rPr>
                <w:sz w:val="20"/>
                <w:szCs w:val="20"/>
                <w:color w:val="auto"/>
              </w:rPr>
            </w:pPr>
            <w:r>
              <w:rPr>
                <w:rFonts w:ascii="Arial" w:cs="Arial" w:eastAsia="Arial" w:hAnsi="Arial"/>
                <w:sz w:val="20"/>
                <w:szCs w:val="20"/>
                <w:color w:val="auto"/>
              </w:rPr>
              <w:t>(4.8 )</w:t>
            </w:r>
          </w:p>
        </w:tc>
        <w:tc>
          <w:tcPr>
            <w:tcW w:w="0" w:type="dxa"/>
            <w:vAlign w:val="bottom"/>
          </w:tcPr>
          <w:p>
            <w:pPr>
              <w:spacing w:after="0"/>
              <w:rPr>
                <w:sz w:val="1"/>
                <w:szCs w:val="1"/>
                <w:color w:val="auto"/>
              </w:rPr>
            </w:pPr>
          </w:p>
        </w:tc>
      </w:tr>
      <w:tr>
        <w:trPr>
          <w:trHeight w:val="222"/>
        </w:trPr>
        <w:tc>
          <w:tcPr>
            <w:tcW w:w="4760" w:type="dxa"/>
            <w:vAlign w:val="bottom"/>
            <w:tcBorders>
              <w:top w:val="single" w:sz="8" w:color="CFF0FC"/>
            </w:tcBorders>
          </w:tcPr>
          <w:p>
            <w:pPr>
              <w:ind w:left="300"/>
              <w:spacing w:after="0" w:line="223" w:lineRule="exact"/>
              <w:rPr>
                <w:sz w:val="20"/>
                <w:szCs w:val="20"/>
                <w:color w:val="auto"/>
              </w:rPr>
            </w:pPr>
            <w:r>
              <w:rPr>
                <w:rFonts w:ascii="Arial" w:cs="Arial" w:eastAsia="Arial" w:hAnsi="Arial"/>
                <w:sz w:val="20"/>
                <w:szCs w:val="20"/>
                <w:color w:val="auto"/>
              </w:rPr>
              <w:t>East Group Total</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1,027.0</w:t>
            </w:r>
          </w:p>
        </w:tc>
        <w:tc>
          <w:tcPr>
            <w:tcW w:w="440" w:type="dxa"/>
            <w:vAlign w:val="bottom"/>
            <w:tcBorders>
              <w:top w:val="single" w:sz="8" w:color="CFF0FC"/>
            </w:tcBorders>
          </w:tcPr>
          <w:p>
            <w:pPr>
              <w:spacing w:after="0"/>
              <w:rPr>
                <w:sz w:val="19"/>
                <w:szCs w:val="19"/>
                <w:color w:val="auto"/>
              </w:rPr>
            </w:pPr>
          </w:p>
        </w:tc>
        <w:tc>
          <w:tcPr>
            <w:tcW w:w="15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969.1</w:t>
            </w:r>
          </w:p>
        </w:tc>
        <w:tc>
          <w:tcPr>
            <w:tcW w:w="17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ind w:left="300"/>
              <w:spacing w:after="0" w:line="223" w:lineRule="exact"/>
              <w:rPr>
                <w:sz w:val="20"/>
                <w:szCs w:val="20"/>
                <w:color w:val="auto"/>
              </w:rPr>
            </w:pPr>
            <w:r>
              <w:rPr>
                <w:rFonts w:ascii="Arial" w:cs="Arial" w:eastAsia="Arial" w:hAnsi="Arial"/>
                <w:sz w:val="20"/>
                <w:szCs w:val="20"/>
                <w:color w:val="auto"/>
              </w:rPr>
              <w:t>West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line="229" w:lineRule="exact"/>
              <w:rPr>
                <w:sz w:val="20"/>
                <w:szCs w:val="20"/>
                <w:color w:val="auto"/>
              </w:rPr>
            </w:pPr>
            <w:r>
              <w:rPr>
                <w:rFonts w:ascii="Arial" w:cs="Arial" w:eastAsia="Arial" w:hAnsi="Arial"/>
                <w:sz w:val="20"/>
                <w:szCs w:val="20"/>
                <w:color w:val="auto"/>
              </w:rPr>
              <w:t>Aggregates</w:t>
            </w:r>
          </w:p>
        </w:tc>
        <w:tc>
          <w:tcPr>
            <w:tcW w:w="2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655.5</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447.6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Cement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292.2</w:t>
            </w: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226.1</w:t>
            </w: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line="229" w:lineRule="exact"/>
              <w:rPr>
                <w:sz w:val="20"/>
                <w:szCs w:val="20"/>
                <w:color w:val="auto"/>
              </w:rPr>
            </w:pPr>
            <w:r>
              <w:rPr>
                <w:rFonts w:ascii="Arial" w:cs="Arial" w:eastAsia="Arial" w:hAnsi="Arial"/>
                <w:sz w:val="20"/>
                <w:szCs w:val="20"/>
                <w:color w:val="auto"/>
              </w:rPr>
              <w:t>Ready mixed concrete</w:t>
            </w:r>
          </w:p>
        </w:tc>
        <w:tc>
          <w:tcPr>
            <w:tcW w:w="2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516.2</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503.7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Asphalt and paving</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219.6</w:t>
            </w: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100.5</w:t>
            </w: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00"/>
              <w:spacing w:after="0" w:line="229" w:lineRule="exact"/>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19"/>
                <w:szCs w:val="19"/>
                <w:color w:val="auto"/>
              </w:rPr>
            </w:pPr>
          </w:p>
        </w:tc>
        <w:tc>
          <w:tcPr>
            <w:tcW w:w="1580" w:type="dxa"/>
            <w:vAlign w:val="bottom"/>
            <w:gridSpan w:val="2"/>
          </w:tcPr>
          <w:p>
            <w:pPr>
              <w:jc w:val="right"/>
              <w:ind w:right="360"/>
              <w:spacing w:after="0" w:line="229" w:lineRule="exact"/>
              <w:rPr>
                <w:sz w:val="20"/>
                <w:szCs w:val="20"/>
                <w:color w:val="auto"/>
              </w:rPr>
            </w:pPr>
            <w:r>
              <w:rPr>
                <w:rFonts w:ascii="Arial" w:cs="Arial" w:eastAsia="Arial" w:hAnsi="Arial"/>
                <w:sz w:val="20"/>
                <w:szCs w:val="20"/>
                <w:color w:val="auto"/>
              </w:rPr>
              <w:t>(184.3 )</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2"/>
          </w:tcPr>
          <w:p>
            <w:pPr>
              <w:jc w:val="right"/>
              <w:ind w:right="1700"/>
              <w:spacing w:after="0" w:line="229" w:lineRule="exact"/>
              <w:rPr>
                <w:sz w:val="20"/>
                <w:szCs w:val="20"/>
                <w:color w:val="auto"/>
              </w:rPr>
            </w:pPr>
            <w:r>
              <w:rPr>
                <w:rFonts w:ascii="Arial" w:cs="Arial" w:eastAsia="Arial" w:hAnsi="Arial"/>
                <w:sz w:val="20"/>
                <w:szCs w:val="20"/>
                <w:color w:val="auto"/>
              </w:rPr>
              <w:t>(165.0 )</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CFF0FC"/>
            </w:tcBorders>
            <w:shd w:val="clear" w:color="auto" w:fill="CFF0FC"/>
          </w:tcPr>
          <w:p>
            <w:pPr>
              <w:ind w:left="300"/>
              <w:spacing w:after="0" w:line="223" w:lineRule="exact"/>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1,499.2</w:t>
            </w:r>
          </w:p>
        </w:tc>
        <w:tc>
          <w:tcPr>
            <w:tcW w:w="4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1,112.9</w:t>
            </w:r>
          </w:p>
        </w:tc>
        <w:tc>
          <w:tcPr>
            <w:tcW w:w="17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24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Arial" w:cs="Arial" w:eastAsia="Arial" w:hAnsi="Arial"/>
                <w:sz w:val="20"/>
                <w:szCs w:val="20"/>
                <w:color w:val="auto"/>
              </w:rPr>
              <w:t>2,526.2</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0"/>
                <w:szCs w:val="20"/>
                <w:color w:val="auto"/>
              </w:rPr>
              <w:t>2,082.0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187.6</w:t>
            </w:r>
          </w:p>
        </w:tc>
        <w:tc>
          <w:tcPr>
            <w:tcW w:w="4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131.6</w:t>
            </w:r>
          </w:p>
        </w:tc>
        <w:tc>
          <w:tcPr>
            <w:tcW w:w="17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2,713.8</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2,213.6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20"/>
              <w:spacing w:after="0" w:line="229" w:lineRule="exact"/>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0"/>
                <w:szCs w:val="20"/>
                <w:color w:val="auto"/>
              </w:rPr>
              <w:t>145.4</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0"/>
                <w:szCs w:val="20"/>
                <w:color w:val="auto"/>
              </w:rPr>
              <w:t>135.2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shd w:val="clear" w:color="auto" w:fill="CFF0FC"/>
          </w:tcPr>
          <w:p>
            <w:pPr>
              <w:ind w:left="120"/>
              <w:spacing w:after="0" w:line="229" w:lineRule="exact"/>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13.3</w:t>
            </w:r>
          </w:p>
        </w:tc>
        <w:tc>
          <w:tcPr>
            <w:tcW w:w="4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11.5</w:t>
            </w:r>
          </w:p>
        </w:tc>
        <w:tc>
          <w:tcPr>
            <w:tcW w:w="17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158.7</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146.7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76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2,872.5</w:t>
            </w:r>
          </w:p>
        </w:tc>
        <w:tc>
          <w:tcPr>
            <w:tcW w:w="44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2,360.3</w:t>
            </w:r>
          </w:p>
        </w:tc>
        <w:tc>
          <w:tcPr>
            <w:tcW w:w="17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-2416810</wp:posOffset>
            </wp:positionV>
            <wp:extent cx="7683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-2416810</wp:posOffset>
            </wp:positionV>
            <wp:extent cx="6858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-1228090</wp:posOffset>
            </wp:positionV>
            <wp:extent cx="7683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-1228090</wp:posOffset>
            </wp:positionV>
            <wp:extent cx="6858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-928370</wp:posOffset>
            </wp:positionV>
            <wp:extent cx="7683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-928370</wp:posOffset>
            </wp:positionV>
            <wp:extent cx="6858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-330200</wp:posOffset>
            </wp:positionV>
            <wp:extent cx="7683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-330200</wp:posOffset>
            </wp:positionV>
            <wp:extent cx="685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-24765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-7620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20"/>
                <w:szCs w:val="20"/>
                <w:color w:val="auto"/>
              </w:rPr>
              <w:t>Six Months Ended June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2022</w:t>
            </w:r>
          </w:p>
        </w:tc>
        <w:tc>
          <w:tcPr>
            <w:tcW w:w="1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ind w:right="780"/>
              <w:spacing w:after="0" w:line="223" w:lineRule="exact"/>
              <w:rPr>
                <w:sz w:val="20"/>
                <w:szCs w:val="20"/>
                <w:color w:val="auto"/>
              </w:rPr>
            </w:pPr>
            <w:r>
              <w:rPr>
                <w:rFonts w:ascii="Arial" w:cs="Arial" w:eastAsia="Arial" w:hAnsi="Arial"/>
                <w:sz w:val="20"/>
                <w:szCs w:val="20"/>
                <w:color w:val="auto"/>
              </w:rPr>
              <w:t>Amount</w:t>
            </w:r>
          </w:p>
        </w:tc>
        <w:tc>
          <w:tcPr>
            <w:tcW w:w="1380" w:type="dxa"/>
            <w:vAlign w:val="bottom"/>
          </w:tcPr>
          <w:p>
            <w:pPr>
              <w:jc w:val="center"/>
              <w:ind w:right="21"/>
              <w:spacing w:after="0" w:line="223" w:lineRule="exact"/>
              <w:rPr>
                <w:sz w:val="20"/>
                <w:szCs w:val="20"/>
                <w:color w:val="auto"/>
              </w:rPr>
            </w:pPr>
            <w:r>
              <w:rPr>
                <w:rFonts w:ascii="Arial" w:cs="Arial" w:eastAsia="Arial" w:hAnsi="Arial"/>
                <w:sz w:val="20"/>
                <w:szCs w:val="20"/>
                <w:color w:val="auto"/>
                <w:w w:val="86"/>
              </w:rPr>
              <w:t>% of Revenues</w:t>
            </w:r>
          </w:p>
        </w:tc>
        <w:tc>
          <w:tcPr>
            <w:tcW w:w="26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40" w:type="dxa"/>
            <w:vAlign w:val="bottom"/>
          </w:tcPr>
          <w:p>
            <w:pPr>
              <w:spacing w:after="0"/>
              <w:rPr>
                <w:sz w:val="19"/>
                <w:szCs w:val="19"/>
                <w:color w:val="auto"/>
              </w:rPr>
            </w:pPr>
          </w:p>
        </w:tc>
        <w:tc>
          <w:tcPr>
            <w:tcW w:w="1540" w:type="dxa"/>
            <w:vAlign w:val="bottom"/>
            <w:gridSpan w:val="3"/>
          </w:tcPr>
          <w:p>
            <w:pPr>
              <w:jc w:val="right"/>
              <w:ind w:right="740"/>
              <w:spacing w:after="0" w:line="223" w:lineRule="exact"/>
              <w:rPr>
                <w:sz w:val="20"/>
                <w:szCs w:val="20"/>
                <w:color w:val="auto"/>
              </w:rPr>
            </w:pPr>
            <w:r>
              <w:rPr>
                <w:rFonts w:ascii="Arial" w:cs="Arial" w:eastAsia="Arial" w:hAnsi="Arial"/>
                <w:sz w:val="20"/>
                <w:szCs w:val="20"/>
                <w:color w:val="auto"/>
              </w:rPr>
              <w:t>Amount</w:t>
            </w:r>
          </w:p>
        </w:tc>
        <w:tc>
          <w:tcPr>
            <w:tcW w:w="1360" w:type="dxa"/>
            <w:vAlign w:val="bottom"/>
          </w:tcPr>
          <w:p>
            <w:pPr>
              <w:jc w:val="center"/>
              <w:ind w:right="21"/>
              <w:spacing w:after="0" w:line="223" w:lineRule="exact"/>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60" w:type="dxa"/>
            <w:vAlign w:val="bottom"/>
            <w:vMerge w:val="continue"/>
          </w:tcPr>
          <w:p>
            <w:pPr>
              <w:spacing w:after="0"/>
              <w:rPr>
                <w:sz w:val="19"/>
                <w:szCs w:val="19"/>
                <w:color w:val="auto"/>
              </w:rPr>
            </w:pPr>
          </w:p>
        </w:tc>
        <w:tc>
          <w:tcPr>
            <w:tcW w:w="14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Gross profit (loss):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Aggregates</w:t>
            </w:r>
          </w:p>
        </w:tc>
        <w:tc>
          <w:tcPr>
            <w:tcW w:w="2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410.9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25.0</w:t>
            </w:r>
          </w:p>
        </w:tc>
        <w:tc>
          <w:tcPr>
            <w:tcW w:w="500" w:type="dxa"/>
            <w:vAlign w:val="bottom"/>
            <w:gridSpan w:val="2"/>
            <w:shd w:val="clear" w:color="auto" w:fill="CFF0FC"/>
          </w:tcPr>
          <w:p>
            <w:pPr>
              <w:ind w:left="260"/>
              <w:spacing w:after="0" w:line="229" w:lineRule="exact"/>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394.7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line="229" w:lineRule="exact"/>
              <w:rPr>
                <w:sz w:val="20"/>
                <w:szCs w:val="20"/>
                <w:color w:val="auto"/>
              </w:rPr>
            </w:pPr>
            <w:r>
              <w:rPr>
                <w:rFonts w:ascii="Arial" w:cs="Arial" w:eastAsia="Arial" w:hAnsi="Arial"/>
                <w:sz w:val="20"/>
                <w:szCs w:val="20"/>
                <w:color w:val="auto"/>
              </w:rPr>
              <w:t>Cement</w:t>
            </w: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78.5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26.9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51.4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0"/>
                <w:szCs w:val="20"/>
                <w:color w:val="auto"/>
              </w:rPr>
              <w:t>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line="229" w:lineRule="exact"/>
              <w:rPr>
                <w:sz w:val="20"/>
                <w:szCs w:val="20"/>
                <w:color w:val="auto"/>
              </w:rPr>
            </w:pPr>
            <w:r>
              <w:rPr>
                <w:rFonts w:ascii="Arial" w:cs="Arial" w:eastAsia="Arial" w:hAnsi="Arial"/>
                <w:sz w:val="20"/>
                <w:szCs w:val="20"/>
                <w:color w:val="auto"/>
              </w:rPr>
              <w:t>Ready mixed concrete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6.9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38.6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line="229" w:lineRule="exact"/>
              <w:rPr>
                <w:sz w:val="20"/>
                <w:szCs w:val="20"/>
                <w:color w:val="auto"/>
              </w:rPr>
            </w:pPr>
            <w:r>
              <w:rPr>
                <w:rFonts w:ascii="Arial" w:cs="Arial" w:eastAsia="Arial" w:hAnsi="Arial"/>
                <w:sz w:val="20"/>
                <w:szCs w:val="20"/>
                <w:color w:val="auto"/>
              </w:rPr>
              <w:t>Asphalt and paving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0"/>
                <w:szCs w:val="20"/>
                <w:color w:val="auto"/>
              </w:rPr>
              <w:t>4.9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20.4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0"/>
                <w:szCs w:val="20"/>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shd w:val="clear" w:color="auto" w:fill="CFF0FC"/>
          </w:tcPr>
          <w:p>
            <w:pPr>
              <w:ind w:left="120"/>
              <w:spacing w:after="0" w:line="223" w:lineRule="exact"/>
              <w:rPr>
                <w:sz w:val="20"/>
                <w:szCs w:val="20"/>
                <w:color w:val="auto"/>
              </w:rPr>
            </w:pPr>
            <w:r>
              <w:rPr>
                <w:rFonts w:ascii="Arial" w:cs="Arial" w:eastAsia="Arial" w:hAnsi="Arial"/>
                <w:sz w:val="20"/>
                <w:szCs w:val="20"/>
                <w:color w:val="auto"/>
              </w:rPr>
              <w:t>Products and services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537.9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505.1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line="229" w:lineRule="exact"/>
              <w:rPr>
                <w:sz w:val="20"/>
                <w:szCs w:val="20"/>
                <w:color w:val="auto"/>
              </w:rPr>
            </w:pPr>
            <w:r>
              <w:rPr>
                <w:rFonts w:ascii="Arial" w:cs="Arial" w:eastAsia="Arial" w:hAnsi="Arial"/>
                <w:sz w:val="20"/>
                <w:szCs w:val="20"/>
                <w:color w:val="auto"/>
              </w:rPr>
              <w:t>(0.4 )</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537.5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19.8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505.6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ind w:left="20"/>
              <w:spacing w:after="0" w:line="223" w:lineRule="exact"/>
              <w:rPr>
                <w:sz w:val="20"/>
                <w:szCs w:val="20"/>
                <w:color w:val="auto"/>
              </w:rPr>
            </w:pPr>
            <w:r>
              <w:rPr>
                <w:rFonts w:ascii="Arial" w:cs="Arial" w:eastAsia="Arial" w:hAnsi="Arial"/>
                <w:sz w:val="20"/>
                <w:szCs w:val="20"/>
                <w:color w:val="auto"/>
              </w:rPr>
              <w:t>Magnesia Specialties: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120"/>
              <w:spacing w:after="0" w:line="229" w:lineRule="exact"/>
              <w:rPr>
                <w:sz w:val="20"/>
                <w:szCs w:val="20"/>
                <w:color w:val="auto"/>
              </w:rPr>
            </w:pPr>
            <w:r>
              <w:rPr>
                <w:rFonts w:ascii="Arial" w:cs="Arial" w:eastAsia="Arial" w:hAnsi="Arial"/>
                <w:sz w:val="20"/>
                <w:szCs w:val="20"/>
                <w:color w:val="auto"/>
              </w:rPr>
              <w:t>Products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36.2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56.3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line="229" w:lineRule="exact"/>
              <w:rPr>
                <w:sz w:val="20"/>
                <w:szCs w:val="20"/>
                <w:color w:val="auto"/>
              </w:rPr>
            </w:pPr>
            <w:r>
              <w:rPr>
                <w:rFonts w:ascii="Arial" w:cs="Arial" w:eastAsia="Arial" w:hAnsi="Arial"/>
                <w:sz w:val="20"/>
                <w:szCs w:val="20"/>
                <w:color w:val="auto"/>
              </w:rPr>
              <w:t>Freight</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line="229" w:lineRule="exact"/>
              <w:rPr>
                <w:sz w:val="20"/>
                <w:szCs w:val="20"/>
                <w:color w:val="auto"/>
              </w:rPr>
            </w:pPr>
            <w:r>
              <w:rPr>
                <w:rFonts w:ascii="Arial" w:cs="Arial" w:eastAsia="Arial" w:hAnsi="Arial"/>
                <w:sz w:val="20"/>
                <w:szCs w:val="20"/>
                <w:color w:val="auto"/>
              </w:rPr>
              <w:t>(2.4 )</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line="229" w:lineRule="exact"/>
              <w:rPr>
                <w:sz w:val="20"/>
                <w:szCs w:val="20"/>
                <w:color w:val="auto"/>
              </w:rPr>
            </w:pPr>
            <w:r>
              <w:rPr>
                <w:rFonts w:ascii="Arial" w:cs="Arial" w:eastAsia="Arial" w:hAnsi="Arial"/>
                <w:sz w:val="20"/>
                <w:szCs w:val="20"/>
                <w:color w:val="auto"/>
              </w:rPr>
              <w:t>(1.9 )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 Magnesia Specialties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50.2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31.6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54.4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37.1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ind w:left="20"/>
              <w:spacing w:after="0" w:line="223" w:lineRule="exact"/>
              <w:rPr>
                <w:sz w:val="20"/>
                <w:szCs w:val="20"/>
                <w:color w:val="auto"/>
              </w:rPr>
            </w:pPr>
            <w:r>
              <w:rPr>
                <w:rFonts w:ascii="Arial" w:cs="Arial" w:eastAsia="Arial" w:hAnsi="Arial"/>
                <w:sz w:val="20"/>
                <w:szCs w:val="20"/>
                <w:color w:val="auto"/>
              </w:rPr>
              <w:t>Corporate</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line="223" w:lineRule="exact"/>
              <w:rPr>
                <w:sz w:val="20"/>
                <w:szCs w:val="20"/>
                <w:color w:val="auto"/>
              </w:rPr>
            </w:pPr>
            <w:r>
              <w:rPr>
                <w:rFonts w:ascii="Arial" w:cs="Arial" w:eastAsia="Arial" w:hAnsi="Arial"/>
                <w:sz w:val="20"/>
                <w:szCs w:val="20"/>
                <w:color w:val="auto"/>
              </w:rPr>
              <w:t>(6.4 )</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line="223" w:lineRule="exact"/>
              <w:rPr>
                <w:sz w:val="20"/>
                <w:szCs w:val="20"/>
                <w:color w:val="auto"/>
              </w:rPr>
            </w:pPr>
            <w:r>
              <w:rPr>
                <w:rFonts w:ascii="Arial" w:cs="Arial" w:eastAsia="Arial" w:hAnsi="Arial"/>
                <w:sz w:val="20"/>
                <w:szCs w:val="20"/>
                <w:color w:val="auto"/>
              </w:rPr>
              <w:t>(0.2 )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581.3</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20.2</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559.8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23.7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20"/>
                <w:szCs w:val="20"/>
                <w:color w:val="auto"/>
              </w:rPr>
              <w:t>Six Months Ended June 30,</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2022</w:t>
            </w:r>
          </w:p>
        </w:tc>
        <w:tc>
          <w:tcPr>
            <w:tcW w:w="1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2021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61"/>
              <w:spacing w:after="0" w:line="179" w:lineRule="exact"/>
              <w:rPr>
                <w:sz w:val="20"/>
                <w:szCs w:val="20"/>
                <w:color w:val="auto"/>
              </w:rPr>
            </w:pPr>
            <w:r>
              <w:rPr>
                <w:rFonts w:ascii="Arial" w:cs="Arial" w:eastAsia="Arial" w:hAnsi="Arial"/>
                <w:sz w:val="20"/>
                <w:szCs w:val="20"/>
                <w:color w:val="auto"/>
                <w:w w:val="91"/>
              </w:rPr>
              <w:t>% of Total</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81"/>
              <w:spacing w:after="0" w:line="179" w:lineRule="exact"/>
              <w:rPr>
                <w:sz w:val="20"/>
                <w:szCs w:val="20"/>
                <w:color w:val="auto"/>
              </w:rPr>
            </w:pPr>
            <w:r>
              <w:rPr>
                <w:rFonts w:ascii="Arial" w:cs="Arial" w:eastAsia="Arial" w:hAnsi="Arial"/>
                <w:sz w:val="20"/>
                <w:szCs w:val="20"/>
                <w:color w:val="auto"/>
                <w:w w:val="91"/>
              </w:rPr>
              <w:t>% of 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20"/>
                <w:szCs w:val="20"/>
                <w:color w:val="auto"/>
              </w:rPr>
              <w:t>Amount</w:t>
            </w:r>
          </w:p>
        </w:tc>
        <w:tc>
          <w:tcPr>
            <w:tcW w:w="1380" w:type="dxa"/>
            <w:vAlign w:val="bottom"/>
          </w:tcPr>
          <w:p>
            <w:pPr>
              <w:jc w:val="center"/>
              <w:ind w:right="21"/>
              <w:spacing w:after="0"/>
              <w:rPr>
                <w:sz w:val="20"/>
                <w:szCs w:val="20"/>
                <w:color w:val="auto"/>
              </w:rPr>
            </w:pPr>
            <w:r>
              <w:rPr>
                <w:rFonts w:ascii="Arial" w:cs="Arial" w:eastAsia="Arial" w:hAnsi="Arial"/>
                <w:sz w:val="20"/>
                <w:szCs w:val="20"/>
                <w:color w:val="auto"/>
                <w:w w:val="86"/>
              </w:rPr>
              <w:t>Revenues</w:t>
            </w:r>
          </w:p>
        </w:tc>
        <w:tc>
          <w:tcPr>
            <w:tcW w:w="26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40" w:type="dxa"/>
            <w:vAlign w:val="bottom"/>
          </w:tcPr>
          <w:p>
            <w:pPr>
              <w:spacing w:after="0"/>
              <w:rPr>
                <w:sz w:val="21"/>
                <w:szCs w:val="21"/>
                <w:color w:val="auto"/>
              </w:rPr>
            </w:pPr>
          </w:p>
        </w:tc>
        <w:tc>
          <w:tcPr>
            <w:tcW w:w="1540" w:type="dxa"/>
            <w:vAlign w:val="bottom"/>
            <w:gridSpan w:val="3"/>
          </w:tcPr>
          <w:p>
            <w:pPr>
              <w:jc w:val="right"/>
              <w:ind w:right="740"/>
              <w:spacing w:after="0"/>
              <w:rPr>
                <w:sz w:val="20"/>
                <w:szCs w:val="20"/>
                <w:color w:val="auto"/>
              </w:rPr>
            </w:pPr>
            <w:r>
              <w:rPr>
                <w:rFonts w:ascii="Arial" w:cs="Arial" w:eastAsia="Arial" w:hAnsi="Arial"/>
                <w:sz w:val="20"/>
                <w:szCs w:val="20"/>
                <w:color w:val="auto"/>
              </w:rPr>
              <w:t>Amount</w:t>
            </w:r>
          </w:p>
        </w:tc>
        <w:tc>
          <w:tcPr>
            <w:tcW w:w="1360" w:type="dxa"/>
            <w:vAlign w:val="bottom"/>
          </w:tcPr>
          <w:p>
            <w:pPr>
              <w:jc w:val="center"/>
              <w:ind w:right="21"/>
              <w:spacing w:after="0"/>
              <w:rPr>
                <w:sz w:val="20"/>
                <w:szCs w:val="20"/>
                <w:color w:val="auto"/>
              </w:rPr>
            </w:pPr>
            <w:r>
              <w:rPr>
                <w:rFonts w:ascii="Arial" w:cs="Arial" w:eastAsia="Arial" w:hAnsi="Arial"/>
                <w:sz w:val="20"/>
                <w:szCs w:val="20"/>
                <w:color w:val="auto"/>
                <w:w w:val="84"/>
              </w:rPr>
              <w:t>Revenues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Selling, general &amp; administrative expenses:</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260" w:type="dxa"/>
            <w:vAlign w:val="bottom"/>
            <w:vMerge w:val="continue"/>
          </w:tcPr>
          <w:p>
            <w:pPr>
              <w:spacing w:after="0"/>
              <w:rPr>
                <w:sz w:val="21"/>
                <w:szCs w:val="21"/>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0"/>
              <w:spacing w:after="0" w:line="229" w:lineRule="exact"/>
              <w:rPr>
                <w:sz w:val="20"/>
                <w:szCs w:val="20"/>
                <w:color w:val="auto"/>
              </w:rPr>
            </w:pPr>
            <w:r>
              <w:rPr>
                <w:rFonts w:ascii="Arial" w:cs="Arial" w:eastAsia="Arial" w:hAnsi="Arial"/>
                <w:sz w:val="20"/>
                <w:szCs w:val="20"/>
                <w:color w:val="auto"/>
              </w:rPr>
              <w:t>East Group</w:t>
            </w:r>
          </w:p>
        </w:tc>
        <w:tc>
          <w:tcPr>
            <w:tcW w:w="260" w:type="dxa"/>
            <w:vAlign w:val="bottom"/>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57.5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gridSpan w:val="2"/>
          </w:tcPr>
          <w:p>
            <w:pPr>
              <w:ind w:left="260"/>
              <w:spacing w:after="0" w:line="229"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50.5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83.0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66.9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140.5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117.4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7.4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29" w:lineRule="exact"/>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52.7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37.4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540" w:type="dxa"/>
            <w:vAlign w:val="bottom"/>
            <w:tcBorders>
              <w:bottom w:val="single" w:sz="8" w:color="CFF0FC"/>
            </w:tcBorders>
            <w:shd w:val="clear" w:color="auto" w:fill="CFF0FC"/>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201.2</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7.0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162.2</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6.9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Earnings (Loss) from operations: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29" w:lineRule="exact"/>
              <w:rPr>
                <w:sz w:val="20"/>
                <w:szCs w:val="20"/>
                <w:color w:val="auto"/>
              </w:rPr>
            </w:pPr>
            <w:r>
              <w:rPr>
                <w:rFonts w:ascii="Arial" w:cs="Arial" w:eastAsia="Arial" w:hAnsi="Arial"/>
                <w:sz w:val="20"/>
                <w:szCs w:val="20"/>
                <w:color w:val="auto"/>
              </w:rPr>
              <w:t>Building Materials business: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0"/>
              <w:spacing w:after="0" w:line="229" w:lineRule="exact"/>
              <w:rPr>
                <w:sz w:val="20"/>
                <w:szCs w:val="20"/>
                <w:color w:val="auto"/>
              </w:rPr>
            </w:pPr>
            <w:r>
              <w:rPr>
                <w:rFonts w:ascii="Arial" w:cs="Arial" w:eastAsia="Arial" w:hAnsi="Arial"/>
                <w:sz w:val="20"/>
                <w:szCs w:val="20"/>
                <w:color w:val="auto"/>
              </w:rPr>
              <w:t>East Group</w:t>
            </w:r>
          </w:p>
        </w:tc>
        <w:tc>
          <w:tcPr>
            <w:tcW w:w="2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238.5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60"/>
              <w:spacing w:after="0" w:line="229" w:lineRule="exact"/>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259.5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0"/>
              <w:spacing w:after="0" w:line="229" w:lineRule="exact"/>
              <w:rPr>
                <w:sz w:val="20"/>
                <w:szCs w:val="20"/>
                <w:color w:val="auto"/>
              </w:rPr>
            </w:pPr>
            <w:r>
              <w:rPr>
                <w:rFonts w:ascii="Arial" w:cs="Arial" w:eastAsia="Arial" w:hAnsi="Arial"/>
                <w:sz w:val="20"/>
                <w:szCs w:val="20"/>
                <w:color w:val="auto"/>
              </w:rPr>
              <w:t>West Group</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317.6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rPr>
              <w:t>133.6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shd w:val="clear" w:color="auto" w:fill="CFF0FC"/>
          </w:tcPr>
          <w:p>
            <w:pPr>
              <w:ind w:left="20"/>
              <w:spacing w:after="0" w:line="223" w:lineRule="exact"/>
              <w:rPr>
                <w:sz w:val="20"/>
                <w:szCs w:val="20"/>
                <w:color w:val="auto"/>
              </w:rPr>
            </w:pPr>
            <w:r>
              <w:rPr>
                <w:rFonts w:ascii="Arial" w:cs="Arial" w:eastAsia="Arial" w:hAnsi="Arial"/>
                <w:sz w:val="20"/>
                <w:szCs w:val="20"/>
                <w:color w:val="auto"/>
              </w:rPr>
              <w:t>Total Building Materials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556.1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393.1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29" w:lineRule="exact"/>
              <w:rPr>
                <w:sz w:val="20"/>
                <w:szCs w:val="20"/>
                <w:color w:val="auto"/>
              </w:rPr>
            </w:pPr>
            <w:r>
              <w:rPr>
                <w:rFonts w:ascii="Arial" w:cs="Arial" w:eastAsia="Arial" w:hAnsi="Arial"/>
                <w:sz w:val="20"/>
                <w:szCs w:val="20"/>
                <w:color w:val="auto"/>
              </w:rPr>
              <w:t>Magnesia Specialties</w:t>
            </w:r>
          </w:p>
        </w:tc>
        <w:tc>
          <w:tcPr>
            <w:tcW w:w="26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41.8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0"/>
                <w:szCs w:val="20"/>
                <w:color w:val="auto"/>
              </w:rPr>
              <w:t>46.7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Corporate</w:t>
            </w: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line="229" w:lineRule="exact"/>
              <w:rPr>
                <w:sz w:val="20"/>
                <w:szCs w:val="20"/>
                <w:color w:val="auto"/>
              </w:rPr>
            </w:pPr>
            <w:r>
              <w:rPr>
                <w:rFonts w:ascii="Arial" w:cs="Arial" w:eastAsia="Arial" w:hAnsi="Arial"/>
                <w:sz w:val="20"/>
                <w:szCs w:val="20"/>
                <w:color w:val="auto"/>
              </w:rPr>
              <w:t>(59.5 )</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line="229" w:lineRule="exact"/>
              <w:rPr>
                <w:sz w:val="20"/>
                <w:szCs w:val="20"/>
                <w:color w:val="auto"/>
              </w:rPr>
            </w:pPr>
            <w:r>
              <w:rPr>
                <w:rFonts w:ascii="Arial" w:cs="Arial" w:eastAsia="Arial" w:hAnsi="Arial"/>
                <w:sz w:val="20"/>
                <w:szCs w:val="20"/>
                <w:color w:val="auto"/>
              </w:rPr>
              <w:t>(33.0 )</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40" w:type="dxa"/>
            <w:vAlign w:val="bottom"/>
            <w:tcBorders>
              <w:top w:val="single" w:sz="8" w:color="CFF0FC"/>
            </w:tcBorders>
          </w:tcPr>
          <w:p>
            <w:pPr>
              <w:ind w:left="20"/>
              <w:spacing w:after="0" w:line="223" w:lineRule="exact"/>
              <w:rPr>
                <w:sz w:val="20"/>
                <w:szCs w:val="20"/>
                <w:color w:val="auto"/>
              </w:rPr>
            </w:pPr>
            <w:r>
              <w:rPr>
                <w:rFonts w:ascii="Arial" w:cs="Arial" w:eastAsia="Arial" w:hAnsi="Arial"/>
                <w:sz w:val="20"/>
                <w:szCs w:val="20"/>
                <w:color w:val="auto"/>
              </w:rPr>
              <w:t>Total</w:t>
            </w:r>
          </w:p>
        </w:tc>
        <w:tc>
          <w:tcPr>
            <w:tcW w:w="26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538.4</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8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18.7</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406.8</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jc w:val="right"/>
              <w:spacing w:after="0" w:line="223" w:lineRule="exact"/>
              <w:rPr>
                <w:sz w:val="20"/>
                <w:szCs w:val="20"/>
                <w:color w:val="auto"/>
              </w:rPr>
            </w:pPr>
            <w:r>
              <w:rPr>
                <w:rFonts w:ascii="Arial" w:cs="Arial" w:eastAsia="Arial" w:hAnsi="Arial"/>
                <w:sz w:val="20"/>
                <w:szCs w:val="20"/>
                <w:color w:val="auto"/>
              </w:rPr>
              <w:t>17.2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-4349750</wp:posOffset>
            </wp:positionV>
            <wp:extent cx="7683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-4349750</wp:posOffset>
            </wp:positionV>
            <wp:extent cx="6858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-3750945</wp:posOffset>
            </wp:positionV>
            <wp:extent cx="768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-3750945</wp:posOffset>
            </wp:positionV>
            <wp:extent cx="6858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-3446145</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-3429000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-3446145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-3429000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-1972310</wp:posOffset>
            </wp:positionV>
            <wp:extent cx="7683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-1972310</wp:posOffset>
            </wp:positionV>
            <wp:extent cx="685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-1376045</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-1358900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-1376045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-1358900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-175895</wp:posOffset>
            </wp:positionV>
            <wp:extent cx="7683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-175895</wp:posOffset>
            </wp:positionV>
            <wp:extent cx="685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ind w:right="12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12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80"/>
        <w:spacing w:after="0" w:line="226" w:lineRule="auto"/>
        <w:rPr>
          <w:sz w:val="20"/>
          <w:szCs w:val="20"/>
          <w:color w:val="auto"/>
        </w:rPr>
      </w:pPr>
      <w:r>
        <w:rPr>
          <w:rFonts w:ascii="Arial" w:cs="Arial" w:eastAsia="Arial" w:hAnsi="Arial"/>
          <w:sz w:val="20"/>
          <w:szCs w:val="20"/>
          <w:color w:val="auto"/>
        </w:rPr>
        <w:t>RESULTS OF OPERATIONS</w:t>
      </w:r>
    </w:p>
    <w:p>
      <w:pPr>
        <w:jc w:val="center"/>
        <w:ind w:right="20"/>
        <w:spacing w:after="0"/>
        <w:rPr>
          <w:sz w:val="20"/>
          <w:szCs w:val="20"/>
          <w:color w:val="auto"/>
        </w:rPr>
      </w:pPr>
      <w:r>
        <w:rPr>
          <w:rFonts w:ascii="Arial" w:cs="Arial" w:eastAsia="Arial" w:hAnsi="Arial"/>
          <w:sz w:val="20"/>
          <w:szCs w:val="20"/>
          <w:color w:val="auto"/>
        </w:rPr>
        <w:t>(Continued)</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72" w:lineRule="exact"/>
        <w:rPr>
          <w:sz w:val="20"/>
          <w:szCs w:val="20"/>
          <w:color w:val="auto"/>
        </w:rPr>
      </w:pPr>
    </w:p>
    <w:p>
      <w:pPr>
        <w:jc w:val="center"/>
        <w:ind w:left="6820"/>
        <w:spacing w:after="0"/>
        <w:rPr>
          <w:sz w:val="20"/>
          <w:szCs w:val="20"/>
          <w:color w:val="auto"/>
        </w:rPr>
      </w:pPr>
      <w:r>
        <w:rPr>
          <w:rFonts w:ascii="Arial" w:cs="Arial" w:eastAsia="Arial" w:hAnsi="Arial"/>
          <w:sz w:val="20"/>
          <w:szCs w:val="20"/>
          <w:color w:val="auto"/>
        </w:rPr>
        <w:t>Six Months Ended</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20"/>
          <w:szCs w:val="20"/>
          <w:color w:val="auto"/>
        </w:rPr>
        <w:t>June 30, 2022</w:t>
      </w:r>
    </w:p>
    <w:tbl>
      <w:tblPr>
        <w:tblLayout w:type="fixed"/>
        <w:tblInd w:w="0" w:type="dxa"/>
        <w:tblCellMar>
          <w:top w:w="0" w:type="dxa"/>
          <w:left w:w="0" w:type="dxa"/>
          <w:bottom w:w="0" w:type="dxa"/>
          <w:right w:w="0" w:type="dxa"/>
        </w:tblCellMar>
      </w:tblPr>
      <w:tr>
        <w:trPr>
          <w:trHeight w:val="222"/>
        </w:trPr>
        <w:tc>
          <w:tcPr>
            <w:tcW w:w="69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Volume</w:t>
            </w:r>
          </w:p>
        </w:tc>
        <w:tc>
          <w:tcPr>
            <w:tcW w:w="6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w w:val="98"/>
              </w:rPr>
              <w:t>Pricing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6960" w:type="dxa"/>
            <w:vAlign w:val="bottom"/>
            <w:shd w:val="clear" w:color="auto" w:fill="CFF0FC"/>
          </w:tcPr>
          <w:p>
            <w:pPr>
              <w:ind w:left="20"/>
              <w:spacing w:after="0" w:line="222" w:lineRule="exact"/>
              <w:rPr>
                <w:sz w:val="20"/>
                <w:szCs w:val="20"/>
                <w:color w:val="auto"/>
              </w:rPr>
            </w:pPr>
            <w:r>
              <w:rPr>
                <w:rFonts w:ascii="Arial" w:cs="Arial" w:eastAsia="Arial" w:hAnsi="Arial"/>
                <w:sz w:val="19"/>
                <w:szCs w:val="19"/>
                <w:b w:val="1"/>
                <w:bCs w:val="1"/>
                <w:color w:val="auto"/>
              </w:rPr>
              <w:t>Volume/Pricing Variance</w:t>
            </w:r>
            <w:r>
              <w:rPr>
                <w:rFonts w:ascii="Arial" w:cs="Arial" w:eastAsia="Arial" w:hAnsi="Arial"/>
                <w:sz w:val="25"/>
                <w:szCs w:val="25"/>
                <w:color w:val="auto"/>
                <w:vertAlign w:val="superscript"/>
              </w:rPr>
              <w:t>(1)</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8300" w:type="dxa"/>
            <w:vAlign w:val="bottom"/>
            <w:gridSpan w:val="3"/>
          </w:tcPr>
          <w:p>
            <w:pPr>
              <w:ind w:left="200"/>
              <w:spacing w:after="0" w:line="212" w:lineRule="exact"/>
              <w:rPr>
                <w:sz w:val="20"/>
                <w:szCs w:val="20"/>
                <w:color w:val="auto"/>
              </w:rPr>
            </w:pPr>
            <w:r>
              <w:rPr>
                <w:rFonts w:ascii="Arial" w:cs="Arial" w:eastAsia="Arial" w:hAnsi="Arial"/>
                <w:sz w:val="20"/>
                <w:szCs w:val="20"/>
                <w:color w:val="auto"/>
              </w:rPr>
              <w:t>East Group</w:t>
            </w:r>
          </w:p>
        </w:tc>
        <w:tc>
          <w:tcPr>
            <w:tcW w:w="940" w:type="dxa"/>
            <w:vAlign w:val="bottom"/>
            <w:gridSpan w:val="2"/>
          </w:tcPr>
          <w:p>
            <w:pPr>
              <w:jc w:val="right"/>
              <w:ind w:right="40"/>
              <w:spacing w:after="0" w:line="212" w:lineRule="exact"/>
              <w:rPr>
                <w:sz w:val="20"/>
                <w:szCs w:val="20"/>
                <w:color w:val="auto"/>
              </w:rPr>
            </w:pPr>
            <w:r>
              <w:rPr>
                <w:rFonts w:ascii="Arial" w:cs="Arial" w:eastAsia="Arial" w:hAnsi="Arial"/>
                <w:sz w:val="20"/>
                <w:szCs w:val="20"/>
                <w:color w:val="auto"/>
              </w:rPr>
              <w:t>(0.1 )%</w:t>
            </w:r>
          </w:p>
        </w:tc>
        <w:tc>
          <w:tcPr>
            <w:tcW w:w="620" w:type="dxa"/>
            <w:vAlign w:val="bottom"/>
          </w:tcPr>
          <w:p>
            <w:pPr>
              <w:spacing w:after="0"/>
              <w:rPr>
                <w:sz w:val="18"/>
                <w:szCs w:val="18"/>
                <w:color w:val="auto"/>
              </w:rPr>
            </w:pPr>
          </w:p>
        </w:tc>
        <w:tc>
          <w:tcPr>
            <w:tcW w:w="1460" w:type="dxa"/>
            <w:vAlign w:val="bottom"/>
            <w:gridSpan w:val="3"/>
          </w:tcPr>
          <w:p>
            <w:pPr>
              <w:jc w:val="right"/>
              <w:spacing w:after="0" w:line="212" w:lineRule="exact"/>
              <w:rPr>
                <w:sz w:val="20"/>
                <w:szCs w:val="20"/>
                <w:color w:val="auto"/>
              </w:rPr>
            </w:pPr>
            <w:r>
              <w:rPr>
                <w:rFonts w:ascii="Arial" w:cs="Arial" w:eastAsia="Arial" w:hAnsi="Arial"/>
                <w:sz w:val="20"/>
                <w:szCs w:val="20"/>
                <w:color w:val="auto"/>
              </w:rPr>
              <w:t>6.6 %</w:t>
            </w:r>
          </w:p>
        </w:tc>
      </w:tr>
      <w:tr>
        <w:trPr>
          <w:trHeight w:val="199"/>
        </w:trPr>
        <w:tc>
          <w:tcPr>
            <w:tcW w:w="8300" w:type="dxa"/>
            <w:vAlign w:val="bottom"/>
            <w:gridSpan w:val="3"/>
          </w:tcPr>
          <w:p>
            <w:pPr>
              <w:ind w:left="200"/>
              <w:spacing w:after="0" w:line="199" w:lineRule="exact"/>
              <w:rPr>
                <w:sz w:val="20"/>
                <w:szCs w:val="20"/>
                <w:color w:val="auto"/>
              </w:rPr>
            </w:pPr>
            <w:r>
              <w:rPr>
                <w:rFonts w:ascii="Arial" w:cs="Arial" w:eastAsia="Arial" w:hAnsi="Arial"/>
                <w:sz w:val="20"/>
                <w:szCs w:val="20"/>
                <w:color w:val="auto"/>
              </w:rPr>
              <w:t>West Group</w:t>
            </w:r>
          </w:p>
        </w:tc>
        <w:tc>
          <w:tcPr>
            <w:tcW w:w="940" w:type="dxa"/>
            <w:vAlign w:val="bottom"/>
            <w:gridSpan w:val="2"/>
          </w:tcPr>
          <w:p>
            <w:pPr>
              <w:jc w:val="right"/>
              <w:ind w:right="120"/>
              <w:spacing w:after="0" w:line="199" w:lineRule="exact"/>
              <w:rPr>
                <w:sz w:val="20"/>
                <w:szCs w:val="20"/>
                <w:color w:val="auto"/>
              </w:rPr>
            </w:pPr>
            <w:r>
              <w:rPr>
                <w:rFonts w:ascii="Arial" w:cs="Arial" w:eastAsia="Arial" w:hAnsi="Arial"/>
                <w:sz w:val="20"/>
                <w:szCs w:val="20"/>
                <w:color w:val="auto"/>
              </w:rPr>
              <w:t>31.2 %</w:t>
            </w:r>
          </w:p>
        </w:tc>
        <w:tc>
          <w:tcPr>
            <w:tcW w:w="620" w:type="dxa"/>
            <w:vAlign w:val="bottom"/>
          </w:tcPr>
          <w:p>
            <w:pPr>
              <w:spacing w:after="0"/>
              <w:rPr>
                <w:sz w:val="17"/>
                <w:szCs w:val="17"/>
                <w:color w:val="auto"/>
              </w:rPr>
            </w:pPr>
          </w:p>
        </w:tc>
        <w:tc>
          <w:tcPr>
            <w:tcW w:w="1460" w:type="dxa"/>
            <w:vAlign w:val="bottom"/>
            <w:gridSpan w:val="3"/>
          </w:tcPr>
          <w:p>
            <w:pPr>
              <w:jc w:val="right"/>
              <w:spacing w:after="0" w:line="199" w:lineRule="exact"/>
              <w:rPr>
                <w:sz w:val="20"/>
                <w:szCs w:val="20"/>
                <w:color w:val="auto"/>
              </w:rPr>
            </w:pPr>
            <w:r>
              <w:rPr>
                <w:rFonts w:ascii="Arial" w:cs="Arial" w:eastAsia="Arial" w:hAnsi="Arial"/>
                <w:sz w:val="20"/>
                <w:szCs w:val="20"/>
                <w:color w:val="auto"/>
              </w:rPr>
              <w:t>10.4 %</w:t>
            </w:r>
          </w:p>
        </w:tc>
      </w:tr>
      <w:tr>
        <w:trPr>
          <w:trHeight w:val="229"/>
        </w:trPr>
        <w:tc>
          <w:tcPr>
            <w:tcW w:w="8300" w:type="dxa"/>
            <w:vAlign w:val="bottom"/>
            <w:gridSpan w:val="3"/>
          </w:tcPr>
          <w:p>
            <w:pPr>
              <w:ind w:left="20"/>
              <w:spacing w:after="0" w:line="228" w:lineRule="exact"/>
              <w:rPr>
                <w:sz w:val="20"/>
                <w:szCs w:val="20"/>
                <w:color w:val="auto"/>
              </w:rPr>
            </w:pPr>
            <w:r>
              <w:rPr>
                <w:rFonts w:ascii="Arial" w:cs="Arial" w:eastAsia="Arial" w:hAnsi="Arial"/>
                <w:sz w:val="20"/>
                <w:szCs w:val="20"/>
                <w:color w:val="auto"/>
              </w:rPr>
              <w:t>Total aggregates operations</w:t>
            </w:r>
            <w:r>
              <w:rPr>
                <w:rFonts w:ascii="Arial" w:cs="Arial" w:eastAsia="Arial" w:hAnsi="Arial"/>
                <w:sz w:val="26"/>
                <w:szCs w:val="26"/>
                <w:color w:val="auto"/>
                <w:vertAlign w:val="superscript"/>
              </w:rPr>
              <w:t>(2)</w:t>
            </w:r>
          </w:p>
        </w:tc>
        <w:tc>
          <w:tcPr>
            <w:tcW w:w="940" w:type="dxa"/>
            <w:vAlign w:val="bottom"/>
            <w:gridSpan w:val="2"/>
          </w:tcPr>
          <w:p>
            <w:pPr>
              <w:jc w:val="right"/>
              <w:ind w:right="120"/>
              <w:spacing w:after="0" w:line="229" w:lineRule="exact"/>
              <w:rPr>
                <w:sz w:val="20"/>
                <w:szCs w:val="20"/>
                <w:color w:val="auto"/>
              </w:rPr>
            </w:pPr>
            <w:r>
              <w:rPr>
                <w:rFonts w:ascii="Arial" w:cs="Arial" w:eastAsia="Arial" w:hAnsi="Arial"/>
                <w:sz w:val="20"/>
                <w:szCs w:val="20"/>
                <w:color w:val="auto"/>
              </w:rPr>
              <w:t>11.0 %</w:t>
            </w:r>
          </w:p>
        </w:tc>
        <w:tc>
          <w:tcPr>
            <w:tcW w:w="620" w:type="dxa"/>
            <w:vAlign w:val="bottom"/>
          </w:tcPr>
          <w:p>
            <w:pPr>
              <w:spacing w:after="0"/>
              <w:rPr>
                <w:sz w:val="19"/>
                <w:szCs w:val="19"/>
                <w:color w:val="auto"/>
              </w:rPr>
            </w:pPr>
          </w:p>
        </w:tc>
        <w:tc>
          <w:tcPr>
            <w:tcW w:w="1460" w:type="dxa"/>
            <w:vAlign w:val="bottom"/>
            <w:gridSpan w:val="3"/>
          </w:tcPr>
          <w:p>
            <w:pPr>
              <w:jc w:val="right"/>
              <w:spacing w:after="0" w:line="229" w:lineRule="exact"/>
              <w:rPr>
                <w:sz w:val="20"/>
                <w:szCs w:val="20"/>
                <w:color w:val="auto"/>
              </w:rPr>
            </w:pPr>
            <w:r>
              <w:rPr>
                <w:rFonts w:ascii="Arial" w:cs="Arial" w:eastAsia="Arial" w:hAnsi="Arial"/>
                <w:sz w:val="20"/>
                <w:szCs w:val="20"/>
                <w:color w:val="auto"/>
              </w:rPr>
              <w:t>7.2 %</w:t>
            </w:r>
          </w:p>
        </w:tc>
      </w:tr>
      <w:tr>
        <w:trPr>
          <w:trHeight w:val="276"/>
        </w:trPr>
        <w:tc>
          <w:tcPr>
            <w:tcW w:w="8300" w:type="dxa"/>
            <w:vAlign w:val="bottom"/>
            <w:gridSpan w:val="3"/>
          </w:tcPr>
          <w:p>
            <w:pPr>
              <w:ind w:left="20"/>
              <w:spacing w:after="0" w:line="276" w:lineRule="exact"/>
              <w:rPr>
                <w:sz w:val="20"/>
                <w:szCs w:val="20"/>
                <w:color w:val="auto"/>
              </w:rPr>
            </w:pPr>
            <w:r>
              <w:rPr>
                <w:rFonts w:ascii="Arial" w:cs="Arial" w:eastAsia="Arial" w:hAnsi="Arial"/>
                <w:sz w:val="20"/>
                <w:szCs w:val="20"/>
                <w:color w:val="auto"/>
              </w:rPr>
              <w:t>Organic aggregates operations</w:t>
            </w:r>
            <w:r>
              <w:rPr>
                <w:rFonts w:ascii="Arial" w:cs="Arial" w:eastAsia="Arial" w:hAnsi="Arial"/>
                <w:sz w:val="26"/>
                <w:szCs w:val="26"/>
                <w:color w:val="auto"/>
                <w:vertAlign w:val="superscript"/>
              </w:rPr>
              <w:t>(3)</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auto"/>
              </w:rPr>
              <w:t>2.4 %</w:t>
            </w:r>
          </w:p>
        </w:tc>
        <w:tc>
          <w:tcPr>
            <w:tcW w:w="6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20"/>
                <w:szCs w:val="20"/>
                <w:color w:val="auto"/>
              </w:rPr>
              <w:t>7.7 %</w:t>
            </w:r>
          </w:p>
        </w:tc>
      </w:tr>
      <w:tr>
        <w:trPr>
          <w:trHeight w:val="441"/>
        </w:trPr>
        <w:tc>
          <w:tcPr>
            <w:tcW w:w="6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20"/>
                <w:szCs w:val="20"/>
                <w:color w:val="auto"/>
                <w:w w:val="89"/>
              </w:rPr>
              <w:t>Six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5"/>
              </w:rPr>
              <w:t>June 30,</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7040" w:type="dxa"/>
            <w:vAlign w:val="bottom"/>
            <w:gridSpan w:val="2"/>
          </w:tcPr>
          <w:p>
            <w:pPr>
              <w:spacing w:after="0"/>
              <w:rPr>
                <w:sz w:val="19"/>
                <w:szCs w:val="19"/>
                <w:color w:val="auto"/>
              </w:rPr>
            </w:pPr>
          </w:p>
        </w:tc>
        <w:tc>
          <w:tcPr>
            <w:tcW w:w="1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61"/>
              <w:spacing w:after="0" w:line="223" w:lineRule="exact"/>
              <w:rPr>
                <w:sz w:val="20"/>
                <w:szCs w:val="20"/>
                <w:color w:val="auto"/>
              </w:rPr>
            </w:pPr>
            <w:r>
              <w:rPr>
                <w:rFonts w:ascii="Arial" w:cs="Arial" w:eastAsia="Arial" w:hAnsi="Arial"/>
                <w:sz w:val="20"/>
                <w:szCs w:val="20"/>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6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60" w:type="dxa"/>
            <w:vAlign w:val="bottom"/>
            <w:gridSpan w:val="3"/>
          </w:tcPr>
          <w:p>
            <w:pPr>
              <w:jc w:val="center"/>
              <w:spacing w:after="0" w:line="223" w:lineRule="exact"/>
              <w:rPr>
                <w:sz w:val="20"/>
                <w:szCs w:val="20"/>
                <w:color w:val="auto"/>
              </w:rPr>
            </w:pPr>
            <w:r>
              <w:rPr>
                <w:rFonts w:ascii="Arial" w:cs="Arial" w:eastAsia="Arial" w:hAnsi="Arial"/>
                <w:sz w:val="20"/>
                <w:szCs w:val="20"/>
                <w:i w:val="1"/>
                <w:iCs w:val="1"/>
                <w:color w:val="auto"/>
                <w:w w:val="92"/>
              </w:rPr>
              <w:t>(Tons in Millions)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300" w:type="dxa"/>
            <w:vAlign w:val="bottom"/>
            <w:gridSpan w:val="3"/>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Shipments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300" w:type="dxa"/>
            <w:vAlign w:val="bottom"/>
            <w:gridSpan w:val="3"/>
          </w:tcPr>
          <w:p>
            <w:pPr>
              <w:ind w:left="200"/>
              <w:spacing w:after="0" w:line="229" w:lineRule="exact"/>
              <w:rPr>
                <w:sz w:val="20"/>
                <w:szCs w:val="20"/>
                <w:color w:val="auto"/>
              </w:rPr>
            </w:pPr>
            <w:r>
              <w:rPr>
                <w:rFonts w:ascii="Arial" w:cs="Arial" w:eastAsia="Arial" w:hAnsi="Arial"/>
                <w:sz w:val="20"/>
                <w:szCs w:val="20"/>
                <w:color w:val="auto"/>
              </w:rPr>
              <w:t>East Group</w:t>
            </w:r>
          </w:p>
        </w:tc>
        <w:tc>
          <w:tcPr>
            <w:tcW w:w="660" w:type="dxa"/>
            <w:vAlign w:val="bottom"/>
          </w:tcPr>
          <w:p>
            <w:pPr>
              <w:jc w:val="right"/>
              <w:spacing w:after="0" w:line="229" w:lineRule="exact"/>
              <w:rPr>
                <w:sz w:val="20"/>
                <w:szCs w:val="20"/>
                <w:color w:val="auto"/>
              </w:rPr>
            </w:pPr>
            <w:r>
              <w:rPr>
                <w:rFonts w:ascii="Arial" w:cs="Arial" w:eastAsia="Arial" w:hAnsi="Arial"/>
                <w:sz w:val="20"/>
                <w:szCs w:val="20"/>
                <w:color w:val="auto"/>
              </w:rPr>
              <w:t>58.0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58.1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040" w:type="dxa"/>
            <w:vAlign w:val="bottom"/>
            <w:tcBorders>
              <w:bottom w:val="single" w:sz="8" w:color="CFF0FC"/>
            </w:tcBorders>
            <w:gridSpan w:val="2"/>
            <w:shd w:val="clear" w:color="auto" w:fill="CFF0FC"/>
          </w:tcPr>
          <w:p>
            <w:pPr>
              <w:ind w:left="200"/>
              <w:spacing w:after="0" w:line="229" w:lineRule="exact"/>
              <w:rPr>
                <w:sz w:val="20"/>
                <w:szCs w:val="20"/>
                <w:color w:val="auto"/>
              </w:rPr>
            </w:pPr>
            <w:r>
              <w:rPr>
                <w:rFonts w:ascii="Arial" w:cs="Arial" w:eastAsia="Arial" w:hAnsi="Arial"/>
                <w:sz w:val="20"/>
                <w:szCs w:val="20"/>
                <w:color w:val="auto"/>
              </w:rPr>
              <w:t>West Group</w:t>
            </w:r>
          </w:p>
        </w:tc>
        <w:tc>
          <w:tcPr>
            <w:tcW w:w="1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41.9</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31.9</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2"/>
        </w:trPr>
        <w:tc>
          <w:tcPr>
            <w:tcW w:w="8300" w:type="dxa"/>
            <w:vAlign w:val="bottom"/>
            <w:gridSpan w:val="3"/>
          </w:tcPr>
          <w:p>
            <w:pPr>
              <w:ind w:left="20"/>
              <w:spacing w:after="0" w:line="222" w:lineRule="exact"/>
              <w:rPr>
                <w:sz w:val="20"/>
                <w:szCs w:val="20"/>
                <w:color w:val="auto"/>
              </w:rPr>
            </w:pPr>
            <w:r>
              <w:rPr>
                <w:rFonts w:ascii="Arial" w:cs="Arial" w:eastAsia="Arial" w:hAnsi="Arial"/>
                <w:sz w:val="19"/>
                <w:szCs w:val="19"/>
                <w:color w:val="auto"/>
              </w:rPr>
              <w:t>Total aggregates operations</w:t>
            </w:r>
            <w:r>
              <w:rPr>
                <w:rFonts w:ascii="Arial" w:cs="Arial" w:eastAsia="Arial" w:hAnsi="Arial"/>
                <w:sz w:val="25"/>
                <w:szCs w:val="25"/>
                <w:color w:val="auto"/>
                <w:vertAlign w:val="superscript"/>
              </w:rPr>
              <w:t>(2)</w:t>
            </w:r>
          </w:p>
        </w:tc>
        <w:tc>
          <w:tcPr>
            <w:tcW w:w="660" w:type="dxa"/>
            <w:vAlign w:val="bottom"/>
          </w:tcPr>
          <w:p>
            <w:pPr>
              <w:jc w:val="right"/>
              <w:spacing w:after="0" w:line="223" w:lineRule="exact"/>
              <w:rPr>
                <w:sz w:val="20"/>
                <w:szCs w:val="20"/>
                <w:color w:val="auto"/>
              </w:rPr>
            </w:pPr>
            <w:r>
              <w:rPr>
                <w:rFonts w:ascii="Arial" w:cs="Arial" w:eastAsia="Arial" w:hAnsi="Arial"/>
                <w:sz w:val="20"/>
                <w:szCs w:val="20"/>
                <w:color w:val="auto"/>
              </w:rPr>
              <w:t>99.9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Arial" w:cs="Arial" w:eastAsia="Arial" w:hAnsi="Arial"/>
                <w:sz w:val="20"/>
                <w:szCs w:val="20"/>
                <w:color w:val="auto"/>
              </w:rPr>
              <w:t>90.0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-1795145</wp:posOffset>
            </wp:positionV>
            <wp:extent cx="7132955"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-1504315</wp:posOffset>
            </wp:positionV>
            <wp:extent cx="7132955"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-175895</wp:posOffset>
            </wp:positionV>
            <wp:extent cx="685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2"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Volume/pricing variances reflect the percentage increase from the comparable period in the prior year.</w:t>
      </w:r>
    </w:p>
    <w:p>
      <w:pPr>
        <w:spacing w:after="0" w:line="1" w:lineRule="exact"/>
        <w:rPr>
          <w:rFonts w:ascii="Arial" w:cs="Arial" w:eastAsia="Arial" w:hAnsi="Arial"/>
          <w:sz w:val="23"/>
          <w:szCs w:val="23"/>
          <w:i w:val="1"/>
          <w:iCs w:val="1"/>
          <w:color w:val="auto"/>
          <w:vertAlign w:val="superscript"/>
        </w:rPr>
      </w:pPr>
    </w:p>
    <w:p>
      <w:pPr>
        <w:ind w:left="200" w:hanging="192"/>
        <w:spacing w:after="0" w:line="194" w:lineRule="auto"/>
        <w:tabs>
          <w:tab w:leader="none" w:pos="20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Total aggregates operations include acquisitions from the date of acquisition and divestitures through the date of disposal.</w:t>
      </w:r>
    </w:p>
    <w:p>
      <w:pPr>
        <w:spacing w:after="0" w:line="1" w:lineRule="exact"/>
        <w:rPr>
          <w:rFonts w:ascii="Arial" w:cs="Arial" w:eastAsia="Arial" w:hAnsi="Arial"/>
          <w:sz w:val="23"/>
          <w:szCs w:val="23"/>
          <w:i w:val="1"/>
          <w:iCs w:val="1"/>
          <w:color w:val="auto"/>
          <w:vertAlign w:val="superscript"/>
        </w:rPr>
      </w:pPr>
    </w:p>
    <w:p>
      <w:pPr>
        <w:ind w:right="80" w:firstLine="8"/>
        <w:spacing w:after="0" w:line="234" w:lineRule="auto"/>
        <w:tabs>
          <w:tab w:leader="none" w:pos="185"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Organic aggregates operations exclude volume and pricing data for acquisitions that have not been included in prior-year operations for the comparable period and divestitures.</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Page 41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20" w:top="122" w:right="259" w:bottom="1440" w:gutter="0" w:footer="0" w:header="0"/>
        </w:sectPr>
      </w:pPr>
    </w:p>
    <w:bookmarkStart w:id="41" w:name="page42"/>
    <w:bookmarkEnd w:id="41"/>
    <w:p>
      <w:pPr>
        <w:jc w:val="center"/>
        <w:ind w:right="1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1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100"/>
        <w:spacing w:after="0" w:line="226" w:lineRule="auto"/>
        <w:rPr>
          <w:sz w:val="20"/>
          <w:szCs w:val="20"/>
          <w:color w:val="auto"/>
        </w:rPr>
      </w:pPr>
      <w:r>
        <w:rPr>
          <w:rFonts w:ascii="Arial" w:cs="Arial" w:eastAsia="Arial" w:hAnsi="Arial"/>
          <w:sz w:val="20"/>
          <w:szCs w:val="20"/>
          <w:color w:val="auto"/>
        </w:rPr>
        <w:t>RESULTS OF OPERATIONS</w:t>
      </w:r>
    </w:p>
    <w:p>
      <w:pPr>
        <w:jc w:val="center"/>
        <w:ind w:right="40"/>
        <w:spacing w:after="0"/>
        <w:rPr>
          <w:sz w:val="20"/>
          <w:szCs w:val="20"/>
          <w:color w:val="auto"/>
        </w:rPr>
      </w:pPr>
      <w:r>
        <w:rPr>
          <w:rFonts w:ascii="Arial" w:cs="Arial" w:eastAsia="Arial" w:hAnsi="Arial"/>
          <w:sz w:val="20"/>
          <w:szCs w:val="20"/>
          <w:color w:val="auto"/>
        </w:rPr>
        <w:t>(Continued)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80" w:type="dxa"/>
            <w:vAlign w:val="bottom"/>
            <w:gridSpan w:val="8"/>
          </w:tcPr>
          <w:p>
            <w:pPr>
              <w:jc w:val="right"/>
              <w:ind w:right="1220"/>
              <w:spacing w:after="0"/>
              <w:rPr>
                <w:sz w:val="20"/>
                <w:szCs w:val="20"/>
                <w:color w:val="auto"/>
              </w:rPr>
            </w:pPr>
            <w:r>
              <w:rPr>
                <w:rFonts w:ascii="Arial" w:cs="Arial" w:eastAsia="Arial" w:hAnsi="Arial"/>
                <w:sz w:val="20"/>
                <w:szCs w:val="20"/>
                <w:color w:val="auto"/>
                <w:w w:val="95"/>
              </w:rPr>
              <w:t>Six Months Ended June 30,</w:t>
            </w:r>
          </w:p>
        </w:tc>
        <w:tc>
          <w:tcPr>
            <w:tcW w:w="0" w:type="dxa"/>
            <w:vAlign w:val="bottom"/>
          </w:tcPr>
          <w:p>
            <w:pPr>
              <w:spacing w:after="0"/>
              <w:rPr>
                <w:sz w:val="1"/>
                <w:szCs w:val="1"/>
                <w:color w:val="auto"/>
              </w:rPr>
            </w:pPr>
          </w:p>
        </w:tc>
      </w:tr>
      <w:tr>
        <w:trPr>
          <w:trHeight w:val="222"/>
        </w:trPr>
        <w:tc>
          <w:tcPr>
            <w:tcW w:w="69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Shipments</w:t>
            </w:r>
          </w:p>
        </w:tc>
        <w:tc>
          <w:tcPr>
            <w:tcW w:w="82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2022</w:t>
            </w:r>
          </w:p>
        </w:tc>
        <w:tc>
          <w:tcPr>
            <w:tcW w:w="1420" w:type="dxa"/>
            <w:vAlign w:val="bottom"/>
            <w:tcBorders>
              <w:top w:val="single" w:sz="8" w:color="auto"/>
            </w:tcBorders>
            <w:gridSpan w:val="3"/>
          </w:tcPr>
          <w:p>
            <w:pPr>
              <w:jc w:val="right"/>
              <w:spacing w:after="0" w:line="223" w:lineRule="exact"/>
              <w:rPr>
                <w:sz w:val="20"/>
                <w:szCs w:val="20"/>
                <w:color w:val="auto"/>
              </w:rPr>
            </w:pPr>
            <w:r>
              <w:rPr>
                <w:rFonts w:ascii="Arial" w:cs="Arial" w:eastAsia="Arial" w:hAnsi="Arial"/>
                <w:sz w:val="20"/>
                <w:szCs w:val="20"/>
                <w:color w:val="auto"/>
              </w:rPr>
              <w:t>2021</w:t>
            </w:r>
          </w:p>
        </w:tc>
        <w:tc>
          <w:tcPr>
            <w:tcW w:w="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0"/>
              <w:spacing w:after="0" w:line="229" w:lineRule="exact"/>
              <w:rPr>
                <w:sz w:val="20"/>
                <w:szCs w:val="20"/>
                <w:color w:val="auto"/>
              </w:rPr>
            </w:pPr>
            <w:r>
              <w:rPr>
                <w:rFonts w:ascii="Arial" w:cs="Arial" w:eastAsia="Arial" w:hAnsi="Arial"/>
                <w:sz w:val="20"/>
                <w:szCs w:val="20"/>
                <w:color w:val="auto"/>
              </w:rPr>
              <w:t>Aggregates (in millions):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760" w:type="dxa"/>
            <w:vAlign w:val="bottom"/>
            <w:gridSpan w:val="2"/>
          </w:tcPr>
          <w:p>
            <w:pPr>
              <w:ind w:left="200"/>
              <w:spacing w:after="0"/>
              <w:rPr>
                <w:sz w:val="20"/>
                <w:szCs w:val="20"/>
                <w:color w:val="auto"/>
              </w:rPr>
            </w:pPr>
            <w:r>
              <w:rPr>
                <w:rFonts w:ascii="Arial" w:cs="Arial" w:eastAsia="Arial" w:hAnsi="Arial"/>
                <w:sz w:val="20"/>
                <w:szCs w:val="20"/>
                <w:color w:val="auto"/>
              </w:rPr>
              <w:t>Tons to external customers</w:t>
            </w:r>
          </w:p>
        </w:tc>
        <w:tc>
          <w:tcPr>
            <w:tcW w:w="360" w:type="dxa"/>
            <w:vAlign w:val="bottom"/>
          </w:tcPr>
          <w:p>
            <w:pPr>
              <w:jc w:val="right"/>
              <w:spacing w:after="0"/>
              <w:rPr>
                <w:sz w:val="20"/>
                <w:szCs w:val="20"/>
                <w:color w:val="auto"/>
              </w:rPr>
            </w:pPr>
            <w:r>
              <w:rPr>
                <w:rFonts w:ascii="Arial" w:cs="Arial" w:eastAsia="Arial" w:hAnsi="Arial"/>
                <w:sz w:val="20"/>
                <w:szCs w:val="20"/>
                <w:color w:val="auto"/>
                <w:w w:val="87"/>
              </w:rPr>
              <w:t>92.1</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87"/>
              </w:rPr>
              <w:t>83.3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Internal tons used in other product lines</w:t>
            </w:r>
          </w:p>
        </w:tc>
        <w:tc>
          <w:tcPr>
            <w:tcW w:w="82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w:t>
            </w:r>
          </w:p>
        </w:tc>
        <w:tc>
          <w:tcPr>
            <w:tcW w:w="2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w:t>
            </w:r>
          </w:p>
        </w:tc>
        <w:tc>
          <w:tcPr>
            <w:tcW w:w="3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940" w:type="dxa"/>
            <w:vAlign w:val="bottom"/>
            <w:vMerge w:val="restart"/>
          </w:tcPr>
          <w:p>
            <w:pPr>
              <w:ind w:left="20"/>
              <w:spacing w:after="0"/>
              <w:rPr>
                <w:sz w:val="20"/>
                <w:szCs w:val="20"/>
                <w:color w:val="auto"/>
              </w:rPr>
            </w:pPr>
            <w:r>
              <w:rPr>
                <w:rFonts w:ascii="Arial" w:cs="Arial" w:eastAsia="Arial" w:hAnsi="Arial"/>
                <w:sz w:val="20"/>
                <w:szCs w:val="20"/>
                <w:color w:val="auto"/>
              </w:rPr>
              <w:t>Total aggregates tons</w:t>
            </w:r>
          </w:p>
        </w:tc>
        <w:tc>
          <w:tcPr>
            <w:tcW w:w="820" w:type="dxa"/>
            <w:vAlign w:val="bottom"/>
            <w:vMerge w:val="restart"/>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w w:val="87"/>
              </w:rPr>
              <w:t>99.9</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w w:val="87"/>
              </w:rPr>
              <w:t>90.0</w:t>
            </w:r>
          </w:p>
        </w:tc>
        <w:tc>
          <w:tcPr>
            <w:tcW w:w="1780" w:type="dxa"/>
            <w:vAlign w:val="bottom"/>
            <w:gridSpan w:val="4"/>
          </w:tcPr>
          <w:p>
            <w:pPr>
              <w:jc w:val="right"/>
              <w:ind w:right="20"/>
              <w:spacing w:after="0"/>
              <w:rPr>
                <w:sz w:val="20"/>
                <w:szCs w:val="20"/>
                <w:color w:val="auto"/>
              </w:rPr>
            </w:pPr>
            <w:r>
              <w:rPr>
                <w:rFonts w:ascii="Arial" w:cs="Arial" w:eastAsia="Arial" w:hAnsi="Arial"/>
                <w:sz w:val="20"/>
                <w:szCs w:val="20"/>
                <w:color w:val="auto"/>
              </w:rPr>
              <w:t>11.0 %</w:t>
            </w:r>
          </w:p>
        </w:tc>
        <w:tc>
          <w:tcPr>
            <w:tcW w:w="0" w:type="dxa"/>
            <w:vAlign w:val="bottom"/>
          </w:tcPr>
          <w:p>
            <w:pPr>
              <w:spacing w:after="0"/>
              <w:rPr>
                <w:sz w:val="1"/>
                <w:szCs w:val="1"/>
                <w:color w:val="auto"/>
              </w:rPr>
            </w:pPr>
          </w:p>
        </w:tc>
      </w:tr>
      <w:tr>
        <w:trPr>
          <w:trHeight w:val="63"/>
        </w:trPr>
        <w:tc>
          <w:tcPr>
            <w:tcW w:w="6940" w:type="dxa"/>
            <w:vAlign w:val="bottom"/>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line="229" w:lineRule="exact"/>
              <w:rPr>
                <w:sz w:val="20"/>
                <w:szCs w:val="20"/>
                <w:color w:val="auto"/>
              </w:rPr>
            </w:pPr>
            <w:r>
              <w:rPr>
                <w:rFonts w:ascii="Arial" w:cs="Arial" w:eastAsia="Arial" w:hAnsi="Arial"/>
                <w:sz w:val="20"/>
                <w:szCs w:val="20"/>
                <w:color w:val="auto"/>
              </w:rPr>
              <w:t>Cement (in millions):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120"/>
              <w:spacing w:after="0" w:line="229" w:lineRule="exact"/>
              <w:rPr>
                <w:sz w:val="20"/>
                <w:szCs w:val="20"/>
                <w:color w:val="auto"/>
              </w:rPr>
            </w:pPr>
            <w:r>
              <w:rPr>
                <w:rFonts w:ascii="Arial" w:cs="Arial" w:eastAsia="Arial" w:hAnsi="Arial"/>
                <w:sz w:val="20"/>
                <w:szCs w:val="20"/>
                <w:color w:val="auto"/>
              </w:rPr>
              <w:t>Tons to external customers</w:t>
            </w:r>
          </w:p>
        </w:tc>
        <w:tc>
          <w:tcPr>
            <w:tcW w:w="3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1.2</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line="229" w:lineRule="exact"/>
              <w:rPr>
                <w:sz w:val="20"/>
                <w:szCs w:val="20"/>
                <w:color w:val="auto"/>
              </w:rPr>
            </w:pPr>
            <w:r>
              <w:rPr>
                <w:rFonts w:ascii="Arial" w:cs="Arial" w:eastAsia="Arial" w:hAnsi="Arial"/>
                <w:sz w:val="20"/>
                <w:szCs w:val="20"/>
                <w:color w:val="auto"/>
              </w:rPr>
              <w:t>Internal tons used in ready mixed concrete</w:t>
            </w:r>
          </w:p>
        </w:tc>
        <w:tc>
          <w:tcPr>
            <w:tcW w:w="360" w:type="dxa"/>
            <w:vAlign w:val="bottom"/>
          </w:tcPr>
          <w:p>
            <w:pPr>
              <w:jc w:val="right"/>
              <w:spacing w:after="0" w:line="229" w:lineRule="exact"/>
              <w:rPr>
                <w:sz w:val="20"/>
                <w:szCs w:val="20"/>
                <w:color w:val="auto"/>
              </w:rPr>
            </w:pPr>
            <w:r>
              <w:rPr>
                <w:rFonts w:ascii="Arial" w:cs="Arial" w:eastAsia="Arial" w:hAnsi="Arial"/>
                <w:sz w:val="20"/>
                <w:szCs w:val="20"/>
                <w:color w:val="auto"/>
              </w:rPr>
              <w:t>0.7</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0.7</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tcPr>
          <w:p>
            <w:pPr>
              <w:ind w:left="20"/>
              <w:spacing w:after="0" w:line="223" w:lineRule="exact"/>
              <w:rPr>
                <w:sz w:val="20"/>
                <w:szCs w:val="20"/>
                <w:color w:val="auto"/>
              </w:rPr>
            </w:pPr>
            <w:r>
              <w:rPr>
                <w:rFonts w:ascii="Arial" w:cs="Arial" w:eastAsia="Arial" w:hAnsi="Arial"/>
                <w:sz w:val="20"/>
                <w:szCs w:val="20"/>
                <w:color w:val="auto"/>
              </w:rPr>
              <w:t>Total cement tons</w:t>
            </w:r>
          </w:p>
        </w:tc>
        <w:tc>
          <w:tcPr>
            <w:tcW w:w="8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w:t>
            </w:r>
          </w:p>
        </w:tc>
        <w:tc>
          <w:tcPr>
            <w:tcW w:w="1780" w:type="dxa"/>
            <w:vAlign w:val="bottom"/>
            <w:gridSpan w:val="4"/>
          </w:tcPr>
          <w:p>
            <w:pPr>
              <w:jc w:val="right"/>
              <w:ind w:right="20"/>
              <w:spacing w:after="0" w:line="223" w:lineRule="exact"/>
              <w:rPr>
                <w:sz w:val="20"/>
                <w:szCs w:val="20"/>
                <w:color w:val="auto"/>
              </w:rPr>
            </w:pPr>
            <w:r>
              <w:rPr>
                <w:rFonts w:ascii="Arial" w:cs="Arial" w:eastAsia="Arial" w:hAnsi="Arial"/>
                <w:sz w:val="20"/>
                <w:szCs w:val="20"/>
                <w:color w:val="auto"/>
              </w:rPr>
              <w:t>14.9 %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760" w:type="dxa"/>
            <w:vAlign w:val="bottom"/>
            <w:gridSpan w:val="2"/>
          </w:tcPr>
          <w:p>
            <w:pPr>
              <w:ind w:left="20"/>
              <w:spacing w:after="0"/>
              <w:rPr>
                <w:sz w:val="20"/>
                <w:szCs w:val="20"/>
                <w:color w:val="auto"/>
              </w:rPr>
            </w:pPr>
            <w:r>
              <w:rPr>
                <w:rFonts w:ascii="Arial" w:cs="Arial" w:eastAsia="Arial" w:hAnsi="Arial"/>
                <w:sz w:val="20"/>
                <w:szCs w:val="20"/>
                <w:color w:val="auto"/>
              </w:rPr>
              <w:t>Ready Mixed Concrete (in millions of cubic yards)</w:t>
            </w:r>
          </w:p>
        </w:tc>
        <w:tc>
          <w:tcPr>
            <w:tcW w:w="360" w:type="dxa"/>
            <w:vAlign w:val="bottom"/>
          </w:tcPr>
          <w:p>
            <w:pPr>
              <w:jc w:val="right"/>
              <w:spacing w:after="0"/>
              <w:rPr>
                <w:sz w:val="20"/>
                <w:szCs w:val="20"/>
                <w:color w:val="auto"/>
              </w:rPr>
            </w:pPr>
            <w:r>
              <w:rPr>
                <w:rFonts w:ascii="Arial" w:cs="Arial" w:eastAsia="Arial" w:hAnsi="Arial"/>
                <w:sz w:val="20"/>
                <w:szCs w:val="20"/>
                <w:color w:val="auto"/>
              </w:rPr>
              <w:t>4.2</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4.4</w:t>
            </w:r>
          </w:p>
        </w:tc>
        <w:tc>
          <w:tcPr>
            <w:tcW w:w="1780" w:type="dxa"/>
            <w:vAlign w:val="bottom"/>
            <w:gridSpan w:val="4"/>
          </w:tcPr>
          <w:p>
            <w:pPr>
              <w:jc w:val="right"/>
              <w:spacing w:after="0"/>
              <w:rPr>
                <w:sz w:val="20"/>
                <w:szCs w:val="20"/>
                <w:color w:val="auto"/>
              </w:rPr>
            </w:pPr>
            <w:r>
              <w:rPr>
                <w:rFonts w:ascii="Arial" w:cs="Arial" w:eastAsia="Arial" w:hAnsi="Arial"/>
                <w:sz w:val="20"/>
                <w:szCs w:val="20"/>
                <w:color w:val="auto"/>
              </w:rPr>
              <w:t>(4.9 )%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0"/>
              <w:spacing w:after="0" w:line="229" w:lineRule="exact"/>
              <w:rPr>
                <w:sz w:val="20"/>
                <w:szCs w:val="20"/>
                <w:color w:val="auto"/>
              </w:rPr>
            </w:pPr>
            <w:r>
              <w:rPr>
                <w:rFonts w:ascii="Arial" w:cs="Arial" w:eastAsia="Arial" w:hAnsi="Arial"/>
                <w:sz w:val="20"/>
                <w:szCs w:val="20"/>
                <w:color w:val="auto"/>
              </w:rPr>
              <w:t>Asphalt (in millions):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0"/>
              <w:spacing w:after="0" w:line="229" w:lineRule="exact"/>
              <w:rPr>
                <w:sz w:val="20"/>
                <w:szCs w:val="20"/>
                <w:color w:val="auto"/>
              </w:rPr>
            </w:pPr>
            <w:r>
              <w:rPr>
                <w:rFonts w:ascii="Arial" w:cs="Arial" w:eastAsia="Arial" w:hAnsi="Arial"/>
                <w:sz w:val="20"/>
                <w:szCs w:val="20"/>
                <w:color w:val="auto"/>
              </w:rPr>
              <w:t>Tons to external customers</w:t>
            </w:r>
          </w:p>
        </w:tc>
        <w:tc>
          <w:tcPr>
            <w:tcW w:w="360" w:type="dxa"/>
            <w:vAlign w:val="bottom"/>
          </w:tcPr>
          <w:p>
            <w:pPr>
              <w:jc w:val="right"/>
              <w:spacing w:after="0" w:line="229" w:lineRule="exact"/>
              <w:rPr>
                <w:sz w:val="20"/>
                <w:szCs w:val="20"/>
                <w:color w:val="auto"/>
              </w:rPr>
            </w:pPr>
            <w:r>
              <w:rPr>
                <w:rFonts w:ascii="Arial" w:cs="Arial" w:eastAsia="Arial" w:hAnsi="Arial"/>
                <w:sz w:val="20"/>
                <w:szCs w:val="20"/>
                <w:color w:val="auto"/>
              </w:rPr>
              <w:t>2.6</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1.3</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20"/>
                <w:szCs w:val="20"/>
                <w:color w:val="auto"/>
              </w:rPr>
              <w:t>Internal tons used in paving business</w:t>
            </w:r>
          </w:p>
        </w:tc>
        <w:tc>
          <w:tcPr>
            <w:tcW w:w="8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0.7</w:t>
            </w: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0.6</w:t>
            </w:r>
          </w:p>
        </w:tc>
        <w:tc>
          <w:tcPr>
            <w:tcW w:w="3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gridSpan w:val="2"/>
          </w:tcPr>
          <w:p>
            <w:pPr>
              <w:ind w:left="20"/>
              <w:spacing w:after="0" w:line="223" w:lineRule="exact"/>
              <w:rPr>
                <w:sz w:val="20"/>
                <w:szCs w:val="20"/>
                <w:color w:val="auto"/>
              </w:rPr>
            </w:pPr>
            <w:r>
              <w:rPr>
                <w:rFonts w:ascii="Arial" w:cs="Arial" w:eastAsia="Arial" w:hAnsi="Arial"/>
                <w:sz w:val="20"/>
                <w:szCs w:val="20"/>
                <w:color w:val="auto"/>
              </w:rPr>
              <w:t>Total asphalt tons</w:t>
            </w:r>
          </w:p>
        </w:tc>
        <w:tc>
          <w:tcPr>
            <w:tcW w:w="360" w:type="dxa"/>
            <w:vAlign w:val="bottom"/>
          </w:tcPr>
          <w:p>
            <w:pPr>
              <w:jc w:val="right"/>
              <w:spacing w:after="0" w:line="223" w:lineRule="exact"/>
              <w:rPr>
                <w:sz w:val="20"/>
                <w:szCs w:val="20"/>
                <w:color w:val="auto"/>
              </w:rPr>
            </w:pPr>
            <w:r>
              <w:rPr>
                <w:rFonts w:ascii="Arial" w:cs="Arial" w:eastAsia="Arial" w:hAnsi="Arial"/>
                <w:sz w:val="20"/>
                <w:szCs w:val="20"/>
                <w:color w:val="auto"/>
              </w:rPr>
              <w:t>3.3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0"/>
                <w:szCs w:val="20"/>
                <w:color w:val="auto"/>
              </w:rPr>
              <w:t>1.9</w:t>
            </w:r>
          </w:p>
        </w:tc>
        <w:tc>
          <w:tcPr>
            <w:tcW w:w="1780" w:type="dxa"/>
            <w:vAlign w:val="bottom"/>
            <w:gridSpan w:val="4"/>
          </w:tcPr>
          <w:p>
            <w:pPr>
              <w:jc w:val="right"/>
              <w:ind w:right="20"/>
              <w:spacing w:after="0" w:line="223" w:lineRule="exact"/>
              <w:rPr>
                <w:sz w:val="20"/>
                <w:szCs w:val="20"/>
                <w:color w:val="auto"/>
              </w:rPr>
            </w:pPr>
            <w:r>
              <w:rPr>
                <w:rFonts w:ascii="Arial" w:cs="Arial" w:eastAsia="Arial" w:hAnsi="Arial"/>
                <w:sz w:val="20"/>
                <w:szCs w:val="20"/>
                <w:color w:val="auto"/>
              </w:rPr>
              <w:t>67.4 %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-2117090</wp:posOffset>
            </wp:positionV>
            <wp:extent cx="7683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-2117090</wp:posOffset>
            </wp:positionV>
            <wp:extent cx="685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7132955" cy="1708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132955" cy="1708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-175895</wp:posOffset>
            </wp:positionV>
            <wp:extent cx="7683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-175895</wp:posOffset>
            </wp:positionV>
            <wp:extent cx="6858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gridSpan w:val="3"/>
          </w:tcPr>
          <w:p>
            <w:pPr>
              <w:spacing w:after="0"/>
              <w:rPr>
                <w:sz w:val="20"/>
                <w:szCs w:val="20"/>
                <w:color w:val="auto"/>
              </w:rPr>
            </w:pPr>
            <w:r>
              <w:rPr>
                <w:rFonts w:ascii="Arial" w:cs="Arial" w:eastAsia="Arial" w:hAnsi="Arial"/>
                <w:sz w:val="20"/>
                <w:szCs w:val="20"/>
                <w:color w:val="auto"/>
                <w:w w:val="93"/>
              </w:rPr>
              <w:t>The average selling price by product line for the Building Materials business is as follows: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ind w:left="1280"/>
              <w:spacing w:after="0"/>
              <w:rPr>
                <w:sz w:val="20"/>
                <w:szCs w:val="20"/>
                <w:color w:val="auto"/>
              </w:rPr>
            </w:pPr>
            <w:r>
              <w:rPr>
                <w:rFonts w:ascii="Arial" w:cs="Arial" w:eastAsia="Arial" w:hAnsi="Arial"/>
                <w:sz w:val="20"/>
                <w:szCs w:val="20"/>
                <w:color w:val="auto"/>
                <w:w w:val="97"/>
              </w:rPr>
              <w:t>Six Months Ended June 30,</w:t>
            </w:r>
          </w:p>
        </w:tc>
        <w:tc>
          <w:tcPr>
            <w:tcW w:w="1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60" w:type="dxa"/>
            <w:vAlign w:val="bottom"/>
            <w:vMerge w:val="restart"/>
          </w:tcPr>
          <w:p>
            <w:pPr>
              <w:ind w:left="20"/>
              <w:spacing w:after="0"/>
              <w:rPr>
                <w:sz w:val="20"/>
                <w:szCs w:val="20"/>
                <w:color w:val="auto"/>
              </w:rPr>
            </w:pPr>
            <w:r>
              <w:rPr>
                <w:rFonts w:ascii="Arial" w:cs="Arial" w:eastAsia="Arial" w:hAnsi="Arial"/>
                <w:sz w:val="20"/>
                <w:szCs w:val="20"/>
                <w:color w:val="auto"/>
              </w:rPr>
              <w:t>Aggregates (per ton)</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2022</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2021</w:t>
            </w:r>
          </w:p>
        </w:tc>
        <w:tc>
          <w:tcPr>
            <w:tcW w:w="400" w:type="dxa"/>
            <w:vAlign w:val="bottom"/>
          </w:tcPr>
          <w:p>
            <w:pPr>
              <w:spacing w:after="0"/>
              <w:rPr>
                <w:sz w:val="19"/>
                <w:szCs w:val="19"/>
                <w:color w:val="auto"/>
              </w:rPr>
            </w:pPr>
          </w:p>
        </w:tc>
        <w:tc>
          <w:tcPr>
            <w:tcW w:w="142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 Change</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6"/>
        </w:trPr>
        <w:tc>
          <w:tcPr>
            <w:tcW w:w="5660" w:type="dxa"/>
            <w:vAlign w:val="bottom"/>
            <w:vMerge w:val="continue"/>
          </w:tcPr>
          <w:p>
            <w:pPr>
              <w:spacing w:after="0"/>
              <w:rPr>
                <w:sz w:val="17"/>
                <w:szCs w:val="17"/>
                <w:color w:val="auto"/>
              </w:rPr>
            </w:pPr>
          </w:p>
        </w:tc>
        <w:tc>
          <w:tcPr>
            <w:tcW w:w="380" w:type="dxa"/>
            <w:vAlign w:val="bottom"/>
          </w:tcPr>
          <w:p>
            <w:pPr>
              <w:jc w:val="right"/>
              <w:ind w:right="161"/>
              <w:spacing w:after="0" w:line="206"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06" w:lineRule="exact"/>
              <w:rPr>
                <w:sz w:val="20"/>
                <w:szCs w:val="20"/>
                <w:color w:val="auto"/>
              </w:rPr>
            </w:pPr>
            <w:r>
              <w:rPr>
                <w:rFonts w:ascii="Arial" w:cs="Arial" w:eastAsia="Arial" w:hAnsi="Arial"/>
                <w:sz w:val="20"/>
                <w:szCs w:val="20"/>
                <w:color w:val="auto"/>
              </w:rPr>
              <w:t>16.27</w:t>
            </w:r>
          </w:p>
        </w:tc>
        <w:tc>
          <w:tcPr>
            <w:tcW w:w="300" w:type="dxa"/>
            <w:vAlign w:val="bottom"/>
          </w:tcPr>
          <w:p>
            <w:pPr>
              <w:spacing w:after="0"/>
              <w:rPr>
                <w:sz w:val="17"/>
                <w:szCs w:val="17"/>
                <w:color w:val="auto"/>
              </w:rPr>
            </w:pPr>
          </w:p>
        </w:tc>
        <w:tc>
          <w:tcPr>
            <w:tcW w:w="380" w:type="dxa"/>
            <w:vAlign w:val="bottom"/>
          </w:tcPr>
          <w:p>
            <w:pPr>
              <w:jc w:val="right"/>
              <w:ind w:right="181"/>
              <w:spacing w:after="0" w:line="206" w:lineRule="exact"/>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line="206" w:lineRule="exact"/>
              <w:rPr>
                <w:sz w:val="20"/>
                <w:szCs w:val="20"/>
                <w:color w:val="auto"/>
              </w:rPr>
            </w:pPr>
            <w:r>
              <w:rPr>
                <w:rFonts w:ascii="Arial" w:cs="Arial" w:eastAsia="Arial" w:hAnsi="Arial"/>
                <w:sz w:val="20"/>
                <w:szCs w:val="20"/>
                <w:color w:val="auto"/>
              </w:rPr>
              <w:t>15.17</w:t>
            </w:r>
          </w:p>
        </w:tc>
        <w:tc>
          <w:tcPr>
            <w:tcW w:w="400" w:type="dxa"/>
            <w:vAlign w:val="bottom"/>
          </w:tcPr>
          <w:p>
            <w:pPr>
              <w:spacing w:after="0"/>
              <w:rPr>
                <w:sz w:val="17"/>
                <w:szCs w:val="17"/>
                <w:color w:val="auto"/>
              </w:rPr>
            </w:pPr>
          </w:p>
        </w:tc>
        <w:tc>
          <w:tcPr>
            <w:tcW w:w="1420" w:type="dxa"/>
            <w:vAlign w:val="bottom"/>
          </w:tcPr>
          <w:p>
            <w:pPr>
              <w:jc w:val="right"/>
              <w:spacing w:after="0" w:line="206" w:lineRule="exact"/>
              <w:rPr>
                <w:sz w:val="20"/>
                <w:szCs w:val="20"/>
                <w:color w:val="auto"/>
              </w:rPr>
            </w:pPr>
            <w:r>
              <w:rPr>
                <w:rFonts w:ascii="Arial" w:cs="Arial" w:eastAsia="Arial" w:hAnsi="Arial"/>
                <w:sz w:val="20"/>
                <w:szCs w:val="20"/>
                <w:color w:val="auto"/>
              </w:rPr>
              <w:t>7.2</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29" w:lineRule="exact"/>
              <w:rPr>
                <w:sz w:val="20"/>
                <w:szCs w:val="20"/>
                <w:color w:val="auto"/>
              </w:rPr>
            </w:pPr>
            <w:r>
              <w:rPr>
                <w:rFonts w:ascii="Arial" w:cs="Arial" w:eastAsia="Arial" w:hAnsi="Arial"/>
                <w:sz w:val="20"/>
                <w:szCs w:val="20"/>
                <w:color w:val="auto"/>
              </w:rPr>
              <w:t>Cement (per ton)</w:t>
            </w:r>
          </w:p>
        </w:tc>
        <w:tc>
          <w:tcPr>
            <w:tcW w:w="38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134.79</w:t>
            </w:r>
          </w:p>
        </w:tc>
        <w:tc>
          <w:tcPr>
            <w:tcW w:w="68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118.80</w:t>
            </w:r>
          </w:p>
        </w:tc>
        <w:tc>
          <w:tcPr>
            <w:tcW w:w="400" w:type="dxa"/>
            <w:vAlign w:val="bottom"/>
          </w:tcPr>
          <w:p>
            <w:pPr>
              <w:spacing w:after="0"/>
              <w:rPr>
                <w:sz w:val="19"/>
                <w:szCs w:val="19"/>
                <w:color w:val="auto"/>
              </w:rPr>
            </w:pPr>
          </w:p>
        </w:tc>
        <w:tc>
          <w:tcPr>
            <w:tcW w:w="16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13.5 %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29" w:lineRule="exact"/>
              <w:rPr>
                <w:sz w:val="20"/>
                <w:szCs w:val="20"/>
                <w:color w:val="auto"/>
              </w:rPr>
            </w:pPr>
            <w:r>
              <w:rPr>
                <w:rFonts w:ascii="Arial" w:cs="Arial" w:eastAsia="Arial" w:hAnsi="Arial"/>
                <w:sz w:val="20"/>
                <w:szCs w:val="20"/>
                <w:color w:val="auto"/>
              </w:rPr>
              <w:t>Ready Mixed Concrete (per cubic yard)</w:t>
            </w:r>
          </w:p>
        </w:tc>
        <w:tc>
          <w:tcPr>
            <w:tcW w:w="380" w:type="dxa"/>
            <w:vAlign w:val="bottom"/>
          </w:tcPr>
          <w:p>
            <w:pPr>
              <w:jc w:val="right"/>
              <w:ind w:right="161"/>
              <w:spacing w:after="0" w:line="229"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29" w:lineRule="exact"/>
              <w:rPr>
                <w:sz w:val="20"/>
                <w:szCs w:val="20"/>
                <w:color w:val="auto"/>
              </w:rPr>
            </w:pPr>
            <w:r>
              <w:rPr>
                <w:rFonts w:ascii="Arial" w:cs="Arial" w:eastAsia="Arial" w:hAnsi="Arial"/>
                <w:sz w:val="20"/>
                <w:szCs w:val="20"/>
                <w:color w:val="auto"/>
              </w:rPr>
              <w:t>122.34</w:t>
            </w:r>
          </w:p>
        </w:tc>
        <w:tc>
          <w:tcPr>
            <w:tcW w:w="680" w:type="dxa"/>
            <w:vAlign w:val="bottom"/>
            <w:gridSpan w:val="2"/>
          </w:tcPr>
          <w:p>
            <w:pPr>
              <w:jc w:val="right"/>
              <w:ind w:right="181"/>
              <w:spacing w:after="0" w:line="229"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29" w:lineRule="exact"/>
              <w:rPr>
                <w:sz w:val="20"/>
                <w:szCs w:val="20"/>
                <w:color w:val="auto"/>
              </w:rPr>
            </w:pPr>
            <w:r>
              <w:rPr>
                <w:rFonts w:ascii="Arial" w:cs="Arial" w:eastAsia="Arial" w:hAnsi="Arial"/>
                <w:sz w:val="20"/>
                <w:szCs w:val="20"/>
                <w:color w:val="auto"/>
              </w:rPr>
              <w:t>113.25</w:t>
            </w:r>
          </w:p>
        </w:tc>
        <w:tc>
          <w:tcPr>
            <w:tcW w:w="400" w:type="dxa"/>
            <w:vAlign w:val="bottom"/>
          </w:tcPr>
          <w:p>
            <w:pPr>
              <w:spacing w:after="0"/>
              <w:rPr>
                <w:sz w:val="19"/>
                <w:szCs w:val="19"/>
                <w:color w:val="auto"/>
              </w:rPr>
            </w:pPr>
          </w:p>
        </w:tc>
        <w:tc>
          <w:tcPr>
            <w:tcW w:w="1600" w:type="dxa"/>
            <w:vAlign w:val="bottom"/>
            <w:gridSpan w:val="2"/>
          </w:tcPr>
          <w:p>
            <w:pPr>
              <w:jc w:val="right"/>
              <w:spacing w:after="0" w:line="229" w:lineRule="exact"/>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20"/>
                <w:szCs w:val="20"/>
                <w:color w:val="auto"/>
              </w:rPr>
              <w:t>Asphalt (per ton)</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60.93</w:t>
            </w:r>
          </w:p>
        </w:tc>
        <w:tc>
          <w:tcPr>
            <w:tcW w:w="68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48.85</w:t>
            </w:r>
          </w:p>
        </w:tc>
        <w:tc>
          <w:tcPr>
            <w:tcW w:w="4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24.7 %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132955" cy="1454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955" cy="145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93"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Organic aggregates shipments to the infrastructure market increased 6%, primarily driven by increased highway projects across many of the Company’s key markets. The infrastructure market accounted for 34% of year-to-date organic aggregates shipments.</w:t>
      </w:r>
    </w:p>
    <w:p>
      <w:pPr>
        <w:spacing w:after="0" w:line="45"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Organic aggregates shipments to the nonresidential market were flat compared with strong prior-year activity. The nonresidential market represented 35% of year-to-date organic aggregates shipments.</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Organic aggregates shipments to the residential market increased 2%, reflecting strong demand in Texas that was muted by supply chain issues and labor shortages. The residential market accounted for 26% of year-to-date organic aggregates shipments.</w:t>
      </w:r>
    </w:p>
    <w:p>
      <w:pPr>
        <w:spacing w:after="0" w:line="4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ChemRock/Rail market accounted for the remaining 5% of year-to-date organic aggregates shipments. Volumes to this end use increased 4%, driven by increased agricultural lime shipments in Iowa that were partially offset by lower ballast shipments to Class I railroads.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Page 42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93" w:lineRule="exact"/>
        <w:rPr>
          <w:sz w:val="20"/>
          <w:szCs w:val="20"/>
          <w:color w:val="auto"/>
        </w:rPr>
      </w:pPr>
    </w:p>
    <w:p>
      <w:pPr>
        <w:jc w:val="both"/>
        <w:spacing w:after="0"/>
        <w:rPr>
          <w:sz w:val="20"/>
          <w:szCs w:val="20"/>
          <w:color w:val="auto"/>
        </w:rPr>
      </w:pPr>
      <w:r>
        <w:rPr>
          <w:rFonts w:ascii="Arial" w:cs="Arial" w:eastAsia="Arial" w:hAnsi="Arial"/>
          <w:sz w:val="19"/>
          <w:szCs w:val="19"/>
          <w:color w:val="auto"/>
        </w:rPr>
        <w:t>Year-to-date organic aggregates shipments increased 2.4%, reflecting healthy underlying public and private product demand partially constrained by supply chain and logistics-related bottlenecks, while organic pricing increased 7.7%, or 6.5% on a mix-adjusted basis. Inclusive of acquired operations, aggregates shipments grew 11.0% compared with the comparable prior-year period and pricing increased 7.2%. Overall, East Group total shipments remained relatively flat, reflecting unfavorable weather and timing of jobs in current year versus the prior-year period, while pricing increased 6.6%. West Group total shipments increased 31.2%, driven by robust underlying demand in Texas and Colorado and shipments from acquired operations. West Group pricing, inclusive of acquisitions, increased 10.4%, while organic West Group pricing increased 10.3%, or 7.1% on a mix-adjusted basis, reflecting periodic pricing increases, a higher percentage of shipments from higher-priced distribution yards and higher selling prices at acquired operations. Aggregates product gross margin decreased 370 basis points to 25.0%, as year-over-year price increase impacts were more than offset by higher costs for energy, fuel, supplies, repairs and contract services.</w:t>
      </w:r>
    </w:p>
    <w:p>
      <w:pPr>
        <w:spacing w:after="0" w:line="7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Texas cement shipments increased 14.9%, supported by robust product demand, tight supply and favorable weather. Cement pricing improved 13.5%, or 11.7% on a mix-adjusted basis, benefitting from price increases. Product gross margin expanded 420 basis points to 26.9% compared with the prior-year comparable period, which was negatively impacted by incremental costs and inefficiencies from the Texas Deep Freeze.</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Organic ready mixed concrete shipments increased 1.4%. Organic pricing grew 13.0% in the first half of 2022 compared with the first half of 2021. Consolidated ready mixed concrete shipments decreased 4.9% and pricing increased 8.0%. Product gross margin declined 80 basis points to 6.9%, driven primarily by higher raw material and diesel costs which more than offset price increases.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Organic asphalt shipments remained flat. Organic asphalt pricing increased 16.3%. Including contributions from the acquired West Coast operations, total asphalt shipments and pricing increased 67.4% and 24.7%, respectively. Product and services gross margin declined 900 basis points to 4.9%, driven by a later start to the construction season in Minnesota and higher liquid asphalt costs in Colorado.</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9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Magnesia Specialties product revenues increased 7.5% to $145.4 million for the six months ended June 30, 2022, driven by robust global demand for magnesia-based chemical products. Product gross profit was $52.6 million compared with $56.3 million. Product gross margin decreased 550 basis points to 36.2%, as higher costs for energy, supplies and raw materials more than offset revenue growth.</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Consolidated SG&amp;A for six months ended June 30 was 7.0% of total revenues in 2022 compared with 6.9% in the prior-year period. Earnings from operations for the six months ended June 30 were $538.4 million in 2022 compared with $406.8 million in 2021, with the increase driven by the $151.7 million gain on the divestiture of the Colorado and Central Texas ready-mixed concrete operations and year-over-year price increases, partially offset by higher costs for energy, fuel, supplies, freight and personnel.</w:t>
      </w:r>
    </w:p>
    <w:p>
      <w:pPr>
        <w:spacing w:after="0" w:line="6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six months ended June 30, consolidated other operating income, net, was income of $162.6 million in 2022 and $19.8 million in 2021. The increase in other operating income, net, was primarily attributable to the $151.7 million gain on the divestiture of the Colorado and Central Texas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ready-mixed concrete operations. Other operating income, net, for the six months ended June 30, 2021 included a $12.3 million gain on the sale of the Company’s former corporate headquarters.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Other nonoperating income, net, includes interest income; pension and postretirement benefit cost excluding service cost; foreign currency transaction gains and losses; equity earnings or losses from nonconsolidated affiliates and other miscellaneous income and expenses. For the six months ended June 30, other nonoperating income, net, was $32.9 million and $18.2 million in 2022 and 2021, respectively. The 2022 amount included an $11.6 million pretax gain related to repurchases of the Company’s debt.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the six months ended June 30, 2022 and 2021, the effective income tax rates for continuing operations were 22.6% and 21.2%, respectively. The higher 2022 effective income tax rate versus 2021 was driven by the impact of the divestiture of the Colorado and Central Texas ready mixed concrete businesses.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Cash provided by operating activities for the six months ended June 30, 2022 and 2021 was $286.2 million and $441.2 million, respectively. Operating cash flow is primarily derived from consolidated net earnings before deducting depreciation, depletion and amortization, and the impact of changes in working capital. Depreciation, depletion and amortization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20" w:type="dxa"/>
            <w:vAlign w:val="bottom"/>
            <w:gridSpan w:val="3"/>
          </w:tcPr>
          <w:p>
            <w:pPr>
              <w:jc w:val="right"/>
              <w:ind w:right="321"/>
              <w:spacing w:after="0"/>
              <w:rPr>
                <w:sz w:val="20"/>
                <w:szCs w:val="20"/>
                <w:color w:val="auto"/>
              </w:rPr>
            </w:pPr>
            <w:r>
              <w:rPr>
                <w:rFonts w:ascii="Arial" w:cs="Arial" w:eastAsia="Arial" w:hAnsi="Arial"/>
                <w:sz w:val="20"/>
                <w:szCs w:val="20"/>
                <w:color w:val="auto"/>
                <w:w w:val="91"/>
              </w:rPr>
              <w:t>Six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77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20"/>
                <w:szCs w:val="20"/>
                <w:color w:val="auto"/>
              </w:rPr>
              <w:t>June 30,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770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0"/>
                <w:szCs w:val="20"/>
                <w:color w:val="auto"/>
              </w:rPr>
              <w:t>2022</w:t>
            </w:r>
          </w:p>
        </w:tc>
        <w:tc>
          <w:tcPr>
            <w:tcW w:w="540" w:type="dxa"/>
            <w:vAlign w:val="bottom"/>
          </w:tcPr>
          <w:p>
            <w:pPr>
              <w:spacing w:after="0"/>
              <w:rPr>
                <w:sz w:val="19"/>
                <w:szCs w:val="19"/>
                <w:color w:val="auto"/>
              </w:rPr>
            </w:pPr>
          </w:p>
        </w:tc>
        <w:tc>
          <w:tcPr>
            <w:tcW w:w="138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2021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7700" w:type="dxa"/>
            <w:vAlign w:val="bottom"/>
          </w:tcPr>
          <w:p>
            <w:pPr>
              <w:spacing w:after="0"/>
              <w:rPr>
                <w:sz w:val="19"/>
                <w:szCs w:val="19"/>
                <w:color w:val="auto"/>
              </w:rPr>
            </w:pPr>
          </w:p>
        </w:tc>
        <w:tc>
          <w:tcPr>
            <w:tcW w:w="1500" w:type="dxa"/>
            <w:vAlign w:val="bottom"/>
            <w:tcBorders>
              <w:top w:val="single" w:sz="8" w:color="auto"/>
            </w:tcBorders>
            <w:gridSpan w:val="2"/>
          </w:tcPr>
          <w:p>
            <w:pPr>
              <w:jc w:val="right"/>
              <w:spacing w:after="0" w:line="223" w:lineRule="exact"/>
              <w:rPr>
                <w:sz w:val="20"/>
                <w:szCs w:val="20"/>
                <w:color w:val="auto"/>
              </w:rPr>
            </w:pPr>
            <w:r>
              <w:rPr>
                <w:rFonts w:ascii="Arial" w:cs="Arial" w:eastAsia="Arial" w:hAnsi="Arial"/>
                <w:sz w:val="20"/>
                <w:szCs w:val="20"/>
                <w:i w:val="1"/>
                <w:iCs w:val="1"/>
                <w:color w:val="auto"/>
              </w:rPr>
              <w:t>(Dollars</w:t>
            </w:r>
          </w:p>
        </w:tc>
        <w:tc>
          <w:tcPr>
            <w:tcW w:w="280" w:type="dxa"/>
            <w:vAlign w:val="bottom"/>
          </w:tcPr>
          <w:p>
            <w:pPr>
              <w:ind w:left="120"/>
              <w:spacing w:after="0" w:line="223" w:lineRule="exact"/>
              <w:rPr>
                <w:sz w:val="20"/>
                <w:szCs w:val="20"/>
                <w:color w:val="auto"/>
              </w:rPr>
            </w:pPr>
            <w:r>
              <w:rPr>
                <w:rFonts w:ascii="Arial" w:cs="Arial" w:eastAsia="Arial" w:hAnsi="Arial"/>
                <w:sz w:val="20"/>
                <w:szCs w:val="20"/>
                <w:i w:val="1"/>
                <w:iCs w:val="1"/>
                <w:color w:val="auto"/>
                <w:w w:val="89"/>
              </w:rPr>
              <w:t>in</w:t>
            </w:r>
          </w:p>
        </w:tc>
        <w:tc>
          <w:tcPr>
            <w:tcW w:w="1100" w:type="dxa"/>
            <w:vAlign w:val="bottom"/>
            <w:tcBorders>
              <w:top w:val="single" w:sz="8" w:color="auto"/>
            </w:tcBorders>
          </w:tcPr>
          <w:p>
            <w:pPr>
              <w:jc w:val="right"/>
              <w:ind w:right="241"/>
              <w:spacing w:after="0" w:line="223" w:lineRule="exact"/>
              <w:rPr>
                <w:sz w:val="20"/>
                <w:szCs w:val="20"/>
                <w:color w:val="auto"/>
              </w:rPr>
            </w:pPr>
            <w:r>
              <w:rPr>
                <w:rFonts w:ascii="Arial" w:cs="Arial" w:eastAsia="Arial" w:hAnsi="Arial"/>
                <w:sz w:val="20"/>
                <w:szCs w:val="20"/>
                <w:i w:val="1"/>
                <w:iCs w:val="1"/>
                <w:color w:val="auto"/>
              </w:rPr>
              <w:t>Millions)</w:t>
            </w: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Depreciation</w:t>
            </w:r>
          </w:p>
        </w:tc>
        <w:tc>
          <w:tcPr>
            <w:tcW w:w="960" w:type="dxa"/>
            <w:vAlign w:val="bottom"/>
            <w:shd w:val="clear" w:color="auto" w:fill="CFF0FC"/>
          </w:tcPr>
          <w:p>
            <w:pPr>
              <w:jc w:val="right"/>
              <w:ind w:right="741"/>
              <w:spacing w:after="0" w:line="229" w:lineRule="exact"/>
              <w:rPr>
                <w:sz w:val="20"/>
                <w:szCs w:val="20"/>
                <w:color w:val="auto"/>
              </w:rPr>
            </w:pPr>
            <w:r>
              <w:rPr>
                <w:rFonts w:ascii="Arial" w:cs="Arial" w:eastAsia="Arial" w:hAnsi="Arial"/>
                <w:sz w:val="20"/>
                <w:szCs w:val="20"/>
                <w:color w:val="auto"/>
                <w:w w:val="89"/>
              </w:rPr>
              <w:t>$</w:t>
            </w:r>
          </w:p>
        </w:tc>
        <w:tc>
          <w:tcPr>
            <w:tcW w:w="54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w w:val="99"/>
              </w:rPr>
              <w:t>199.0</w:t>
            </w:r>
          </w:p>
        </w:tc>
        <w:tc>
          <w:tcPr>
            <w:tcW w:w="1380" w:type="dxa"/>
            <w:vAlign w:val="bottom"/>
            <w:gridSpan w:val="2"/>
            <w:shd w:val="clear" w:color="auto" w:fill="CFF0FC"/>
          </w:tcPr>
          <w:p>
            <w:pPr>
              <w:jc w:val="right"/>
              <w:ind w:right="901"/>
              <w:spacing w:after="0" w:line="229" w:lineRule="exact"/>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172.4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line="229" w:lineRule="exact"/>
              <w:rPr>
                <w:sz w:val="20"/>
                <w:szCs w:val="20"/>
                <w:color w:val="auto"/>
              </w:rPr>
            </w:pPr>
            <w:r>
              <w:rPr>
                <w:rFonts w:ascii="Arial" w:cs="Arial" w:eastAsia="Arial" w:hAnsi="Arial"/>
                <w:sz w:val="20"/>
                <w:szCs w:val="20"/>
                <w:color w:val="auto"/>
              </w:rPr>
              <w:t>Depletion</w:t>
            </w:r>
          </w:p>
        </w:tc>
        <w:tc>
          <w:tcPr>
            <w:tcW w:w="960" w:type="dxa"/>
            <w:vAlign w:val="bottom"/>
          </w:tcPr>
          <w:p>
            <w:pPr>
              <w:spacing w:after="0"/>
              <w:rPr>
                <w:sz w:val="19"/>
                <w:szCs w:val="19"/>
                <w:color w:val="auto"/>
              </w:rPr>
            </w:pPr>
          </w:p>
        </w:tc>
        <w:tc>
          <w:tcPr>
            <w:tcW w:w="540" w:type="dxa"/>
            <w:vAlign w:val="bottom"/>
          </w:tcPr>
          <w:p>
            <w:pPr>
              <w:jc w:val="right"/>
              <w:spacing w:after="0" w:line="229" w:lineRule="exact"/>
              <w:rPr>
                <w:sz w:val="20"/>
                <w:szCs w:val="20"/>
                <w:color w:val="auto"/>
              </w:rPr>
            </w:pPr>
            <w:r>
              <w:rPr>
                <w:rFonts w:ascii="Arial" w:cs="Arial" w:eastAsia="Arial" w:hAnsi="Arial"/>
                <w:sz w:val="20"/>
                <w:szCs w:val="20"/>
                <w:color w:val="auto"/>
              </w:rPr>
              <w:t>28.6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line="229" w:lineRule="exact"/>
              <w:rPr>
                <w:sz w:val="20"/>
                <w:szCs w:val="20"/>
                <w:color w:val="auto"/>
              </w:rPr>
            </w:pPr>
            <w:r>
              <w:rPr>
                <w:rFonts w:ascii="Arial" w:cs="Arial" w:eastAsia="Arial" w:hAnsi="Arial"/>
                <w:sz w:val="20"/>
                <w:szCs w:val="20"/>
                <w:color w:val="auto"/>
              </w:rPr>
              <w:t>17.5</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20"/>
                <w:szCs w:val="20"/>
                <w:color w:val="auto"/>
              </w:rPr>
              <w:t>Amortization</w:t>
            </w: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29.0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line="229" w:lineRule="exact"/>
              <w:rPr>
                <w:sz w:val="20"/>
                <w:szCs w:val="20"/>
                <w:color w:val="auto"/>
              </w:rPr>
            </w:pPr>
            <w:r>
              <w:rPr>
                <w:rFonts w:ascii="Arial" w:cs="Arial" w:eastAsia="Arial" w:hAnsi="Arial"/>
                <w:sz w:val="20"/>
                <w:szCs w:val="20"/>
                <w:color w:val="auto"/>
              </w:rPr>
              <w:t>16.6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700" w:type="dxa"/>
            <w:vAlign w:val="bottom"/>
          </w:tcPr>
          <w:p>
            <w:pPr>
              <w:ind w:left="20"/>
              <w:spacing w:after="0" w:line="223" w:lineRule="exact"/>
              <w:rPr>
                <w:sz w:val="20"/>
                <w:szCs w:val="20"/>
                <w:color w:val="auto"/>
              </w:rPr>
            </w:pPr>
            <w:r>
              <w:rPr>
                <w:rFonts w:ascii="Arial" w:cs="Arial" w:eastAsia="Arial" w:hAnsi="Arial"/>
                <w:sz w:val="20"/>
                <w:szCs w:val="20"/>
                <w:color w:val="auto"/>
              </w:rPr>
              <w:t>Total</w:t>
            </w:r>
          </w:p>
        </w:tc>
        <w:tc>
          <w:tcPr>
            <w:tcW w:w="960" w:type="dxa"/>
            <w:vAlign w:val="bottom"/>
          </w:tcPr>
          <w:p>
            <w:pPr>
              <w:jc w:val="right"/>
              <w:ind w:right="741"/>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line="223" w:lineRule="exact"/>
              <w:rPr>
                <w:sz w:val="20"/>
                <w:szCs w:val="20"/>
                <w:color w:val="auto"/>
              </w:rPr>
            </w:pPr>
            <w:r>
              <w:rPr>
                <w:rFonts w:ascii="Arial" w:cs="Arial" w:eastAsia="Arial" w:hAnsi="Arial"/>
                <w:sz w:val="20"/>
                <w:szCs w:val="20"/>
                <w:color w:val="auto"/>
                <w:w w:val="99"/>
              </w:rPr>
              <w:t>256.6</w:t>
            </w:r>
          </w:p>
        </w:tc>
        <w:tc>
          <w:tcPr>
            <w:tcW w:w="1380" w:type="dxa"/>
            <w:vAlign w:val="bottom"/>
            <w:gridSpan w:val="2"/>
          </w:tcPr>
          <w:p>
            <w:pPr>
              <w:jc w:val="right"/>
              <w:ind w:right="901"/>
              <w:spacing w:after="0" w:line="223" w:lineRule="exact"/>
              <w:rPr>
                <w:sz w:val="20"/>
                <w:szCs w:val="20"/>
                <w:color w:val="auto"/>
              </w:rPr>
            </w:pPr>
            <w:r>
              <w:rPr>
                <w:rFonts w:ascii="Arial" w:cs="Arial" w:eastAsia="Arial" w:hAnsi="Arial"/>
                <w:sz w:val="20"/>
                <w:szCs w:val="20"/>
                <w:color w:val="auto"/>
              </w:rPr>
              <w:t>$</w:t>
            </w:r>
          </w:p>
        </w:tc>
        <w:tc>
          <w:tcPr>
            <w:tcW w:w="560" w:type="dxa"/>
            <w:vAlign w:val="bottom"/>
          </w:tcPr>
          <w:p>
            <w:pPr>
              <w:jc w:val="right"/>
              <w:spacing w:after="0" w:line="223" w:lineRule="exact"/>
              <w:rPr>
                <w:sz w:val="20"/>
                <w:szCs w:val="20"/>
                <w:color w:val="auto"/>
              </w:rPr>
            </w:pPr>
            <w:r>
              <w:rPr>
                <w:rFonts w:ascii="Arial" w:cs="Arial" w:eastAsia="Arial" w:hAnsi="Arial"/>
                <w:sz w:val="20"/>
                <w:szCs w:val="20"/>
                <w:color w:val="auto"/>
              </w:rPr>
              <w:t>206.5</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-175895</wp:posOffset>
            </wp:positionV>
            <wp:extent cx="685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-175895</wp:posOffset>
            </wp:positionV>
            <wp:extent cx="6858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seasonal nature of construction activity impacts the Company’s interim operating cash flow when compared with the full year. Full-year 2021 net cash provided by operating activities was $1.14 billion.</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the six months ended June 30, 2022 and 2021, the Company paid $220.7 million and $213.0 million, respectively, for capital investments.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130,551 shares of common stock during the first six months of 2022 at an aggregate cost of $50.0 million. At June 30, 2022, 13,390,401 shares of common stock can be purchased under the Company’s repurchase authorization.</w:t>
      </w:r>
    </w:p>
    <w:p>
      <w:pPr>
        <w:spacing w:after="0" w:line="6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During the six months ended June 30, 2022, the Company repurchased $60.5 million (par value) of its Senior Notes, resulting in a pretax gain of $11.6 million.</w:t>
      </w:r>
    </w:p>
    <w:p>
      <w:pPr>
        <w:spacing w:after="0" w:line="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that matures on September 21, 2022. The Trade Receivable Facility contains a cross-default provision to the Company’s other debt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has an $800 million five-year senior unsecured revolving facility (the Revolving Facility), which expires in December 2026. The Revolving Facility requires the Company’s ratio of consolidated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4.00 times. Additionally, if there are no amounts outstanding under the Revolving Facility and the Trade Receivable Facility, consolidated debt, including debt for which the Company is a co-borrower, may be reduced in an amount equal to the lesser of $500.0 million or the sum of the Company’s unrestricted cash and temporary investments, for purposes of the covenant calculation. The Company was in compliance with the Ratio at June 30, 2022.</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the event of a default on the Ratio, the lenders can terminate the Revolving Facility and Trade Receivable Facility and declare any outstanding balances as immediately due. There were no amounts outstanding under the Trade Receivable Facility or the Revolving Facility as of June 30, 2022.</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At June 30, 2022, the Company had $1,197.4 million of unused borrowing capacity under its Revolving Facility and Trade Receivable Facility, subject to complying with the related leverage covenant. Historically, the Company has successfully extended the maturity dates of these credit facilities. Further, as of June 30, 2022, the Company does not have any publicly-traded debt that matures prior to 2023.</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Coronavirus Aid, Relief and Economic Security Act (CARES Act) was signed into law in March 2020 and provided liquidity support for businesses. Through the CARES Act, the Company deferred payment of $27.6 million, representing the 6.2% employer share of Social Security taxes for the period from March 27, 2020 through December 31, 2020. Half of the deferred obligation was repaid in 2021 and the remaining half is due December 31, 2022. There will be no interest assessed on amounts deferred.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 outlined the risks associated with its business in its Annual Report on Form 10-K for the year ended December 31, 2021.</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continues to evaluate its exposure to all operating risks on an ongoing basis.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w:t>
      </w:r>
    </w:p>
    <w:p>
      <w:pPr>
        <w:jc w:val="center"/>
        <w:spacing w:after="0"/>
        <w:rPr>
          <w:sz w:val="20"/>
          <w:szCs w:val="20"/>
          <w:color w:val="auto"/>
        </w:rPr>
      </w:pPr>
      <w:r>
        <w:rPr>
          <w:rFonts w:ascii="Arial" w:cs="Arial" w:eastAsia="Arial" w:hAnsi="Arial"/>
          <w:sz w:val="20"/>
          <w:szCs w:val="20"/>
          <w:color w:val="auto"/>
        </w:rPr>
        <w:t>Page 45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Any or all of management’s forward-looking statements here and in other publications may turn out to be wrong.</w:t>
      </w:r>
    </w:p>
    <w:p>
      <w:pPr>
        <w:spacing w:after="0" w:line="7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release (including the outlook) include, but are not limited to: the ability of the Company to face challenges, including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California, North Carolina, Georgia, Minnesota, Iowa, Florida, Indiana and Maryland;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energy-related construction activity resulting from suspension of the gas tax or a sustained period of low global oil prices or changes in oil production patterns or capital spending, particularly in Texas and West Virginia; increasing residential mortgage interest rates and other factors that could result in a slowdown in residential construction; unfavorable weather conditions, particularly Atlantic Ocean and Gulf of Mexico hurricane activity, wildfires,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particularly diesel fuel, notably related to the current conflict between Russia and Ukraine,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the resiliency and potential declines of the Company’s various construction end-use markets; the potential negative duration, severity and impact of a resurgence of the COVID-19 pandemic on the Company’s ability to continue supplying heavy-side building materials and related services at normal levels or at all in the Company’s key regions, including the markets in which it does business, its suppliers, customers or other business partners as well as on its employees; the economic impact of government responses to a resurgence of COVID-19; the performance of the United States economy; the impact of governmental orders restricting activities imposed to prevent further outbreak of COVID-19 on travel, potentially reducing state fuel tax revenues used to fund highway projects; a decline in the commercial component of the nonresidential construction market, notably office and retail space, including a decline resulting from economic distress related to the COVID-19 pandemic;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including acquisitions or divestitures,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6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2021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the Quarter June 30, 2022</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19"/>
        <w:spacing w:after="0" w:line="226" w:lineRule="auto"/>
        <w:rPr>
          <w:sz w:val="20"/>
          <w:szCs w:val="20"/>
          <w:color w:val="auto"/>
        </w:rPr>
      </w:pPr>
      <w:r>
        <w:rPr>
          <w:rFonts w:ascii="Arial" w:cs="Arial" w:eastAsia="Arial" w:hAnsi="Arial"/>
          <w:sz w:val="20"/>
          <w:szCs w:val="20"/>
          <w:color w:val="auto"/>
        </w:rPr>
        <w:t>RESULTS OF OPERATIONS</w:t>
      </w:r>
    </w:p>
    <w:p>
      <w:pPr>
        <w:jc w:val="center"/>
        <w:ind w:right="-5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2021, by writing to:</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ind w:left="260"/>
        <w:spacing w:after="0" w:line="226" w:lineRule="auto"/>
        <w:rPr>
          <w:sz w:val="20"/>
          <w:szCs w:val="20"/>
          <w:color w:val="auto"/>
        </w:rPr>
      </w:pPr>
      <w:r>
        <w:rPr>
          <w:rFonts w:ascii="Arial" w:cs="Arial" w:eastAsia="Arial" w:hAnsi="Arial"/>
          <w:sz w:val="20"/>
          <w:szCs w:val="20"/>
          <w:color w:val="auto"/>
        </w:rPr>
        <w:t>Attn: Corporate Secretary</w:t>
      </w:r>
    </w:p>
    <w:p>
      <w:pPr>
        <w:ind w:left="260"/>
        <w:spacing w:after="0" w:line="225" w:lineRule="auto"/>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510-4736</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creates a part of, this report.</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Page 48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June 30, 2022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9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Company’s operations are highly dependent upon the interest rate-sensitive construction and steelmaking industries. Demand in the residential and nonresidential construction market, which combined accounted for 61% of aggregates shipments for the six months ended June 30, 2022, is affected by interest rates. Since December 31, 2021, the Federal Reserve raised the target federal funds rate 150 basis points, and more increases are expected in the second half of the year. Consequently, these marketplaces could experience lower levels of economic activity in an environment of rising interest rates or escalating costs if companies and consumers are unable to obtain financing for construction projects or if consumer confidence is eroded by economic uncertainty.</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Demand for aggregates products, particularly in the infrastructure construction market, is affected by federal, state and local budget and deficit issues.</w:t>
      </w:r>
    </w:p>
    <w:p>
      <w:pPr>
        <w:spacing w:after="0" w:line="69"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and changes in enacted tax laws.</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June 30, 2022, the Company had an $800.0 million Revolving Facility and a $400.0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There were no borrowings outstanding on either facility at June 30, 2022. However, any future borrowings under the credit facilities or outstanding variable-rate debt are exposed to interest rate risk.</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2021. The Company remeasured its qualified pension plan as of February 28, 2022, to reflect an amendment that increased the pension benefit for qualifying hourly employees. The discount rate at the remeasurement date was approximately 50 basis points higher compared with the discount rate as of December 31, 2021. As of June 30, 2022, discount rates have increased approximately 20 additional basis points since the remeasurement. Unless another event requires an interim remeasurement, the Company will next remeasure its pension obligation and funded status as of December 31, 2022. Changes in the discount rate and pension asset values will impact 2023 pension expense.</w:t>
      </w:r>
    </w:p>
    <w:p>
      <w:pPr>
        <w:spacing w:after="0" w:line="60"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i w:val="1"/>
          <w:iCs w:val="1"/>
          <w:color w:val="auto"/>
        </w:rPr>
        <w:t xml:space="preserve">Income Tax. </w:t>
      </w:r>
      <w:r>
        <w:rPr>
          <w:rFonts w:ascii="Arial" w:cs="Arial" w:eastAsia="Arial" w:hAnsi="Arial"/>
          <w:sz w:val="18"/>
          <w:szCs w:val="18"/>
          <w:color w:val="auto"/>
        </w:rPr>
        <w:t>Any changes in enacted tax laws, rules or regulatory or judicial interpretations; or any change in the pronouncements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could materially impact our effective tax rate, tax payments, financial condition and results of operations.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Energy Costs</w:t>
      </w:r>
      <w:r>
        <w:rPr>
          <w:rFonts w:ascii="Arial" w:cs="Arial" w:eastAsia="Arial" w:hAnsi="Arial"/>
          <w:sz w:val="19"/>
          <w:szCs w:val="19"/>
          <w:color w:val="auto"/>
        </w:rPr>
        <w:t>. Energy costs, including diesel fuel, natural gas, electricity, coal and liquid asphalt, represent significant production costs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The Magnesia Specialties business has fixed price agreements covering a majority of its 2022 energy requirements. On a consolidated basis, organic energy expense for the six months ended June 30, 2022 increased approximately 59% compared with the prior-year period, related to higher prices for diesel, natural gas, electricity and gasoline in 2022. Specifically, the ongoing conflict between Russia and Ukraine has exacerbated already increased diesel prices; however, any future energy prices cannot be reliably predicted. A hypothetical price change of 59% would change consolidated organic full-year 2022 energy expense by $179.3 million as compared with 2021, assuming constant volumes. Further, the full-year 2022 impact on profitability and margins would be greater when considering the energy consumed by operations acquired 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jc w:val="center"/>
        <w:spacing w:after="0" w:line="225" w:lineRule="auto"/>
        <w:rPr>
          <w:sz w:val="20"/>
          <w:szCs w:val="20"/>
          <w:color w:val="auto"/>
        </w:rPr>
      </w:pPr>
      <w:r>
        <w:rPr>
          <w:rFonts w:ascii="Arial" w:cs="Arial" w:eastAsia="Arial" w:hAnsi="Arial"/>
          <w:sz w:val="20"/>
          <w:szCs w:val="20"/>
          <w:color w:val="auto"/>
        </w:rPr>
        <w:t>For the Quarter Ended 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2021 cement product revenues of $494.5 million, a hypothetical 10% change in sales price would impact full-year cement product revenues by $49.5 million.</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2022 compared with 2021, assuming constant volumes, would change the ready mixed concrete product line cost of revenues by $32.3 million. While increases in cement pricing may negatively impact the profitability of the ready mixed concrete operations, the cement business would benefit, although the positive impact may not reflect a direct correlation to the impact on the ready mixed concrete business.</w:t>
      </w:r>
    </w:p>
    <w:p>
      <w:pPr>
        <w:spacing w:after="0" w:line="5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consumes other raw material and supply commodities in its operations, the costs of which have been negatively impacted by high inflation. The Company periodically implements price increases due to rising costs. However, there is a lag between announced price increases and the time when they are fully realized.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9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As of June 30, 2022, an evaluation was performed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2022. During the quarter, the information systems of the Pacific Region operations acquired from Lehigh Hanson in October 2021 were integrated into the Company’s current point of sale and general ledger systems. As of June 30, 2022, the Company’s internal control over financial reporting was deemed effective inclusive of these system integrations.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jc w:val="center"/>
        <w:spacing w:after="0" w:line="225" w:lineRule="auto"/>
        <w:rPr>
          <w:sz w:val="20"/>
          <w:szCs w:val="20"/>
          <w:color w:val="auto"/>
        </w:rPr>
      </w:pPr>
      <w:r>
        <w:rPr>
          <w:rFonts w:ascii="Arial" w:cs="Arial" w:eastAsia="Arial" w:hAnsi="Arial"/>
          <w:sz w:val="20"/>
          <w:szCs w:val="20"/>
          <w:color w:val="auto"/>
        </w:rPr>
        <w:t>For the Quarter 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9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21">
        <w:r>
          <w:rPr>
            <w:rFonts w:ascii="Arial" w:cs="Arial" w:eastAsia="Arial" w:hAnsi="Arial"/>
            <w:sz w:val="20"/>
            <w:szCs w:val="20"/>
            <w:i w:val="1"/>
            <w:iCs w:val="1"/>
            <w:u w:val="single" w:color="auto"/>
            <w:color w:val="0000FF"/>
          </w:rPr>
          <w:t>Note 10 Commitments and Contingencies, Legal and Administrative Proceedings</w:t>
        </w:r>
      </w:hyperlink>
      <w:r>
        <w:rPr>
          <w:rFonts w:ascii="Arial" w:cs="Arial" w:eastAsia="Arial" w:hAnsi="Arial"/>
          <w:sz w:val="20"/>
          <w:szCs w:val="20"/>
          <w:i w:val="1"/>
          <w:iCs w:val="1"/>
          <w:color w:val="auto"/>
        </w:rPr>
        <w:t>,</w:t>
      </w:r>
      <w:r>
        <w:rPr>
          <w:rFonts w:ascii="Arial" w:cs="Arial" w:eastAsia="Arial" w:hAnsi="Arial"/>
          <w:sz w:val="20"/>
          <w:szCs w:val="20"/>
          <w:color w:val="auto"/>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-15240</wp:posOffset>
            </wp:positionV>
            <wp:extent cx="4072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left="150"/>
              <w:spacing w:after="0"/>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c>
          <w:tcPr>
            <w:tcW w:w="100" w:type="dxa"/>
            <w:vAlign w:val="bottom"/>
          </w:tcPr>
          <w:p>
            <w:pPr>
              <w:spacing w:after="0"/>
              <w:rPr>
                <w:sz w:val="17"/>
                <w:szCs w:val="17"/>
                <w:color w:val="auto"/>
              </w:rPr>
            </w:pPr>
          </w:p>
        </w:tc>
      </w:tr>
      <w:tr>
        <w:trPr>
          <w:trHeight w:val="202"/>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6"/>
              </w:rPr>
              <w:t>Purchased as Part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89"/>
              </w:rPr>
              <w:t>Shares that May Yet</w:t>
            </w:r>
          </w:p>
        </w:tc>
        <w:tc>
          <w:tcPr>
            <w:tcW w:w="100" w:type="dxa"/>
            <w:vAlign w:val="bottom"/>
          </w:tcPr>
          <w:p>
            <w:pPr>
              <w:spacing w:after="0"/>
              <w:rPr>
                <w:sz w:val="17"/>
                <w:szCs w:val="17"/>
                <w:color w:val="auto"/>
              </w:rPr>
            </w:pPr>
          </w:p>
        </w:tc>
      </w:tr>
      <w:tr>
        <w:trPr>
          <w:trHeight w:val="202"/>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2"/>
              </w:rPr>
              <w:t>Total Number 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Average Price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88"/>
              </w:rPr>
              <w:t>be Purchased Under</w:t>
            </w:r>
          </w:p>
        </w:tc>
        <w:tc>
          <w:tcPr>
            <w:tcW w:w="100" w:type="dxa"/>
            <w:vAlign w:val="bottom"/>
          </w:tcPr>
          <w:p>
            <w:pPr>
              <w:spacing w:after="0"/>
              <w:rPr>
                <w:sz w:val="17"/>
                <w:szCs w:val="17"/>
                <w:color w:val="auto"/>
              </w:rPr>
            </w:pPr>
          </w:p>
        </w:tc>
      </w:tr>
      <w:tr>
        <w:trPr>
          <w:trHeight w:val="216"/>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5"/>
              </w:rPr>
              <w:t>Shares Purchased</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Paid per Share</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Plans or Programs</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the Plans or Programs</w:t>
            </w:r>
          </w:p>
        </w:tc>
        <w:tc>
          <w:tcPr>
            <w:tcW w:w="100" w:type="dxa"/>
            <w:vAlign w:val="bottom"/>
          </w:tcPr>
          <w:p>
            <w:pPr>
              <w:spacing w:after="0"/>
              <w:rPr>
                <w:sz w:val="18"/>
                <w:szCs w:val="18"/>
                <w:color w:val="auto"/>
              </w:rPr>
            </w:pPr>
          </w:p>
        </w:tc>
      </w:tr>
      <w:tr>
        <w:trPr>
          <w:trHeight w:val="195"/>
        </w:trPr>
        <w:tc>
          <w:tcPr>
            <w:tcW w:w="31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April 1, 2022 - April 30, 2022</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10"/>
              <w:spacing w:after="0" w:line="195"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ind w:left="40"/>
              <w:spacing w:after="0" w:line="195"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13,390,401</w:t>
            </w:r>
          </w:p>
        </w:tc>
        <w:tc>
          <w:tcPr>
            <w:tcW w:w="100" w:type="dxa"/>
            <w:vAlign w:val="bottom"/>
            <w:shd w:val="clear" w:color="auto" w:fill="CFF0FC"/>
          </w:tcPr>
          <w:p>
            <w:pPr>
              <w:spacing w:after="0"/>
              <w:rPr>
                <w:sz w:val="17"/>
                <w:szCs w:val="17"/>
                <w:color w:val="auto"/>
              </w:rPr>
            </w:pPr>
          </w:p>
        </w:tc>
      </w:tr>
      <w:tr>
        <w:trPr>
          <w:trHeight w:val="202"/>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May 1, 2022 - May 31, 2022</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24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202" w:lineRule="exact"/>
              <w:rPr>
                <w:sz w:val="20"/>
                <w:szCs w:val="20"/>
                <w:color w:val="auto"/>
              </w:rPr>
            </w:pPr>
            <w:r>
              <w:rPr>
                <w:rFonts w:ascii="Arial" w:cs="Arial" w:eastAsia="Arial" w:hAnsi="Arial"/>
                <w:sz w:val="18"/>
                <w:szCs w:val="18"/>
                <w:color w:val="auto"/>
                <w:w w:val="88"/>
              </w:rPr>
              <w:t>—</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13,390,401</w:t>
            </w:r>
          </w:p>
        </w:tc>
        <w:tc>
          <w:tcPr>
            <w:tcW w:w="100" w:type="dxa"/>
            <w:vAlign w:val="bottom"/>
          </w:tcPr>
          <w:p>
            <w:pPr>
              <w:spacing w:after="0"/>
              <w:rPr>
                <w:sz w:val="17"/>
                <w:szCs w:val="17"/>
                <w:color w:val="auto"/>
              </w:rPr>
            </w:pPr>
          </w:p>
        </w:tc>
      </w:tr>
      <w:tr>
        <w:trPr>
          <w:trHeight w:val="202"/>
        </w:trPr>
        <w:tc>
          <w:tcPr>
            <w:tcW w:w="3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1, 2022 - June 30, 2022</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24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88"/>
              </w:rPr>
              <w:t>—</w:t>
            </w:r>
          </w:p>
        </w:tc>
        <w:tc>
          <w:tcPr>
            <w:tcW w:w="2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13,390,401</w:t>
            </w:r>
          </w:p>
        </w:tc>
        <w:tc>
          <w:tcPr>
            <w:tcW w:w="100" w:type="dxa"/>
            <w:vAlign w:val="bottom"/>
            <w:shd w:val="clear" w:color="auto" w:fill="CFF0FC"/>
          </w:tcPr>
          <w:p>
            <w:pPr>
              <w:spacing w:after="0"/>
              <w:rPr>
                <w:sz w:val="17"/>
                <w:szCs w:val="17"/>
                <w:color w:val="auto"/>
              </w:rPr>
            </w:pPr>
          </w:p>
        </w:tc>
      </w:tr>
      <w:tr>
        <w:trPr>
          <w:trHeight w:val="195"/>
        </w:trPr>
        <w:tc>
          <w:tcPr>
            <w:tcW w:w="31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ind w:left="4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93"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7" w:lineRule="auto"/>
        <w:rPr>
          <w:sz w:val="20"/>
          <w:szCs w:val="20"/>
          <w:color w:val="auto"/>
        </w:rPr>
      </w:pPr>
      <w:r>
        <w:rPr>
          <w:rFonts w:ascii="Arial" w:cs="Arial" w:eastAsia="Arial" w:hAnsi="Arial"/>
          <w:sz w:val="20"/>
          <w:szCs w:val="20"/>
          <w:color w:val="auto"/>
        </w:rPr>
        <w:t>FORM 10-Q</w:t>
      </w:r>
    </w:p>
    <w:p>
      <w:pPr>
        <w:jc w:val="center"/>
        <w:spacing w:after="0" w:line="225" w:lineRule="auto"/>
        <w:rPr>
          <w:sz w:val="20"/>
          <w:szCs w:val="20"/>
          <w:color w:val="auto"/>
        </w:rPr>
      </w:pPr>
      <w:r>
        <w:rPr>
          <w:rFonts w:ascii="Arial" w:cs="Arial" w:eastAsia="Arial" w:hAnsi="Arial"/>
          <w:sz w:val="20"/>
          <w:szCs w:val="20"/>
          <w:color w:val="auto"/>
        </w:rPr>
        <w:t>For the Quarter June 30, 2022</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rPr>
          <w:sz w:val="20"/>
          <w:szCs w:val="20"/>
          <w:color w:val="auto"/>
        </w:rPr>
      </w:pPr>
      <w:r>
        <w:rPr>
          <w:rFonts w:ascii="Arial" w:cs="Arial" w:eastAsia="Arial" w:hAnsi="Arial"/>
          <w:sz w:val="20"/>
          <w:szCs w:val="20"/>
          <w:color w:val="auto"/>
        </w:rPr>
        <w:t>(Continued)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Exhibit No.</w:t>
            </w:r>
          </w:p>
        </w:tc>
        <w:tc>
          <w:tcPr>
            <w:tcW w:w="120" w:type="dxa"/>
            <w:vAlign w:val="bottom"/>
          </w:tcPr>
          <w:p>
            <w:pPr>
              <w:spacing w:after="0"/>
              <w:rPr>
                <w:sz w:val="23"/>
                <w:szCs w:val="23"/>
                <w:color w:val="auto"/>
              </w:rPr>
            </w:pPr>
          </w:p>
        </w:tc>
        <w:tc>
          <w:tcPr>
            <w:tcW w:w="9840" w:type="dxa"/>
            <w:vAlign w:val="bottom"/>
            <w:tcBorders>
              <w:bottom w:val="single" w:sz="8" w:color="auto"/>
            </w:tcBorders>
          </w:tcPr>
          <w:p>
            <w:pPr>
              <w:ind w:left="4520"/>
              <w:spacing w:after="0"/>
              <w:rPr>
                <w:sz w:val="20"/>
                <w:szCs w:val="20"/>
                <w:color w:val="auto"/>
              </w:rPr>
            </w:pPr>
            <w:r>
              <w:rPr>
                <w:rFonts w:ascii="Arial" w:cs="Arial" w:eastAsia="Arial" w:hAnsi="Arial"/>
                <w:sz w:val="20"/>
                <w:szCs w:val="20"/>
                <w:color w:val="auto"/>
              </w:rPr>
              <w:t>Document</w:t>
            </w:r>
          </w:p>
        </w:tc>
      </w:tr>
      <w:tr>
        <w:trPr>
          <w:trHeight w:val="411"/>
        </w:trPr>
        <w:tc>
          <w:tcPr>
            <w:tcW w:w="1280" w:type="dxa"/>
            <w:vAlign w:val="bottom"/>
            <w:gridSpan w:val="3"/>
          </w:tcPr>
          <w:p>
            <w:pPr>
              <w:jc w:val="right"/>
              <w:ind w:right="820"/>
              <w:spacing w:after="0"/>
              <w:rPr>
                <w:rFonts w:ascii="Arial" w:cs="Arial" w:eastAsia="Arial" w:hAnsi="Arial"/>
                <w:sz w:val="20"/>
                <w:szCs w:val="20"/>
                <w:color w:val="0000FF"/>
                <w:w w:val="87"/>
              </w:rPr>
            </w:pPr>
            <w:hyperlink w:anchor="page54">
              <w:r>
                <w:rPr>
                  <w:rFonts w:ascii="Arial" w:cs="Arial" w:eastAsia="Arial" w:hAnsi="Arial"/>
                  <w:sz w:val="20"/>
                  <w:szCs w:val="20"/>
                  <w:color w:val="0000FF"/>
                  <w:w w:val="87"/>
                </w:rPr>
                <w:t>31.</w:t>
              </w:r>
              <w:r>
                <w:rPr>
                  <w:rFonts w:ascii="Arial" w:cs="Arial" w:eastAsia="Arial" w:hAnsi="Arial"/>
                  <w:sz w:val="20"/>
                  <w:szCs w:val="20"/>
                  <w:u w:val="single" w:color="auto"/>
                  <w:color w:val="0000FF"/>
                  <w:w w:val="87"/>
                </w:rPr>
                <w:t>01</w:t>
              </w:r>
            </w:hyperlink>
          </w:p>
        </w:tc>
        <w:tc>
          <w:tcPr>
            <w:tcW w:w="12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1"/>
              </w:rPr>
              <w:t>Certification dated July 28, 2022 of Chief Executive Officer pursuant to Securities and Exchange Act of 1934 Rule 13a-14</w:t>
            </w:r>
          </w:p>
        </w:tc>
      </w:tr>
      <w:tr>
        <w:trPr>
          <w:trHeight w:val="230"/>
        </w:trPr>
        <w:tc>
          <w:tcPr>
            <w:tcW w:w="20" w:type="dxa"/>
            <w:vAlign w:val="bottom"/>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56"/>
        </w:trPr>
        <w:tc>
          <w:tcPr>
            <w:tcW w:w="1280" w:type="dxa"/>
            <w:vAlign w:val="bottom"/>
            <w:gridSpan w:val="3"/>
          </w:tcPr>
          <w:p>
            <w:pPr>
              <w:jc w:val="right"/>
              <w:ind w:right="820"/>
              <w:spacing w:after="0"/>
              <w:rPr>
                <w:rFonts w:ascii="Arial" w:cs="Arial" w:eastAsia="Arial" w:hAnsi="Arial"/>
                <w:sz w:val="20"/>
                <w:szCs w:val="20"/>
                <w:color w:val="0000FF"/>
                <w:w w:val="87"/>
              </w:rPr>
            </w:pPr>
            <w:hyperlink w:anchor="page56">
              <w:r>
                <w:rPr>
                  <w:rFonts w:ascii="Arial" w:cs="Arial" w:eastAsia="Arial" w:hAnsi="Arial"/>
                  <w:sz w:val="20"/>
                  <w:szCs w:val="20"/>
                  <w:color w:val="0000FF"/>
                  <w:w w:val="87"/>
                </w:rPr>
                <w:t>31.</w:t>
              </w:r>
              <w:r>
                <w:rPr>
                  <w:rFonts w:ascii="Arial" w:cs="Arial" w:eastAsia="Arial" w:hAnsi="Arial"/>
                  <w:sz w:val="20"/>
                  <w:szCs w:val="20"/>
                  <w:u w:val="single" w:color="auto"/>
                  <w:color w:val="0000FF"/>
                  <w:w w:val="87"/>
                </w:rPr>
                <w:t>02</w:t>
              </w:r>
            </w:hyperlink>
          </w:p>
        </w:tc>
        <w:tc>
          <w:tcPr>
            <w:tcW w:w="12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2"/>
              </w:rPr>
              <w:t>Certification dated July 28, 2022 of Chief Financial Officer pursuant to Securities and Exchange Act of 1934 Rule 13a-14</w:t>
            </w:r>
          </w:p>
        </w:tc>
      </w:tr>
      <w:tr>
        <w:trPr>
          <w:trHeight w:val="230"/>
        </w:trPr>
        <w:tc>
          <w:tcPr>
            <w:tcW w:w="20" w:type="dxa"/>
            <w:vAlign w:val="bottom"/>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289"/>
        </w:trPr>
        <w:tc>
          <w:tcPr>
            <w:tcW w:w="1280" w:type="dxa"/>
            <w:vAlign w:val="bottom"/>
            <w:gridSpan w:val="3"/>
          </w:tcPr>
          <w:p>
            <w:pPr>
              <w:jc w:val="right"/>
              <w:ind w:right="820"/>
              <w:spacing w:after="0"/>
              <w:rPr>
                <w:rFonts w:ascii="Arial" w:cs="Arial" w:eastAsia="Arial" w:hAnsi="Arial"/>
                <w:sz w:val="20"/>
                <w:szCs w:val="20"/>
                <w:color w:val="0000FF"/>
                <w:w w:val="87"/>
              </w:rPr>
            </w:pPr>
            <w:hyperlink w:anchor="page58">
              <w:r>
                <w:rPr>
                  <w:rFonts w:ascii="Arial" w:cs="Arial" w:eastAsia="Arial" w:hAnsi="Arial"/>
                  <w:sz w:val="20"/>
                  <w:szCs w:val="20"/>
                  <w:color w:val="0000FF"/>
                  <w:w w:val="87"/>
                </w:rPr>
                <w:t>32.</w:t>
              </w:r>
              <w:r>
                <w:rPr>
                  <w:rFonts w:ascii="Arial" w:cs="Arial" w:eastAsia="Arial" w:hAnsi="Arial"/>
                  <w:sz w:val="20"/>
                  <w:szCs w:val="20"/>
                  <w:u w:val="single" w:color="auto"/>
                  <w:color w:val="0000FF"/>
                  <w:w w:val="87"/>
                </w:rPr>
                <w:t>01</w:t>
              </w:r>
            </w:hyperlink>
          </w:p>
        </w:tc>
        <w:tc>
          <w:tcPr>
            <w:tcW w:w="12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4"/>
              </w:rPr>
              <w:t>Written Statement dated July 28, 2022 of Chief Executive Officer required by 18 U.S.C. 1350, as adopted pursuant to</w:t>
            </w:r>
          </w:p>
        </w:tc>
      </w:tr>
      <w:tr>
        <w:trPr>
          <w:trHeight w:val="230"/>
        </w:trPr>
        <w:tc>
          <w:tcPr>
            <w:tcW w:w="20" w:type="dxa"/>
            <w:vAlign w:val="bottom"/>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Section 906 of the Sarbanes-Oxley Act of 2002</w:t>
            </w:r>
          </w:p>
        </w:tc>
      </w:tr>
      <w:tr>
        <w:trPr>
          <w:trHeight w:val="289"/>
        </w:trPr>
        <w:tc>
          <w:tcPr>
            <w:tcW w:w="1280" w:type="dxa"/>
            <w:vAlign w:val="bottom"/>
            <w:gridSpan w:val="3"/>
          </w:tcPr>
          <w:p>
            <w:pPr>
              <w:jc w:val="right"/>
              <w:ind w:right="820"/>
              <w:spacing w:after="0"/>
              <w:rPr>
                <w:rFonts w:ascii="Arial" w:cs="Arial" w:eastAsia="Arial" w:hAnsi="Arial"/>
                <w:sz w:val="20"/>
                <w:szCs w:val="20"/>
                <w:color w:val="0000FF"/>
                <w:w w:val="87"/>
              </w:rPr>
            </w:pPr>
            <w:hyperlink w:anchor="page59">
              <w:r>
                <w:rPr>
                  <w:rFonts w:ascii="Arial" w:cs="Arial" w:eastAsia="Arial" w:hAnsi="Arial"/>
                  <w:sz w:val="20"/>
                  <w:szCs w:val="20"/>
                  <w:color w:val="0000FF"/>
                  <w:w w:val="87"/>
                </w:rPr>
                <w:t>32.</w:t>
              </w:r>
              <w:r>
                <w:rPr>
                  <w:rFonts w:ascii="Arial" w:cs="Arial" w:eastAsia="Arial" w:hAnsi="Arial"/>
                  <w:sz w:val="20"/>
                  <w:szCs w:val="20"/>
                  <w:u w:val="single" w:color="auto"/>
                  <w:color w:val="0000FF"/>
                  <w:w w:val="87"/>
                </w:rPr>
                <w:t>02</w:t>
              </w:r>
            </w:hyperlink>
          </w:p>
        </w:tc>
        <w:tc>
          <w:tcPr>
            <w:tcW w:w="12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w w:val="95"/>
              </w:rPr>
              <w:t>Written Statement dated July 28, 2022 of Chief Financial Officer required by 18 U.S.C. 1350, as adopted pursuant to</w:t>
            </w:r>
          </w:p>
        </w:tc>
      </w:tr>
      <w:tr>
        <w:trPr>
          <w:trHeight w:val="230"/>
        </w:trPr>
        <w:tc>
          <w:tcPr>
            <w:tcW w:w="20" w:type="dxa"/>
            <w:vAlign w:val="bottom"/>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83" w:lineRule="exact"/>
        <w:rPr>
          <w:sz w:val="20"/>
          <w:szCs w:val="20"/>
          <w:color w:val="auto"/>
        </w:rPr>
      </w:pPr>
    </w:p>
    <w:p>
      <w:pPr>
        <w:ind w:left="1420" w:hanging="1399"/>
        <w:spacing w:after="0"/>
        <w:tabs>
          <w:tab w:leader="none" w:pos="1420" w:val="left"/>
        </w:tabs>
        <w:numPr>
          <w:ilvl w:val="0"/>
          <w:numId w:val="13"/>
        </w:numPr>
        <w:rPr>
          <w:rFonts w:ascii="Arial" w:cs="Arial" w:eastAsia="Arial" w:hAnsi="Arial"/>
          <w:sz w:val="20"/>
          <w:szCs w:val="20"/>
          <w:u w:val="single" w:color="auto"/>
          <w:color w:val="0000FF"/>
        </w:rPr>
      </w:pPr>
      <w:r>
        <w:rPr>
          <w:rFonts w:ascii="Arial" w:cs="Arial" w:eastAsia="Arial" w:hAnsi="Arial"/>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12509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5095" cy="8255"/>
                    </a:xfrm>
                    <a:prstGeom prst="rect">
                      <a:avLst/>
                    </a:prstGeom>
                    <a:noFill/>
                  </pic:spPr>
                </pic:pic>
              </a:graphicData>
            </a:graphic>
          </wp:anchor>
        </w:drawing>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101.INS</w:t>
            </w:r>
          </w:p>
        </w:tc>
        <w:tc>
          <w:tcPr>
            <w:tcW w:w="10120" w:type="dxa"/>
            <w:vAlign w:val="bottom"/>
          </w:tcPr>
          <w:p>
            <w:pPr>
              <w:ind w:left="320"/>
              <w:spacing w:after="0"/>
              <w:rPr>
                <w:sz w:val="20"/>
                <w:szCs w:val="20"/>
                <w:color w:val="auto"/>
              </w:rPr>
            </w:pPr>
            <w:r>
              <w:rPr>
                <w:rFonts w:ascii="Arial" w:cs="Arial" w:eastAsia="Arial" w:hAnsi="Arial"/>
                <w:sz w:val="20"/>
                <w:szCs w:val="20"/>
                <w:color w:val="auto"/>
                <w:w w:val="91"/>
              </w:rPr>
              <w:t>Inline XBRL Instance Document – The instance document does not appear in the Interactive Data File because its XBRL</w:t>
            </w:r>
          </w:p>
        </w:tc>
      </w:tr>
      <w:tr>
        <w:trPr>
          <w:trHeight w:val="250"/>
        </w:trPr>
        <w:tc>
          <w:tcPr>
            <w:tcW w:w="1080" w:type="dxa"/>
            <w:vAlign w:val="bottom"/>
          </w:tcPr>
          <w:p>
            <w:pPr>
              <w:spacing w:after="0"/>
              <w:rPr>
                <w:sz w:val="21"/>
                <w:szCs w:val="21"/>
                <w:color w:val="auto"/>
              </w:rPr>
            </w:pPr>
          </w:p>
        </w:tc>
        <w:tc>
          <w:tcPr>
            <w:tcW w:w="10120" w:type="dxa"/>
            <w:vAlign w:val="bottom"/>
          </w:tcPr>
          <w:p>
            <w:pPr>
              <w:ind w:left="320"/>
              <w:spacing w:after="0"/>
              <w:rPr>
                <w:sz w:val="20"/>
                <w:szCs w:val="20"/>
                <w:color w:val="auto"/>
              </w:rPr>
            </w:pPr>
            <w:r>
              <w:rPr>
                <w:rFonts w:ascii="Arial" w:cs="Arial" w:eastAsia="Arial" w:hAnsi="Arial"/>
                <w:sz w:val="20"/>
                <w:szCs w:val="20"/>
                <w:color w:val="auto"/>
              </w:rPr>
              <w:t>tags are embedded within the Inline XBRL document.</w:t>
            </w:r>
          </w:p>
        </w:tc>
      </w:tr>
      <w:tr>
        <w:trPr>
          <w:trHeight w:val="337"/>
        </w:trPr>
        <w:tc>
          <w:tcPr>
            <w:tcW w:w="1080" w:type="dxa"/>
            <w:vAlign w:val="bottom"/>
          </w:tcPr>
          <w:p>
            <w:pPr>
              <w:spacing w:after="0"/>
              <w:rPr>
                <w:sz w:val="20"/>
                <w:szCs w:val="20"/>
                <w:color w:val="auto"/>
              </w:rPr>
            </w:pPr>
            <w:r>
              <w:rPr>
                <w:rFonts w:ascii="Arial" w:cs="Arial" w:eastAsia="Arial" w:hAnsi="Arial"/>
                <w:sz w:val="20"/>
                <w:szCs w:val="20"/>
                <w:color w:val="auto"/>
              </w:rPr>
              <w:t>101.SCH</w:t>
            </w:r>
          </w:p>
        </w:tc>
        <w:tc>
          <w:tcPr>
            <w:tcW w:w="10120" w:type="dxa"/>
            <w:vAlign w:val="bottom"/>
          </w:tcPr>
          <w:p>
            <w:pPr>
              <w:ind w:left="320"/>
              <w:spacing w:after="0"/>
              <w:rPr>
                <w:sz w:val="20"/>
                <w:szCs w:val="20"/>
                <w:color w:val="auto"/>
              </w:rPr>
            </w:pPr>
            <w:r>
              <w:rPr>
                <w:rFonts w:ascii="Arial" w:cs="Arial" w:eastAsia="Arial" w:hAnsi="Arial"/>
                <w:sz w:val="20"/>
                <w:szCs w:val="20"/>
                <w:color w:val="auto"/>
              </w:rPr>
              <w:t>Inline XBRL Taxonomy Extension Schema Document</w:t>
            </w:r>
          </w:p>
        </w:tc>
      </w:tr>
      <w:tr>
        <w:trPr>
          <w:trHeight w:val="539"/>
        </w:trPr>
        <w:tc>
          <w:tcPr>
            <w:tcW w:w="1080" w:type="dxa"/>
            <w:vAlign w:val="bottom"/>
          </w:tcPr>
          <w:p>
            <w:pPr>
              <w:spacing w:after="0"/>
              <w:rPr>
                <w:sz w:val="20"/>
                <w:szCs w:val="20"/>
                <w:color w:val="auto"/>
              </w:rPr>
            </w:pPr>
            <w:r>
              <w:rPr>
                <w:rFonts w:ascii="Arial" w:cs="Arial" w:eastAsia="Arial" w:hAnsi="Arial"/>
                <w:sz w:val="20"/>
                <w:szCs w:val="20"/>
                <w:color w:val="auto"/>
              </w:rPr>
              <w:t>101.CAL</w:t>
            </w:r>
          </w:p>
        </w:tc>
        <w:tc>
          <w:tcPr>
            <w:tcW w:w="10120" w:type="dxa"/>
            <w:vAlign w:val="bottom"/>
          </w:tcPr>
          <w:p>
            <w:pPr>
              <w:ind w:left="3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539"/>
        </w:trPr>
        <w:tc>
          <w:tcPr>
            <w:tcW w:w="1080" w:type="dxa"/>
            <w:vAlign w:val="bottom"/>
          </w:tcPr>
          <w:p>
            <w:pPr>
              <w:spacing w:after="0"/>
              <w:rPr>
                <w:sz w:val="20"/>
                <w:szCs w:val="20"/>
                <w:color w:val="auto"/>
              </w:rPr>
            </w:pPr>
            <w:r>
              <w:rPr>
                <w:rFonts w:ascii="Arial" w:cs="Arial" w:eastAsia="Arial" w:hAnsi="Arial"/>
                <w:sz w:val="20"/>
                <w:szCs w:val="20"/>
                <w:color w:val="auto"/>
              </w:rPr>
              <w:t>101.LAB</w:t>
            </w:r>
          </w:p>
        </w:tc>
        <w:tc>
          <w:tcPr>
            <w:tcW w:w="10120" w:type="dxa"/>
            <w:vAlign w:val="bottom"/>
          </w:tcPr>
          <w:p>
            <w:pPr>
              <w:ind w:left="3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539"/>
        </w:trPr>
        <w:tc>
          <w:tcPr>
            <w:tcW w:w="1080" w:type="dxa"/>
            <w:vAlign w:val="bottom"/>
          </w:tcPr>
          <w:p>
            <w:pPr>
              <w:spacing w:after="0"/>
              <w:rPr>
                <w:sz w:val="20"/>
                <w:szCs w:val="20"/>
                <w:color w:val="auto"/>
              </w:rPr>
            </w:pPr>
            <w:r>
              <w:rPr>
                <w:rFonts w:ascii="Arial" w:cs="Arial" w:eastAsia="Arial" w:hAnsi="Arial"/>
                <w:sz w:val="20"/>
                <w:szCs w:val="20"/>
                <w:color w:val="auto"/>
              </w:rPr>
              <w:t>101.PRE</w:t>
            </w:r>
          </w:p>
        </w:tc>
        <w:tc>
          <w:tcPr>
            <w:tcW w:w="10120" w:type="dxa"/>
            <w:vAlign w:val="bottom"/>
          </w:tcPr>
          <w:p>
            <w:pPr>
              <w:ind w:left="32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539"/>
        </w:trPr>
        <w:tc>
          <w:tcPr>
            <w:tcW w:w="1080" w:type="dxa"/>
            <w:vAlign w:val="bottom"/>
          </w:tcPr>
          <w:p>
            <w:pPr>
              <w:spacing w:after="0"/>
              <w:rPr>
                <w:sz w:val="20"/>
                <w:szCs w:val="20"/>
                <w:color w:val="auto"/>
              </w:rPr>
            </w:pPr>
            <w:r>
              <w:rPr>
                <w:rFonts w:ascii="Arial" w:cs="Arial" w:eastAsia="Arial" w:hAnsi="Arial"/>
                <w:sz w:val="20"/>
                <w:szCs w:val="20"/>
                <w:color w:val="auto"/>
              </w:rPr>
              <w:t>101.DEF</w:t>
            </w:r>
          </w:p>
        </w:tc>
        <w:tc>
          <w:tcPr>
            <w:tcW w:w="10120" w:type="dxa"/>
            <w:vAlign w:val="bottom"/>
          </w:tcPr>
          <w:p>
            <w:pPr>
              <w:ind w:left="32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289" w:lineRule="exact"/>
        <w:rPr>
          <w:sz w:val="20"/>
          <w:szCs w:val="20"/>
          <w:color w:val="auto"/>
        </w:rPr>
      </w:pPr>
    </w:p>
    <w:p>
      <w:pPr>
        <w:ind w:left="1420" w:hanging="1399"/>
        <w:spacing w:after="0"/>
        <w:tabs>
          <w:tab w:leader="none" w:pos="14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52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0"/>
          <w:szCs w:val="20"/>
          <w:color w:val="auto"/>
        </w:rPr>
        <w:t>SIGNATURES</w:t>
      </w:r>
    </w:p>
    <w:p>
      <w:pPr>
        <w:spacing w:after="0" w:line="228"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MARTIN MARIETTA MATERIALS, INC.</w:t>
      </w:r>
    </w:p>
    <w:p>
      <w:pPr>
        <w:spacing w:after="0" w:line="2"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(Registrant)</w:t>
      </w:r>
    </w:p>
    <w:p>
      <w:pPr>
        <w:spacing w:after="0" w:line="185" w:lineRule="exact"/>
        <w:rPr>
          <w:sz w:val="20"/>
          <w:szCs w:val="20"/>
          <w:color w:val="auto"/>
        </w:rPr>
      </w:pPr>
    </w:p>
    <w:p>
      <w:pPr>
        <w:ind w:left="20"/>
        <w:spacing w:after="0"/>
        <w:tabs>
          <w:tab w:leader="none" w:pos="6520" w:val="left"/>
          <w:tab w:leader="none" w:pos="7120" w:val="left"/>
        </w:tabs>
        <w:rPr>
          <w:sz w:val="20"/>
          <w:szCs w:val="20"/>
          <w:color w:val="auto"/>
        </w:rPr>
      </w:pPr>
      <w:r>
        <w:rPr>
          <w:rFonts w:ascii="Arial" w:cs="Arial" w:eastAsia="Arial" w:hAnsi="Arial"/>
          <w:sz w:val="20"/>
          <w:szCs w:val="20"/>
          <w:color w:val="auto"/>
        </w:rPr>
        <w:t>Date: July 28,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A. J. Nickolas</w:t>
      </w:r>
    </w:p>
    <w:p>
      <w:pPr>
        <w:ind w:left="7140"/>
        <w:spacing w:after="0"/>
        <w:rPr>
          <w:sz w:val="20"/>
          <w:szCs w:val="20"/>
          <w:color w:val="auto"/>
        </w:rPr>
      </w:pPr>
      <w:r>
        <w:rPr>
          <w:rFonts w:ascii="Arial" w:cs="Arial" w:eastAsia="Arial" w:hAnsi="Arial"/>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-135890</wp:posOffset>
            </wp:positionV>
            <wp:extent cx="260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8580" cy="8255"/>
                    </a:xfrm>
                    <a:prstGeom prst="rect">
                      <a:avLst/>
                    </a:prstGeom>
                    <a:noFill/>
                  </pic:spPr>
                </pic:pic>
              </a:graphicData>
            </a:graphic>
          </wp:anchor>
        </w:drawing>
      </w:r>
    </w:p>
    <w:p>
      <w:pPr>
        <w:ind w:left="7140"/>
        <w:spacing w:after="0" w:line="224" w:lineRule="auto"/>
        <w:rPr>
          <w:sz w:val="20"/>
          <w:szCs w:val="20"/>
          <w:color w:val="auto"/>
        </w:rPr>
      </w:pPr>
      <w:r>
        <w:rPr>
          <w:rFonts w:ascii="Arial" w:cs="Arial" w:eastAsia="Arial" w:hAnsi="Arial"/>
          <w:sz w:val="20"/>
          <w:szCs w:val="20"/>
          <w:color w:val="auto"/>
        </w:rPr>
        <w:t>Sr. Vice President and</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Chief Financial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83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31.01</w:t>
      </w:r>
    </w:p>
    <w:p>
      <w:pPr>
        <w:spacing w:after="0" w:line="390" w:lineRule="exact"/>
        <w:rPr>
          <w:sz w:val="20"/>
          <w:szCs w:val="20"/>
          <w:color w:val="auto"/>
        </w:rPr>
      </w:pPr>
    </w:p>
    <w:p>
      <w:pPr>
        <w:jc w:val="center"/>
        <w:ind w:right="40"/>
        <w:spacing w:after="0" w:line="251"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188" w:lineRule="exact"/>
        <w:rPr>
          <w:sz w:val="20"/>
          <w:szCs w:val="20"/>
          <w:color w:val="auto"/>
        </w:rPr>
      </w:pPr>
    </w:p>
    <w:p>
      <w:pPr>
        <w:ind w:left="1140" w:hanging="384"/>
        <w:spacing w:after="0"/>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187"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0"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0" w:lineRule="exact"/>
        <w:rPr>
          <w:rFonts w:ascii="Arial" w:cs="Arial" w:eastAsia="Arial" w:hAnsi="Arial"/>
          <w:sz w:val="20"/>
          <w:szCs w:val="20"/>
          <w:color w:val="auto"/>
        </w:rPr>
      </w:pPr>
    </w:p>
    <w:p>
      <w:pPr>
        <w:jc w:val="both"/>
        <w:ind w:left="1880" w:hanging="375"/>
        <w:spacing w:after="0" w:line="236"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83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54" w:name="page55"/>
    <w:bookmarkEnd w:id="54"/>
    <w:p>
      <w:pPr>
        <w:jc w:val="both"/>
        <w:ind w:left="1120" w:hanging="384"/>
        <w:spacing w:after="0" w:line="236" w:lineRule="auto"/>
        <w:tabs>
          <w:tab w:leader="none" w:pos="1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0"/>
          <w:szCs w:val="20"/>
          <w:color w:val="auto"/>
        </w:rPr>
      </w:pPr>
    </w:p>
    <w:p>
      <w:pPr>
        <w:jc w:val="both"/>
        <w:ind w:left="1860" w:hanging="375"/>
        <w:spacing w:after="0" w:line="236" w:lineRule="auto"/>
        <w:tabs>
          <w:tab w:leader="none" w:pos="18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0"/>
          <w:szCs w:val="20"/>
          <w:color w:val="auto"/>
        </w:rPr>
      </w:pPr>
    </w:p>
    <w:p>
      <w:pPr>
        <w:ind w:left="1860" w:hanging="375"/>
        <w:spacing w:after="0" w:line="245" w:lineRule="auto"/>
        <w:tabs>
          <w:tab w:leader="none" w:pos="18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8" w:lineRule="exact"/>
        <w:rPr>
          <w:sz w:val="20"/>
          <w:szCs w:val="20"/>
          <w:color w:val="auto"/>
        </w:rPr>
      </w:pPr>
    </w:p>
    <w:p>
      <w:pPr>
        <w:spacing w:after="0"/>
        <w:tabs>
          <w:tab w:leader="none" w:pos="6620" w:val="left"/>
          <w:tab w:leader="none" w:pos="7180" w:val="left"/>
        </w:tabs>
        <w:rPr>
          <w:sz w:val="20"/>
          <w:szCs w:val="20"/>
          <w:color w:val="auto"/>
        </w:rPr>
      </w:pPr>
      <w:r>
        <w:rPr>
          <w:rFonts w:ascii="Arial" w:cs="Arial" w:eastAsia="Arial" w:hAnsi="Arial"/>
          <w:sz w:val="20"/>
          <w:szCs w:val="20"/>
          <w:color w:val="auto"/>
        </w:rPr>
        <w:t>Date: July 28,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10160</wp:posOffset>
            </wp:positionV>
            <wp:extent cx="25654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C. Howard Nye</w:t>
      </w:r>
    </w:p>
    <w:p>
      <w:pPr>
        <w:ind w:left="7200"/>
        <w:spacing w:after="0" w:line="238" w:lineRule="auto"/>
        <w:rPr>
          <w:sz w:val="20"/>
          <w:szCs w:val="20"/>
          <w:color w:val="auto"/>
        </w:rPr>
      </w:pPr>
      <w:r>
        <w:rPr>
          <w:rFonts w:ascii="Arial" w:cs="Arial" w:eastAsia="Arial" w:hAnsi="Arial"/>
          <w:sz w:val="20"/>
          <w:szCs w:val="20"/>
          <w:color w:val="auto"/>
        </w:rPr>
        <w:t>Chairman, President and</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312420</wp:posOffset>
            </wp:positionV>
            <wp:extent cx="71583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133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31.02</w:t>
      </w:r>
    </w:p>
    <w:p>
      <w:pPr>
        <w:spacing w:after="0" w:line="390" w:lineRule="exact"/>
        <w:rPr>
          <w:sz w:val="20"/>
          <w:szCs w:val="20"/>
          <w:color w:val="auto"/>
        </w:rPr>
      </w:pPr>
    </w:p>
    <w:p>
      <w:pPr>
        <w:jc w:val="center"/>
        <w:ind w:right="40"/>
        <w:spacing w:after="0" w:line="251"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188" w:lineRule="exact"/>
        <w:rPr>
          <w:sz w:val="20"/>
          <w:szCs w:val="20"/>
          <w:color w:val="auto"/>
        </w:rPr>
      </w:pPr>
    </w:p>
    <w:p>
      <w:pPr>
        <w:ind w:left="1140" w:hanging="384"/>
        <w:spacing w:after="0"/>
        <w:tabs>
          <w:tab w:leader="none" w:pos="11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187"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0"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0" w:lineRule="exact"/>
        <w:rPr>
          <w:rFonts w:ascii="Arial" w:cs="Arial" w:eastAsia="Arial" w:hAnsi="Arial"/>
          <w:sz w:val="20"/>
          <w:szCs w:val="20"/>
          <w:color w:val="auto"/>
        </w:rPr>
      </w:pPr>
    </w:p>
    <w:p>
      <w:pPr>
        <w:jc w:val="both"/>
        <w:ind w:left="1880" w:hanging="375"/>
        <w:spacing w:after="0" w:line="236" w:lineRule="auto"/>
        <w:tabs>
          <w:tab w:leader="none" w:pos="18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0"/>
          <w:szCs w:val="20"/>
          <w:color w:val="auto"/>
        </w:rPr>
      </w:pPr>
    </w:p>
    <w:p>
      <w:pPr>
        <w:jc w:val="both"/>
        <w:ind w:left="1880" w:hanging="375"/>
        <w:spacing w:after="0" w:line="233" w:lineRule="auto"/>
        <w:tabs>
          <w:tab w:leader="none" w:pos="18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83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56" w:name="page57"/>
    <w:bookmarkEnd w:id="56"/>
    <w:p>
      <w:pPr>
        <w:jc w:val="both"/>
        <w:ind w:left="1120" w:hanging="384"/>
        <w:spacing w:after="0" w:line="236" w:lineRule="auto"/>
        <w:tabs>
          <w:tab w:leader="none" w:pos="11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0"/>
          <w:szCs w:val="20"/>
          <w:color w:val="auto"/>
        </w:rPr>
      </w:pPr>
    </w:p>
    <w:p>
      <w:pPr>
        <w:jc w:val="both"/>
        <w:ind w:left="1860" w:hanging="375"/>
        <w:spacing w:after="0" w:line="236" w:lineRule="auto"/>
        <w:tabs>
          <w:tab w:leader="none" w:pos="18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0"/>
          <w:szCs w:val="20"/>
          <w:color w:val="auto"/>
        </w:rPr>
      </w:pPr>
    </w:p>
    <w:p>
      <w:pPr>
        <w:ind w:left="1860" w:hanging="375"/>
        <w:spacing w:after="0" w:line="245" w:lineRule="auto"/>
        <w:tabs>
          <w:tab w:leader="none" w:pos="18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p>
      <w:pPr>
        <w:spacing w:after="0"/>
        <w:tabs>
          <w:tab w:leader="none" w:pos="6620" w:val="left"/>
          <w:tab w:leader="none" w:pos="7180" w:val="left"/>
        </w:tabs>
        <w:rPr>
          <w:sz w:val="20"/>
          <w:szCs w:val="20"/>
          <w:color w:val="auto"/>
        </w:rPr>
      </w:pPr>
      <w:r>
        <w:rPr>
          <w:rFonts w:ascii="Arial" w:cs="Arial" w:eastAsia="Arial" w:hAnsi="Arial"/>
          <w:sz w:val="20"/>
          <w:szCs w:val="20"/>
          <w:color w:val="auto"/>
        </w:rPr>
        <w:t>Date: July 28,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10160</wp:posOffset>
            </wp:positionV>
            <wp:extent cx="25654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James A. J. Nickolas</w:t>
      </w:r>
    </w:p>
    <w:p>
      <w:pPr>
        <w:ind w:left="7200"/>
        <w:spacing w:after="0" w:line="238" w:lineRule="auto"/>
        <w:rPr>
          <w:sz w:val="20"/>
          <w:szCs w:val="20"/>
          <w:color w:val="auto"/>
        </w:rPr>
      </w:pPr>
      <w:r>
        <w:rPr>
          <w:rFonts w:ascii="Arial" w:cs="Arial" w:eastAsia="Arial" w:hAnsi="Arial"/>
          <w:sz w:val="20"/>
          <w:szCs w:val="20"/>
          <w:color w:val="auto"/>
        </w:rPr>
        <w:t>Sr. Vice President and</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312420</wp:posOffset>
            </wp:positionV>
            <wp:extent cx="71583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133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32.01</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0"/>
          <w:szCs w:val="20"/>
          <w:color w:val="auto"/>
        </w:rPr>
        <w:t>In connection with the Quarterly Report on Form 10-Q for the period ended June 30, 2022 (the “Report”) of Martin Marietta Materials, Inc. (the “Registrant”), as filed with the Securities and Exchange Commission on the date hereof, I, C. Howard Nye, the Chief Executive Officer of the Registrant, certify, to the best of my knowledge, that:</w:t>
      </w:r>
    </w:p>
    <w:p>
      <w:pPr>
        <w:spacing w:after="0" w:line="170" w:lineRule="exact"/>
        <w:rPr>
          <w:sz w:val="20"/>
          <w:szCs w:val="20"/>
          <w:color w:val="auto"/>
        </w:rPr>
      </w:pPr>
    </w:p>
    <w:p>
      <w:pPr>
        <w:ind w:left="1500" w:hanging="744"/>
        <w:spacing w:after="0" w:line="245" w:lineRule="auto"/>
        <w:tabs>
          <w:tab w:leader="none" w:pos="1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3" w:lineRule="exact"/>
        <w:rPr>
          <w:rFonts w:ascii="Arial" w:cs="Arial" w:eastAsia="Arial" w:hAnsi="Arial"/>
          <w:sz w:val="20"/>
          <w:szCs w:val="20"/>
          <w:color w:val="auto"/>
        </w:rPr>
      </w:pPr>
    </w:p>
    <w:p>
      <w:pPr>
        <w:ind w:left="1500" w:hanging="744"/>
        <w:spacing w:after="0" w:line="245" w:lineRule="auto"/>
        <w:tabs>
          <w:tab w:leader="none" w:pos="1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65"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10160</wp:posOffset>
            </wp:positionV>
            <wp:extent cx="28479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6"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20"/>
        <w:spacing w:after="0"/>
        <w:rPr>
          <w:sz w:val="20"/>
          <w:szCs w:val="20"/>
          <w:color w:val="auto"/>
        </w:rPr>
      </w:pPr>
      <w:r>
        <w:rPr>
          <w:rFonts w:ascii="Arial" w:cs="Arial" w:eastAsia="Arial" w:hAnsi="Arial"/>
          <w:sz w:val="20"/>
          <w:szCs w:val="20"/>
          <w:color w:val="auto"/>
        </w:rPr>
        <w:t>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Dated: July 28, 2022</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32.02</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0"/>
          <w:szCs w:val="20"/>
          <w:color w:val="auto"/>
        </w:rPr>
        <w:t>In connection with the Quarterly Report on Form 10-Q for the period ended June 30, 2022 (the “Report”) of Martin Marietta Materials, Inc. (the “Registrant”), as filed with the Securities and Exchange Commission on the date hereof, I, James A. J. Nickolas, the Chief Financial Officer of the Registrant, certify, to the best of my knowledge, that:</w:t>
      </w:r>
    </w:p>
    <w:p>
      <w:pPr>
        <w:spacing w:after="0" w:line="170" w:lineRule="exact"/>
        <w:rPr>
          <w:sz w:val="20"/>
          <w:szCs w:val="20"/>
          <w:color w:val="auto"/>
        </w:rPr>
      </w:pPr>
    </w:p>
    <w:p>
      <w:pPr>
        <w:ind w:left="1500" w:hanging="744"/>
        <w:spacing w:after="0" w:line="245" w:lineRule="auto"/>
        <w:tabs>
          <w:tab w:leader="none" w:pos="15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3" w:lineRule="exact"/>
        <w:rPr>
          <w:rFonts w:ascii="Arial" w:cs="Arial" w:eastAsia="Arial" w:hAnsi="Arial"/>
          <w:sz w:val="20"/>
          <w:szCs w:val="20"/>
          <w:color w:val="auto"/>
        </w:rPr>
      </w:pPr>
    </w:p>
    <w:p>
      <w:pPr>
        <w:ind w:left="1500" w:hanging="744"/>
        <w:spacing w:after="0" w:line="245" w:lineRule="auto"/>
        <w:tabs>
          <w:tab w:leader="none" w:pos="15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65"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10160</wp:posOffset>
            </wp:positionV>
            <wp:extent cx="28479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6"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20"/>
        <w:spacing w:after="0"/>
        <w:rPr>
          <w:sz w:val="20"/>
          <w:szCs w:val="20"/>
          <w:color w:val="auto"/>
        </w:rPr>
      </w:pPr>
      <w:r>
        <w:rPr>
          <w:rFonts w:ascii="Arial" w:cs="Arial" w:eastAsia="Arial" w:hAnsi="Arial"/>
          <w:sz w:val="20"/>
          <w:szCs w:val="20"/>
          <w:color w:val="auto"/>
        </w:rPr>
        <w:t>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Dated: July 28, 2022</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83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95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the following items regarding certain mining safety and health matters for the three months ended June 30, 2022:</w:t>
      </w:r>
    </w:p>
    <w:p>
      <w:pPr>
        <w:spacing w:after="0" w:line="211" w:lineRule="exact"/>
        <w:rPr>
          <w:sz w:val="20"/>
          <w:szCs w:val="20"/>
          <w:color w:val="auto"/>
        </w:rPr>
      </w:pPr>
    </w:p>
    <w:p>
      <w:pPr>
        <w:jc w:val="both"/>
        <w:ind w:left="380" w:hanging="372"/>
        <w:spacing w:after="0" w:line="243" w:lineRule="auto"/>
        <w:tabs>
          <w:tab w:leader="none" w:pos="380"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7" w:lineRule="exact"/>
        <w:rPr>
          <w:rFonts w:ascii="Arial" w:cs="Arial" w:eastAsia="Arial" w:hAnsi="Arial"/>
          <w:sz w:val="19"/>
          <w:szCs w:val="19"/>
          <w:b w:val="1"/>
          <w:bCs w:val="1"/>
          <w:color w:val="auto"/>
        </w:rPr>
      </w:pPr>
    </w:p>
    <w:p>
      <w:pPr>
        <w:jc w:val="both"/>
        <w:ind w:left="380" w:hanging="372"/>
        <w:spacing w:after="0" w:line="233" w:lineRule="auto"/>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70" w:lineRule="exact"/>
        <w:rPr>
          <w:rFonts w:ascii="Arial" w:cs="Arial" w:eastAsia="Arial" w:hAnsi="Arial"/>
          <w:sz w:val="20"/>
          <w:szCs w:val="20"/>
          <w:b w:val="1"/>
          <w:bCs w:val="1"/>
          <w:color w:val="auto"/>
        </w:rPr>
      </w:pPr>
    </w:p>
    <w:p>
      <w:pPr>
        <w:jc w:val="both"/>
        <w:ind w:left="380" w:hanging="372"/>
        <w:spacing w:after="0" w:line="274" w:lineRule="auto"/>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83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ind w:left="380"/>
        <w:spacing w:after="0" w:line="246"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63" w:lineRule="exact"/>
        <w:rPr>
          <w:sz w:val="20"/>
          <w:szCs w:val="20"/>
          <w:color w:val="auto"/>
        </w:rPr>
      </w:pPr>
    </w:p>
    <w:p>
      <w:pPr>
        <w:jc w:val="both"/>
        <w:ind w:left="380" w:hanging="372"/>
        <w:spacing w:after="0" w:line="232" w:lineRule="auto"/>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67" w:lineRule="exact"/>
        <w:rPr>
          <w:rFonts w:ascii="Arial" w:cs="Arial" w:eastAsia="Arial" w:hAnsi="Arial"/>
          <w:sz w:val="20"/>
          <w:szCs w:val="20"/>
          <w:b w:val="1"/>
          <w:bCs w:val="1"/>
          <w:color w:val="auto"/>
        </w:rPr>
      </w:pPr>
    </w:p>
    <w:p>
      <w:pPr>
        <w:jc w:val="both"/>
        <w:ind w:left="380" w:hanging="372"/>
        <w:spacing w:after="0" w:line="248" w:lineRule="auto"/>
        <w:tabs>
          <w:tab w:leader="none" w:pos="38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60" w:lineRule="exact"/>
        <w:rPr>
          <w:rFonts w:ascii="Arial" w:cs="Arial" w:eastAsia="Arial" w:hAnsi="Arial"/>
          <w:sz w:val="19"/>
          <w:szCs w:val="19"/>
          <w:b w:val="1"/>
          <w:bCs w:val="1"/>
          <w:color w:val="auto"/>
        </w:rPr>
      </w:pPr>
    </w:p>
    <w:p>
      <w:pPr>
        <w:jc w:val="both"/>
        <w:ind w:left="380" w:hanging="372"/>
        <w:spacing w:after="0" w:line="266" w:lineRule="auto"/>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46" w:lineRule="exact"/>
        <w:rPr>
          <w:rFonts w:ascii="Arial" w:cs="Arial" w:eastAsia="Arial" w:hAnsi="Arial"/>
          <w:sz w:val="18"/>
          <w:szCs w:val="18"/>
          <w:b w:val="1"/>
          <w:bCs w:val="1"/>
          <w:color w:val="auto"/>
        </w:rPr>
      </w:pPr>
    </w:p>
    <w:p>
      <w:pPr>
        <w:jc w:val="both"/>
        <w:ind w:left="380" w:hanging="372"/>
        <w:spacing w:after="0" w:line="274" w:lineRule="auto"/>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39" w:lineRule="exact"/>
        <w:rPr>
          <w:rFonts w:ascii="Arial" w:cs="Arial" w:eastAsia="Arial" w:hAnsi="Arial"/>
          <w:sz w:val="18"/>
          <w:szCs w:val="18"/>
          <w:b w:val="1"/>
          <w:bCs w:val="1"/>
          <w:color w:val="auto"/>
        </w:rPr>
      </w:pPr>
    </w:p>
    <w:p>
      <w:pPr>
        <w:jc w:val="both"/>
        <w:ind w:left="380" w:hanging="372"/>
        <w:spacing w:after="0" w:line="248" w:lineRule="auto"/>
        <w:tabs>
          <w:tab w:leader="none" w:pos="38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60" w:lineRule="exact"/>
        <w:rPr>
          <w:rFonts w:ascii="Arial" w:cs="Arial" w:eastAsia="Arial" w:hAnsi="Arial"/>
          <w:sz w:val="19"/>
          <w:szCs w:val="19"/>
          <w:b w:val="1"/>
          <w:bCs w:val="1"/>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187" w:lineRule="exact"/>
        <w:rPr>
          <w:rFonts w:ascii="Arial" w:cs="Arial" w:eastAsia="Arial" w:hAnsi="Arial"/>
          <w:sz w:val="20"/>
          <w:szCs w:val="20"/>
          <w:b w:val="1"/>
          <w:bCs w:val="1"/>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187" w:lineRule="exact"/>
        <w:rPr>
          <w:rFonts w:ascii="Arial" w:cs="Arial" w:eastAsia="Arial" w:hAnsi="Arial"/>
          <w:sz w:val="20"/>
          <w:szCs w:val="20"/>
          <w:b w:val="1"/>
          <w:bCs w:val="1"/>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83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Company’s quarries and mines identified, as of June 30, 2022,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83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1"/>
        </w:trPr>
        <w:tc>
          <w:tcPr>
            <w:tcW w:w="1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2"/>
          </w:tcPr>
          <w:p>
            <w:pPr>
              <w:ind w:left="400"/>
              <w:spacing w:after="0"/>
              <w:rPr>
                <w:sz w:val="20"/>
                <w:szCs w:val="20"/>
                <w:color w:val="auto"/>
              </w:rPr>
            </w:pPr>
            <w:r>
              <w:rPr>
                <w:rFonts w:ascii="Arial" w:cs="Arial" w:eastAsia="Arial" w:hAnsi="Arial"/>
                <w:sz w:val="20"/>
                <w:szCs w:val="20"/>
                <w:color w:val="auto"/>
                <w:w w:val="89"/>
              </w:rPr>
              <w:t>Appendix 1</w:t>
            </w:r>
          </w:p>
        </w:tc>
        <w:tc>
          <w:tcPr>
            <w:tcW w:w="0" w:type="dxa"/>
            <w:vAlign w:val="bottom"/>
          </w:tcPr>
          <w:p>
            <w:pPr>
              <w:spacing w:after="0"/>
              <w:rPr>
                <w:sz w:val="1"/>
                <w:szCs w:val="1"/>
                <w:color w:val="auto"/>
              </w:rPr>
            </w:pPr>
          </w:p>
        </w:tc>
      </w:tr>
      <w:tr>
        <w:trPr>
          <w:trHeight w:val="364"/>
        </w:trPr>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Total</w:t>
            </w:r>
          </w:p>
        </w:tc>
        <w:tc>
          <w:tcPr>
            <w:tcW w:w="720" w:type="dxa"/>
            <w:vAlign w:val="bottom"/>
          </w:tcPr>
          <w:p>
            <w:pPr>
              <w:ind w:left="40"/>
              <w:spacing w:after="0"/>
              <w:rPr>
                <w:sz w:val="20"/>
                <w:szCs w:val="20"/>
                <w:color w:val="auto"/>
              </w:rPr>
            </w:pPr>
            <w:r>
              <w:rPr>
                <w:rFonts w:ascii="Arial" w:cs="Arial" w:eastAsia="Arial" w:hAnsi="Arial"/>
                <w:sz w:val="20"/>
                <w:szCs w:val="20"/>
                <w:b w:val="1"/>
                <w:bCs w:val="1"/>
                <w:color w:val="auto"/>
                <w:w w:val="87"/>
              </w:rPr>
              <w:t>Receive</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center"/>
              <w:ind w:right="141"/>
              <w:spacing w:after="0"/>
              <w:rPr>
                <w:sz w:val="20"/>
                <w:szCs w:val="20"/>
                <w:color w:val="auto"/>
              </w:rPr>
            </w:pPr>
            <w:r>
              <w:rPr>
                <w:rFonts w:ascii="Arial" w:cs="Arial" w:eastAsia="Arial" w:hAnsi="Arial"/>
                <w:sz w:val="20"/>
                <w:szCs w:val="20"/>
                <w:b w:val="1"/>
                <w:bCs w:val="1"/>
                <w:color w:val="auto"/>
                <w:w w:val="91"/>
              </w:rPr>
              <w:t>Total</w:t>
            </w:r>
          </w:p>
        </w:tc>
        <w:tc>
          <w:tcPr>
            <w:tcW w:w="640" w:type="dxa"/>
            <w:vAlign w:val="bottom"/>
            <w:vMerge w:val="continue"/>
          </w:tcPr>
          <w:p>
            <w:pPr>
              <w:spacing w:after="0"/>
              <w:rPr>
                <w:sz w:val="17"/>
                <w:szCs w:val="17"/>
                <w:color w:val="auto"/>
              </w:rPr>
            </w:pPr>
          </w:p>
        </w:tc>
        <w:tc>
          <w:tcPr>
            <w:tcW w:w="1520" w:type="dxa"/>
            <w:vAlign w:val="bottom"/>
            <w:gridSpan w:val="2"/>
          </w:tcPr>
          <w:p>
            <w:pPr>
              <w:ind w:left="20"/>
              <w:spacing w:after="0" w:line="202" w:lineRule="exact"/>
              <w:rPr>
                <w:sz w:val="20"/>
                <w:szCs w:val="20"/>
                <w:color w:val="auto"/>
              </w:rPr>
            </w:pPr>
            <w:r>
              <w:rPr>
                <w:rFonts w:ascii="Arial" w:cs="Arial" w:eastAsia="Arial" w:hAnsi="Arial"/>
                <w:sz w:val="20"/>
                <w:szCs w:val="20"/>
                <w:b w:val="1"/>
                <w:bCs w:val="1"/>
                <w:color w:val="auto"/>
                <w:w w:val="85"/>
              </w:rPr>
              <w:t>d Notice Received</w:t>
            </w:r>
          </w:p>
        </w:tc>
        <w:tc>
          <w:tcPr>
            <w:tcW w:w="7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Legal</w:t>
            </w:r>
          </w:p>
        </w:tc>
        <w:tc>
          <w:tcPr>
            <w:tcW w:w="6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7"/>
              </w:rPr>
              <w:t>Legal</w:t>
            </w: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7"/>
              </w:rPr>
              <w:t>Legal</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40" w:type="dxa"/>
            <w:vAlign w:val="bottom"/>
          </w:tcPr>
          <w:p>
            <w:pPr>
              <w:ind w:left="80"/>
              <w:spacing w:after="0" w:line="202" w:lineRule="exact"/>
              <w:rPr>
                <w:sz w:val="20"/>
                <w:szCs w:val="20"/>
                <w:color w:val="auto"/>
              </w:rPr>
            </w:pPr>
            <w:r>
              <w:rPr>
                <w:rFonts w:ascii="Arial" w:cs="Arial" w:eastAsia="Arial" w:hAnsi="Arial"/>
                <w:sz w:val="20"/>
                <w:szCs w:val="20"/>
                <w:b w:val="1"/>
                <w:bCs w:val="1"/>
                <w:color w:val="auto"/>
                <w:w w:val="95"/>
              </w:rPr>
              <w:t>Numb</w:t>
            </w:r>
          </w:p>
        </w:tc>
        <w:tc>
          <w:tcPr>
            <w:tcW w:w="720" w:type="dxa"/>
            <w:vAlign w:val="bottom"/>
          </w:tcPr>
          <w:p>
            <w:pPr>
              <w:ind w:left="260"/>
              <w:spacing w:after="0" w:line="202" w:lineRule="exact"/>
              <w:rPr>
                <w:sz w:val="20"/>
                <w:szCs w:val="20"/>
                <w:color w:val="auto"/>
              </w:rPr>
            </w:pPr>
            <w:r>
              <w:rPr>
                <w:rFonts w:ascii="Arial" w:cs="Arial" w:eastAsia="Arial" w:hAnsi="Arial"/>
                <w:sz w:val="20"/>
                <w:szCs w:val="20"/>
                <w:b w:val="1"/>
                <w:bCs w:val="1"/>
                <w:color w:val="auto"/>
              </w:rPr>
              <w:t>of</w:t>
            </w:r>
          </w:p>
        </w:tc>
        <w:tc>
          <w:tcPr>
            <w:tcW w:w="80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6"/>
              </w:rPr>
              <w:t>Notice of</w:t>
            </w:r>
          </w:p>
        </w:tc>
        <w:tc>
          <w:tcPr>
            <w:tcW w:w="7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121"/>
              <w:spacing w:after="0" w:line="202" w:lineRule="exact"/>
              <w:rPr>
                <w:sz w:val="20"/>
                <w:szCs w:val="20"/>
                <w:color w:val="auto"/>
              </w:rPr>
            </w:pPr>
            <w:r>
              <w:rPr>
                <w:rFonts w:ascii="Arial" w:cs="Arial" w:eastAsia="Arial" w:hAnsi="Arial"/>
                <w:sz w:val="20"/>
                <w:szCs w:val="20"/>
                <w:b w:val="1"/>
                <w:bCs w:val="1"/>
                <w:color w:val="auto"/>
                <w:w w:val="95"/>
              </w:rPr>
              <w:t>Dollar</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2"/>
              </w:rPr>
              <w:t>er of</w:t>
            </w:r>
          </w:p>
        </w:tc>
        <w:tc>
          <w:tcPr>
            <w:tcW w:w="2260" w:type="dxa"/>
            <w:vAlign w:val="bottom"/>
            <w:gridSpan w:val="3"/>
          </w:tcPr>
          <w:p>
            <w:pPr>
              <w:ind w:left="20"/>
              <w:spacing w:after="0" w:line="202" w:lineRule="exact"/>
              <w:rPr>
                <w:sz w:val="20"/>
                <w:szCs w:val="20"/>
                <w:color w:val="auto"/>
              </w:rPr>
            </w:pPr>
            <w:r>
              <w:rPr>
                <w:rFonts w:ascii="Arial" w:cs="Arial" w:eastAsia="Arial" w:hAnsi="Arial"/>
                <w:sz w:val="20"/>
                <w:szCs w:val="20"/>
                <w:b w:val="1"/>
                <w:bCs w:val="1"/>
                <w:color w:val="auto"/>
                <w:w w:val="93"/>
              </w:rPr>
              <w:t>Pattern Potential Actions</w:t>
            </w:r>
          </w:p>
        </w:tc>
        <w:tc>
          <w:tcPr>
            <w:tcW w:w="1320" w:type="dxa"/>
            <w:vAlign w:val="bottom"/>
            <w:gridSpan w:val="2"/>
          </w:tcPr>
          <w:p>
            <w:pPr>
              <w:jc w:val="center"/>
              <w:spacing w:after="0" w:line="202" w:lineRule="exact"/>
              <w:rPr>
                <w:sz w:val="20"/>
                <w:szCs w:val="20"/>
                <w:color w:val="auto"/>
              </w:rPr>
            </w:pPr>
            <w:r>
              <w:rPr>
                <w:rFonts w:ascii="Arial" w:cs="Arial" w:eastAsia="Arial" w:hAnsi="Arial"/>
                <w:sz w:val="20"/>
                <w:szCs w:val="20"/>
                <w:b w:val="1"/>
                <w:bCs w:val="1"/>
                <w:color w:val="auto"/>
                <w:w w:val="92"/>
              </w:rPr>
              <w:t>Action Action</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6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1"/>
              </w:rPr>
              <w:t>Section</w:t>
            </w:r>
          </w:p>
        </w:tc>
        <w:tc>
          <w:tcPr>
            <w:tcW w:w="64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86"/>
              </w:rPr>
              <w:t>Sectio</w:t>
            </w:r>
          </w:p>
        </w:tc>
        <w:tc>
          <w:tcPr>
            <w:tcW w:w="900" w:type="dxa"/>
            <w:vAlign w:val="bottom"/>
            <w:gridSpan w:val="2"/>
          </w:tcPr>
          <w:p>
            <w:pPr>
              <w:jc w:val="center"/>
              <w:ind w:right="1"/>
              <w:spacing w:after="0" w:line="202" w:lineRule="exact"/>
              <w:rPr>
                <w:sz w:val="20"/>
                <w:szCs w:val="20"/>
                <w:color w:val="auto"/>
              </w:rPr>
            </w:pPr>
            <w:r>
              <w:rPr>
                <w:rFonts w:ascii="Arial" w:cs="Arial" w:eastAsia="Arial" w:hAnsi="Arial"/>
                <w:sz w:val="20"/>
                <w:szCs w:val="20"/>
                <w:b w:val="1"/>
                <w:bCs w:val="1"/>
                <w:color w:val="auto"/>
                <w:w w:val="87"/>
              </w:rPr>
              <w:t>Value of</w:t>
            </w:r>
          </w:p>
        </w:tc>
        <w:tc>
          <w:tcPr>
            <w:tcW w:w="640" w:type="dxa"/>
            <w:vAlign w:val="bottom"/>
          </w:tcPr>
          <w:p>
            <w:pPr>
              <w:ind w:left="80"/>
              <w:spacing w:after="0" w:line="202" w:lineRule="exact"/>
              <w:rPr>
                <w:sz w:val="20"/>
                <w:szCs w:val="20"/>
                <w:color w:val="auto"/>
              </w:rPr>
            </w:pPr>
            <w:r>
              <w:rPr>
                <w:rFonts w:ascii="Arial" w:cs="Arial" w:eastAsia="Arial" w:hAnsi="Arial"/>
                <w:sz w:val="20"/>
                <w:szCs w:val="20"/>
                <w:b w:val="1"/>
                <w:bCs w:val="1"/>
                <w:color w:val="auto"/>
              </w:rPr>
              <w:t>Minin</w:t>
            </w:r>
          </w:p>
        </w:tc>
        <w:tc>
          <w:tcPr>
            <w:tcW w:w="720" w:type="dxa"/>
            <w:vAlign w:val="bottom"/>
          </w:tcPr>
          <w:p>
            <w:pPr>
              <w:ind w:left="260"/>
              <w:spacing w:after="0" w:line="202" w:lineRule="exact"/>
              <w:rPr>
                <w:sz w:val="20"/>
                <w:szCs w:val="20"/>
                <w:color w:val="auto"/>
              </w:rPr>
            </w:pPr>
            <w:r>
              <w:rPr>
                <w:rFonts w:ascii="Arial" w:cs="Arial" w:eastAsia="Arial" w:hAnsi="Arial"/>
                <w:sz w:val="20"/>
                <w:szCs w:val="20"/>
                <w:b w:val="1"/>
                <w:bCs w:val="1"/>
                <w:color w:val="auto"/>
              </w:rPr>
              <w:t>of</w:t>
            </w:r>
          </w:p>
        </w:tc>
        <w:tc>
          <w:tcPr>
            <w:tcW w:w="80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8"/>
              </w:rPr>
              <w:t>to have</w:t>
            </w:r>
          </w:p>
        </w:tc>
        <w:tc>
          <w:tcPr>
            <w:tcW w:w="7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8"/>
              </w:rPr>
              <w:t>Pending</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71"/>
              </w:rPr>
              <w:t>s</w:t>
            </w:r>
          </w:p>
        </w:tc>
        <w:tc>
          <w:tcPr>
            <w:tcW w:w="68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71"/>
              </w:rPr>
              <w:t>s</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1"/>
              </w:rPr>
              <w:t>104(d)</w:t>
            </w:r>
          </w:p>
        </w:tc>
        <w:tc>
          <w:tcPr>
            <w:tcW w:w="7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00" w:type="dxa"/>
            <w:vAlign w:val="bottom"/>
            <w:gridSpan w:val="2"/>
          </w:tcPr>
          <w:p>
            <w:pPr>
              <w:jc w:val="center"/>
              <w:ind w:right="1"/>
              <w:spacing w:after="0" w:line="202" w:lineRule="exact"/>
              <w:rPr>
                <w:sz w:val="20"/>
                <w:szCs w:val="20"/>
                <w:color w:val="auto"/>
              </w:rPr>
            </w:pPr>
            <w:r>
              <w:rPr>
                <w:rFonts w:ascii="Arial" w:cs="Arial" w:eastAsia="Arial" w:hAnsi="Arial"/>
                <w:sz w:val="20"/>
                <w:szCs w:val="20"/>
                <w:b w:val="1"/>
                <w:bCs w:val="1"/>
                <w:color w:val="auto"/>
              </w:rPr>
              <w:t>MSHA</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1"/>
              </w:rPr>
              <w:t>g</w:t>
            </w:r>
          </w:p>
        </w:tc>
        <w:tc>
          <w:tcPr>
            <w:tcW w:w="1520" w:type="dxa"/>
            <w:vAlign w:val="bottom"/>
            <w:gridSpan w:val="2"/>
          </w:tcPr>
          <w:p>
            <w:pPr>
              <w:ind w:left="40"/>
              <w:spacing w:after="0" w:line="202" w:lineRule="exact"/>
              <w:rPr>
                <w:sz w:val="20"/>
                <w:szCs w:val="20"/>
                <w:color w:val="auto"/>
              </w:rPr>
            </w:pPr>
            <w:r>
              <w:rPr>
                <w:rFonts w:ascii="Arial" w:cs="Arial" w:eastAsia="Arial" w:hAnsi="Arial"/>
                <w:sz w:val="20"/>
                <w:szCs w:val="20"/>
                <w:b w:val="1"/>
                <w:bCs w:val="1"/>
                <w:color w:val="auto"/>
                <w:w w:val="99"/>
              </w:rPr>
              <w:t>Violatio Pattern</w:t>
            </w:r>
          </w:p>
        </w:tc>
        <w:tc>
          <w:tcPr>
            <w:tcW w:w="7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5"/>
              </w:rPr>
              <w:t>as of</w:t>
            </w:r>
          </w:p>
        </w:tc>
        <w:tc>
          <w:tcPr>
            <w:tcW w:w="1320" w:type="dxa"/>
            <w:vAlign w:val="bottom"/>
            <w:gridSpan w:val="2"/>
          </w:tcPr>
          <w:p>
            <w:pPr>
              <w:jc w:val="center"/>
              <w:spacing w:after="0" w:line="202" w:lineRule="exact"/>
              <w:rPr>
                <w:sz w:val="20"/>
                <w:szCs w:val="20"/>
                <w:color w:val="auto"/>
              </w:rPr>
            </w:pPr>
            <w:r>
              <w:rPr>
                <w:rFonts w:ascii="Arial" w:cs="Arial" w:eastAsia="Arial" w:hAnsi="Arial"/>
                <w:sz w:val="20"/>
                <w:szCs w:val="20"/>
                <w:b w:val="1"/>
                <w:bCs w:val="1"/>
                <w:color w:val="auto"/>
                <w:w w:val="91"/>
              </w:rPr>
              <w:t>Institu Resolv</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3"/>
              </w:rPr>
              <w:t>104</w:t>
            </w:r>
          </w:p>
        </w:tc>
        <w:tc>
          <w:tcPr>
            <w:tcW w:w="680" w:type="dxa"/>
            <w:vAlign w:val="bottom"/>
            <w:vMerge w:val="continue"/>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3"/>
              </w:rPr>
              <w:t>Citatio</w:t>
            </w:r>
          </w:p>
        </w:tc>
        <w:tc>
          <w:tcPr>
            <w:tcW w:w="72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8"/>
              </w:rPr>
              <w:t>110(b)</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1"/>
              </w:rPr>
              <w:t>n</w:t>
            </w:r>
          </w:p>
        </w:tc>
        <w:tc>
          <w:tcPr>
            <w:tcW w:w="900" w:type="dxa"/>
            <w:vAlign w:val="bottom"/>
            <w:gridSpan w:val="2"/>
          </w:tcPr>
          <w:p>
            <w:pPr>
              <w:ind w:left="20"/>
              <w:spacing w:after="0" w:line="202" w:lineRule="exact"/>
              <w:rPr>
                <w:sz w:val="20"/>
                <w:szCs w:val="20"/>
                <w:color w:val="auto"/>
              </w:rPr>
            </w:pPr>
            <w:r>
              <w:rPr>
                <w:rFonts w:ascii="Arial" w:cs="Arial" w:eastAsia="Arial" w:hAnsi="Arial"/>
                <w:sz w:val="20"/>
                <w:szCs w:val="20"/>
                <w:b w:val="1"/>
                <w:bCs w:val="1"/>
                <w:color w:val="auto"/>
                <w:w w:val="86"/>
              </w:rPr>
              <w:t>Assessme</w:t>
            </w:r>
          </w:p>
        </w:tc>
        <w:tc>
          <w:tcPr>
            <w:tcW w:w="1360" w:type="dxa"/>
            <w:vAlign w:val="bottom"/>
            <w:gridSpan w:val="2"/>
          </w:tcPr>
          <w:p>
            <w:pPr>
              <w:ind w:left="80"/>
              <w:spacing w:after="0" w:line="202" w:lineRule="exact"/>
              <w:rPr>
                <w:sz w:val="20"/>
                <w:szCs w:val="20"/>
                <w:color w:val="auto"/>
              </w:rPr>
            </w:pPr>
            <w:r>
              <w:rPr>
                <w:rFonts w:ascii="Arial" w:cs="Arial" w:eastAsia="Arial" w:hAnsi="Arial"/>
                <w:sz w:val="20"/>
                <w:szCs w:val="20"/>
                <w:b w:val="1"/>
                <w:bCs w:val="1"/>
                <w:color w:val="auto"/>
                <w:w w:val="89"/>
              </w:rPr>
              <w:t>Relate n Under</w:t>
            </w:r>
          </w:p>
        </w:tc>
        <w:tc>
          <w:tcPr>
            <w:tcW w:w="80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9"/>
              </w:rPr>
              <w:t>under</w:t>
            </w:r>
          </w:p>
        </w:tc>
        <w:tc>
          <w:tcPr>
            <w:tcW w:w="7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7"/>
              </w:rPr>
              <w:t>Last</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6"/>
              </w:rPr>
              <w:t>ted</w:t>
            </w:r>
          </w:p>
        </w:tc>
        <w:tc>
          <w:tcPr>
            <w:tcW w:w="68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5"/>
              </w:rPr>
              <w:t>ed</w:t>
            </w:r>
          </w:p>
        </w:tc>
        <w:tc>
          <w:tcPr>
            <w:tcW w:w="0" w:type="dxa"/>
            <w:vAlign w:val="bottom"/>
          </w:tcPr>
          <w:p>
            <w:pPr>
              <w:spacing w:after="0"/>
              <w:rPr>
                <w:sz w:val="1"/>
                <w:szCs w:val="1"/>
                <w:color w:val="auto"/>
              </w:rPr>
            </w:pPr>
          </w:p>
        </w:tc>
      </w:tr>
      <w:tr>
        <w:trPr>
          <w:trHeight w:val="202"/>
        </w:trPr>
        <w:tc>
          <w:tcPr>
            <w:tcW w:w="1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7"/>
              </w:rPr>
              <w:t>S&amp;S</w:t>
            </w:r>
          </w:p>
        </w:tc>
        <w:tc>
          <w:tcPr>
            <w:tcW w:w="68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8"/>
              </w:rPr>
              <w:t>104(b)</w:t>
            </w:r>
          </w:p>
        </w:tc>
        <w:tc>
          <w:tcPr>
            <w:tcW w:w="72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3"/>
              </w:rPr>
              <w:t>ns and</w:t>
            </w:r>
          </w:p>
        </w:tc>
        <w:tc>
          <w:tcPr>
            <w:tcW w:w="720" w:type="dxa"/>
            <w:vAlign w:val="bottom"/>
          </w:tcPr>
          <w:p>
            <w:pPr>
              <w:jc w:val="right"/>
              <w:ind w:right="161"/>
              <w:spacing w:after="0" w:line="202" w:lineRule="exact"/>
              <w:rPr>
                <w:sz w:val="20"/>
                <w:szCs w:val="20"/>
                <w:color w:val="auto"/>
              </w:rPr>
            </w:pPr>
            <w:r>
              <w:rPr>
                <w:rFonts w:ascii="Arial" w:cs="Arial" w:eastAsia="Arial" w:hAnsi="Arial"/>
                <w:sz w:val="20"/>
                <w:szCs w:val="20"/>
                <w:b w:val="1"/>
                <w:bCs w:val="1"/>
                <w:color w:val="auto"/>
              </w:rPr>
              <w:t>(2)</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3"/>
              </w:rPr>
              <w:t>107(a)</w:t>
            </w:r>
          </w:p>
        </w:tc>
        <w:tc>
          <w:tcPr>
            <w:tcW w:w="140" w:type="dxa"/>
            <w:vAlign w:val="bottom"/>
          </w:tcPr>
          <w:p>
            <w:pPr>
              <w:spacing w:after="0"/>
              <w:rPr>
                <w:sz w:val="17"/>
                <w:szCs w:val="17"/>
                <w:color w:val="auto"/>
              </w:rPr>
            </w:pPr>
          </w:p>
        </w:tc>
        <w:tc>
          <w:tcPr>
            <w:tcW w:w="760" w:type="dxa"/>
            <w:vAlign w:val="bottom"/>
          </w:tcPr>
          <w:p>
            <w:pPr>
              <w:jc w:val="center"/>
              <w:ind w:right="141"/>
              <w:spacing w:after="0" w:line="202" w:lineRule="exact"/>
              <w:rPr>
                <w:sz w:val="20"/>
                <w:szCs w:val="20"/>
                <w:color w:val="auto"/>
              </w:rPr>
            </w:pPr>
            <w:r>
              <w:rPr>
                <w:rFonts w:ascii="Arial" w:cs="Arial" w:eastAsia="Arial" w:hAnsi="Arial"/>
                <w:sz w:val="20"/>
                <w:szCs w:val="20"/>
                <w:b w:val="1"/>
                <w:bCs w:val="1"/>
                <w:color w:val="auto"/>
                <w:w w:val="97"/>
              </w:rPr>
              <w:t>nt/</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7"/>
              </w:rPr>
              <w:t>d</w:t>
            </w:r>
          </w:p>
        </w:tc>
        <w:tc>
          <w:tcPr>
            <w:tcW w:w="720" w:type="dxa"/>
            <w:vAlign w:val="bottom"/>
          </w:tcPr>
          <w:p>
            <w:pPr>
              <w:ind w:left="40"/>
              <w:spacing w:after="0" w:line="202" w:lineRule="exact"/>
              <w:rPr>
                <w:sz w:val="20"/>
                <w:szCs w:val="20"/>
                <w:color w:val="auto"/>
              </w:rPr>
            </w:pPr>
            <w:r>
              <w:rPr>
                <w:rFonts w:ascii="Arial" w:cs="Arial" w:eastAsia="Arial" w:hAnsi="Arial"/>
                <w:sz w:val="20"/>
                <w:szCs w:val="20"/>
                <w:b w:val="1"/>
                <w:bCs w:val="1"/>
                <w:color w:val="auto"/>
                <w:w w:val="91"/>
              </w:rPr>
              <w:t>Section</w:t>
            </w:r>
          </w:p>
        </w:tc>
        <w:tc>
          <w:tcPr>
            <w:tcW w:w="80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5"/>
              </w:rPr>
              <w:t>Section</w:t>
            </w:r>
          </w:p>
        </w:tc>
        <w:tc>
          <w:tcPr>
            <w:tcW w:w="7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1"/>
              </w:rPr>
              <w:t>Day of</w:t>
            </w:r>
          </w:p>
        </w:tc>
        <w:tc>
          <w:tcPr>
            <w:tcW w:w="1320" w:type="dxa"/>
            <w:vAlign w:val="bottom"/>
            <w:gridSpan w:val="2"/>
          </w:tcPr>
          <w:p>
            <w:pPr>
              <w:jc w:val="center"/>
              <w:spacing w:after="0" w:line="202" w:lineRule="exact"/>
              <w:rPr>
                <w:sz w:val="20"/>
                <w:szCs w:val="20"/>
                <w:color w:val="auto"/>
              </w:rPr>
            </w:pPr>
            <w:r>
              <w:rPr>
                <w:rFonts w:ascii="Arial" w:cs="Arial" w:eastAsia="Arial" w:hAnsi="Arial"/>
                <w:sz w:val="20"/>
                <w:szCs w:val="20"/>
                <w:b w:val="1"/>
                <w:bCs w:val="1"/>
                <w:color w:val="auto"/>
                <w:w w:val="93"/>
              </w:rPr>
              <w:t>During During</w:t>
            </w:r>
          </w:p>
        </w:tc>
        <w:tc>
          <w:tcPr>
            <w:tcW w:w="0" w:type="dxa"/>
            <w:vAlign w:val="bottom"/>
          </w:tcPr>
          <w:p>
            <w:pPr>
              <w:spacing w:after="0"/>
              <w:rPr>
                <w:sz w:val="1"/>
                <w:szCs w:val="1"/>
                <w:color w:val="auto"/>
              </w:rPr>
            </w:pPr>
          </w:p>
        </w:tc>
      </w:tr>
      <w:tr>
        <w:trPr>
          <w:trHeight w:val="202"/>
        </w:trPr>
        <w:tc>
          <w:tcPr>
            <w:tcW w:w="1980" w:type="dxa"/>
            <w:vAlign w:val="bottom"/>
            <w:vMerge w:val="restart"/>
          </w:tcPr>
          <w:p>
            <w:pPr>
              <w:ind w:left="660"/>
              <w:spacing w:after="0"/>
              <w:rPr>
                <w:sz w:val="20"/>
                <w:szCs w:val="20"/>
                <w:color w:val="auto"/>
              </w:rPr>
            </w:pPr>
            <w:r>
              <w:rPr>
                <w:rFonts w:ascii="Arial" w:cs="Arial" w:eastAsia="Arial" w:hAnsi="Arial"/>
                <w:sz w:val="20"/>
                <w:szCs w:val="20"/>
                <w:b w:val="1"/>
                <w:bCs w:val="1"/>
                <w:color w:val="auto"/>
              </w:rPr>
              <w:t>Location</w:t>
            </w:r>
          </w:p>
        </w:tc>
        <w:tc>
          <w:tcPr>
            <w:tcW w:w="2780" w:type="dxa"/>
            <w:vAlign w:val="bottom"/>
            <w:gridSpan w:val="4"/>
          </w:tcPr>
          <w:p>
            <w:pPr>
              <w:ind w:left="80"/>
              <w:spacing w:after="0" w:line="202" w:lineRule="exact"/>
              <w:rPr>
                <w:sz w:val="20"/>
                <w:szCs w:val="20"/>
                <w:color w:val="auto"/>
              </w:rPr>
            </w:pPr>
            <w:r>
              <w:rPr>
                <w:rFonts w:ascii="Arial" w:cs="Arial" w:eastAsia="Arial" w:hAnsi="Arial"/>
                <w:sz w:val="20"/>
                <w:szCs w:val="20"/>
                <w:b w:val="1"/>
                <w:bCs w:val="1"/>
                <w:color w:val="auto"/>
                <w:w w:val="99"/>
              </w:rPr>
              <w:t>MSHA Citatio Orders Orders</w:t>
            </w:r>
          </w:p>
        </w:tc>
        <w:tc>
          <w:tcPr>
            <w:tcW w:w="2260" w:type="dxa"/>
            <w:vAlign w:val="bottom"/>
            <w:gridSpan w:val="4"/>
          </w:tcPr>
          <w:p>
            <w:pPr>
              <w:ind w:left="40"/>
              <w:spacing w:after="0" w:line="202" w:lineRule="exact"/>
              <w:rPr>
                <w:sz w:val="20"/>
                <w:szCs w:val="20"/>
                <w:color w:val="auto"/>
              </w:rPr>
            </w:pPr>
            <w:r>
              <w:rPr>
                <w:rFonts w:ascii="Arial" w:cs="Arial" w:eastAsia="Arial" w:hAnsi="Arial"/>
                <w:sz w:val="20"/>
                <w:szCs w:val="20"/>
                <w:b w:val="1"/>
                <w:bCs w:val="1"/>
                <w:color w:val="auto"/>
                <w:w w:val="96"/>
              </w:rPr>
              <w:t>Violatio Order $Propose</w:t>
            </w:r>
          </w:p>
        </w:tc>
        <w:tc>
          <w:tcPr>
            <w:tcW w:w="6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94"/>
              </w:rPr>
              <w:t>Fatalit</w:t>
            </w:r>
          </w:p>
        </w:tc>
        <w:tc>
          <w:tcPr>
            <w:tcW w:w="720" w:type="dxa"/>
            <w:vAlign w:val="bottom"/>
          </w:tcPr>
          <w:p>
            <w:pPr>
              <w:ind w:left="80"/>
              <w:spacing w:after="0" w:line="202" w:lineRule="exact"/>
              <w:rPr>
                <w:sz w:val="20"/>
                <w:szCs w:val="20"/>
                <w:color w:val="auto"/>
              </w:rPr>
            </w:pPr>
            <w:r>
              <w:rPr>
                <w:rFonts w:ascii="Arial" w:cs="Arial" w:eastAsia="Arial" w:hAnsi="Arial"/>
                <w:sz w:val="20"/>
                <w:szCs w:val="20"/>
                <w:b w:val="1"/>
                <w:bCs w:val="1"/>
                <w:color w:val="auto"/>
              </w:rPr>
              <w:t>104(e)</w:t>
            </w:r>
          </w:p>
        </w:tc>
        <w:tc>
          <w:tcPr>
            <w:tcW w:w="80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6"/>
              </w:rPr>
              <w:t>104(e)</w:t>
            </w:r>
          </w:p>
        </w:tc>
        <w:tc>
          <w:tcPr>
            <w:tcW w:w="740" w:type="dxa"/>
            <w:vAlign w:val="bottom"/>
          </w:tcPr>
          <w:p>
            <w:pPr>
              <w:jc w:val="center"/>
              <w:spacing w:after="0" w:line="202" w:lineRule="exact"/>
              <w:rPr>
                <w:sz w:val="20"/>
                <w:szCs w:val="20"/>
                <w:color w:val="auto"/>
              </w:rPr>
            </w:pPr>
            <w:r>
              <w:rPr>
                <w:rFonts w:ascii="Arial" w:cs="Arial" w:eastAsia="Arial" w:hAnsi="Arial"/>
                <w:sz w:val="20"/>
                <w:szCs w:val="20"/>
                <w:b w:val="1"/>
                <w:bCs w:val="1"/>
                <w:color w:val="auto"/>
                <w:w w:val="89"/>
              </w:rPr>
              <w:t>Period</w:t>
            </w:r>
          </w:p>
        </w:tc>
        <w:tc>
          <w:tcPr>
            <w:tcW w:w="1320" w:type="dxa"/>
            <w:vAlign w:val="bottom"/>
            <w:gridSpan w:val="2"/>
          </w:tcPr>
          <w:p>
            <w:pPr>
              <w:jc w:val="center"/>
              <w:spacing w:after="0" w:line="202" w:lineRule="exact"/>
              <w:rPr>
                <w:sz w:val="20"/>
                <w:szCs w:val="20"/>
                <w:color w:val="auto"/>
              </w:rPr>
            </w:pPr>
            <w:r>
              <w:rPr>
                <w:rFonts w:ascii="Arial" w:cs="Arial" w:eastAsia="Arial" w:hAnsi="Arial"/>
                <w:sz w:val="20"/>
                <w:szCs w:val="20"/>
                <w:b w:val="1"/>
                <w:bCs w:val="1"/>
                <w:color w:val="auto"/>
                <w:w w:val="92"/>
              </w:rPr>
              <w:t>Period Period</w:t>
            </w:r>
          </w:p>
        </w:tc>
        <w:tc>
          <w:tcPr>
            <w:tcW w:w="0" w:type="dxa"/>
            <w:vAlign w:val="bottom"/>
          </w:tcPr>
          <w:p>
            <w:pPr>
              <w:spacing w:after="0"/>
              <w:rPr>
                <w:sz w:val="1"/>
                <w:szCs w:val="1"/>
                <w:color w:val="auto"/>
              </w:rPr>
            </w:pPr>
          </w:p>
        </w:tc>
      </w:tr>
      <w:tr>
        <w:trPr>
          <w:trHeight w:val="252"/>
        </w:trPr>
        <w:tc>
          <w:tcPr>
            <w:tcW w:w="1980" w:type="dxa"/>
            <w:vAlign w:val="bottom"/>
            <w:vMerge w:val="continue"/>
          </w:tcPr>
          <w:p>
            <w:pPr>
              <w:spacing w:after="0"/>
              <w:rPr>
                <w:sz w:val="21"/>
                <w:szCs w:val="21"/>
                <w:color w:val="auto"/>
              </w:rPr>
            </w:pPr>
          </w:p>
        </w:tc>
        <w:tc>
          <w:tcPr>
            <w:tcW w:w="700" w:type="dxa"/>
            <w:vAlign w:val="bottom"/>
          </w:tcPr>
          <w:p>
            <w:pPr>
              <w:jc w:val="right"/>
              <w:ind w:right="121"/>
              <w:spacing w:after="0"/>
              <w:rPr>
                <w:sz w:val="20"/>
                <w:szCs w:val="20"/>
                <w:color w:val="auto"/>
              </w:rPr>
            </w:pPr>
            <w:r>
              <w:rPr>
                <w:rFonts w:ascii="Arial" w:cs="Arial" w:eastAsia="Arial" w:hAnsi="Arial"/>
                <w:sz w:val="20"/>
                <w:szCs w:val="20"/>
                <w:b w:val="1"/>
                <w:bCs w:val="1"/>
                <w:color w:val="auto"/>
              </w:rPr>
              <w:t>ID</w:t>
            </w:r>
          </w:p>
        </w:tc>
        <w:tc>
          <w:tcPr>
            <w:tcW w:w="680" w:type="dxa"/>
            <w:vAlign w:val="bottom"/>
          </w:tcPr>
          <w:p>
            <w:pPr>
              <w:ind w:left="120"/>
              <w:spacing w:after="0"/>
              <w:rPr>
                <w:sz w:val="20"/>
                <w:szCs w:val="20"/>
                <w:color w:val="auto"/>
              </w:rPr>
            </w:pPr>
            <w:r>
              <w:rPr>
                <w:rFonts w:ascii="Arial" w:cs="Arial" w:eastAsia="Arial" w:hAnsi="Arial"/>
                <w:sz w:val="20"/>
                <w:szCs w:val="20"/>
                <w:b w:val="1"/>
                <w:bCs w:val="1"/>
                <w:color w:val="auto"/>
              </w:rPr>
              <w:t>ns (#)</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ind w:left="140"/>
              <w:spacing w:after="0"/>
              <w:rPr>
                <w:sz w:val="20"/>
                <w:szCs w:val="20"/>
                <w:color w:val="auto"/>
              </w:rPr>
            </w:pPr>
            <w:r>
              <w:rPr>
                <w:rFonts w:ascii="Arial" w:cs="Arial" w:eastAsia="Arial" w:hAnsi="Arial"/>
                <w:sz w:val="20"/>
                <w:szCs w:val="20"/>
                <w:b w:val="1"/>
                <w:bCs w:val="1"/>
                <w:color w:val="auto"/>
              </w:rPr>
              <w:t>ns (#)</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87"/>
              </w:rPr>
              <w:t>s (#)</w:t>
            </w:r>
          </w:p>
        </w:tc>
        <w:tc>
          <w:tcPr>
            <w:tcW w:w="140" w:type="dxa"/>
            <w:vAlign w:val="bottom"/>
          </w:tcPr>
          <w:p>
            <w:pPr>
              <w:spacing w:after="0"/>
              <w:rPr>
                <w:sz w:val="21"/>
                <w:szCs w:val="21"/>
                <w:color w:val="auto"/>
              </w:rPr>
            </w:pPr>
          </w:p>
        </w:tc>
        <w:tc>
          <w:tcPr>
            <w:tcW w:w="760" w:type="dxa"/>
            <w:vAlign w:val="bottom"/>
          </w:tcPr>
          <w:p>
            <w:pPr>
              <w:jc w:val="center"/>
              <w:ind w:right="81"/>
              <w:spacing w:after="0"/>
              <w:rPr>
                <w:sz w:val="20"/>
                <w:szCs w:val="20"/>
                <w:color w:val="auto"/>
              </w:rPr>
            </w:pPr>
            <w:r>
              <w:rPr>
                <w:rFonts w:ascii="Arial" w:cs="Arial" w:eastAsia="Arial" w:hAnsi="Arial"/>
                <w:sz w:val="20"/>
                <w:szCs w:val="20"/>
                <w:b w:val="1"/>
                <w:bCs w:val="1"/>
                <w:color w:val="auto"/>
                <w:w w:val="81"/>
              </w:rPr>
              <w:t>d</w:t>
            </w:r>
          </w:p>
        </w:tc>
        <w:tc>
          <w:tcPr>
            <w:tcW w:w="1360" w:type="dxa"/>
            <w:vAlign w:val="bottom"/>
            <w:gridSpan w:val="2"/>
          </w:tcPr>
          <w:p>
            <w:pPr>
              <w:ind w:left="100"/>
              <w:spacing w:after="0"/>
              <w:rPr>
                <w:sz w:val="20"/>
                <w:szCs w:val="20"/>
                <w:color w:val="auto"/>
              </w:rPr>
            </w:pPr>
            <w:r>
              <w:rPr>
                <w:rFonts w:ascii="Arial" w:cs="Arial" w:eastAsia="Arial" w:hAnsi="Arial"/>
                <w:sz w:val="20"/>
                <w:szCs w:val="20"/>
                <w:b w:val="1"/>
                <w:bCs w:val="1"/>
                <w:color w:val="auto"/>
                <w:w w:val="88"/>
              </w:rPr>
              <w:t>ies (#) (yes/no)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310163</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Alexander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310018</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American Stone</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440296</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w w:val="91"/>
              </w:rPr>
              <w:t>Anderson Creek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090108</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Appling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310005</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Arrowood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310006</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Asheboro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010000</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Auburn Al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090043</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Auburn GA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090006</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Augusta GA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310007</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Bakers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090095</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Ball Ground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310006</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Belgrade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310197</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Benson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380007</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Berkeley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310110</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w w:val="98"/>
              </w:rPr>
              <w:t>Bessemer City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310196</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Bonds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180002</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Boonesboro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310004</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Burlington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2</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310186</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Caldwell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400339</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Calhoun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380071</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Calhoun Sand</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310006</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Castle Hayne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380001</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Cayce</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310005</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Central Rock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310005</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Charlotte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400315</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20"/>
              <w:spacing w:after="0"/>
              <w:rPr>
                <w:sz w:val="20"/>
                <w:szCs w:val="20"/>
                <w:color w:val="auto"/>
              </w:rPr>
            </w:pPr>
            <w:r>
              <w:rPr>
                <w:rFonts w:ascii="Arial" w:cs="Arial" w:eastAsia="Arial" w:hAnsi="Arial"/>
                <w:sz w:val="20"/>
                <w:szCs w:val="20"/>
                <w:color w:val="auto"/>
              </w:rPr>
              <w:t>Chattanooga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5" w:lineRule="exact"/>
              <w:rPr>
                <w:sz w:val="20"/>
                <w:szCs w:val="20"/>
                <w:color w:val="auto"/>
              </w:rPr>
            </w:pPr>
            <w:r>
              <w:rPr>
                <w:rFonts w:ascii="Arial" w:cs="Arial" w:eastAsia="Arial" w:hAnsi="Arial"/>
                <w:sz w:val="20"/>
                <w:szCs w:val="20"/>
                <w:color w:val="auto"/>
                <w:w w:val="98"/>
              </w:rPr>
              <w:t>180001</w:t>
            </w: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Churchville Quarry</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20"/>
                <w:szCs w:val="20"/>
                <w:color w:val="auto"/>
                <w:w w:val="98"/>
              </w:rPr>
              <w:t>310200</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Arial" w:cs="Arial" w:eastAsia="Arial" w:hAnsi="Arial"/>
                <w:sz w:val="20"/>
                <w:szCs w:val="20"/>
                <w:color w:val="auto"/>
              </w:rPr>
              <w:t>Clarks Quarry</w:t>
            </w:r>
          </w:p>
        </w:tc>
        <w:tc>
          <w:tcPr>
            <w:tcW w:w="700" w:type="dxa"/>
            <w:vAlign w:val="bottom"/>
          </w:tcPr>
          <w:p>
            <w:pPr>
              <w:jc w:val="right"/>
              <w:spacing w:after="0"/>
              <w:rPr>
                <w:sz w:val="20"/>
                <w:szCs w:val="20"/>
                <w:color w:val="auto"/>
              </w:rPr>
            </w:pPr>
            <w:r>
              <w:rPr>
                <w:rFonts w:ascii="Arial" w:cs="Arial" w:eastAsia="Arial" w:hAnsi="Arial"/>
                <w:sz w:val="20"/>
                <w:szCs w:val="20"/>
                <w:color w:val="auto"/>
              </w:rPr>
              <w:t>9</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ind w:left="20"/>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515"/>
        </w:trPr>
        <w:tc>
          <w:tcPr>
            <w:tcW w:w="1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063"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1"/>
        </w:trPr>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184"/>
        </w:trPr>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310223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Cumberland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090046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Cumming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310197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Denver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440004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Doswell Quarry VA</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090002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Douglasville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w w:val="99"/>
              </w:rPr>
              <w:t>East Alamance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380073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Edgefield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380066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Edmund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310006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Fountain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310213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Franklin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180001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Frederick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310205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Fuquay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Garner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380052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Georgetown II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310233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3"/>
              </w:rPr>
              <w:t>Greensboro Portable Plt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ind w:left="20"/>
              <w:spacing w:after="0" w:line="185" w:lineRule="exact"/>
              <w:rPr>
                <w:sz w:val="20"/>
                <w:szCs w:val="20"/>
                <w:color w:val="auto"/>
              </w:rPr>
            </w:pPr>
            <w:r>
              <w:rPr>
                <w:rFonts w:ascii="Arial" w:cs="Arial" w:eastAsia="Arial" w:hAnsi="Arial"/>
                <w:sz w:val="20"/>
                <w:szCs w:val="20"/>
                <w:color w:val="auto"/>
                <w:w w:val="93"/>
              </w:rPr>
              <w:t>Greensboro Portable Plt</w:t>
            </w: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310233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II</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310004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Hickory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090095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Homer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310005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Jamestown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090110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Jefferson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090102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Junction City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310007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Kannapolis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180074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Kent Sand &amp;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310004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w w:val="97"/>
              </w:rPr>
              <w:t>Kings Mountain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310110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9"/>
              </w:rPr>
              <w:t>Lemon Springs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090002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Lithonia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380072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Loamy Sand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310212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Maiden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310200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Mallard Creek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310208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Matthews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010063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Maylene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180003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Medford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440376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Midlothian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29"/>
        </w:trPr>
        <w:tc>
          <w:tcPr>
            <w:tcW w:w="2040" w:type="dxa"/>
            <w:vAlign w:val="bottom"/>
          </w:tcPr>
          <w:p>
            <w:pPr>
              <w:ind w:left="20"/>
              <w:spacing w:after="0" w:line="229" w:lineRule="exact"/>
              <w:rPr>
                <w:sz w:val="20"/>
                <w:szCs w:val="20"/>
                <w:color w:val="auto"/>
              </w:rPr>
            </w:pPr>
            <w:r>
              <w:rPr>
                <w:rFonts w:ascii="Arial" w:cs="Arial" w:eastAsia="Arial" w:hAnsi="Arial"/>
                <w:sz w:val="20"/>
                <w:szCs w:val="20"/>
                <w:color w:val="auto"/>
                <w:w w:val="91"/>
              </w:rPr>
              <w:t>Misc Greensboro District</w:t>
            </w:r>
          </w:p>
        </w:tc>
        <w:tc>
          <w:tcPr>
            <w:tcW w:w="780" w:type="dxa"/>
            <w:vAlign w:val="bottom"/>
          </w:tcPr>
          <w:p>
            <w:pPr>
              <w:jc w:val="right"/>
              <w:ind w:right="61"/>
              <w:spacing w:after="0" w:line="229" w:lineRule="exact"/>
              <w:rPr>
                <w:sz w:val="20"/>
                <w:szCs w:val="20"/>
                <w:color w:val="auto"/>
              </w:rPr>
            </w:pPr>
            <w:r>
              <w:rPr>
                <w:rFonts w:ascii="Arial" w:cs="Arial" w:eastAsia="Arial" w:hAnsi="Arial"/>
                <w:sz w:val="20"/>
                <w:szCs w:val="20"/>
                <w:color w:val="auto"/>
              </w:rPr>
              <w:t>B8611</w:t>
            </w:r>
          </w:p>
        </w:tc>
        <w:tc>
          <w:tcPr>
            <w:tcW w:w="56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line="229" w:lineRule="exact"/>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line="229" w:lineRule="exact"/>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line="229" w:lineRule="exact"/>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line="229" w:lineRule="exact"/>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line="229" w:lineRule="exact"/>
              <w:rPr>
                <w:sz w:val="20"/>
                <w:szCs w:val="20"/>
                <w:color w:val="auto"/>
              </w:rPr>
            </w:pPr>
            <w:r>
              <w:rPr>
                <w:rFonts w:ascii="Arial" w:cs="Arial" w:eastAsia="Arial" w:hAnsi="Arial"/>
                <w:sz w:val="20"/>
                <w:szCs w:val="20"/>
                <w:color w:val="auto"/>
              </w:rPr>
              <w:t>0</w:t>
            </w:r>
          </w:p>
        </w:tc>
        <w:tc>
          <w:tcPr>
            <w:tcW w:w="740" w:type="dxa"/>
            <w:vAlign w:val="bottom"/>
          </w:tcPr>
          <w:p>
            <w:pPr>
              <w:ind w:left="240"/>
              <w:spacing w:after="0" w:line="229" w:lineRule="exact"/>
              <w:rPr>
                <w:sz w:val="20"/>
                <w:szCs w:val="20"/>
                <w:color w:val="auto"/>
              </w:rPr>
            </w:pPr>
            <w:r>
              <w:rPr>
                <w:rFonts w:ascii="Arial" w:cs="Arial" w:eastAsia="Arial" w:hAnsi="Arial"/>
                <w:sz w:val="20"/>
                <w:szCs w:val="20"/>
                <w:color w:val="auto"/>
              </w:rPr>
              <w:t>no</w:t>
            </w:r>
          </w:p>
        </w:tc>
        <w:tc>
          <w:tcPr>
            <w:tcW w:w="780" w:type="dxa"/>
            <w:vAlign w:val="bottom"/>
          </w:tcPr>
          <w:p>
            <w:pPr>
              <w:ind w:left="280"/>
              <w:spacing w:after="0" w:line="229" w:lineRule="exact"/>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400" w:type="dxa"/>
            <w:vAlign w:val="bottom"/>
          </w:tcPr>
          <w:p>
            <w:pPr>
              <w:jc w:val="right"/>
              <w:spacing w:after="0" w:line="229" w:lineRule="exact"/>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090112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Morgan County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090089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Newton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380014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North Columbia</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22" w:right="339" w:bottom="0"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835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1"/>
        </w:trPr>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70"/>
        </w:trPr>
        <w:tc>
          <w:tcPr>
            <w:tcW w:w="2000" w:type="dxa"/>
            <w:vAlign w:val="bottom"/>
          </w:tcPr>
          <w:p>
            <w:pPr>
              <w:spacing w:after="0"/>
              <w:rPr>
                <w:sz w:val="24"/>
                <w:szCs w:val="24"/>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w w:val="95"/>
              </w:rPr>
              <w:t>180041</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North East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380070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Old Charleston Sand</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010307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O'Neal Plant  Co 19</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310212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Onslow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090110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Paulding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080108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Perry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180002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Pinesburg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310005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Pomona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310194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w w:val="92"/>
              </w:rPr>
              <w:t>Raleigh Durham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440007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Red Hill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090006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Red Oak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310006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Reidsville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380002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Rock Hill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310195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Rocky Point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090007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Ruby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310203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Salem Stone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090114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Six Mile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St. Marys Sand</w:t>
            </w: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090119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Company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310005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Statesville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180000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Texas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454</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310147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Thomasville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090030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Tyrone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010302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Vance Quarry  Co 19</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360016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Warfordsburg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090058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Warrenton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310006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Woodleaf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610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ind w:left="20"/>
              <w:spacing w:after="0" w:line="185" w:lineRule="exact"/>
              <w:rPr>
                <w:sz w:val="20"/>
                <w:szCs w:val="20"/>
                <w:color w:val="auto"/>
              </w:rPr>
            </w:pPr>
            <w:r>
              <w:rPr>
                <w:rFonts w:ascii="Arial" w:cs="Arial" w:eastAsia="Arial" w:hAnsi="Arial"/>
                <w:sz w:val="20"/>
                <w:szCs w:val="20"/>
                <w:color w:val="auto"/>
                <w:w w:val="96"/>
              </w:rPr>
              <w:t>(45) North Indianapolis</w:t>
            </w: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120000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SURFACE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6,215</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130203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w w:val="93"/>
              </w:rPr>
              <w:t>Alden Portable Plant #2</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130203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Alden Portable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130022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Alden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130001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Ames Mine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330167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Apple Grove S G</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41"/>
              <w:spacing w:after="0" w:line="185" w:lineRule="exact"/>
              <w:rPr>
                <w:sz w:val="20"/>
                <w:szCs w:val="20"/>
                <w:color w:val="auto"/>
              </w:rPr>
            </w:pPr>
            <w:r>
              <w:rPr>
                <w:rFonts w:ascii="Arial" w:cs="Arial" w:eastAsia="Arial" w:hAnsi="Arial"/>
                <w:sz w:val="20"/>
                <w:szCs w:val="20"/>
                <w:color w:val="auto"/>
                <w:w w:val="98"/>
              </w:rPr>
              <w:t>120191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Belmont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Bowling Green North</w:t>
            </w: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150006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ind w:left="20"/>
              <w:spacing w:after="0" w:line="185" w:lineRule="exact"/>
              <w:rPr>
                <w:sz w:val="20"/>
                <w:szCs w:val="20"/>
                <w:color w:val="auto"/>
              </w:rPr>
            </w:pPr>
            <w:r>
              <w:rPr>
                <w:rFonts w:ascii="Arial" w:cs="Arial" w:eastAsia="Arial" w:hAnsi="Arial"/>
                <w:sz w:val="20"/>
                <w:szCs w:val="20"/>
                <w:color w:val="auto"/>
              </w:rPr>
              <w:t>Bowling Green South</w:t>
            </w: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150002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460886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Burning Springs Mine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83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201"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1"/>
        </w:trPr>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70"/>
        </w:trPr>
        <w:tc>
          <w:tcPr>
            <w:tcW w:w="2000" w:type="dxa"/>
            <w:vAlign w:val="bottom"/>
          </w:tcPr>
          <w:p>
            <w:pPr>
              <w:spacing w:after="0"/>
              <w:rPr>
                <w:sz w:val="24"/>
                <w:szCs w:val="24"/>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w w:val="95"/>
              </w:rPr>
              <w:t>120212</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Carmel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Cedar Rapids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330407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Cedarville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120174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Cloverdale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150003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Cumberland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130015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Des Moines Portable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130093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w w:val="91"/>
              </w:rPr>
              <w:t>Des Moines Portable #2</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250104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Dubois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540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130122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Durham Mine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330427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E Town Sand Gravel</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378</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130212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Earlham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210121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Elk River Wash Plant</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330139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Fairfield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Ferguson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250130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Fort Calhoun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144</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130003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Fort Dodge Mine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ind w:left="20"/>
              <w:spacing w:after="0" w:line="185" w:lineRule="exact"/>
              <w:rPr>
                <w:sz w:val="20"/>
                <w:szCs w:val="20"/>
                <w:color w:val="auto"/>
              </w:rPr>
            </w:pPr>
            <w:r>
              <w:rPr>
                <w:rFonts w:ascii="Arial" w:cs="Arial" w:eastAsia="Arial" w:hAnsi="Arial"/>
                <w:sz w:val="20"/>
                <w:szCs w:val="20"/>
                <w:color w:val="auto"/>
              </w:rPr>
              <w:t>Greenwood Quarry</w:t>
            </w: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230014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New</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150007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Harlan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150009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Hartford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130212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Inactive Iowa Grading</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130231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Iowa Grading</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w w:val="90"/>
              </w:rPr>
              <w:t>Johnson County Sand &amp;</w:t>
            </w: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120250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Gravel</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120176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Kentucky Ave Mine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4</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4,998</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120210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Kokomo Mine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120220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Kokomo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120014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Kokomo Stone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399</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130220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Linn County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130011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Malcom Mine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130071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Marshalltown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29"/>
        </w:trPr>
        <w:tc>
          <w:tcPr>
            <w:tcW w:w="200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rPr>
              <w:t>Midwest Division OH</w:t>
            </w:r>
          </w:p>
        </w:tc>
        <w:tc>
          <w:tcPr>
            <w:tcW w:w="820" w:type="dxa"/>
            <w:vAlign w:val="bottom"/>
            <w:shd w:val="clear" w:color="auto" w:fill="CFF0FC"/>
          </w:tcPr>
          <w:p>
            <w:pPr>
              <w:jc w:val="right"/>
              <w:ind w:right="61"/>
              <w:spacing w:after="0" w:line="229" w:lineRule="exact"/>
              <w:rPr>
                <w:sz w:val="20"/>
                <w:szCs w:val="20"/>
                <w:color w:val="auto"/>
              </w:rPr>
            </w:pPr>
            <w:r>
              <w:rPr>
                <w:rFonts w:ascii="Arial" w:cs="Arial" w:eastAsia="Arial" w:hAnsi="Arial"/>
                <w:sz w:val="20"/>
                <w:szCs w:val="20"/>
                <w:color w:val="auto"/>
              </w:rPr>
              <w:t>A2354</w:t>
            </w:r>
          </w:p>
        </w:tc>
        <w:tc>
          <w:tcPr>
            <w:tcW w:w="560" w:type="dxa"/>
            <w:vAlign w:val="bottom"/>
            <w:shd w:val="clear" w:color="auto" w:fill="CFF0FC"/>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line="229" w:lineRule="exact"/>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line="229" w:lineRule="exact"/>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line="229" w:lineRule="exact"/>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line="229" w:lineRule="exact"/>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210111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MN Portable # 1</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210159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MN Portable # 2</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210314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MN Portable # 3</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210328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MN Portable # 4</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210111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MN Portable # 5</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210312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MN Portable # 6</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210335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20"/>
                <w:szCs w:val="20"/>
                <w:color w:val="auto"/>
              </w:rPr>
              <w:t>MN Portable # 7</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22" w:right="339" w:bottom="0"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835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1"/>
        </w:trPr>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184"/>
        </w:trPr>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210184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MN Portable # 8</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210369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MN Reclamation</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130218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Moore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130177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New Harvey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130250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New Marshall Sand</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120199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Noblesville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120217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Noblesville Stone</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ind w:left="20"/>
              <w:spacing w:after="0" w:line="185" w:lineRule="exact"/>
              <w:rPr>
                <w:sz w:val="20"/>
                <w:szCs w:val="20"/>
                <w:color w:val="auto"/>
              </w:rPr>
            </w:pPr>
            <w:r>
              <w:rPr>
                <w:rFonts w:ascii="Arial" w:cs="Arial" w:eastAsia="Arial" w:hAnsi="Arial"/>
                <w:sz w:val="20"/>
                <w:szCs w:val="20"/>
                <w:color w:val="auto"/>
              </w:rPr>
              <w:t>North Indianapolis</w:t>
            </w: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120199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250127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North Valley Sand</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140159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Ottawa Quarry New</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130219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Pedersen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151689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Petersburg Ky Gravel</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330000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Phillipsburg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130212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Portland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120224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Putnam Quarry Divest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130231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Raccoon River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230230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Randolph Mine</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2,940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130081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Reasnor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130229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Saylorville Sand</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41"/>
              <w:spacing w:after="0" w:line="185" w:lineRule="exact"/>
              <w:rPr>
                <w:sz w:val="20"/>
                <w:szCs w:val="20"/>
                <w:color w:val="auto"/>
              </w:rPr>
            </w:pPr>
            <w:r>
              <w:rPr>
                <w:rFonts w:ascii="Arial" w:cs="Arial" w:eastAsia="Arial" w:hAnsi="Arial"/>
                <w:sz w:val="20"/>
                <w:szCs w:val="20"/>
                <w:color w:val="auto"/>
                <w:w w:val="92"/>
              </w:rPr>
              <w:t>330401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Shamrock SG</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w w:val="99"/>
              </w:rPr>
              <w:t>Spring Valley Cook Rd</w:t>
            </w: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330453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SG</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210008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St Cloud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230223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Stamper Mine</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5</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130006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Sully Mine</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140155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Sunflower Qy  Co 61</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330167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Troy Gravel</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250131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Walterloo Sand</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120203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Waverly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250099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Weeping Water Mine</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338</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250123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West Center Sand</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330139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Xenia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210003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w w:val="94"/>
              </w:rPr>
              <w:t>Yellow Medicine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020252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0"/>
              </w:rPr>
              <w:t>Clarkdale Sand &amp;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040015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Clayton</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020317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Coolidge Plant 65</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040475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Eagle Valley Plant</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480001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6"/>
              </w:rPr>
              <w:t>Granite Canyon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22" w:right="339" w:bottom="0"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273050</wp:posOffset>
            </wp:positionV>
            <wp:extent cx="71583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1"/>
        </w:trPr>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70"/>
        </w:trPr>
        <w:tc>
          <w:tcPr>
            <w:tcW w:w="204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20"/>
                <w:szCs w:val="20"/>
                <w:color w:val="auto"/>
                <w:w w:val="89"/>
              </w:rPr>
              <w:t>050438</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w w:val="93"/>
              </w:rPr>
              <w:t>Greeley 35th Ready Mix</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ind w:left="20"/>
              <w:spacing w:after="0" w:line="185" w:lineRule="exact"/>
              <w:rPr>
                <w:sz w:val="20"/>
                <w:szCs w:val="20"/>
                <w:color w:val="auto"/>
              </w:rPr>
            </w:pPr>
            <w:r>
              <w:rPr>
                <w:rFonts w:ascii="Arial" w:cs="Arial" w:eastAsia="Arial" w:hAnsi="Arial"/>
                <w:sz w:val="20"/>
                <w:szCs w:val="20"/>
                <w:color w:val="auto"/>
              </w:rPr>
              <w:t>Greeley 35th Sand</w:t>
            </w: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050461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480000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Guernsey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020267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Hassayampa</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040176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Hughson AGG &amp; HMA</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040183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Irwindale Plant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040268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w w:val="93"/>
              </w:rPr>
              <w:t>Lakeside Vigilante Plant</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040284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Merced AGG &amp; HMA</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420217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Milford Quarry  Utah</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1"/>
              <w:spacing w:after="0" w:line="185" w:lineRule="exact"/>
              <w:rPr>
                <w:sz w:val="20"/>
                <w:szCs w:val="20"/>
                <w:color w:val="auto"/>
              </w:rPr>
            </w:pPr>
            <w:r>
              <w:rPr>
                <w:rFonts w:ascii="Arial" w:cs="Arial" w:eastAsia="Arial" w:hAnsi="Arial"/>
                <w:sz w:val="20"/>
                <w:szCs w:val="20"/>
                <w:color w:val="auto"/>
                <w:w w:val="92"/>
              </w:rPr>
              <w:t>040291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9"/>
              </w:rPr>
              <w:t>Miramar Recycle Plant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450084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Pacific Quarry</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050463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Parkdale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050321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Parsons Sand Gravel</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050450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86"/>
              </w:rPr>
              <w:t>Penrose Sand and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ind w:left="20"/>
              <w:spacing w:after="0" w:line="185" w:lineRule="exact"/>
              <w:rPr>
                <w:sz w:val="20"/>
                <w:szCs w:val="20"/>
                <w:color w:val="auto"/>
              </w:rPr>
            </w:pPr>
            <w:r>
              <w:rPr>
                <w:rFonts w:ascii="Arial" w:cs="Arial" w:eastAsia="Arial" w:hAnsi="Arial"/>
                <w:sz w:val="20"/>
                <w:szCs w:val="20"/>
                <w:color w:val="auto"/>
              </w:rPr>
              <w:t>Pier 92 Marine</w:t>
            </w: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040526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Aggregates</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050441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Platte Sand &amp;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050398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Portable Crushing</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050435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Portable Plant 1</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050452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Portable Plant 21</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050413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Red Canyon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040003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Redding Cement</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050418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Rich Sand &amp;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777</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020264</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River Ranch AGG</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050484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6"/>
              </w:rPr>
              <w:t>Riverbend Sand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040053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San Andreas AGG</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040579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Sanger AGG</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ind w:left="20"/>
              <w:spacing w:after="0" w:line="185" w:lineRule="exact"/>
              <w:rPr>
                <w:sz w:val="20"/>
                <w:szCs w:val="20"/>
                <w:color w:val="auto"/>
              </w:rPr>
            </w:pPr>
            <w:r>
              <w:rPr>
                <w:rFonts w:ascii="Arial" w:cs="Arial" w:eastAsia="Arial" w:hAnsi="Arial"/>
                <w:sz w:val="20"/>
                <w:szCs w:val="20"/>
                <w:color w:val="auto"/>
              </w:rPr>
              <w:t>Santa Margarita</w:t>
            </w: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040161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Aggregates</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1,253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040556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Santee Plant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040195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Sisquoc Aggregates</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050086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Spec Agg Quarry</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040185</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Sunol Plant</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050452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Taft Sand Gravel</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169</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050473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Taft Wash Plant</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144</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040019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Tehachapi Cement</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ind w:left="20"/>
              <w:spacing w:after="0" w:line="185" w:lineRule="exact"/>
              <w:rPr>
                <w:sz w:val="20"/>
                <w:szCs w:val="20"/>
                <w:color w:val="auto"/>
              </w:rPr>
            </w:pPr>
            <w:r>
              <w:rPr>
                <w:rFonts w:ascii="Arial" w:cs="Arial" w:eastAsia="Arial" w:hAnsi="Arial"/>
                <w:sz w:val="20"/>
                <w:szCs w:val="20"/>
                <w:color w:val="auto"/>
              </w:rPr>
              <w:t>Tidewater Oakland</w:t>
            </w: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040300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Marine Agg</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89"/>
              </w:rPr>
              <w:t>020122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Yavapai AGG</w:t>
            </w:r>
          </w:p>
        </w:tc>
        <w:tc>
          <w:tcPr>
            <w:tcW w:w="7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80" w:type="dxa"/>
            <w:vAlign w:val="bottom"/>
          </w:tcPr>
          <w:p>
            <w:pPr>
              <w:jc w:val="right"/>
              <w:ind w:right="61"/>
              <w:spacing w:after="0" w:line="185" w:lineRule="exact"/>
              <w:rPr>
                <w:sz w:val="20"/>
                <w:szCs w:val="20"/>
                <w:color w:val="auto"/>
              </w:rPr>
            </w:pPr>
            <w:r>
              <w:rPr>
                <w:rFonts w:ascii="Arial" w:cs="Arial" w:eastAsia="Arial" w:hAnsi="Arial"/>
                <w:sz w:val="20"/>
                <w:szCs w:val="20"/>
                <w:color w:val="auto"/>
                <w:w w:val="89"/>
              </w:rPr>
              <w:t>410538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2040" w:type="dxa"/>
            <w:vAlign w:val="bottom"/>
          </w:tcPr>
          <w:p>
            <w:pPr>
              <w:ind w:left="20"/>
              <w:spacing w:after="0"/>
              <w:rPr>
                <w:sz w:val="20"/>
                <w:szCs w:val="20"/>
                <w:color w:val="auto"/>
              </w:rPr>
            </w:pPr>
            <w:r>
              <w:rPr>
                <w:rFonts w:ascii="Arial" w:cs="Arial" w:eastAsia="Arial" w:hAnsi="Arial"/>
                <w:sz w:val="20"/>
                <w:szCs w:val="20"/>
                <w:color w:val="auto"/>
              </w:rPr>
              <w:t>51 Sand &amp; Gravel</w:t>
            </w:r>
          </w:p>
        </w:tc>
        <w:tc>
          <w:tcPr>
            <w:tcW w:w="78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22" w:right="339" w:bottom="0"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273050</wp:posOffset>
            </wp:positionV>
            <wp:extent cx="71583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1"/>
        </w:trPr>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184"/>
        </w:trPr>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410133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Beckmann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410328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Bedrock Sand Gravel</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410401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Bells Savoy SG</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41"/>
              <w:spacing w:after="0" w:line="185" w:lineRule="exact"/>
              <w:rPr>
                <w:sz w:val="20"/>
                <w:szCs w:val="20"/>
                <w:color w:val="auto"/>
              </w:rPr>
            </w:pPr>
            <w:r>
              <w:rPr>
                <w:rFonts w:ascii="Arial" w:cs="Arial" w:eastAsia="Arial" w:hAnsi="Arial"/>
                <w:sz w:val="20"/>
                <w:szCs w:val="20"/>
                <w:color w:val="auto"/>
                <w:w w:val="98"/>
              </w:rPr>
              <w:t>030001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Black Rock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410415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Black Spur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198</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410000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Bridgeport Stone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340046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Broken Bow SG</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407</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410336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Chico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340129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Davis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614</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410390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Garfield SG</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410288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Garwood Gravel</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296</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29"/>
        </w:trPr>
        <w:tc>
          <w:tcPr>
            <w:tcW w:w="2000" w:type="dxa"/>
            <w:vAlign w:val="bottom"/>
          </w:tcPr>
          <w:p>
            <w:pPr>
              <w:ind w:left="20"/>
              <w:spacing w:after="0" w:line="229" w:lineRule="exact"/>
              <w:rPr>
                <w:sz w:val="20"/>
                <w:szCs w:val="20"/>
                <w:color w:val="auto"/>
              </w:rPr>
            </w:pPr>
            <w:r>
              <w:rPr>
                <w:rFonts w:ascii="Arial" w:cs="Arial" w:eastAsia="Arial" w:hAnsi="Arial"/>
                <w:sz w:val="20"/>
                <w:szCs w:val="20"/>
                <w:color w:val="auto"/>
              </w:rPr>
              <w:t>GMS</w:t>
            </w:r>
          </w:p>
        </w:tc>
        <w:tc>
          <w:tcPr>
            <w:tcW w:w="820" w:type="dxa"/>
            <w:vAlign w:val="bottom"/>
          </w:tcPr>
          <w:p>
            <w:pPr>
              <w:jc w:val="right"/>
              <w:ind w:right="61"/>
              <w:spacing w:after="0" w:line="229" w:lineRule="exact"/>
              <w:rPr>
                <w:sz w:val="20"/>
                <w:szCs w:val="20"/>
                <w:color w:val="auto"/>
              </w:rPr>
            </w:pPr>
            <w:r>
              <w:rPr>
                <w:rFonts w:ascii="Arial" w:cs="Arial" w:eastAsia="Arial" w:hAnsi="Arial"/>
                <w:sz w:val="20"/>
                <w:szCs w:val="20"/>
                <w:color w:val="auto"/>
              </w:rPr>
              <w:t>C335</w:t>
            </w:r>
          </w:p>
        </w:tc>
        <w:tc>
          <w:tcPr>
            <w:tcW w:w="56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line="229" w:lineRule="exact"/>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line="229" w:lineRule="exact"/>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line="229" w:lineRule="exact"/>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line="229" w:lineRule="exact"/>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line="229" w:lineRule="exact"/>
              <w:rPr>
                <w:sz w:val="20"/>
                <w:szCs w:val="20"/>
                <w:color w:val="auto"/>
              </w:rPr>
            </w:pPr>
            <w:r>
              <w:rPr>
                <w:rFonts w:ascii="Arial" w:cs="Arial" w:eastAsia="Arial" w:hAnsi="Arial"/>
                <w:sz w:val="20"/>
                <w:szCs w:val="20"/>
                <w:color w:val="auto"/>
              </w:rPr>
              <w:t>0</w:t>
            </w:r>
          </w:p>
        </w:tc>
        <w:tc>
          <w:tcPr>
            <w:tcW w:w="740" w:type="dxa"/>
            <w:vAlign w:val="bottom"/>
          </w:tcPr>
          <w:p>
            <w:pPr>
              <w:ind w:left="240"/>
              <w:spacing w:after="0" w:line="229" w:lineRule="exact"/>
              <w:rPr>
                <w:sz w:val="20"/>
                <w:szCs w:val="20"/>
                <w:color w:val="auto"/>
              </w:rPr>
            </w:pPr>
            <w:r>
              <w:rPr>
                <w:rFonts w:ascii="Arial" w:cs="Arial" w:eastAsia="Arial" w:hAnsi="Arial"/>
                <w:sz w:val="20"/>
                <w:szCs w:val="20"/>
                <w:color w:val="auto"/>
              </w:rPr>
              <w:t>no</w:t>
            </w:r>
          </w:p>
        </w:tc>
        <w:tc>
          <w:tcPr>
            <w:tcW w:w="780" w:type="dxa"/>
            <w:vAlign w:val="bottom"/>
          </w:tcPr>
          <w:p>
            <w:pPr>
              <w:ind w:left="280"/>
              <w:spacing w:after="0" w:line="229" w:lineRule="exact"/>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400" w:type="dxa"/>
            <w:vAlign w:val="bottom"/>
          </w:tcPr>
          <w:p>
            <w:pPr>
              <w:jc w:val="right"/>
              <w:spacing w:after="0" w:line="229" w:lineRule="exact"/>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410420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Gulf Coast Port #2</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030161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Hatton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410313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Helotes</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410382</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Highway 211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410470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Hondo</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340006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Hugo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410282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Hunter Cement</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410523</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Hunter Stone</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340050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Idabel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030158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Jones Mill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266</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410504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Koontz McCombs Pit</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410526</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Liberty Ranch Sand</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410517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Medina Rock Rail</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410007</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Midlothian Cement</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340185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Mill Creek Limestone</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340128</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Mill Creek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410438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North Austin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160141</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Perryville Aggregates</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410134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Poteet Sand</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410359</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Rio Medina</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410133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San Pedro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340180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rPr>
              <w:t>Sawyer East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340163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Sawyer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tcPr>
          <w:p>
            <w:pPr>
              <w:spacing w:after="0"/>
              <w:rPr>
                <w:sz w:val="16"/>
                <w:szCs w:val="16"/>
                <w:color w:val="auto"/>
              </w:rPr>
            </w:pPr>
          </w:p>
        </w:tc>
        <w:tc>
          <w:tcPr>
            <w:tcW w:w="820" w:type="dxa"/>
            <w:vAlign w:val="bottom"/>
          </w:tcPr>
          <w:p>
            <w:pPr>
              <w:jc w:val="right"/>
              <w:ind w:right="61"/>
              <w:spacing w:after="0" w:line="185" w:lineRule="exact"/>
              <w:rPr>
                <w:sz w:val="20"/>
                <w:szCs w:val="20"/>
                <w:color w:val="auto"/>
              </w:rPr>
            </w:pPr>
            <w:r>
              <w:rPr>
                <w:rFonts w:ascii="Arial" w:cs="Arial" w:eastAsia="Arial" w:hAnsi="Arial"/>
                <w:sz w:val="20"/>
                <w:szCs w:val="20"/>
                <w:color w:val="auto"/>
                <w:w w:val="95"/>
              </w:rPr>
              <w:t>410410</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00" w:type="dxa"/>
            <w:vAlign w:val="bottom"/>
          </w:tcPr>
          <w:p>
            <w:pPr>
              <w:ind w:left="20"/>
              <w:spacing w:after="0"/>
              <w:rPr>
                <w:sz w:val="20"/>
                <w:szCs w:val="20"/>
                <w:color w:val="auto"/>
              </w:rPr>
            </w:pPr>
            <w:r>
              <w:rPr>
                <w:rFonts w:ascii="Arial" w:cs="Arial" w:eastAsia="Arial" w:hAnsi="Arial"/>
                <w:sz w:val="20"/>
                <w:szCs w:val="20"/>
                <w:color w:val="auto"/>
                <w:w w:val="93"/>
              </w:rPr>
              <w:t>Smithson Valley Quarry</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1"/>
              <w:spacing w:after="0" w:line="185" w:lineRule="exact"/>
              <w:rPr>
                <w:sz w:val="20"/>
                <w:szCs w:val="20"/>
                <w:color w:val="auto"/>
              </w:rPr>
            </w:pPr>
            <w:r>
              <w:rPr>
                <w:rFonts w:ascii="Arial" w:cs="Arial" w:eastAsia="Arial" w:hAnsi="Arial"/>
                <w:sz w:val="20"/>
                <w:szCs w:val="20"/>
                <w:color w:val="auto"/>
                <w:w w:val="95"/>
              </w:rPr>
              <w:t>340165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00" w:type="dxa"/>
            <w:vAlign w:val="bottom"/>
            <w:shd w:val="clear" w:color="auto" w:fill="CFF0FC"/>
          </w:tcPr>
          <w:p>
            <w:pPr>
              <w:ind w:left="20"/>
              <w:spacing w:after="0"/>
              <w:rPr>
                <w:sz w:val="20"/>
                <w:szCs w:val="20"/>
                <w:color w:val="auto"/>
              </w:rPr>
            </w:pPr>
            <w:r>
              <w:rPr>
                <w:rFonts w:ascii="Arial" w:cs="Arial" w:eastAsia="Arial" w:hAnsi="Arial"/>
                <w:sz w:val="20"/>
                <w:szCs w:val="20"/>
                <w:color w:val="auto"/>
              </w:rPr>
              <w:t>Snyder Quarry</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bl>
    <w:p>
      <w:pPr>
        <w:sectPr>
          <w:pgSz w:w="11900" w:h="16838" w:orient="portrait"/>
          <w:cols w:equalWidth="0" w:num="1">
            <w:col w:w="11240"/>
          </w:cols>
          <w:pgMar w:left="320" w:top="122" w:right="339" w:bottom="0"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835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1"/>
        </w:trPr>
        <w:tc>
          <w:tcPr>
            <w:tcW w:w="2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w w:val="89"/>
              </w:rPr>
              <w:t>Appendix 1</w:t>
            </w:r>
          </w:p>
        </w:tc>
      </w:tr>
      <w:tr>
        <w:trPr>
          <w:trHeight w:val="370"/>
        </w:trPr>
        <w:tc>
          <w:tcPr>
            <w:tcW w:w="204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color w:val="auto"/>
                <w:w w:val="89"/>
              </w:rPr>
              <w:t>410285</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Tin Top SG</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2</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6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1"/>
              <w:spacing w:after="0" w:line="185" w:lineRule="exact"/>
              <w:rPr>
                <w:sz w:val="20"/>
                <w:szCs w:val="20"/>
                <w:color w:val="auto"/>
              </w:rPr>
            </w:pPr>
            <w:r>
              <w:rPr>
                <w:rFonts w:ascii="Arial" w:cs="Arial" w:eastAsia="Arial" w:hAnsi="Arial"/>
                <w:sz w:val="20"/>
                <w:szCs w:val="20"/>
                <w:color w:val="auto"/>
                <w:w w:val="89"/>
              </w:rPr>
              <w:t>340204</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rPr>
              <w:t>Washita Quarry</w:t>
            </w:r>
          </w:p>
        </w:tc>
        <w:tc>
          <w:tcPr>
            <w:tcW w:w="7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60" w:type="dxa"/>
            <w:vAlign w:val="bottom"/>
          </w:tcPr>
          <w:p>
            <w:pPr>
              <w:jc w:val="right"/>
              <w:ind w:right="41"/>
              <w:spacing w:after="0" w:line="185" w:lineRule="exact"/>
              <w:rPr>
                <w:sz w:val="20"/>
                <w:szCs w:val="20"/>
                <w:color w:val="auto"/>
              </w:rPr>
            </w:pPr>
            <w:r>
              <w:rPr>
                <w:rFonts w:ascii="Arial" w:cs="Arial" w:eastAsia="Arial" w:hAnsi="Arial"/>
                <w:sz w:val="20"/>
                <w:szCs w:val="20"/>
                <w:color w:val="auto"/>
                <w:w w:val="89"/>
              </w:rPr>
              <w:t>410436</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Webberville</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133</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6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185"/>
        </w:trPr>
        <w:tc>
          <w:tcPr>
            <w:tcW w:w="20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1"/>
              <w:spacing w:after="0" w:line="185" w:lineRule="exact"/>
              <w:rPr>
                <w:sz w:val="20"/>
                <w:szCs w:val="20"/>
                <w:color w:val="auto"/>
              </w:rPr>
            </w:pPr>
            <w:r>
              <w:rPr>
                <w:rFonts w:ascii="Arial" w:cs="Arial" w:eastAsia="Arial" w:hAnsi="Arial"/>
                <w:sz w:val="20"/>
                <w:szCs w:val="20"/>
                <w:color w:val="auto"/>
                <w:w w:val="89"/>
              </w:rPr>
              <w:t>160107</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46"/>
        </w:trPr>
        <w:tc>
          <w:tcPr>
            <w:tcW w:w="2040" w:type="dxa"/>
            <w:vAlign w:val="bottom"/>
            <w:shd w:val="clear" w:color="auto" w:fill="CFF0FC"/>
          </w:tcPr>
          <w:p>
            <w:pPr>
              <w:ind w:left="20"/>
              <w:spacing w:after="0"/>
              <w:rPr>
                <w:sz w:val="20"/>
                <w:szCs w:val="20"/>
                <w:color w:val="auto"/>
              </w:rPr>
            </w:pPr>
            <w:r>
              <w:rPr>
                <w:rFonts w:ascii="Arial" w:cs="Arial" w:eastAsia="Arial" w:hAnsi="Arial"/>
                <w:sz w:val="20"/>
                <w:szCs w:val="20"/>
                <w:color w:val="auto"/>
                <w:w w:val="95"/>
              </w:rPr>
              <w:t>Woodworth Aggregates</w:t>
            </w:r>
          </w:p>
        </w:tc>
        <w:tc>
          <w:tcPr>
            <w:tcW w:w="7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r>
      <w:tr>
        <w:trPr>
          <w:trHeight w:val="229"/>
        </w:trPr>
        <w:tc>
          <w:tcPr>
            <w:tcW w:w="2040" w:type="dxa"/>
            <w:vAlign w:val="bottom"/>
          </w:tcPr>
          <w:p>
            <w:pPr>
              <w:ind w:left="20"/>
              <w:spacing w:after="0" w:line="229" w:lineRule="exact"/>
              <w:rPr>
                <w:sz w:val="20"/>
                <w:szCs w:val="20"/>
                <w:color w:val="auto"/>
              </w:rPr>
            </w:pPr>
            <w:r>
              <w:rPr>
                <w:rFonts w:ascii="Arial" w:cs="Arial" w:eastAsia="Arial" w:hAnsi="Arial"/>
                <w:sz w:val="20"/>
                <w:szCs w:val="20"/>
                <w:color w:val="auto"/>
              </w:rPr>
              <w:t>Salisbury Shop</w:t>
            </w:r>
          </w:p>
        </w:tc>
        <w:tc>
          <w:tcPr>
            <w:tcW w:w="760" w:type="dxa"/>
            <w:vAlign w:val="bottom"/>
          </w:tcPr>
          <w:p>
            <w:pPr>
              <w:jc w:val="right"/>
              <w:ind w:right="41"/>
              <w:spacing w:after="0" w:line="229" w:lineRule="exact"/>
              <w:rPr>
                <w:sz w:val="20"/>
                <w:szCs w:val="20"/>
                <w:color w:val="auto"/>
              </w:rPr>
            </w:pPr>
            <w:r>
              <w:rPr>
                <w:rFonts w:ascii="Arial" w:cs="Arial" w:eastAsia="Arial" w:hAnsi="Arial"/>
                <w:sz w:val="20"/>
                <w:szCs w:val="20"/>
                <w:color w:val="auto"/>
              </w:rPr>
              <w:t>B9338</w:t>
            </w:r>
          </w:p>
        </w:tc>
        <w:tc>
          <w:tcPr>
            <w:tcW w:w="600" w:type="dxa"/>
            <w:vAlign w:val="bottom"/>
          </w:tcPr>
          <w:p>
            <w:pPr>
              <w:jc w:val="center"/>
              <w:ind w:right="41"/>
              <w:spacing w:after="0" w:line="229" w:lineRule="exact"/>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line="229" w:lineRule="exact"/>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line="229" w:lineRule="exact"/>
              <w:rPr>
                <w:sz w:val="20"/>
                <w:szCs w:val="20"/>
                <w:color w:val="auto"/>
              </w:rPr>
            </w:pPr>
            <w:r>
              <w:rPr>
                <w:rFonts w:ascii="Arial" w:cs="Arial" w:eastAsia="Arial" w:hAnsi="Arial"/>
                <w:sz w:val="20"/>
                <w:szCs w:val="20"/>
                <w:color w:val="auto"/>
              </w:rPr>
              <w:t>0</w:t>
            </w:r>
          </w:p>
        </w:tc>
        <w:tc>
          <w:tcPr>
            <w:tcW w:w="300" w:type="dxa"/>
            <w:vAlign w:val="bottom"/>
          </w:tcPr>
          <w:p>
            <w:pPr>
              <w:jc w:val="right"/>
              <w:spacing w:after="0" w:line="229" w:lineRule="exact"/>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line="229" w:lineRule="exact"/>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line="229" w:lineRule="exact"/>
              <w:rPr>
                <w:sz w:val="20"/>
                <w:szCs w:val="20"/>
                <w:color w:val="auto"/>
              </w:rPr>
            </w:pPr>
            <w:r>
              <w:rPr>
                <w:rFonts w:ascii="Arial" w:cs="Arial" w:eastAsia="Arial" w:hAnsi="Arial"/>
                <w:sz w:val="20"/>
                <w:szCs w:val="20"/>
                <w:color w:val="auto"/>
              </w:rPr>
              <w:t>0</w:t>
            </w:r>
          </w:p>
        </w:tc>
        <w:tc>
          <w:tcPr>
            <w:tcW w:w="740" w:type="dxa"/>
            <w:vAlign w:val="bottom"/>
          </w:tcPr>
          <w:p>
            <w:pPr>
              <w:ind w:left="240"/>
              <w:spacing w:after="0" w:line="229" w:lineRule="exact"/>
              <w:rPr>
                <w:sz w:val="20"/>
                <w:szCs w:val="20"/>
                <w:color w:val="auto"/>
              </w:rPr>
            </w:pPr>
            <w:r>
              <w:rPr>
                <w:rFonts w:ascii="Arial" w:cs="Arial" w:eastAsia="Arial" w:hAnsi="Arial"/>
                <w:sz w:val="20"/>
                <w:szCs w:val="20"/>
                <w:color w:val="auto"/>
              </w:rPr>
              <w:t>no</w:t>
            </w:r>
          </w:p>
        </w:tc>
        <w:tc>
          <w:tcPr>
            <w:tcW w:w="760" w:type="dxa"/>
            <w:vAlign w:val="bottom"/>
          </w:tcPr>
          <w:p>
            <w:pPr>
              <w:ind w:left="280"/>
              <w:spacing w:after="0" w:line="229" w:lineRule="exact"/>
              <w:rPr>
                <w:sz w:val="20"/>
                <w:szCs w:val="20"/>
                <w:color w:val="auto"/>
              </w:rPr>
            </w:pPr>
            <w:r>
              <w:rPr>
                <w:rFonts w:ascii="Arial" w:cs="Arial" w:eastAsia="Arial" w:hAnsi="Arial"/>
                <w:sz w:val="20"/>
                <w:szCs w:val="20"/>
                <w:color w:val="auto"/>
              </w:rPr>
              <w:t>no</w:t>
            </w:r>
          </w:p>
        </w:tc>
        <w:tc>
          <w:tcPr>
            <w:tcW w:w="760" w:type="dxa"/>
            <w:vAlign w:val="bottom"/>
          </w:tcPr>
          <w:p>
            <w:pPr>
              <w:jc w:val="center"/>
              <w:spacing w:after="0" w:line="229" w:lineRule="exact"/>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line="229" w:lineRule="exact"/>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line="229" w:lineRule="exact"/>
              <w:rPr>
                <w:sz w:val="20"/>
                <w:szCs w:val="20"/>
                <w:color w:val="auto"/>
              </w:rPr>
            </w:pPr>
            <w:r>
              <w:rPr>
                <w:rFonts w:ascii="Arial" w:cs="Arial" w:eastAsia="Arial" w:hAnsi="Arial"/>
                <w:sz w:val="20"/>
                <w:szCs w:val="20"/>
                <w:color w:val="auto"/>
              </w:rPr>
              <w:t>0</w:t>
            </w:r>
          </w:p>
        </w:tc>
      </w:tr>
      <w:tr>
        <w:trPr>
          <w:trHeight w:val="229"/>
        </w:trPr>
        <w:tc>
          <w:tcPr>
            <w:tcW w:w="20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color w:val="auto"/>
                <w:w w:val="91"/>
              </w:rPr>
              <w:t>Geology and Exploration</w:t>
            </w:r>
          </w:p>
        </w:tc>
        <w:tc>
          <w:tcPr>
            <w:tcW w:w="76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rPr>
              <w:t>B7137</w:t>
            </w:r>
          </w:p>
        </w:tc>
        <w:tc>
          <w:tcPr>
            <w:tcW w:w="600" w:type="dxa"/>
            <w:vAlign w:val="bottom"/>
            <w:shd w:val="clear" w:color="auto" w:fill="CFF0FC"/>
          </w:tcPr>
          <w:p>
            <w:pPr>
              <w:jc w:val="center"/>
              <w:ind w:right="41"/>
              <w:spacing w:after="0" w:line="229" w:lineRule="exact"/>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line="229" w:lineRule="exact"/>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line="229" w:lineRule="exact"/>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line="229" w:lineRule="exact"/>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161"/>
              <w:spacing w:after="0" w:line="229" w:lineRule="exact"/>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line="229" w:lineRule="exact"/>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ind w:left="280"/>
              <w:spacing w:after="0" w:line="229" w:lineRule="exact"/>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line="229" w:lineRule="exact"/>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color w:val="auto"/>
              </w:rPr>
              <w:t>0</w:t>
            </w:r>
          </w:p>
        </w:tc>
        <w:tc>
          <w:tcPr>
            <w:tcW w:w="92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color w:val="auto"/>
              </w:rPr>
              <w:t>0</w:t>
            </w:r>
          </w:p>
        </w:tc>
      </w:tr>
      <w:tr>
        <w:trPr>
          <w:trHeight w:val="185"/>
        </w:trPr>
        <w:tc>
          <w:tcPr>
            <w:tcW w:w="2040" w:type="dxa"/>
            <w:vAlign w:val="bottom"/>
          </w:tcPr>
          <w:p>
            <w:pPr>
              <w:spacing w:after="0"/>
              <w:rPr>
                <w:sz w:val="16"/>
                <w:szCs w:val="16"/>
                <w:color w:val="auto"/>
              </w:rPr>
            </w:pPr>
          </w:p>
        </w:tc>
        <w:tc>
          <w:tcPr>
            <w:tcW w:w="760" w:type="dxa"/>
            <w:vAlign w:val="bottom"/>
          </w:tcPr>
          <w:p>
            <w:pPr>
              <w:jc w:val="right"/>
              <w:ind w:right="41"/>
              <w:spacing w:after="0" w:line="185" w:lineRule="exact"/>
              <w:rPr>
                <w:sz w:val="20"/>
                <w:szCs w:val="20"/>
                <w:color w:val="auto"/>
              </w:rPr>
            </w:pPr>
            <w:r>
              <w:rPr>
                <w:rFonts w:ascii="Arial" w:cs="Arial" w:eastAsia="Arial" w:hAnsi="Arial"/>
                <w:sz w:val="20"/>
                <w:szCs w:val="20"/>
                <w:color w:val="auto"/>
                <w:w w:val="89"/>
              </w:rPr>
              <w:t>330015</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6"/>
        </w:trPr>
        <w:tc>
          <w:tcPr>
            <w:tcW w:w="2040" w:type="dxa"/>
            <w:vAlign w:val="bottom"/>
          </w:tcPr>
          <w:p>
            <w:pPr>
              <w:ind w:left="20"/>
              <w:spacing w:after="0"/>
              <w:rPr>
                <w:sz w:val="20"/>
                <w:szCs w:val="20"/>
                <w:color w:val="auto"/>
              </w:rPr>
            </w:pPr>
            <w:r>
              <w:rPr>
                <w:rFonts w:ascii="Arial" w:cs="Arial" w:eastAsia="Arial" w:hAnsi="Arial"/>
                <w:sz w:val="20"/>
                <w:szCs w:val="20"/>
                <w:color w:val="auto"/>
              </w:rPr>
              <w:t>Woodville Stone</w:t>
            </w:r>
          </w:p>
        </w:tc>
        <w:tc>
          <w:tcPr>
            <w:tcW w:w="760" w:type="dxa"/>
            <w:vAlign w:val="bottom"/>
          </w:tcPr>
          <w:p>
            <w:pPr>
              <w:jc w:val="right"/>
              <w:ind w:right="41"/>
              <w:spacing w:after="0"/>
              <w:rPr>
                <w:sz w:val="20"/>
                <w:szCs w:val="20"/>
                <w:color w:val="auto"/>
              </w:rPr>
            </w:pPr>
            <w:r>
              <w:rPr>
                <w:rFonts w:ascii="Arial" w:cs="Arial" w:eastAsia="Arial" w:hAnsi="Arial"/>
                <w:sz w:val="20"/>
                <w:szCs w:val="20"/>
                <w:color w:val="auto"/>
              </w:rPr>
              <w:t>6</w:t>
            </w:r>
          </w:p>
        </w:tc>
        <w:tc>
          <w:tcPr>
            <w:tcW w:w="600" w:type="dxa"/>
            <w:vAlign w:val="bottom"/>
          </w:tcPr>
          <w:p>
            <w:pPr>
              <w:jc w:val="center"/>
              <w:ind w:right="41"/>
              <w:spacing w:after="0"/>
              <w:rPr>
                <w:sz w:val="20"/>
                <w:szCs w:val="20"/>
                <w:color w:val="auto"/>
              </w:rPr>
            </w:pPr>
            <w:r>
              <w:rPr>
                <w:rFonts w:ascii="Arial" w:cs="Arial" w:eastAsia="Arial" w:hAnsi="Arial"/>
                <w:sz w:val="20"/>
                <w:szCs w:val="20"/>
                <w:color w:val="auto"/>
                <w:w w:val="89"/>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6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20" w:type="dxa"/>
            <w:vAlign w:val="bottom"/>
          </w:tcPr>
          <w:p>
            <w:pPr>
              <w:jc w:val="right"/>
              <w:ind w:right="181"/>
              <w:spacing w:after="0"/>
              <w:rPr>
                <w:sz w:val="20"/>
                <w:szCs w:val="20"/>
                <w:color w:val="auto"/>
              </w:rPr>
            </w:pPr>
            <w:r>
              <w:rPr>
                <w:rFonts w:ascii="Arial" w:cs="Arial" w:eastAsia="Arial" w:hAnsi="Arial"/>
                <w:sz w:val="20"/>
                <w:szCs w:val="20"/>
                <w:color w:val="auto"/>
              </w:rPr>
              <w:t>0</w:t>
            </w:r>
          </w:p>
        </w:tc>
      </w:tr>
      <w:tr>
        <w:trPr>
          <w:trHeight w:val="229"/>
        </w:trPr>
        <w:tc>
          <w:tcPr>
            <w:tcW w:w="2040" w:type="dxa"/>
            <w:vAlign w:val="bottom"/>
            <w:shd w:val="clear" w:color="auto" w:fill="CFF0FC"/>
          </w:tcPr>
          <w:p>
            <w:pPr>
              <w:ind w:left="20"/>
              <w:spacing w:after="0" w:line="229" w:lineRule="exact"/>
              <w:rPr>
                <w:sz w:val="20"/>
                <w:szCs w:val="20"/>
                <w:color w:val="auto"/>
              </w:rPr>
            </w:pPr>
            <w:r>
              <w:rPr>
                <w:rFonts w:ascii="Arial" w:cs="Arial" w:eastAsia="Arial" w:hAnsi="Arial"/>
                <w:sz w:val="20"/>
                <w:szCs w:val="20"/>
                <w:b w:val="1"/>
                <w:bCs w:val="1"/>
                <w:color w:val="auto"/>
              </w:rPr>
              <w:t>TOTAL</w:t>
            </w:r>
          </w:p>
        </w:tc>
        <w:tc>
          <w:tcPr>
            <w:tcW w:w="760" w:type="dxa"/>
            <w:vAlign w:val="bottom"/>
            <w:shd w:val="clear" w:color="auto" w:fill="CFF0FC"/>
          </w:tcPr>
          <w:p>
            <w:pPr>
              <w:spacing w:after="0"/>
              <w:rPr>
                <w:sz w:val="19"/>
                <w:szCs w:val="19"/>
                <w:color w:val="auto"/>
              </w:rPr>
            </w:pPr>
          </w:p>
        </w:tc>
        <w:tc>
          <w:tcPr>
            <w:tcW w:w="600" w:type="dxa"/>
            <w:vAlign w:val="bottom"/>
            <w:shd w:val="clear" w:color="auto" w:fill="CFF0FC"/>
          </w:tcPr>
          <w:p>
            <w:pPr>
              <w:jc w:val="center"/>
              <w:ind w:right="61"/>
              <w:spacing w:after="0" w:line="229" w:lineRule="exact"/>
              <w:rPr>
                <w:sz w:val="20"/>
                <w:szCs w:val="20"/>
                <w:color w:val="auto"/>
              </w:rPr>
            </w:pPr>
            <w:r>
              <w:rPr>
                <w:rFonts w:ascii="Arial" w:cs="Arial" w:eastAsia="Arial" w:hAnsi="Arial"/>
                <w:sz w:val="20"/>
                <w:szCs w:val="20"/>
                <w:b w:val="1"/>
                <w:bCs w:val="1"/>
                <w:color w:val="auto"/>
                <w:w w:val="89"/>
              </w:rPr>
              <w:t>22</w:t>
            </w:r>
          </w:p>
        </w:tc>
        <w:tc>
          <w:tcPr>
            <w:tcW w:w="66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b w:val="1"/>
                <w:bCs w:val="1"/>
                <w:color w:val="auto"/>
              </w:rPr>
              <w:t>0</w:t>
            </w:r>
          </w:p>
        </w:tc>
        <w:tc>
          <w:tcPr>
            <w:tcW w:w="720" w:type="dxa"/>
            <w:vAlign w:val="bottom"/>
            <w:shd w:val="clear" w:color="auto" w:fill="CFF0FC"/>
          </w:tcPr>
          <w:p>
            <w:pPr>
              <w:jc w:val="right"/>
              <w:ind w:right="221"/>
              <w:spacing w:after="0" w:line="229" w:lineRule="exact"/>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jc w:val="right"/>
              <w:ind w:right="201"/>
              <w:spacing w:after="0" w:line="229" w:lineRule="exact"/>
              <w:rPr>
                <w:sz w:val="20"/>
                <w:szCs w:val="20"/>
                <w:color w:val="auto"/>
              </w:rPr>
            </w:pPr>
            <w:r>
              <w:rPr>
                <w:rFonts w:ascii="Arial" w:cs="Arial" w:eastAsia="Arial" w:hAnsi="Arial"/>
                <w:sz w:val="20"/>
                <w:szCs w:val="20"/>
                <w:b w:val="1"/>
                <w:bCs w:val="1"/>
                <w:color w:val="auto"/>
              </w:rPr>
              <w:t>0</w:t>
            </w:r>
          </w:p>
        </w:tc>
        <w:tc>
          <w:tcPr>
            <w:tcW w:w="540" w:type="dxa"/>
            <w:vAlign w:val="bottom"/>
            <w:shd w:val="clear" w:color="auto" w:fill="CFF0FC"/>
          </w:tcPr>
          <w:p>
            <w:pPr>
              <w:jc w:val="right"/>
              <w:ind w:right="41"/>
              <w:spacing w:after="0" w:line="229" w:lineRule="exact"/>
              <w:rPr>
                <w:sz w:val="20"/>
                <w:szCs w:val="20"/>
                <w:color w:val="auto"/>
              </w:rPr>
            </w:pPr>
            <w:r>
              <w:rPr>
                <w:rFonts w:ascii="Arial" w:cs="Arial" w:eastAsia="Arial" w:hAnsi="Arial"/>
                <w:sz w:val="20"/>
                <w:szCs w:val="20"/>
                <w:b w:val="1"/>
                <w:bCs w:val="1"/>
                <w:color w:val="auto"/>
              </w:rPr>
              <w:t>1</w:t>
            </w:r>
          </w:p>
        </w:tc>
        <w:tc>
          <w:tcPr>
            <w:tcW w:w="30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800" w:type="dxa"/>
            <w:vAlign w:val="bottom"/>
            <w:shd w:val="clear" w:color="auto" w:fill="CFF0FC"/>
          </w:tcPr>
          <w:p>
            <w:pPr>
              <w:jc w:val="right"/>
              <w:ind w:right="81"/>
              <w:spacing w:after="0" w:line="229" w:lineRule="exact"/>
              <w:rPr>
                <w:sz w:val="20"/>
                <w:szCs w:val="20"/>
                <w:color w:val="auto"/>
              </w:rPr>
            </w:pPr>
            <w:r>
              <w:rPr>
                <w:rFonts w:ascii="Arial" w:cs="Arial" w:eastAsia="Arial" w:hAnsi="Arial"/>
                <w:sz w:val="20"/>
                <w:szCs w:val="20"/>
                <w:b w:val="1"/>
                <w:bCs w:val="1"/>
                <w:color w:val="auto"/>
                <w:w w:val="98"/>
              </w:rPr>
              <w:t>25,130</w:t>
            </w:r>
          </w:p>
        </w:tc>
        <w:tc>
          <w:tcPr>
            <w:tcW w:w="560" w:type="dxa"/>
            <w:vAlign w:val="bottom"/>
            <w:shd w:val="clear" w:color="auto" w:fill="CFF0FC"/>
          </w:tcPr>
          <w:p>
            <w:pPr>
              <w:jc w:val="right"/>
              <w:ind w:right="161"/>
              <w:spacing w:after="0" w:line="229" w:lineRule="exact"/>
              <w:rPr>
                <w:sz w:val="20"/>
                <w:szCs w:val="20"/>
                <w:color w:val="auto"/>
              </w:rPr>
            </w:pPr>
            <w:r>
              <w:rPr>
                <w:rFonts w:ascii="Arial" w:cs="Arial" w:eastAsia="Arial" w:hAnsi="Arial"/>
                <w:sz w:val="20"/>
                <w:szCs w:val="20"/>
                <w:b w:val="1"/>
                <w:bCs w:val="1"/>
                <w:color w:val="auto"/>
              </w:rPr>
              <w:t>0</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line="229" w:lineRule="exact"/>
              <w:rPr>
                <w:sz w:val="20"/>
                <w:szCs w:val="20"/>
                <w:color w:val="auto"/>
              </w:rPr>
            </w:pPr>
            <w:r>
              <w:rPr>
                <w:rFonts w:ascii="Arial" w:cs="Arial" w:eastAsia="Arial" w:hAnsi="Arial"/>
                <w:sz w:val="20"/>
                <w:szCs w:val="20"/>
                <w:b w:val="1"/>
                <w:bCs w:val="1"/>
                <w:color w:val="auto"/>
                <w:w w:val="89"/>
              </w:rPr>
              <w:t>12</w:t>
            </w:r>
          </w:p>
        </w:tc>
        <w:tc>
          <w:tcPr>
            <w:tcW w:w="380" w:type="dxa"/>
            <w:vAlign w:val="bottom"/>
            <w:shd w:val="clear" w:color="auto" w:fill="CFF0FC"/>
          </w:tcPr>
          <w:p>
            <w:pPr>
              <w:jc w:val="right"/>
              <w:spacing w:after="0" w:line="229" w:lineRule="exact"/>
              <w:rPr>
                <w:sz w:val="20"/>
                <w:szCs w:val="20"/>
                <w:color w:val="auto"/>
              </w:rPr>
            </w:pPr>
            <w:r>
              <w:rPr>
                <w:rFonts w:ascii="Arial" w:cs="Arial" w:eastAsia="Arial" w:hAnsi="Arial"/>
                <w:sz w:val="20"/>
                <w:szCs w:val="20"/>
                <w:b w:val="1"/>
                <w:bCs w:val="1"/>
                <w:color w:val="auto"/>
              </w:rPr>
              <w:t>1</w:t>
            </w:r>
          </w:p>
        </w:tc>
        <w:tc>
          <w:tcPr>
            <w:tcW w:w="920" w:type="dxa"/>
            <w:vAlign w:val="bottom"/>
            <w:shd w:val="clear" w:color="auto" w:fill="CFF0FC"/>
          </w:tcPr>
          <w:p>
            <w:pPr>
              <w:jc w:val="right"/>
              <w:ind w:right="181"/>
              <w:spacing w:after="0" w:line="229" w:lineRule="exact"/>
              <w:rPr>
                <w:sz w:val="20"/>
                <w:szCs w:val="20"/>
                <w:color w:val="auto"/>
              </w:rPr>
            </w:pPr>
            <w:r>
              <w:rPr>
                <w:rFonts w:ascii="Arial" w:cs="Arial" w:eastAsia="Arial" w:hAnsi="Arial"/>
                <w:sz w:val="20"/>
                <w:szCs w:val="20"/>
                <w:b w:val="1"/>
                <w:bCs w:val="1"/>
                <w:color w:val="auto"/>
              </w:rPr>
              <w:t>0</w:t>
            </w:r>
          </w:p>
        </w:tc>
      </w:tr>
    </w:tbl>
    <w:p>
      <w:pPr>
        <w:spacing w:after="0" w:line="199" w:lineRule="exact"/>
        <w:rPr>
          <w:sz w:val="20"/>
          <w:szCs w:val="20"/>
          <w:color w:val="auto"/>
        </w:rPr>
      </w:pPr>
    </w:p>
    <w:p>
      <w:pPr>
        <w:jc w:val="both"/>
        <w:ind w:firstLine="8"/>
        <w:spacing w:after="0" w:line="262" w:lineRule="auto"/>
        <w:tabs>
          <w:tab w:leader="none" w:pos="1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the 12 legal actions pending on June 30, 2022, seven were contests of citations or orders referenced in Subpart B of CFR Part 2700, which includes contests of citations and orders issued under Section 104 of the Mine Act and contests of imminent danger orders under Section 107 of the Mine Act and two were contests of proposed penalties referenced in Subpart C of 29 CFR Part 2700, which are administrative proceedings before the Commission challenging a civil penalty that MSHA has proposed for the violation contained in a citation or order, and three were a contest of an order issued under section 103 (K) of the Mine Act. The 107a order issued at Fort Dodge Mine on 6/6/2022 was modified on 6/14/2022 after MSHA determined the order should have been issued to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83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95"/>
    </w:lvl>
  </w:abstractNum>
  <w:abstractNum w:abstractNumId="13">
    <w:nsid w:val="3F2DBA31"/>
    <w:multiLevelType w:val="hybridMultilevel"/>
    <w:lvl w:ilvl="0">
      <w:lvlJc w:val="left"/>
      <w:lvlText w:val="%1"/>
      <w:numFmt w:val="decimal"/>
      <w:start w:val="104"/>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decimal"/>
      <w:start w:val="5"/>
    </w:lvl>
    <w:lvl w:ilvl="1">
      <w:lvlJc w:val="left"/>
      <w:lvlText w:val="%2."/>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5"/>
    </w:lvl>
    <w:lvl w:ilvl="1">
      <w:lvlJc w:val="left"/>
      <w:lvlText w:val="%2."/>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2022-07-28T14:49:50Z</dcterms:created>
  <dcterms:modified xsi:type="dcterms:W3CDTF">2022-07-28T14:49:50Z</dcterms:modified>
</cp:coreProperties>
</file>