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182880</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-130175</wp:posOffset>
            </wp:positionV>
            <wp:extent cx="1449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8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-130175</wp:posOffset>
            </wp:positionV>
            <wp:extent cx="14497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ind w:left="3820" w:right="1340" w:hanging="3813"/>
        <w:spacing w:after="0" w:line="241" w:lineRule="auto"/>
        <w:tabs>
          <w:tab w:leader="none" w:pos="517"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QUARTERLY REPORT PURSUANT TO SECTION 13 OR 15(d) OF THE SECURITIES EXCHANGE ACT OF 1934 For the quarterly period ended March 31, 2019</w:t>
      </w:r>
    </w:p>
    <w:p>
      <w:pPr>
        <w:spacing w:after="0" w:line="186"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20"/>
          </w:cols>
          <w:pgMar w:left="240" w:top="382" w:right="239" w:bottom="1440" w:gutter="0" w:footer="0" w:header="0"/>
        </w:sectPr>
      </w:pPr>
    </w:p>
    <w:p>
      <w:pPr>
        <w:spacing w:after="0" w:line="24" w:lineRule="exact"/>
        <w:rPr>
          <w:sz w:val="24"/>
          <w:szCs w:val="24"/>
          <w:color w:val="auto"/>
        </w:rPr>
      </w:pPr>
    </w:p>
    <w:p>
      <w:pPr>
        <w:jc w:val="right"/>
        <w:ind w:right="4380"/>
        <w:spacing w:after="0"/>
        <w:tabs>
          <w:tab w:leader="none" w:pos="180" w:val="left"/>
        </w:tabs>
        <w:rPr>
          <w:sz w:val="20"/>
          <w:szCs w:val="20"/>
          <w:color w:val="auto"/>
        </w:rPr>
      </w:pPr>
      <w:r>
        <w:rPr>
          <w:rFonts w:ascii="Arial" w:cs="Arial" w:eastAsia="Arial" w:hAnsi="Arial"/>
          <w:sz w:val="19"/>
          <w:szCs w:val="19"/>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jc w:val="right"/>
        <w:ind w:right="4340"/>
        <w:spacing w:after="0"/>
        <w:rPr>
          <w:sz w:val="20"/>
          <w:szCs w:val="20"/>
          <w:color w:val="auto"/>
        </w:rPr>
      </w:pPr>
      <w:r>
        <w:rPr>
          <w:rFonts w:ascii="Arial" w:cs="Arial" w:eastAsia="Arial" w:hAnsi="Arial"/>
          <w:sz w:val="19"/>
          <w:szCs w:val="19"/>
          <w:b w:val="1"/>
          <w:bCs w:val="1"/>
          <w:color w:val="auto"/>
        </w:rPr>
        <w:t>Commission File Number 1-12744</w:t>
      </w:r>
    </w:p>
    <w:p>
      <w:pPr>
        <w:sectPr>
          <w:pgSz w:w="11900" w:h="16838" w:orient="portrait"/>
          <w:cols w:equalWidth="0" w:num="1">
            <w:col w:w="11420"/>
          </w:cols>
          <w:pgMar w:left="240" w:top="382" w:right="239" w:bottom="144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-130175</wp:posOffset>
            </wp:positionV>
            <wp:extent cx="14497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61595</wp:posOffset>
            </wp:positionV>
            <wp:extent cx="1449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154"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4760" w:type="dxa"/>
            <w:vAlign w:val="bottom"/>
          </w:tcPr>
          <w:p>
            <w:pPr>
              <w:jc w:val="center"/>
              <w:ind w:right="1526"/>
              <w:spacing w:after="0"/>
              <w:rPr>
                <w:sz w:val="20"/>
                <w:szCs w:val="20"/>
                <w:color w:val="auto"/>
              </w:rPr>
            </w:pPr>
            <w:r>
              <w:rPr>
                <w:rFonts w:ascii="Arial" w:cs="Arial" w:eastAsia="Arial" w:hAnsi="Arial"/>
                <w:sz w:val="19"/>
                <w:szCs w:val="19"/>
                <w:b w:val="1"/>
                <w:bCs w:val="1"/>
                <w:color w:val="auto"/>
                <w:w w:val="92"/>
              </w:rPr>
              <w:t>North Carolina</w:t>
            </w:r>
          </w:p>
        </w:tc>
        <w:tc>
          <w:tcPr>
            <w:tcW w:w="3540" w:type="dxa"/>
            <w:vAlign w:val="bottom"/>
          </w:tcPr>
          <w:p>
            <w:pPr>
              <w:jc w:val="center"/>
              <w:ind w:left="1586"/>
              <w:spacing w:after="0"/>
              <w:rPr>
                <w:sz w:val="20"/>
                <w:szCs w:val="20"/>
                <w:color w:val="auto"/>
              </w:rPr>
            </w:pPr>
            <w:r>
              <w:rPr>
                <w:rFonts w:ascii="Arial" w:cs="Arial" w:eastAsia="Arial" w:hAnsi="Arial"/>
                <w:sz w:val="19"/>
                <w:szCs w:val="19"/>
                <w:b w:val="1"/>
                <w:bCs w:val="1"/>
                <w:color w:val="auto"/>
                <w:w w:val="88"/>
              </w:rPr>
              <w:t>56-1848578</w:t>
            </w:r>
          </w:p>
        </w:tc>
      </w:tr>
      <w:tr>
        <w:trPr>
          <w:trHeight w:val="215"/>
        </w:trPr>
        <w:tc>
          <w:tcPr>
            <w:tcW w:w="4760" w:type="dxa"/>
            <w:vAlign w:val="bottom"/>
          </w:tcPr>
          <w:p>
            <w:pPr>
              <w:jc w:val="center"/>
              <w:ind w:right="1566"/>
              <w:spacing w:after="0" w:line="214" w:lineRule="exact"/>
              <w:rPr>
                <w:sz w:val="20"/>
                <w:szCs w:val="20"/>
                <w:color w:val="auto"/>
              </w:rPr>
            </w:pPr>
            <w:r>
              <w:rPr>
                <w:rFonts w:ascii="Arial" w:cs="Arial" w:eastAsia="Arial" w:hAnsi="Arial"/>
                <w:sz w:val="19"/>
                <w:szCs w:val="19"/>
                <w:b w:val="1"/>
                <w:bCs w:val="1"/>
                <w:color w:val="auto"/>
                <w:w w:val="89"/>
              </w:rPr>
              <w:t>(State or other jurisdiction of</w:t>
            </w:r>
          </w:p>
        </w:tc>
        <w:tc>
          <w:tcPr>
            <w:tcW w:w="3540" w:type="dxa"/>
            <w:vAlign w:val="bottom"/>
          </w:tcPr>
          <w:p>
            <w:pPr>
              <w:jc w:val="center"/>
              <w:ind w:left="1566"/>
              <w:spacing w:after="0" w:line="214" w:lineRule="exact"/>
              <w:rPr>
                <w:sz w:val="20"/>
                <w:szCs w:val="20"/>
                <w:color w:val="auto"/>
              </w:rPr>
            </w:pPr>
            <w:r>
              <w:rPr>
                <w:rFonts w:ascii="Arial" w:cs="Arial" w:eastAsia="Arial" w:hAnsi="Arial"/>
                <w:sz w:val="19"/>
                <w:szCs w:val="19"/>
                <w:b w:val="1"/>
                <w:bCs w:val="1"/>
                <w:color w:val="auto"/>
                <w:w w:val="93"/>
              </w:rPr>
              <w:t>(I.R.S. Employer</w:t>
            </w:r>
          </w:p>
        </w:tc>
      </w:tr>
      <w:tr>
        <w:trPr>
          <w:trHeight w:val="243"/>
        </w:trPr>
        <w:tc>
          <w:tcPr>
            <w:tcW w:w="4760" w:type="dxa"/>
            <w:vAlign w:val="bottom"/>
          </w:tcPr>
          <w:p>
            <w:pPr>
              <w:jc w:val="center"/>
              <w:ind w:right="1566"/>
              <w:spacing w:after="0"/>
              <w:rPr>
                <w:sz w:val="20"/>
                <w:szCs w:val="20"/>
                <w:color w:val="auto"/>
              </w:rPr>
            </w:pPr>
            <w:r>
              <w:rPr>
                <w:rFonts w:ascii="Arial" w:cs="Arial" w:eastAsia="Arial" w:hAnsi="Arial"/>
                <w:sz w:val="19"/>
                <w:szCs w:val="19"/>
                <w:b w:val="1"/>
                <w:bCs w:val="1"/>
                <w:color w:val="auto"/>
                <w:w w:val="90"/>
              </w:rPr>
              <w:t>incorporation or organization)</w:t>
            </w:r>
          </w:p>
        </w:tc>
        <w:tc>
          <w:tcPr>
            <w:tcW w:w="3540" w:type="dxa"/>
            <w:vAlign w:val="bottom"/>
          </w:tcPr>
          <w:p>
            <w:pPr>
              <w:jc w:val="center"/>
              <w:ind w:left="1586"/>
              <w:spacing w:after="0"/>
              <w:rPr>
                <w:sz w:val="20"/>
                <w:szCs w:val="20"/>
                <w:color w:val="auto"/>
              </w:rPr>
            </w:pPr>
            <w:r>
              <w:rPr>
                <w:rFonts w:ascii="Arial" w:cs="Arial" w:eastAsia="Arial" w:hAnsi="Arial"/>
                <w:sz w:val="19"/>
                <w:szCs w:val="19"/>
                <w:b w:val="1"/>
                <w:bCs w:val="1"/>
                <w:color w:val="auto"/>
                <w:w w:val="92"/>
              </w:rPr>
              <w:t>Identification Number)</w:t>
            </w:r>
          </w:p>
        </w:tc>
      </w:tr>
      <w:tr>
        <w:trPr>
          <w:trHeight w:val="414"/>
        </w:trPr>
        <w:tc>
          <w:tcPr>
            <w:tcW w:w="4760" w:type="dxa"/>
            <w:vAlign w:val="bottom"/>
          </w:tcPr>
          <w:p>
            <w:pPr>
              <w:jc w:val="center"/>
              <w:ind w:right="1586"/>
              <w:spacing w:after="0"/>
              <w:rPr>
                <w:sz w:val="20"/>
                <w:szCs w:val="20"/>
                <w:color w:val="auto"/>
              </w:rPr>
            </w:pPr>
            <w:r>
              <w:rPr>
                <w:rFonts w:ascii="Arial" w:cs="Arial" w:eastAsia="Arial" w:hAnsi="Arial"/>
                <w:sz w:val="19"/>
                <w:szCs w:val="19"/>
                <w:b w:val="1"/>
                <w:bCs w:val="1"/>
                <w:color w:val="auto"/>
                <w:w w:val="91"/>
              </w:rPr>
              <w:t>2710 Wycliff Road, Raleigh, NC</w:t>
            </w:r>
          </w:p>
        </w:tc>
        <w:tc>
          <w:tcPr>
            <w:tcW w:w="3540" w:type="dxa"/>
            <w:vAlign w:val="bottom"/>
          </w:tcPr>
          <w:p>
            <w:pPr>
              <w:jc w:val="center"/>
              <w:ind w:left="1586"/>
              <w:spacing w:after="0"/>
              <w:rPr>
                <w:sz w:val="20"/>
                <w:szCs w:val="20"/>
                <w:color w:val="auto"/>
              </w:rPr>
            </w:pPr>
            <w:r>
              <w:rPr>
                <w:rFonts w:ascii="Arial" w:cs="Arial" w:eastAsia="Arial" w:hAnsi="Arial"/>
                <w:sz w:val="19"/>
                <w:szCs w:val="19"/>
                <w:b w:val="1"/>
                <w:bCs w:val="1"/>
                <w:color w:val="auto"/>
                <w:w w:val="88"/>
              </w:rPr>
              <w:t>27607-3033</w:t>
            </w:r>
          </w:p>
        </w:tc>
      </w:tr>
      <w:tr>
        <w:trPr>
          <w:trHeight w:val="235"/>
        </w:trPr>
        <w:tc>
          <w:tcPr>
            <w:tcW w:w="4760" w:type="dxa"/>
            <w:vAlign w:val="bottom"/>
          </w:tcPr>
          <w:p>
            <w:pPr>
              <w:jc w:val="center"/>
              <w:ind w:right="1566"/>
              <w:spacing w:after="0"/>
              <w:rPr>
                <w:sz w:val="20"/>
                <w:szCs w:val="20"/>
                <w:color w:val="auto"/>
              </w:rPr>
            </w:pPr>
            <w:r>
              <w:rPr>
                <w:rFonts w:ascii="Arial" w:cs="Arial" w:eastAsia="Arial" w:hAnsi="Arial"/>
                <w:sz w:val="19"/>
                <w:szCs w:val="19"/>
                <w:b w:val="1"/>
                <w:bCs w:val="1"/>
                <w:color w:val="auto"/>
                <w:w w:val="87"/>
              </w:rPr>
              <w:t>(Address of principal executive offices)</w:t>
            </w:r>
          </w:p>
        </w:tc>
        <w:tc>
          <w:tcPr>
            <w:tcW w:w="3540" w:type="dxa"/>
            <w:vAlign w:val="bottom"/>
          </w:tcPr>
          <w:p>
            <w:pPr>
              <w:jc w:val="center"/>
              <w:ind w:left="1586"/>
              <w:spacing w:after="0"/>
              <w:rPr>
                <w:sz w:val="20"/>
                <w:szCs w:val="20"/>
                <w:color w:val="auto"/>
              </w:rPr>
            </w:pPr>
            <w:r>
              <w:rPr>
                <w:rFonts w:ascii="Arial" w:cs="Arial" w:eastAsia="Arial" w:hAnsi="Arial"/>
                <w:sz w:val="19"/>
                <w:szCs w:val="19"/>
                <w:b w:val="1"/>
                <w:bCs w:val="1"/>
                <w:color w:val="auto"/>
                <w:w w:val="91"/>
              </w:rPr>
              <w:t>(Zip Code)</w:t>
            </w:r>
          </w:p>
        </w:tc>
      </w:tr>
    </w:tbl>
    <w:p>
      <w:pPr>
        <w:jc w:val="center"/>
        <w:spacing w:after="0" w:line="235" w:lineRule="auto"/>
        <w:rPr>
          <w:sz w:val="20"/>
          <w:szCs w:val="20"/>
          <w:color w:val="auto"/>
        </w:rPr>
      </w:pPr>
      <w:r>
        <w:rPr>
          <w:rFonts w:ascii="Arial" w:cs="Arial" w:eastAsia="Arial" w:hAnsi="Arial"/>
          <w:sz w:val="19"/>
          <w:szCs w:val="19"/>
          <w:b w:val="1"/>
          <w:bCs w:val="1"/>
          <w:color w:val="auto"/>
        </w:rPr>
        <w:t>Registrant’s telephone number, including area code 919-781-4550</w:t>
      </w:r>
    </w:p>
    <w:p>
      <w:pPr>
        <w:jc w:val="center"/>
        <w:spacing w:after="0" w:line="236" w:lineRule="auto"/>
        <w:rPr>
          <w:sz w:val="20"/>
          <w:szCs w:val="20"/>
          <w:color w:val="auto"/>
        </w:rPr>
      </w:pPr>
      <w:r>
        <w:rPr>
          <w:rFonts w:ascii="Arial" w:cs="Arial" w:eastAsia="Arial" w:hAnsi="Arial"/>
          <w:sz w:val="19"/>
          <w:szCs w:val="19"/>
          <w:b w:val="1"/>
          <w:bCs w:val="1"/>
          <w:color w:val="auto"/>
        </w:rPr>
        <w:t>Former name: None</w:t>
      </w:r>
    </w:p>
    <w:p>
      <w:pPr>
        <w:jc w:val="center"/>
        <w:spacing w:after="0" w:line="236" w:lineRule="auto"/>
        <w:rPr>
          <w:sz w:val="20"/>
          <w:szCs w:val="20"/>
          <w:color w:val="auto"/>
        </w:rPr>
      </w:pPr>
      <w:r>
        <w:rPr>
          <w:rFonts w:ascii="Arial" w:cs="Arial" w:eastAsia="Arial" w:hAnsi="Arial"/>
          <w:sz w:val="19"/>
          <w:szCs w:val="19"/>
          <w:b w:val="1"/>
          <w:bCs w:val="1"/>
          <w:color w:val="auto"/>
        </w:rPr>
        <w:t>Former name, former address and former fiscal year, if changes since last report.</w:t>
      </w:r>
    </w:p>
    <w:p>
      <w:pPr>
        <w:spacing w:after="0" w:line="1" w:lineRule="exact"/>
        <w:rPr>
          <w:sz w:val="24"/>
          <w:szCs w:val="24"/>
          <w:color w:val="auto"/>
        </w:rPr>
      </w:pPr>
    </w:p>
    <w:p>
      <w:pPr>
        <w:jc w:val="both"/>
        <w:spacing w:after="0" w:line="238"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219" w:lineRule="exact"/>
        <w:tabs>
          <w:tab w:leader="none" w:pos="18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9"/>
          <w:szCs w:val="19"/>
          <w:color w:val="auto"/>
        </w:rPr>
        <w:t>☑</w:t>
      </w:r>
      <w:r>
        <w:rPr>
          <w:rFonts w:ascii="Arial" w:cs="Arial" w:eastAsia="Arial" w:hAnsi="Arial"/>
          <w:sz w:val="19"/>
          <w:szCs w:val="19"/>
          <w:color w:val="auto"/>
        </w:rPr>
        <w:tab/>
        <w:t xml:space="preserve">No </w:t>
      </w:r>
      <w:r>
        <w:rPr>
          <w:rFonts w:ascii="MS PGothic" w:cs="MS PGothic" w:eastAsia="MS PGothic" w:hAnsi="MS PGothic"/>
          <w:sz w:val="17"/>
          <w:szCs w:val="17"/>
          <w:color w:val="auto"/>
        </w:rPr>
        <w:t>☐</w:t>
      </w:r>
    </w:p>
    <w:p>
      <w:pPr>
        <w:spacing w:after="0" w:line="3" w:lineRule="exact"/>
        <w:rPr>
          <w:sz w:val="24"/>
          <w:szCs w:val="24"/>
          <w:color w:val="auto"/>
        </w:rPr>
      </w:pPr>
    </w:p>
    <w:p>
      <w:pPr>
        <w:jc w:val="both"/>
        <w:spacing w:after="0" w:line="238" w:lineRule="auto"/>
        <w:rPr>
          <w:sz w:val="20"/>
          <w:szCs w:val="20"/>
          <w:color w:val="auto"/>
        </w:rPr>
      </w:pPr>
      <w:r>
        <w:rPr>
          <w:rFonts w:ascii="Arial" w:cs="Arial" w:eastAsia="Arial" w:hAnsi="Arial"/>
          <w:sz w:val="19"/>
          <w:szCs w:val="19"/>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jc w:val="center"/>
        <w:spacing w:after="0" w:line="219" w:lineRule="exact"/>
        <w:tabs>
          <w:tab w:leader="none" w:pos="18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9"/>
          <w:szCs w:val="19"/>
          <w:color w:val="auto"/>
        </w:rPr>
        <w:t>☑</w:t>
      </w:r>
      <w:r>
        <w:rPr>
          <w:rFonts w:ascii="Arial" w:cs="Arial" w:eastAsia="Arial" w:hAnsi="Arial"/>
          <w:sz w:val="19"/>
          <w:szCs w:val="19"/>
          <w:color w:val="auto"/>
        </w:rPr>
        <w:tab/>
        <w:t xml:space="preserve">No </w:t>
      </w:r>
      <w:r>
        <w:rPr>
          <w:rFonts w:ascii="MS PGothic" w:cs="MS PGothic" w:eastAsia="MS PGothic" w:hAnsi="MS PGothic"/>
          <w:sz w:val="17"/>
          <w:szCs w:val="17"/>
          <w:color w:val="auto"/>
        </w:rPr>
        <w:t>☐</w:t>
      </w:r>
    </w:p>
    <w:p>
      <w:pPr>
        <w:spacing w:after="0" w:line="3" w:lineRule="exact"/>
        <w:rPr>
          <w:sz w:val="24"/>
          <w:szCs w:val="24"/>
          <w:color w:val="auto"/>
        </w:rPr>
      </w:pPr>
    </w:p>
    <w:p>
      <w:pPr>
        <w:jc w:val="both"/>
        <w:spacing w:after="0" w:line="239"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94"/>
        </w:trPr>
        <w:tc>
          <w:tcPr>
            <w:tcW w:w="2780" w:type="dxa"/>
            <w:vAlign w:val="bottom"/>
          </w:tcPr>
          <w:p>
            <w:pPr>
              <w:ind w:left="60"/>
              <w:spacing w:after="0"/>
              <w:rPr>
                <w:sz w:val="20"/>
                <w:szCs w:val="20"/>
                <w:color w:val="auto"/>
              </w:rPr>
            </w:pPr>
            <w:r>
              <w:rPr>
                <w:rFonts w:ascii="Arial" w:cs="Arial" w:eastAsia="Arial" w:hAnsi="Arial"/>
                <w:sz w:val="19"/>
                <w:szCs w:val="19"/>
                <w:color w:val="auto"/>
              </w:rPr>
              <w:t>Large accelerated filer</w:t>
            </w:r>
          </w:p>
        </w:tc>
        <w:tc>
          <w:tcPr>
            <w:tcW w:w="2900" w:type="dxa"/>
            <w:vAlign w:val="bottom"/>
          </w:tcPr>
          <w:p>
            <w:pPr>
              <w:ind w:left="740"/>
              <w:spacing w:after="0" w:line="191" w:lineRule="exact"/>
              <w:rPr>
                <w:sz w:val="20"/>
                <w:szCs w:val="20"/>
                <w:color w:val="auto"/>
              </w:rPr>
            </w:pPr>
            <w:r>
              <w:rPr>
                <w:rFonts w:ascii="MS PGothic" w:cs="MS PGothic" w:eastAsia="MS PGothic" w:hAnsi="MS PGothic"/>
                <w:sz w:val="19"/>
                <w:szCs w:val="19"/>
                <w:color w:val="auto"/>
              </w:rPr>
              <w:t>☑</w:t>
            </w:r>
          </w:p>
        </w:tc>
        <w:tc>
          <w:tcPr>
            <w:tcW w:w="4800" w:type="dxa"/>
            <w:vAlign w:val="bottom"/>
          </w:tcPr>
          <w:p>
            <w:pPr>
              <w:ind w:left="2000"/>
              <w:spacing w:after="0"/>
              <w:rPr>
                <w:sz w:val="20"/>
                <w:szCs w:val="20"/>
                <w:color w:val="auto"/>
              </w:rPr>
            </w:pPr>
            <w:r>
              <w:rPr>
                <w:rFonts w:ascii="Arial" w:cs="Arial" w:eastAsia="Arial" w:hAnsi="Arial"/>
                <w:sz w:val="19"/>
                <w:szCs w:val="19"/>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7"/>
        </w:trPr>
        <w:tc>
          <w:tcPr>
            <w:tcW w:w="2780" w:type="dxa"/>
            <w:vAlign w:val="bottom"/>
          </w:tcPr>
          <w:p>
            <w:pPr>
              <w:spacing w:after="0"/>
              <w:rPr>
                <w:sz w:val="20"/>
                <w:szCs w:val="20"/>
                <w:color w:val="auto"/>
              </w:rPr>
            </w:pPr>
            <w:r>
              <w:rPr>
                <w:rFonts w:ascii="Arial" w:cs="Arial" w:eastAsia="Arial" w:hAnsi="Arial"/>
                <w:sz w:val="19"/>
                <w:szCs w:val="19"/>
                <w:color w:val="auto"/>
              </w:rPr>
              <w:t>Non-accelerated filer</w:t>
            </w:r>
          </w:p>
        </w:tc>
        <w:tc>
          <w:tcPr>
            <w:tcW w:w="2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000"/>
              <w:spacing w:after="0"/>
              <w:rPr>
                <w:sz w:val="20"/>
                <w:szCs w:val="20"/>
                <w:color w:val="auto"/>
              </w:rPr>
            </w:pPr>
            <w:r>
              <w:rPr>
                <w:rFonts w:ascii="Arial" w:cs="Arial" w:eastAsia="Arial" w:hAnsi="Arial"/>
                <w:sz w:val="19"/>
                <w:szCs w:val="19"/>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9"/>
        </w:trPr>
        <w:tc>
          <w:tcPr>
            <w:tcW w:w="2780" w:type="dxa"/>
            <w:vAlign w:val="bottom"/>
          </w:tcPr>
          <w:p>
            <w:pPr>
              <w:spacing w:after="0"/>
              <w:rPr>
                <w:sz w:val="20"/>
                <w:szCs w:val="20"/>
                <w:color w:val="auto"/>
              </w:rPr>
            </w:pPr>
            <w:r>
              <w:rPr>
                <w:rFonts w:ascii="Arial" w:cs="Arial" w:eastAsia="Arial" w:hAnsi="Arial"/>
                <w:sz w:val="19"/>
                <w:szCs w:val="19"/>
                <w:color w:val="auto"/>
              </w:rPr>
              <w:t>Emerging growth company</w:t>
            </w:r>
          </w:p>
        </w:tc>
        <w:tc>
          <w:tcPr>
            <w:tcW w:w="2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65" w:lineRule="exact"/>
        <w:rPr>
          <w:sz w:val="24"/>
          <w:szCs w:val="24"/>
          <w:color w:val="auto"/>
        </w:rPr>
      </w:pPr>
    </w:p>
    <w:p>
      <w:pPr>
        <w:spacing w:after="0" w:line="223"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7"/>
          <w:szCs w:val="17"/>
          <w:color w:val="auto"/>
        </w:rPr>
        <w:t>☐</w:t>
      </w:r>
      <w:r>
        <w:rPr>
          <w:rFonts w:ascii="Arial" w:cs="Arial" w:eastAsia="Arial" w:hAnsi="Arial"/>
          <w:sz w:val="19"/>
          <w:szCs w:val="19"/>
          <w:color w:val="auto"/>
        </w:rPr>
        <w:t xml:space="preserve"> Indicate by check mark whether the registrant is a shell company (as defined in Rule 12b-2 of the Exchange Act).</w:t>
      </w: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5680" w:type="dxa"/>
            <w:vAlign w:val="bottom"/>
            <w:gridSpan w:val="2"/>
          </w:tcPr>
          <w:p>
            <w:pPr>
              <w:ind w:left="5060"/>
              <w:spacing w:after="0" w:line="206" w:lineRule="exact"/>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7"/>
                <w:szCs w:val="17"/>
                <w:color w:val="auto"/>
              </w:rPr>
              <w:t>☐</w:t>
            </w:r>
          </w:p>
        </w:tc>
        <w:tc>
          <w:tcPr>
            <w:tcW w:w="5720" w:type="dxa"/>
            <w:vAlign w:val="bottom"/>
            <w:gridSpan w:val="2"/>
          </w:tcPr>
          <w:p>
            <w:pPr>
              <w:ind w:left="100"/>
              <w:spacing w:after="0" w:line="206" w:lineRule="exact"/>
              <w:rPr>
                <w:sz w:val="20"/>
                <w:szCs w:val="20"/>
                <w:color w:val="auto"/>
              </w:rPr>
            </w:pP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tc>
      </w:tr>
      <w:tr>
        <w:trPr>
          <w:trHeight w:val="239"/>
        </w:trPr>
        <w:tc>
          <w:tcPr>
            <w:tcW w:w="11420" w:type="dxa"/>
            <w:vAlign w:val="bottom"/>
            <w:gridSpan w:val="5"/>
          </w:tcPr>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tc>
      </w:tr>
      <w:tr>
        <w:trPr>
          <w:trHeight w:val="320"/>
        </w:trPr>
        <w:tc>
          <w:tcPr>
            <w:tcW w:w="20" w:type="dxa"/>
            <w:vAlign w:val="bottom"/>
          </w:tcPr>
          <w:p>
            <w:pPr>
              <w:spacing w:after="0"/>
              <w:rPr>
                <w:sz w:val="24"/>
                <w:szCs w:val="24"/>
                <w:color w:val="auto"/>
              </w:rPr>
            </w:pPr>
          </w:p>
        </w:tc>
        <w:tc>
          <w:tcPr>
            <w:tcW w:w="5680" w:type="dxa"/>
            <w:vAlign w:val="bottom"/>
            <w:gridSpan w:val="2"/>
          </w:tcPr>
          <w:p>
            <w:pPr>
              <w:jc w:val="center"/>
              <w:ind w:right="100"/>
              <w:spacing w:after="0"/>
              <w:rPr>
                <w:sz w:val="20"/>
                <w:szCs w:val="20"/>
                <w:color w:val="auto"/>
              </w:rPr>
            </w:pPr>
            <w:r>
              <w:rPr>
                <w:rFonts w:ascii="Arial" w:cs="Arial" w:eastAsia="Arial" w:hAnsi="Arial"/>
                <w:sz w:val="19"/>
                <w:szCs w:val="19"/>
                <w:b w:val="1"/>
                <w:bCs w:val="1"/>
                <w:color w:val="auto"/>
                <w:w w:val="82"/>
              </w:rPr>
              <w:t>Class</w:t>
            </w:r>
          </w:p>
        </w:tc>
        <w:tc>
          <w:tcPr>
            <w:tcW w:w="1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9"/>
                <w:szCs w:val="19"/>
                <w:b w:val="1"/>
                <w:bCs w:val="1"/>
                <w:color w:val="auto"/>
                <w:w w:val="89"/>
              </w:rPr>
              <w:t>Outstanding as of April 25, 2019</w:t>
            </w:r>
          </w:p>
        </w:tc>
      </w:tr>
      <w:tr>
        <w:trPr>
          <w:trHeight w:val="233"/>
        </w:trPr>
        <w:tc>
          <w:tcPr>
            <w:tcW w:w="2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89"/>
              </w:rPr>
              <w:t>Common Stock, $0.01 par 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80" w:type="dxa"/>
            <w:vAlign w:val="bottom"/>
            <w:tcBorders>
              <w:top w:val="single" w:sz="8" w:color="auto"/>
            </w:tcBorders>
          </w:tcPr>
          <w:p>
            <w:pPr>
              <w:jc w:val="right"/>
              <w:ind w:right="2266"/>
              <w:spacing w:after="0"/>
              <w:rPr>
                <w:sz w:val="20"/>
                <w:szCs w:val="20"/>
                <w:color w:val="auto"/>
              </w:rPr>
            </w:pPr>
            <w:r>
              <w:rPr>
                <w:rFonts w:ascii="Arial" w:cs="Arial" w:eastAsia="Arial" w:hAnsi="Arial"/>
                <w:sz w:val="19"/>
                <w:szCs w:val="19"/>
                <w:color w:val="auto"/>
              </w:rPr>
              <w:t>62,594,087</w:t>
            </w:r>
          </w:p>
        </w:tc>
      </w:tr>
      <w:tr>
        <w:trPr>
          <w:trHeight w:val="150"/>
        </w:trPr>
        <w:tc>
          <w:tcPr>
            <w:tcW w:w="20" w:type="dxa"/>
            <w:vAlign w:val="bottom"/>
          </w:tcPr>
          <w:p>
            <w:pPr>
              <w:spacing w:after="0"/>
              <w:rPr>
                <w:sz w:val="13"/>
                <w:szCs w:val="13"/>
                <w:color w:val="auto"/>
              </w:rPr>
            </w:pPr>
          </w:p>
        </w:tc>
        <w:tc>
          <w:tcPr>
            <w:tcW w:w="5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580" w:type="dxa"/>
            <w:vAlign w:val="bottom"/>
            <w:tcBorders>
              <w:bottom w:val="single" w:sz="8" w:color="auto"/>
            </w:tcBorders>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349"/>
        </w:trPr>
        <w:tc>
          <w:tcPr>
            <w:tcW w:w="20" w:type="dxa"/>
            <w:vAlign w:val="bottom"/>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7230745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860" w:type="dxa"/>
            <w:vAlign w:val="bottom"/>
            <w:gridSpan w:val="18"/>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w w:val="81"/>
              </w:rPr>
              <w:t>Page</w:t>
            </w:r>
          </w:p>
        </w:tc>
        <w:tc>
          <w:tcPr>
            <w:tcW w:w="0" w:type="dxa"/>
            <w:vAlign w:val="bottom"/>
          </w:tcPr>
          <w:p>
            <w:pPr>
              <w:spacing w:after="0"/>
              <w:rPr>
                <w:sz w:val="1"/>
                <w:szCs w:val="1"/>
                <w:color w:val="auto"/>
              </w:rPr>
            </w:pPr>
          </w:p>
        </w:tc>
      </w:tr>
      <w:tr>
        <w:trPr>
          <w:trHeight w:val="226"/>
        </w:trPr>
        <w:tc>
          <w:tcPr>
            <w:tcW w:w="10860" w:type="dxa"/>
            <w:vAlign w:val="bottom"/>
            <w:gridSpan w:val="18"/>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220" w:type="dxa"/>
            <w:vAlign w:val="bottom"/>
          </w:tcPr>
          <w:p>
            <w:pPr>
              <w:spacing w:after="0"/>
              <w:rPr>
                <w:sz w:val="24"/>
                <w:szCs w:val="24"/>
                <w:color w:val="auto"/>
              </w:rPr>
            </w:pPr>
          </w:p>
        </w:tc>
        <w:tc>
          <w:tcPr>
            <w:tcW w:w="2260" w:type="dxa"/>
            <w:vAlign w:val="bottom"/>
            <w:tcBorders>
              <w:bottom w:val="single" w:sz="8" w:color="0000EE"/>
            </w:tcBorders>
            <w:gridSpan w:val="7"/>
          </w:tcPr>
          <w:p>
            <w:pPr>
              <w:spacing w:after="0"/>
              <w:rPr>
                <w:rFonts w:ascii="Arial" w:cs="Arial" w:eastAsia="Arial" w:hAnsi="Arial"/>
                <w:sz w:val="20"/>
                <w:szCs w:val="20"/>
                <w:color w:val="0000EE"/>
                <w:w w:val="88"/>
              </w:rPr>
            </w:pPr>
            <w:hyperlink w:anchor="page3">
              <w:r>
                <w:rPr>
                  <w:rFonts w:ascii="Arial" w:cs="Arial" w:eastAsia="Arial" w:hAnsi="Arial"/>
                  <w:sz w:val="20"/>
                  <w:szCs w:val="20"/>
                  <w:color w:val="0000EE"/>
                  <w:w w:val="88"/>
                </w:rPr>
                <w:t>Item 1. Financial Statements</w:t>
              </w:r>
            </w:hyperlink>
          </w:p>
        </w:tc>
        <w:tc>
          <w:tcPr>
            <w:tcW w:w="838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60" w:type="dxa"/>
            <w:vAlign w:val="bottom"/>
            <w:tcBorders>
              <w:bottom w:val="single" w:sz="8" w:color="0000EE"/>
            </w:tcBorders>
            <w:gridSpan w:val="11"/>
          </w:tcPr>
          <w:p>
            <w:pPr>
              <w:spacing w:after="0"/>
              <w:rPr>
                <w:rFonts w:ascii="Arial" w:cs="Arial" w:eastAsia="Arial" w:hAnsi="Arial"/>
                <w:sz w:val="20"/>
                <w:szCs w:val="20"/>
                <w:color w:val="0000EE"/>
                <w:w w:val="87"/>
              </w:rPr>
            </w:pPr>
            <w:hyperlink w:anchor="page3">
              <w:r>
                <w:rPr>
                  <w:rFonts w:ascii="Arial" w:cs="Arial" w:eastAsia="Arial" w:hAnsi="Arial"/>
                  <w:sz w:val="20"/>
                  <w:szCs w:val="20"/>
                  <w:color w:val="0000EE"/>
                  <w:w w:val="87"/>
                </w:rPr>
                <w:t>Consolidated Balance Sheets – March 31, 2019 and December 31, 2018</w:t>
              </w:r>
            </w:hyperlink>
          </w:p>
        </w:tc>
        <w:tc>
          <w:tcPr>
            <w:tcW w:w="476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20" w:type="dxa"/>
            <w:vAlign w:val="bottom"/>
            <w:tcBorders>
              <w:bottom w:val="single" w:sz="8" w:color="0000EE"/>
            </w:tcBorders>
            <w:gridSpan w:val="15"/>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Consolidated Statements of Earnings and Comprehensive Earnings – Three Months Ended March 31, 2019 and 2018</w:t>
              </w:r>
            </w:hyperlink>
          </w:p>
        </w:tc>
        <w:tc>
          <w:tcPr>
            <w:tcW w:w="1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6"/>
          </w:tcPr>
          <w:p>
            <w:pPr>
              <w:spacing w:after="0"/>
              <w:rPr>
                <w:rFonts w:ascii="Arial" w:cs="Arial" w:eastAsia="Arial" w:hAnsi="Arial"/>
                <w:sz w:val="20"/>
                <w:szCs w:val="20"/>
                <w:color w:val="0000EE"/>
              </w:rPr>
            </w:pPr>
            <w:hyperlink w:anchor="page5">
              <w:r>
                <w:rPr>
                  <w:rFonts w:ascii="Arial" w:cs="Arial" w:eastAsia="Arial" w:hAnsi="Arial"/>
                  <w:sz w:val="20"/>
                  <w:szCs w:val="20"/>
                  <w:color w:val="0000EE"/>
                </w:rPr>
                <w:t>Consolidated Statements of Cash Flows – Three Months Ended March 31, 2019 and 2018</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60" w:type="dxa"/>
            <w:vAlign w:val="bottom"/>
            <w:tcBorders>
              <w:top w:val="single" w:sz="8" w:color="0000EE"/>
            </w:tcBorders>
            <w:gridSpan w:val="13"/>
          </w:tcPr>
          <w:p>
            <w:pPr>
              <w:spacing w:after="0"/>
              <w:rPr>
                <w:rFonts w:ascii="Arial" w:cs="Arial" w:eastAsia="Arial" w:hAnsi="Arial"/>
                <w:sz w:val="20"/>
                <w:szCs w:val="20"/>
                <w:color w:val="0000EE"/>
                <w:w w:val="89"/>
              </w:rPr>
            </w:pPr>
            <w:hyperlink w:anchor="page6">
              <w:r>
                <w:rPr>
                  <w:rFonts w:ascii="Arial" w:cs="Arial" w:eastAsia="Arial" w:hAnsi="Arial"/>
                  <w:sz w:val="20"/>
                  <w:szCs w:val="20"/>
                  <w:color w:val="0000EE"/>
                  <w:w w:val="89"/>
                </w:rPr>
                <w:t>Consolidated Statement of Total Equity – Three Months Ended March 31, 2019 and 2018</w:t>
              </w:r>
            </w:hyperlink>
          </w:p>
        </w:tc>
        <w:tc>
          <w:tcPr>
            <w:tcW w:w="336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40" w:type="dxa"/>
            <w:vAlign w:val="bottom"/>
            <w:tcBorders>
              <w:top w:val="single" w:sz="8" w:color="0000EE"/>
            </w:tcBorders>
            <w:gridSpan w:val="12"/>
          </w:tcPr>
          <w:p>
            <w:pPr>
              <w:spacing w:after="0"/>
              <w:rPr>
                <w:rFonts w:ascii="Arial" w:cs="Arial" w:eastAsia="Arial" w:hAnsi="Arial"/>
                <w:sz w:val="20"/>
                <w:szCs w:val="20"/>
                <w:color w:val="0000EE"/>
              </w:rPr>
            </w:pPr>
            <w:hyperlink w:anchor="page7">
              <w:r>
                <w:rPr>
                  <w:rFonts w:ascii="Arial" w:cs="Arial" w:eastAsia="Arial" w:hAnsi="Arial"/>
                  <w:sz w:val="20"/>
                  <w:szCs w:val="20"/>
                  <w:color w:val="0000EE"/>
                </w:rPr>
                <w:t>Notes to Consolidated Financial Statements</w:t>
              </w:r>
            </w:hyperlink>
          </w:p>
        </w:tc>
        <w:tc>
          <w:tcPr>
            <w:tcW w:w="338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20" w:type="dxa"/>
            <w:vAlign w:val="bottom"/>
          </w:tcPr>
          <w:p>
            <w:pPr>
              <w:spacing w:after="0"/>
              <w:rPr>
                <w:sz w:val="24"/>
                <w:szCs w:val="24"/>
                <w:color w:val="auto"/>
              </w:rPr>
            </w:pPr>
          </w:p>
        </w:tc>
        <w:tc>
          <w:tcPr>
            <w:tcW w:w="7680" w:type="dxa"/>
            <w:vAlign w:val="bottom"/>
            <w:tcBorders>
              <w:bottom w:val="single" w:sz="8" w:color="0000EE"/>
            </w:tcBorders>
            <w:gridSpan w:val="15"/>
          </w:tcPr>
          <w:p>
            <w:pPr>
              <w:spacing w:after="0"/>
              <w:rPr>
                <w:rFonts w:ascii="Arial" w:cs="Arial" w:eastAsia="Arial" w:hAnsi="Arial"/>
                <w:sz w:val="20"/>
                <w:szCs w:val="20"/>
                <w:color w:val="0000EE"/>
                <w:w w:val="89"/>
              </w:rPr>
            </w:pPr>
            <w:hyperlink w:anchor="page26">
              <w:r>
                <w:rPr>
                  <w:rFonts w:ascii="Arial" w:cs="Arial" w:eastAsia="Arial" w:hAnsi="Arial"/>
                  <w:sz w:val="20"/>
                  <w:szCs w:val="20"/>
                  <w:color w:val="0000EE"/>
                  <w:w w:val="89"/>
                </w:rPr>
                <w:t>Item 2. Management’s Discussion and Analysis of Financial Condition and Results of Operations</w:t>
              </w:r>
            </w:hyperlink>
          </w:p>
        </w:tc>
        <w:tc>
          <w:tcPr>
            <w:tcW w:w="296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5380" w:type="dxa"/>
            <w:vAlign w:val="bottom"/>
            <w:tcBorders>
              <w:bottom w:val="single" w:sz="8" w:color="0000EE"/>
            </w:tcBorders>
            <w:gridSpan w:val="11"/>
          </w:tcPr>
          <w:p>
            <w:pPr>
              <w:spacing w:after="0"/>
              <w:rPr>
                <w:rFonts w:ascii="Arial" w:cs="Arial" w:eastAsia="Arial" w:hAnsi="Arial"/>
                <w:sz w:val="20"/>
                <w:szCs w:val="20"/>
                <w:color w:val="0000EE"/>
                <w:w w:val="90"/>
              </w:rPr>
            </w:pPr>
            <w:hyperlink w:anchor="page40">
              <w:r>
                <w:rPr>
                  <w:rFonts w:ascii="Arial" w:cs="Arial" w:eastAsia="Arial" w:hAnsi="Arial"/>
                  <w:sz w:val="20"/>
                  <w:szCs w:val="20"/>
                  <w:color w:val="0000EE"/>
                  <w:w w:val="90"/>
                </w:rPr>
                <w:t>Item 3. Quantitative and Qualitative Disclosures About Market Risk</w:t>
              </w:r>
            </w:hyperlink>
          </w:p>
        </w:tc>
        <w:tc>
          <w:tcPr>
            <w:tcW w:w="526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10640" w:type="dxa"/>
            <w:vAlign w:val="bottom"/>
            <w:gridSpan w:val="17"/>
          </w:tcPr>
          <w:p>
            <w:pPr>
              <w:spacing w:after="0"/>
              <w:rPr>
                <w:rFonts w:ascii="Arial" w:cs="Arial" w:eastAsia="Arial" w:hAnsi="Arial"/>
                <w:sz w:val="20"/>
                <w:szCs w:val="20"/>
                <w:color w:val="0000EE"/>
              </w:rPr>
            </w:pPr>
            <w:hyperlink w:anchor="page41">
              <w:r>
                <w:rPr>
                  <w:rFonts w:ascii="Arial" w:cs="Arial" w:eastAsia="Arial" w:hAnsi="Arial"/>
                  <w:sz w:val="20"/>
                  <w:szCs w:val="20"/>
                  <w:color w:val="0000EE"/>
                </w:rPr>
                <w:t>Item 4. Controls and Procedures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0860" w:type="dxa"/>
            <w:vAlign w:val="bottom"/>
            <w:gridSpan w:val="18"/>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20"/>
                <w:szCs w:val="20"/>
                <w:color w:val="0000EE"/>
                <w:w w:val="91"/>
              </w:rPr>
            </w:pPr>
            <w:hyperlink w:anchor="page42">
              <w:r>
                <w:rPr>
                  <w:rFonts w:ascii="Arial" w:cs="Arial" w:eastAsia="Arial" w:hAnsi="Arial"/>
                  <w:sz w:val="20"/>
                  <w:szCs w:val="20"/>
                  <w:color w:val="0000EE"/>
                  <w:w w:val="91"/>
                </w:rPr>
                <w:t>Item 1.</w:t>
              </w:r>
            </w:hyperlink>
          </w:p>
        </w:tc>
        <w:tc>
          <w:tcPr>
            <w:tcW w:w="10060" w:type="dxa"/>
            <w:vAlign w:val="bottom"/>
            <w:gridSpan w:val="15"/>
          </w:tcPr>
          <w:p>
            <w:pPr>
              <w:ind w:left="20"/>
              <w:spacing w:after="0"/>
              <w:rPr>
                <w:rFonts w:ascii="Arial" w:cs="Arial" w:eastAsia="Arial" w:hAnsi="Arial"/>
                <w:sz w:val="20"/>
                <w:szCs w:val="20"/>
                <w:color w:val="0000EE"/>
              </w:rPr>
            </w:pPr>
            <w:hyperlink w:anchor="page42">
              <w:r>
                <w:rPr>
                  <w:rFonts w:ascii="Arial" w:cs="Arial" w:eastAsia="Arial" w:hAnsi="Arial"/>
                  <w:sz w:val="20"/>
                  <w:szCs w:val="20"/>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2060" w:type="dxa"/>
            <w:vAlign w:val="bottom"/>
            <w:tcBorders>
              <w:top w:val="single" w:sz="8" w:color="0000EE"/>
            </w:tcBorders>
            <w:gridSpan w:val="6"/>
          </w:tcPr>
          <w:p>
            <w:pPr>
              <w:spacing w:after="0"/>
              <w:rPr>
                <w:rFonts w:ascii="Arial" w:cs="Arial" w:eastAsia="Arial" w:hAnsi="Arial"/>
                <w:sz w:val="20"/>
                <w:szCs w:val="20"/>
                <w:color w:val="0000EE"/>
              </w:rPr>
            </w:pPr>
            <w:hyperlink w:anchor="page42">
              <w:r>
                <w:rPr>
                  <w:rFonts w:ascii="Arial" w:cs="Arial" w:eastAsia="Arial" w:hAnsi="Arial"/>
                  <w:sz w:val="20"/>
                  <w:szCs w:val="20"/>
                  <w:color w:val="0000EE"/>
                </w:rPr>
                <w:t>Item 1A. Risk Factors</w:t>
              </w:r>
            </w:hyperlink>
          </w:p>
        </w:tc>
        <w:tc>
          <w:tcPr>
            <w:tcW w:w="858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20"/>
                <w:szCs w:val="20"/>
                <w:color w:val="0000EE"/>
                <w:w w:val="91"/>
              </w:rPr>
            </w:pPr>
            <w:hyperlink w:anchor="page42">
              <w:r>
                <w:rPr>
                  <w:rFonts w:ascii="Arial" w:cs="Arial" w:eastAsia="Arial" w:hAnsi="Arial"/>
                  <w:sz w:val="20"/>
                  <w:szCs w:val="20"/>
                  <w:color w:val="0000EE"/>
                  <w:w w:val="91"/>
                </w:rPr>
                <w:t>Item 2.</w:t>
              </w:r>
            </w:hyperlink>
          </w:p>
        </w:tc>
        <w:tc>
          <w:tcPr>
            <w:tcW w:w="10060" w:type="dxa"/>
            <w:vAlign w:val="bottom"/>
            <w:gridSpan w:val="15"/>
          </w:tcPr>
          <w:p>
            <w:pPr>
              <w:ind w:left="20"/>
              <w:spacing w:after="0"/>
              <w:rPr>
                <w:rFonts w:ascii="Arial" w:cs="Arial" w:eastAsia="Arial" w:hAnsi="Arial"/>
                <w:sz w:val="20"/>
                <w:szCs w:val="20"/>
                <w:color w:val="0000EE"/>
              </w:rPr>
            </w:pPr>
            <w:hyperlink w:anchor="page42">
              <w:r>
                <w:rPr>
                  <w:rFonts w:ascii="Arial" w:cs="Arial" w:eastAsia="Arial" w:hAnsi="Arial"/>
                  <w:sz w:val="20"/>
                  <w:szCs w:val="20"/>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rFonts w:ascii="Arial" w:cs="Arial" w:eastAsia="Arial" w:hAnsi="Arial"/>
                <w:sz w:val="20"/>
                <w:szCs w:val="20"/>
                <w:color w:val="0000EE"/>
                <w:w w:val="91"/>
              </w:rPr>
            </w:pPr>
            <w:hyperlink w:anchor="page42">
              <w:r>
                <w:rPr>
                  <w:rFonts w:ascii="Arial" w:cs="Arial" w:eastAsia="Arial" w:hAnsi="Arial"/>
                  <w:sz w:val="20"/>
                  <w:szCs w:val="20"/>
                  <w:color w:val="0000EE"/>
                  <w:w w:val="91"/>
                </w:rPr>
                <w:t>Item 4.</w:t>
              </w:r>
            </w:hyperlink>
          </w:p>
        </w:tc>
        <w:tc>
          <w:tcPr>
            <w:tcW w:w="4780" w:type="dxa"/>
            <w:vAlign w:val="bottom"/>
            <w:tcBorders>
              <w:top w:val="single" w:sz="8" w:color="0000EE"/>
            </w:tcBorders>
            <w:gridSpan w:val="8"/>
          </w:tcPr>
          <w:p>
            <w:pPr>
              <w:ind w:left="20"/>
              <w:spacing w:after="0"/>
              <w:rPr>
                <w:rFonts w:ascii="Arial" w:cs="Arial" w:eastAsia="Arial" w:hAnsi="Arial"/>
                <w:sz w:val="20"/>
                <w:szCs w:val="20"/>
                <w:color w:val="0000EE"/>
              </w:rPr>
            </w:pPr>
            <w:hyperlink w:anchor="page42">
              <w:r>
                <w:rPr>
                  <w:rFonts w:ascii="Arial" w:cs="Arial" w:eastAsia="Arial" w:hAnsi="Arial"/>
                  <w:sz w:val="20"/>
                  <w:szCs w:val="20"/>
                  <w:color w:val="0000EE"/>
                </w:rPr>
                <w:t>Mine Safety Disclosures</w:t>
              </w:r>
            </w:hyperlink>
          </w:p>
        </w:tc>
        <w:tc>
          <w:tcPr>
            <w:tcW w:w="528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329"/>
        </w:trPr>
        <w:tc>
          <w:tcPr>
            <w:tcW w:w="22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rFonts w:ascii="Arial" w:cs="Arial" w:eastAsia="Arial" w:hAnsi="Arial"/>
                <w:sz w:val="20"/>
                <w:szCs w:val="20"/>
                <w:color w:val="0000EE"/>
                <w:w w:val="91"/>
              </w:rPr>
            </w:pPr>
            <w:hyperlink w:anchor="page43">
              <w:r>
                <w:rPr>
                  <w:rFonts w:ascii="Arial" w:cs="Arial" w:eastAsia="Arial" w:hAnsi="Arial"/>
                  <w:sz w:val="20"/>
                  <w:szCs w:val="20"/>
                  <w:color w:val="0000EE"/>
                  <w:w w:val="91"/>
                </w:rPr>
                <w:t>Item 6.</w:t>
              </w:r>
            </w:hyperlink>
          </w:p>
        </w:tc>
        <w:tc>
          <w:tcPr>
            <w:tcW w:w="1960" w:type="dxa"/>
            <w:vAlign w:val="bottom"/>
            <w:tcBorders>
              <w:top w:val="single" w:sz="8" w:color="0000EE"/>
            </w:tcBorders>
            <w:gridSpan w:val="6"/>
          </w:tcPr>
          <w:p>
            <w:pPr>
              <w:ind w:left="20"/>
              <w:spacing w:after="0"/>
              <w:rPr>
                <w:rFonts w:ascii="Arial" w:cs="Arial" w:eastAsia="Arial" w:hAnsi="Arial"/>
                <w:sz w:val="20"/>
                <w:szCs w:val="20"/>
                <w:color w:val="0000EE"/>
              </w:rPr>
            </w:pPr>
            <w:hyperlink w:anchor="page43">
              <w:r>
                <w:rPr>
                  <w:rFonts w:ascii="Arial" w:cs="Arial" w:eastAsia="Arial" w:hAnsi="Arial"/>
                  <w:sz w:val="20"/>
                  <w:szCs w:val="20"/>
                  <w:color w:val="0000EE"/>
                </w:rPr>
                <w:t>Exhibits</w:t>
              </w:r>
            </w:hyperlink>
          </w:p>
        </w:tc>
        <w:tc>
          <w:tcPr>
            <w:tcW w:w="810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38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40" w:type="dxa"/>
            <w:vAlign w:val="bottom"/>
            <w:tcBorders>
              <w:bottom w:val="single" w:sz="8" w:color="0000EE"/>
            </w:tcBorders>
            <w:gridSpan w:val="4"/>
          </w:tcPr>
          <w:p>
            <w:pPr>
              <w:spacing w:after="0"/>
              <w:rPr>
                <w:rFonts w:ascii="Arial" w:cs="Arial" w:eastAsia="Arial" w:hAnsi="Arial"/>
                <w:sz w:val="20"/>
                <w:szCs w:val="20"/>
                <w:color w:val="0000EE"/>
                <w:w w:val="85"/>
              </w:rPr>
            </w:pPr>
            <w:hyperlink w:anchor="page44">
              <w:r>
                <w:rPr>
                  <w:rFonts w:ascii="Arial" w:cs="Arial" w:eastAsia="Arial" w:hAnsi="Arial"/>
                  <w:sz w:val="20"/>
                  <w:szCs w:val="20"/>
                  <w:color w:val="0000EE"/>
                  <w:w w:val="85"/>
                </w:rPr>
                <w:t>Signatures</w:t>
              </w:r>
            </w:hyperlink>
          </w:p>
        </w:tc>
        <w:tc>
          <w:tcPr>
            <w:tcW w:w="1002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March 31,</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6"/>
                <w:szCs w:val="16"/>
                <w:color w:val="auto"/>
                <w:w w:val="93"/>
              </w:rPr>
              <w:t>December 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880" w:type="dxa"/>
            <w:vAlign w:val="bottom"/>
            <w:gridSpan w:val="2"/>
          </w:tcPr>
          <w:p>
            <w:pPr>
              <w:jc w:val="right"/>
              <w:ind w:right="119"/>
              <w:spacing w:after="0"/>
              <w:rPr>
                <w:sz w:val="20"/>
                <w:szCs w:val="20"/>
                <w:color w:val="auto"/>
              </w:rPr>
            </w:pPr>
            <w:r>
              <w:rPr>
                <w:rFonts w:ascii="Arial" w:cs="Arial" w:eastAsia="Arial" w:hAnsi="Arial"/>
                <w:sz w:val="16"/>
                <w:szCs w:val="16"/>
                <w:color w:val="auto"/>
              </w:rPr>
              <w:t>2019</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ind w:right="89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i w:val="1"/>
                <w:iCs w:val="1"/>
                <w:color w:val="auto"/>
              </w:rPr>
              <w:t>(Dollars in Thousands)</w:t>
            </w: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880" w:type="dxa"/>
            <w:vAlign w:val="bottom"/>
            <w:gridSpan w:val="2"/>
            <w:shd w:val="clear" w:color="auto" w:fill="CFF0FC"/>
          </w:tcPr>
          <w:p>
            <w:pPr>
              <w:jc w:val="right"/>
              <w:ind w:right="13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37,357</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6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Accounts receivable, net</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550,607</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523,276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Inventories, net</w:t>
            </w:r>
          </w:p>
        </w:tc>
        <w:tc>
          <w:tcPr>
            <w:tcW w:w="14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646,176</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663,035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135,971</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134,613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Current Assets</w:t>
            </w:r>
          </w:p>
        </w:tc>
        <w:tc>
          <w:tcPr>
            <w:tcW w:w="140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1,370,111</w:t>
            </w:r>
          </w:p>
        </w:tc>
        <w:tc>
          <w:tcPr>
            <w:tcW w:w="3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1,365,816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w:t>
            </w:r>
          </w:p>
        </w:tc>
        <w:tc>
          <w:tcPr>
            <w:tcW w:w="14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8,339,050</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8,294,962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Allowances for depreciation, depletion and amortization</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(3,192,368)</w:t>
            </w:r>
          </w:p>
        </w:tc>
        <w:tc>
          <w:tcPr>
            <w:tcW w:w="62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6"/>
                <w:szCs w:val="16"/>
                <w:color w:val="auto"/>
              </w:rPr>
              <w:t>(3,137,733)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property, plant and equipment</w:t>
            </w:r>
          </w:p>
        </w:tc>
        <w:tc>
          <w:tcPr>
            <w:tcW w:w="140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5,146,682</w:t>
            </w:r>
          </w:p>
        </w:tc>
        <w:tc>
          <w:tcPr>
            <w:tcW w:w="3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5,157,229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2,397,483</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2,399,118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Other intangibles, net</w:t>
            </w:r>
          </w:p>
        </w:tc>
        <w:tc>
          <w:tcPr>
            <w:tcW w:w="14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498,195</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501,282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Operating lease right-of-use assets</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498,233</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assets</w:t>
            </w:r>
          </w:p>
        </w:tc>
        <w:tc>
          <w:tcPr>
            <w:tcW w:w="1400" w:type="dxa"/>
            <w:vAlign w:val="bottom"/>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137,703</w:t>
            </w:r>
          </w:p>
        </w:tc>
        <w:tc>
          <w:tcPr>
            <w:tcW w:w="36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127,974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0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2880" w:type="dxa"/>
            <w:vAlign w:val="bottom"/>
            <w:gridSpan w:val="2"/>
          </w:tcPr>
          <w:p>
            <w:pPr>
              <w:jc w:val="right"/>
              <w:ind w:right="13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2"/>
              </w:rPr>
              <w:t>10,048,407</w:t>
            </w:r>
          </w:p>
        </w:tc>
        <w:tc>
          <w:tcPr>
            <w:tcW w:w="360" w:type="dxa"/>
            <w:vAlign w:val="bottom"/>
          </w:tcPr>
          <w:p>
            <w:pPr>
              <w:spacing w:after="0"/>
              <w:rPr>
                <w:sz w:val="21"/>
                <w:szCs w:val="21"/>
                <w:color w:val="auto"/>
              </w:rPr>
            </w:pPr>
          </w:p>
        </w:tc>
        <w:tc>
          <w:tcPr>
            <w:tcW w:w="620" w:type="dxa"/>
            <w:vAlign w:val="bottom"/>
          </w:tcPr>
          <w:p>
            <w:pPr>
              <w:jc w:val="right"/>
              <w:ind w:right="46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9,551,419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000" w:type="dxa"/>
            <w:vAlign w:val="bottom"/>
            <w:tcBorders>
              <w:top w:val="single" w:sz="8" w:color="CFF0FC"/>
            </w:tcBorders>
            <w:shd w:val="clear" w:color="auto" w:fill="CFF0FC"/>
          </w:tcPr>
          <w:p>
            <w:pPr>
              <w:spacing w:after="0"/>
              <w:rPr>
                <w:sz w:val="17"/>
                <w:szCs w:val="17"/>
                <w:color w:val="auto"/>
              </w:rPr>
            </w:pPr>
          </w:p>
        </w:tc>
        <w:tc>
          <w:tcPr>
            <w:tcW w:w="1400" w:type="dxa"/>
            <w:vAlign w:val="bottom"/>
            <w:tcBorders>
              <w:top w:val="single" w:sz="8" w:color="CFF0FC"/>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4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Accounts payable</w:t>
            </w:r>
          </w:p>
        </w:tc>
        <w:tc>
          <w:tcPr>
            <w:tcW w:w="2880" w:type="dxa"/>
            <w:vAlign w:val="bottom"/>
            <w:gridSpan w:val="2"/>
          </w:tcPr>
          <w:p>
            <w:pPr>
              <w:jc w:val="right"/>
              <w:ind w:right="13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184,844</w:t>
            </w:r>
          </w:p>
        </w:tc>
        <w:tc>
          <w:tcPr>
            <w:tcW w:w="360" w:type="dxa"/>
            <w:vAlign w:val="bottom"/>
          </w:tcPr>
          <w:p>
            <w:pPr>
              <w:spacing w:after="0"/>
              <w:rPr>
                <w:sz w:val="18"/>
                <w:szCs w:val="18"/>
                <w:color w:val="auto"/>
              </w:rPr>
            </w:pPr>
          </w:p>
        </w:tc>
        <w:tc>
          <w:tcPr>
            <w:tcW w:w="620" w:type="dxa"/>
            <w:vAlign w:val="bottom"/>
          </w:tcPr>
          <w:p>
            <w:pPr>
              <w:jc w:val="right"/>
              <w:ind w:right="46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210,808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Accrued salaries, benefits and payroll taxes</w:t>
            </w:r>
          </w:p>
        </w:tc>
        <w:tc>
          <w:tcPr>
            <w:tcW w:w="14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27,313</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Pension and postretirement benefits</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9,923</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Accrued insurance and other taxes</w:t>
            </w:r>
          </w:p>
        </w:tc>
        <w:tc>
          <w:tcPr>
            <w:tcW w:w="14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52,895</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20" w:type="dxa"/>
            <w:vAlign w:val="bottom"/>
            <w:gridSpan w:val="2"/>
          </w:tcPr>
          <w:p>
            <w:pPr>
              <w:spacing w:after="0"/>
              <w:rPr>
                <w:sz w:val="20"/>
                <w:szCs w:val="20"/>
                <w:color w:val="auto"/>
              </w:rPr>
            </w:pPr>
            <w:r>
              <w:rPr>
                <w:rFonts w:ascii="Arial" w:cs="Arial" w:eastAsia="Arial" w:hAnsi="Arial"/>
                <w:sz w:val="16"/>
                <w:szCs w:val="16"/>
                <w:color w:val="auto"/>
              </w:rPr>
              <w:t>Current maturities of long-term debt and short-term</w:t>
            </w:r>
          </w:p>
        </w:tc>
        <w:tc>
          <w:tcPr>
            <w:tcW w:w="1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6"/>
                <w:szCs w:val="16"/>
                <w:color w:val="auto"/>
              </w:rPr>
              <w:t>facilities</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360,056</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390,042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w:t>
            </w:r>
          </w:p>
        </w:tc>
        <w:tc>
          <w:tcPr>
            <w:tcW w:w="14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31,844</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Operating lease liabilities</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50,776</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Other current liabilities</w:t>
            </w:r>
          </w:p>
        </w:tc>
        <w:tc>
          <w:tcPr>
            <w:tcW w:w="1400" w:type="dxa"/>
            <w:vAlign w:val="bottom"/>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39,986</w:t>
            </w:r>
          </w:p>
        </w:tc>
        <w:tc>
          <w:tcPr>
            <w:tcW w:w="36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43,805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Current Liabilities</w:t>
            </w:r>
          </w:p>
        </w:tc>
        <w:tc>
          <w:tcPr>
            <w:tcW w:w="1400" w:type="dxa"/>
            <w:vAlign w:val="bottom"/>
            <w:tcBorders>
              <w:bottom w:val="single" w:sz="8" w:color="CFF0FC"/>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757,637</w:t>
            </w:r>
          </w:p>
        </w:tc>
        <w:tc>
          <w:tcPr>
            <w:tcW w:w="36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786,750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2,801,228</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2,730,439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Pension, postretirement and postemployment benefits</w:t>
            </w:r>
          </w:p>
        </w:tc>
        <w:tc>
          <w:tcPr>
            <w:tcW w:w="14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138,049</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134,469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Deferred income taxes, net</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695,771</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705,564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Noncurrent operating lease liabilities</w:t>
            </w:r>
          </w:p>
        </w:tc>
        <w:tc>
          <w:tcPr>
            <w:tcW w:w="14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446,128</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Other noncurrent liabilities</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234,098</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244,785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Liabilities</w:t>
            </w:r>
          </w:p>
        </w:tc>
        <w:tc>
          <w:tcPr>
            <w:tcW w:w="140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5,072,911</w:t>
            </w:r>
          </w:p>
        </w:tc>
        <w:tc>
          <w:tcPr>
            <w:tcW w:w="3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4,602,007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Equity:</w:t>
            </w:r>
          </w:p>
        </w:tc>
        <w:tc>
          <w:tcPr>
            <w:tcW w:w="14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Common stock, par value $0.01 per share</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625</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par value $0.01 per share</w:t>
            </w:r>
          </w:p>
        </w:tc>
        <w:tc>
          <w:tcPr>
            <w:tcW w:w="14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Additional paid-in capital</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3,406,456</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3,396,059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w:t>
            </w:r>
          </w:p>
        </w:tc>
        <w:tc>
          <w:tcPr>
            <w:tcW w:w="14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(140,324)</w:t>
            </w:r>
          </w:p>
        </w:tc>
        <w:tc>
          <w:tcPr>
            <w:tcW w:w="6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(143,579)</w:t>
            </w: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Retained earnings</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1,705,717</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1,693,259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Shareholders' Equity</w:t>
            </w:r>
          </w:p>
        </w:tc>
        <w:tc>
          <w:tcPr>
            <w:tcW w:w="140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4,972,474</w:t>
            </w:r>
          </w:p>
        </w:tc>
        <w:tc>
          <w:tcPr>
            <w:tcW w:w="3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4,946,363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spacing w:after="0"/>
              <w:rPr>
                <w:sz w:val="20"/>
                <w:szCs w:val="20"/>
                <w:color w:val="auto"/>
              </w:rPr>
            </w:pPr>
            <w:r>
              <w:rPr>
                <w:rFonts w:ascii="Arial" w:cs="Arial" w:eastAsia="Arial" w:hAnsi="Arial"/>
                <w:sz w:val="16"/>
                <w:szCs w:val="16"/>
                <w:color w:val="auto"/>
              </w:rPr>
              <w:t>Noncontrolling interests</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3,022</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Equity</w:t>
            </w:r>
          </w:p>
        </w:tc>
        <w:tc>
          <w:tcPr>
            <w:tcW w:w="140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4,975,496</w:t>
            </w:r>
          </w:p>
        </w:tc>
        <w:tc>
          <w:tcPr>
            <w:tcW w:w="3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4,949,412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tcPr>
          <w:p>
            <w:pPr>
              <w:ind w:left="240"/>
              <w:spacing w:after="0"/>
              <w:rPr>
                <w:sz w:val="20"/>
                <w:szCs w:val="20"/>
                <w:color w:val="auto"/>
              </w:rPr>
            </w:pPr>
            <w:r>
              <w:rPr>
                <w:rFonts w:ascii="Arial" w:cs="Arial" w:eastAsia="Arial" w:hAnsi="Arial"/>
                <w:sz w:val="16"/>
                <w:szCs w:val="16"/>
                <w:color w:val="auto"/>
              </w:rPr>
              <w:t>Total Liabilities and Equity</w:t>
            </w:r>
          </w:p>
        </w:tc>
        <w:tc>
          <w:tcPr>
            <w:tcW w:w="2880" w:type="dxa"/>
            <w:vAlign w:val="bottom"/>
            <w:gridSpan w:val="2"/>
          </w:tcPr>
          <w:p>
            <w:pPr>
              <w:jc w:val="right"/>
              <w:ind w:right="13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2"/>
              </w:rPr>
              <w:t>10,048,407</w:t>
            </w:r>
          </w:p>
        </w:tc>
        <w:tc>
          <w:tcPr>
            <w:tcW w:w="360" w:type="dxa"/>
            <w:vAlign w:val="bottom"/>
          </w:tcPr>
          <w:p>
            <w:pPr>
              <w:spacing w:after="0"/>
              <w:rPr>
                <w:sz w:val="17"/>
                <w:szCs w:val="17"/>
                <w:color w:val="auto"/>
              </w:rPr>
            </w:pPr>
          </w:p>
        </w:tc>
        <w:tc>
          <w:tcPr>
            <w:tcW w:w="620" w:type="dxa"/>
            <w:vAlign w:val="bottom"/>
          </w:tcPr>
          <w:p>
            <w:pPr>
              <w:jc w:val="right"/>
              <w:ind w:right="46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9,551,419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0" w:type="dxa"/>
            <w:vAlign w:val="bottom"/>
            <w:gridSpan w:val="3"/>
          </w:tcPr>
          <w:p>
            <w:pPr>
              <w:jc w:val="center"/>
              <w:spacing w:after="0"/>
              <w:rPr>
                <w:sz w:val="20"/>
                <w:szCs w:val="20"/>
                <w:color w:val="auto"/>
              </w:rPr>
            </w:pPr>
            <w:r>
              <w:rPr>
                <w:rFonts w:ascii="Arial" w:cs="Arial" w:eastAsia="Arial" w:hAnsi="Arial"/>
                <w:sz w:val="18"/>
                <w:szCs w:val="18"/>
                <w:color w:val="auto"/>
                <w:w w:val="90"/>
              </w:rPr>
              <w:t>Three Months Ended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March 31,</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820" w:type="dxa"/>
            <w:vAlign w:val="bottom"/>
            <w:gridSpan w:val="5"/>
          </w:tcPr>
          <w:p>
            <w:pPr>
              <w:jc w:val="center"/>
              <w:spacing w:after="0"/>
              <w:rPr>
                <w:sz w:val="20"/>
                <w:szCs w:val="20"/>
                <w:color w:val="auto"/>
              </w:rPr>
            </w:pPr>
            <w:r>
              <w:rPr>
                <w:rFonts w:ascii="Arial" w:cs="Arial" w:eastAsia="Arial" w:hAnsi="Arial"/>
                <w:sz w:val="18"/>
                <w:szCs w:val="18"/>
                <w:i w:val="1"/>
                <w:iCs w:val="1"/>
                <w:color w:val="auto"/>
                <w:w w:val="90"/>
              </w:rPr>
              <w:t>(In Thousands, Except Per Share Data)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5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Products and services revenues</w:t>
            </w:r>
          </w:p>
        </w:tc>
        <w:tc>
          <w:tcPr>
            <w:tcW w:w="2700" w:type="dxa"/>
            <w:vAlign w:val="bottom"/>
            <w:gridSpan w:val="2"/>
            <w:shd w:val="clear" w:color="auto" w:fill="CFF0FC"/>
          </w:tcPr>
          <w:p>
            <w:pPr>
              <w:jc w:val="right"/>
              <w:ind w:right="941"/>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878,305</w:t>
            </w: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753,305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Freight revenues</w:t>
            </w:r>
          </w:p>
        </w:tc>
        <w:tc>
          <w:tcPr>
            <w:tcW w:w="16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60,650</w:t>
            </w:r>
          </w:p>
        </w:tc>
        <w:tc>
          <w:tcPr>
            <w:tcW w:w="3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6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938,955</w:t>
            </w:r>
          </w:p>
        </w:tc>
        <w:tc>
          <w:tcPr>
            <w:tcW w:w="3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5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 - products and services</w:t>
            </w:r>
          </w:p>
        </w:tc>
        <w:tc>
          <w:tcPr>
            <w:tcW w:w="16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734,168</w:t>
            </w: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641,620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 - freight</w:t>
            </w:r>
          </w:p>
        </w:tc>
        <w:tc>
          <w:tcPr>
            <w:tcW w:w="16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61,880</w:t>
            </w:r>
          </w:p>
        </w:tc>
        <w:tc>
          <w:tcPr>
            <w:tcW w:w="3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Cost of Revenues</w:t>
            </w:r>
          </w:p>
        </w:tc>
        <w:tc>
          <w:tcPr>
            <w:tcW w:w="16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796,048</w:t>
            </w:r>
          </w:p>
        </w:tc>
        <w:tc>
          <w:tcPr>
            <w:tcW w:w="3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5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142,907</w:t>
            </w: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5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&amp; administrative expenses</w:t>
            </w:r>
          </w:p>
        </w:tc>
        <w:tc>
          <w:tcPr>
            <w:tcW w:w="16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78,292</w:t>
            </w: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Acquisition-related expenses, net</w:t>
            </w:r>
          </w:p>
        </w:tc>
        <w:tc>
          <w:tcPr>
            <w:tcW w:w="1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expenses, net</w:t>
            </w:r>
          </w:p>
        </w:tc>
        <w:tc>
          <w:tcPr>
            <w:tcW w:w="16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(4,750)</w:t>
            </w: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Earnings from Operations</w:t>
            </w:r>
          </w:p>
        </w:tc>
        <w:tc>
          <w:tcPr>
            <w:tcW w:w="16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69,221</w:t>
            </w: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58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expense</w:t>
            </w:r>
          </w:p>
        </w:tc>
        <w:tc>
          <w:tcPr>
            <w:tcW w:w="1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32,948</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 net</w:t>
            </w:r>
          </w:p>
        </w:tc>
        <w:tc>
          <w:tcPr>
            <w:tcW w:w="16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(1,562)</w:t>
            </w:r>
          </w:p>
        </w:tc>
        <w:tc>
          <w:tcPr>
            <w:tcW w:w="6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Earnings before income tax expense</w:t>
            </w:r>
          </w:p>
        </w:tc>
        <w:tc>
          <w:tcPr>
            <w:tcW w:w="16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37,835</w:t>
            </w: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16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(4,991)</w:t>
            </w: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00" w:type="dxa"/>
            <w:vAlign w:val="bottom"/>
            <w:gridSpan w:val="2"/>
          </w:tcPr>
          <w:p>
            <w:pPr>
              <w:spacing w:after="0"/>
              <w:rPr>
                <w:sz w:val="20"/>
                <w:szCs w:val="20"/>
                <w:color w:val="auto"/>
              </w:rPr>
            </w:pPr>
            <w:r>
              <w:rPr>
                <w:rFonts w:ascii="Arial" w:cs="Arial" w:eastAsia="Arial" w:hAnsi="Arial"/>
                <w:sz w:val="18"/>
                <w:szCs w:val="18"/>
                <w:color w:val="auto"/>
              </w:rPr>
              <w:t>Consolidated net earnings</w:t>
            </w:r>
          </w:p>
        </w:tc>
        <w:tc>
          <w:tcPr>
            <w:tcW w:w="16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42,826</w:t>
            </w: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Less: Net (loss) earnings attributable to noncontrolling</w:t>
            </w:r>
          </w:p>
        </w:tc>
        <w:tc>
          <w:tcPr>
            <w:tcW w:w="16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interests</w:t>
            </w:r>
          </w:p>
        </w:tc>
        <w:tc>
          <w:tcPr>
            <w:tcW w:w="16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(27)</w:t>
            </w: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900" w:type="dxa"/>
            <w:vAlign w:val="bottom"/>
            <w:gridSpan w:val="2"/>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16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941"/>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42,853</w:t>
            </w:r>
          </w:p>
        </w:tc>
        <w:tc>
          <w:tcPr>
            <w:tcW w:w="32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8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Consolidated Comprehensive Earnings:</w:t>
            </w:r>
          </w:p>
        </w:tc>
        <w:tc>
          <w:tcPr>
            <w:tcW w:w="1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Earnings attributable to Martin Marietta Materials, Inc.</w:t>
            </w:r>
          </w:p>
        </w:tc>
        <w:tc>
          <w:tcPr>
            <w:tcW w:w="2700" w:type="dxa"/>
            <w:vAlign w:val="bottom"/>
            <w:gridSpan w:val="2"/>
            <w:shd w:val="clear" w:color="auto" w:fill="CFF0FC"/>
          </w:tcPr>
          <w:p>
            <w:pPr>
              <w:jc w:val="right"/>
              <w:ind w:right="941"/>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46,108</w:t>
            </w: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(Loss) Earnings attributable to noncontrolling interests</w:t>
            </w:r>
          </w:p>
        </w:tc>
        <w:tc>
          <w:tcPr>
            <w:tcW w:w="1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Borders>
              <w:top w:val="single" w:sz="8" w:color="CFF0FC"/>
              <w:bottom w:val="single" w:sz="8" w:color="CFF0FC"/>
            </w:tcBorders>
            <w:shd w:val="clear" w:color="auto" w:fill="CFF0FC"/>
          </w:tcPr>
          <w:p>
            <w:pPr>
              <w:spacing w:after="0"/>
              <w:rPr>
                <w:sz w:val="19"/>
                <w:szCs w:val="19"/>
                <w:color w:val="auto"/>
              </w:rPr>
            </w:pP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41"/>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46,081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1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 Common Share:</w:t>
            </w:r>
          </w:p>
        </w:tc>
        <w:tc>
          <w:tcPr>
            <w:tcW w:w="16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880" w:type="dxa"/>
            <w:vAlign w:val="bottom"/>
          </w:tcPr>
          <w:p>
            <w:pPr>
              <w:ind w:left="480"/>
              <w:spacing w:after="0"/>
              <w:rPr>
                <w:sz w:val="20"/>
                <w:szCs w:val="20"/>
                <w:color w:val="auto"/>
              </w:rPr>
            </w:pPr>
            <w:r>
              <w:rPr>
                <w:rFonts w:ascii="Arial" w:cs="Arial" w:eastAsia="Arial" w:hAnsi="Arial"/>
                <w:sz w:val="18"/>
                <w:szCs w:val="18"/>
                <w:color w:val="auto"/>
              </w:rPr>
              <w:t>Basic attributable to common shareholders</w:t>
            </w:r>
          </w:p>
        </w:tc>
        <w:tc>
          <w:tcPr>
            <w:tcW w:w="2700" w:type="dxa"/>
            <w:vAlign w:val="bottom"/>
            <w:gridSpan w:val="2"/>
          </w:tcPr>
          <w:p>
            <w:pPr>
              <w:jc w:val="right"/>
              <w:ind w:right="941"/>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0.68</w:t>
            </w:r>
          </w:p>
        </w:tc>
        <w:tc>
          <w:tcPr>
            <w:tcW w:w="320" w:type="dxa"/>
            <w:vAlign w:val="bottom"/>
          </w:tcPr>
          <w:p>
            <w:pPr>
              <w:spacing w:after="0"/>
              <w:rPr>
                <w:sz w:val="23"/>
                <w:szCs w:val="23"/>
                <w:color w:val="auto"/>
              </w:rPr>
            </w:pPr>
          </w:p>
        </w:tc>
        <w:tc>
          <w:tcPr>
            <w:tcW w:w="640" w:type="dxa"/>
            <w:vAlign w:val="bottom"/>
          </w:tcPr>
          <w:p>
            <w:pPr>
              <w:jc w:val="right"/>
              <w:ind w:right="48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Diluted attributable to common shareholders</w:t>
            </w:r>
          </w:p>
        </w:tc>
        <w:tc>
          <w:tcPr>
            <w:tcW w:w="160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941"/>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16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Basic</w:t>
            </w:r>
          </w:p>
        </w:tc>
        <w:tc>
          <w:tcPr>
            <w:tcW w:w="1600" w:type="dxa"/>
            <w:vAlign w:val="bottom"/>
            <w:tcBorders>
              <w:bottom w:val="single" w:sz="8" w:color="CFF0FC"/>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62,584</w:t>
            </w:r>
          </w:p>
        </w:tc>
        <w:tc>
          <w:tcPr>
            <w:tcW w:w="320" w:type="dxa"/>
            <w:vAlign w:val="bottom"/>
            <w:tcBorders>
              <w:bottom w:val="single" w:sz="8" w:color="CFF0FC"/>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62,957</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6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62,777</w:t>
            </w:r>
          </w:p>
        </w:tc>
        <w:tc>
          <w:tcPr>
            <w:tcW w:w="3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387"/>
              <w:spacing w:after="0"/>
              <w:rPr>
                <w:sz w:val="20"/>
                <w:szCs w:val="20"/>
                <w:color w:val="auto"/>
              </w:rPr>
            </w:pPr>
            <w:r>
              <w:rPr>
                <w:rFonts w:ascii="Arial" w:cs="Arial" w:eastAsia="Arial" w:hAnsi="Arial"/>
                <w:sz w:val="18"/>
                <w:szCs w:val="18"/>
                <w:color w:val="auto"/>
              </w:rPr>
              <w:t>March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w w:val="8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60" w:type="dxa"/>
            <w:vAlign w:val="bottom"/>
            <w:gridSpan w:val="4"/>
          </w:tcPr>
          <w:p>
            <w:pPr>
              <w:jc w:val="right"/>
              <w:spacing w:after="0"/>
              <w:rPr>
                <w:sz w:val="20"/>
                <w:szCs w:val="20"/>
                <w:color w:val="auto"/>
              </w:rPr>
            </w:pPr>
            <w:r>
              <w:rPr>
                <w:rFonts w:ascii="Arial" w:cs="Arial" w:eastAsia="Arial" w:hAnsi="Arial"/>
                <w:sz w:val="18"/>
                <w:szCs w:val="18"/>
                <w:i w:val="1"/>
                <w:iCs w:val="1"/>
                <w:color w:val="auto"/>
                <w:w w:val="90"/>
              </w:rPr>
              <w:t>(Dollars in Thousands)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7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Consolidated net earnings</w:t>
            </w:r>
          </w:p>
        </w:tc>
        <w:tc>
          <w:tcPr>
            <w:tcW w:w="1040" w:type="dxa"/>
            <w:vAlign w:val="bottom"/>
          </w:tcPr>
          <w:p>
            <w:pPr>
              <w:jc w:val="right"/>
              <w:ind w:right="882"/>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42,826</w:t>
            </w:r>
          </w:p>
        </w:tc>
        <w:tc>
          <w:tcPr>
            <w:tcW w:w="300" w:type="dxa"/>
            <w:vAlign w:val="bottom"/>
          </w:tcPr>
          <w:p>
            <w:pPr>
              <w:spacing w:after="0"/>
              <w:rPr>
                <w:sz w:val="19"/>
                <w:szCs w:val="19"/>
                <w:color w:val="auto"/>
              </w:rPr>
            </w:pPr>
          </w:p>
        </w:tc>
        <w:tc>
          <w:tcPr>
            <w:tcW w:w="680" w:type="dxa"/>
            <w:vAlign w:val="bottom"/>
            <w:gridSpan w:val="2"/>
          </w:tcPr>
          <w:p>
            <w:pPr>
              <w:jc w:val="right"/>
              <w:ind w:right="507"/>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consolidated net earnings to net cash</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provided by operating activities:</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89,211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rPr>
              <w:t>Gain on divestitures and sales of assets</w:t>
            </w:r>
          </w:p>
        </w:tc>
        <w:tc>
          <w:tcPr>
            <w:tcW w:w="10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(2,413)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rPr>
              <w:t>Other items, net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divestitures:</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10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(26,059)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 net</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20,393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assets and liabilities, net</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(41,338)</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(10,421)</w:t>
            </w:r>
          </w:p>
        </w:tc>
        <w:tc>
          <w:tcPr>
            <w:tcW w:w="0" w:type="dxa"/>
            <w:vAlign w:val="bottom"/>
          </w:tcPr>
          <w:p>
            <w:pPr>
              <w:spacing w:after="0"/>
              <w:rPr>
                <w:sz w:val="1"/>
                <w:szCs w:val="1"/>
                <w:color w:val="auto"/>
              </w:rPr>
            </w:pPr>
          </w:p>
        </w:tc>
      </w:tr>
      <w:tr>
        <w:trPr>
          <w:trHeight w:val="222"/>
        </w:trPr>
        <w:tc>
          <w:tcPr>
            <w:tcW w:w="75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117,864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75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3"/>
              </w:rPr>
              <w:t>(130,056)</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(96,259)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rPr>
              <w:t>Proceeds from divestitures and sales of assets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of railcar construction advances</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rPr>
              <w:t>Reimbursement of railcar construction advances</w:t>
            </w:r>
          </w:p>
        </w:tc>
        <w:tc>
          <w:tcPr>
            <w:tcW w:w="10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Investments in life insurance contracts, net</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rPr>
              <w:t>Other investing activities, net</w:t>
            </w:r>
          </w:p>
        </w:tc>
        <w:tc>
          <w:tcPr>
            <w:tcW w:w="10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for Investing Activities</w:t>
            </w: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(127,536)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7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rPr>
              <w:t>Borrowings of debt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debt</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(85,000)</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rPr>
              <w:t>Payments on finance leases</w:t>
            </w:r>
          </w:p>
        </w:tc>
        <w:tc>
          <w:tcPr>
            <w:tcW w:w="10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(951)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on capital lease</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rPr>
              <w:t>Debt issuance costs</w:t>
            </w:r>
          </w:p>
        </w:tc>
        <w:tc>
          <w:tcPr>
            <w:tcW w:w="10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Contributions by owners of noncontrolling interest</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rPr>
              <w:t>Dividends paid</w:t>
            </w:r>
          </w:p>
        </w:tc>
        <w:tc>
          <w:tcPr>
            <w:tcW w:w="10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(30,395)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(27,885)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rPr>
              <w:t>Shares withheld for employees' income tax obligations</w:t>
            </w:r>
          </w:p>
        </w:tc>
        <w:tc>
          <w:tcPr>
            <w:tcW w:w="10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(7,128)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for) Financing Activities</w:t>
            </w: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6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(7,535)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10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44,892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1,446,364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40" w:type="dxa"/>
            <w:vAlign w:val="bottom"/>
            <w:tcBorders>
              <w:bottom w:val="single" w:sz="8" w:color="auto"/>
            </w:tcBorders>
          </w:tcPr>
          <w:p>
            <w:pPr>
              <w:jc w:val="right"/>
              <w:ind w:right="882"/>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TOTAL EQUITY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Shares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Additional</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Common</w:t>
            </w:r>
          </w:p>
        </w:tc>
        <w:tc>
          <w:tcPr>
            <w:tcW w:w="180" w:type="dxa"/>
            <w:vAlign w:val="bottom"/>
          </w:tcPr>
          <w:p>
            <w:pPr>
              <w:spacing w:after="0"/>
              <w:rPr>
                <w:sz w:val="18"/>
                <w:szCs w:val="18"/>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Common</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Paid-</w:t>
            </w:r>
          </w:p>
        </w:tc>
        <w:tc>
          <w:tcPr>
            <w:tcW w:w="60" w:type="dxa"/>
            <w:vAlign w:val="bottom"/>
          </w:tcPr>
          <w:p>
            <w:pPr>
              <w:spacing w:after="0"/>
              <w:rPr>
                <w:sz w:val="18"/>
                <w:szCs w:val="18"/>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Accumulated Other</w:t>
            </w:r>
          </w:p>
        </w:tc>
        <w:tc>
          <w:tcPr>
            <w:tcW w:w="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Retained</w:t>
            </w:r>
          </w:p>
        </w:tc>
        <w:tc>
          <w:tcPr>
            <w:tcW w:w="1080" w:type="dxa"/>
            <w:vAlign w:val="bottom"/>
            <w:gridSpan w:val="3"/>
          </w:tcPr>
          <w:p>
            <w:pPr>
              <w:spacing w:after="0"/>
              <w:rPr>
                <w:sz w:val="20"/>
                <w:szCs w:val="20"/>
                <w:color w:val="auto"/>
              </w:rPr>
            </w:pPr>
            <w:r>
              <w:rPr>
                <w:rFonts w:ascii="Arial" w:cs="Arial" w:eastAsia="Arial" w:hAnsi="Arial"/>
                <w:sz w:val="18"/>
                <w:szCs w:val="18"/>
                <w:color w:val="auto"/>
                <w:w w:val="95"/>
              </w:rPr>
              <w:t>Shareholders'</w:t>
            </w:r>
          </w:p>
        </w:tc>
        <w:tc>
          <w:tcPr>
            <w:tcW w:w="1560" w:type="dxa"/>
            <w:vAlign w:val="bottom"/>
            <w:gridSpan w:val="4"/>
          </w:tcPr>
          <w:p>
            <w:pPr>
              <w:ind w:left="60"/>
              <w:spacing w:after="0"/>
              <w:rPr>
                <w:sz w:val="20"/>
                <w:szCs w:val="20"/>
                <w:color w:val="auto"/>
              </w:rPr>
            </w:pPr>
            <w:r>
              <w:rPr>
                <w:rFonts w:ascii="Arial" w:cs="Arial" w:eastAsia="Arial" w:hAnsi="Arial"/>
                <w:sz w:val="18"/>
                <w:szCs w:val="18"/>
                <w:color w:val="auto"/>
              </w:rPr>
              <w:t>Noncontrolling</w:t>
            </w:r>
          </w:p>
        </w:tc>
        <w:tc>
          <w:tcPr>
            <w:tcW w:w="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24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Stock</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in Capital</w:t>
            </w:r>
          </w:p>
        </w:tc>
        <w:tc>
          <w:tcPr>
            <w:tcW w:w="1700" w:type="dxa"/>
            <w:vAlign w:val="bottom"/>
            <w:gridSpan w:val="4"/>
          </w:tcPr>
          <w:p>
            <w:pPr>
              <w:ind w:left="60"/>
              <w:spacing w:after="0"/>
              <w:rPr>
                <w:sz w:val="20"/>
                <w:szCs w:val="20"/>
                <w:color w:val="auto"/>
              </w:rPr>
            </w:pPr>
            <w:r>
              <w:rPr>
                <w:rFonts w:ascii="Arial" w:cs="Arial" w:eastAsia="Arial" w:hAnsi="Arial"/>
                <w:sz w:val="18"/>
                <w:szCs w:val="18"/>
                <w:color w:val="auto"/>
                <w:w w:val="95"/>
              </w:rPr>
              <w:t>Comprehensive Loss</w:t>
            </w:r>
          </w:p>
        </w:tc>
        <w:tc>
          <w:tcPr>
            <w:tcW w:w="6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Earnings</w:t>
            </w:r>
          </w:p>
        </w:tc>
        <w:tc>
          <w:tcPr>
            <w:tcW w:w="16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Interests</w:t>
            </w:r>
          </w:p>
        </w:tc>
        <w:tc>
          <w:tcPr>
            <w:tcW w:w="2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Balance at December 31,</w:t>
            </w:r>
          </w:p>
        </w:tc>
        <w:tc>
          <w:tcPr>
            <w:tcW w:w="1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62,873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$ 3,368,007</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(129,104)</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0"/>
              </w:rPr>
              <w:t>$ 1,440,069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4,679,600</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2,877</w:t>
            </w:r>
          </w:p>
        </w:tc>
        <w:tc>
          <w:tcPr>
            <w:tcW w:w="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$ 4,682,477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Consolidated net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earnings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10,023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10,023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comprehensive</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earnings,</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net of tax</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Dividends declared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($0.44 per share)</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(27,885)</w:t>
            </w: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(27,885)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(27,885)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Issuances of common</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 for stock</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award plans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Shares withheld for</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employees' income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tcPr>
          <w:p>
            <w:pPr>
              <w:ind w:left="360"/>
              <w:spacing w:after="0"/>
              <w:rPr>
                <w:sz w:val="20"/>
                <w:szCs w:val="20"/>
                <w:color w:val="auto"/>
              </w:rPr>
            </w:pPr>
            <w:r>
              <w:rPr>
                <w:rFonts w:ascii="Arial" w:cs="Arial" w:eastAsia="Arial" w:hAnsi="Arial"/>
                <w:sz w:val="18"/>
                <w:szCs w:val="18"/>
                <w:color w:val="auto"/>
              </w:rPr>
              <w:t>tax obligations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(6,380)</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(6,380)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Stock-based</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compensation expense</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Contributions from</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owners of</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noncontrolling interest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w:t>
            </w: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March 31, 2018</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62,948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$ 3,381,280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$ 1,422,207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4,676,630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$ 4,679,830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at December 31,</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62,515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$ 3,396,059</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(143,579)</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0"/>
              </w:rPr>
              <w:t>$ 1,693,259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4,946,363</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3,049</w:t>
            </w:r>
          </w:p>
        </w:tc>
        <w:tc>
          <w:tcPr>
            <w:tcW w:w="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$ 4,949,412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Consolidated net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earnings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42,853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42,853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comprehensive</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earnings,</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net of tax</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Dividends declared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($0.48 per share)</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(30,395)</w:t>
            </w: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(30,395)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(30,395)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Issuances of common</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 for stock</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award plans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Shares withheld for</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employees' income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tcPr>
          <w:p>
            <w:pPr>
              <w:ind w:left="360"/>
              <w:spacing w:after="0"/>
              <w:rPr>
                <w:sz w:val="20"/>
                <w:szCs w:val="20"/>
                <w:color w:val="auto"/>
              </w:rPr>
            </w:pPr>
            <w:r>
              <w:rPr>
                <w:rFonts w:ascii="Arial" w:cs="Arial" w:eastAsia="Arial" w:hAnsi="Arial"/>
                <w:sz w:val="18"/>
                <w:szCs w:val="18"/>
                <w:color w:val="auto"/>
              </w:rPr>
              <w:t>tax obligations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(7,128)</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(7,128)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Stock-based</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compensation expense</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40" w:type="dxa"/>
            <w:vAlign w:val="bottom"/>
            <w:gridSpan w:val="3"/>
          </w:tcPr>
          <w:p>
            <w:pPr>
              <w:spacing w:after="0"/>
              <w:rPr>
                <w:sz w:val="20"/>
                <w:szCs w:val="20"/>
                <w:color w:val="auto"/>
              </w:rPr>
            </w:pPr>
            <w:r>
              <w:rPr>
                <w:rFonts w:ascii="Arial" w:cs="Arial" w:eastAsia="Arial" w:hAnsi="Arial"/>
                <w:sz w:val="18"/>
                <w:szCs w:val="18"/>
                <w:color w:val="auto"/>
              </w:rPr>
              <w:t>Balance at March 31, 2019</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62,593</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3,406,456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1,705,717</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4,972,474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$ 4,975,496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6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13" w:lineRule="exact"/>
        <w:rPr>
          <w:sz w:val="20"/>
          <w:szCs w:val="20"/>
          <w:color w:val="auto"/>
        </w:rPr>
      </w:pPr>
    </w:p>
    <w:p>
      <w:pPr>
        <w:ind w:left="380" w:right="8440" w:hanging="373"/>
        <w:spacing w:after="0" w:line="353" w:lineRule="auto"/>
        <w:tabs>
          <w:tab w:leader="none" w:pos="376"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Organization</w:t>
      </w:r>
    </w:p>
    <w:p>
      <w:pPr>
        <w:jc w:val="both"/>
        <w:ind w:left="380"/>
        <w:spacing w:after="0" w:line="241" w:lineRule="auto"/>
        <w:rPr>
          <w:rFonts w:ascii="Arial" w:cs="Arial" w:eastAsia="Arial" w:hAnsi="Arial"/>
          <w:sz w:val="20"/>
          <w:szCs w:val="20"/>
          <w:b w:val="1"/>
          <w:bCs w:val="1"/>
          <w:color w:val="auto"/>
        </w:rPr>
      </w:pPr>
      <w:r>
        <w:rPr>
          <w:rFonts w:ascii="Arial" w:cs="Arial" w:eastAsia="Arial" w:hAnsi="Arial"/>
          <w:sz w:val="20"/>
          <w:szCs w:val="20"/>
          <w:color w:val="auto"/>
        </w:rPr>
        <w:t>Martin Marietta Materials, Inc. (the Company or Martin Marietta) is a natural resource-based building materials company. The Company supplies aggregates (crushed stone, sand and gravel) through its network of more than 300 quarries, mines and distribution yards to its customers in 31 states, Canada, the Bahamas and the Caribbean Islands. In the western United States, Martin Marietta also provides cement and downstream products, namely, ready mixed concrete, asphalt and paving services,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86" w:lineRule="exact"/>
        <w:rPr>
          <w:rFonts w:ascii="Arial" w:cs="Arial" w:eastAsia="Arial" w:hAnsi="Arial"/>
          <w:sz w:val="20"/>
          <w:szCs w:val="20"/>
          <w:b w:val="1"/>
          <w:bCs w:val="1"/>
          <w:color w:val="auto"/>
        </w:rPr>
      </w:pPr>
    </w:p>
    <w:p>
      <w:pPr>
        <w:ind w:left="380" w:right="20"/>
        <w:spacing w:after="0" w:line="258" w:lineRule="auto"/>
        <w:rPr>
          <w:rFonts w:ascii="Arial" w:cs="Arial" w:eastAsia="Arial" w:hAnsi="Arial"/>
          <w:sz w:val="20"/>
          <w:szCs w:val="20"/>
          <w:b w:val="1"/>
          <w:bCs w:val="1"/>
          <w:color w:val="auto"/>
        </w:rPr>
      </w:pPr>
      <w:r>
        <w:rPr>
          <w:rFonts w:ascii="Arial" w:cs="Arial" w:eastAsia="Arial" w:hAnsi="Arial"/>
          <w:sz w:val="20"/>
          <w:szCs w:val="20"/>
          <w:color w:val="auto"/>
        </w:rPr>
        <w:t>The Company’s Building Materials business includes three reportable segments: the Mid-America Group, the Southeast Group and the West Group.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24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Reportable Segments</w:t>
            </w:r>
          </w:p>
        </w:tc>
        <w:tc>
          <w:tcPr>
            <w:tcW w:w="16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20"/>
                <w:szCs w:val="20"/>
                <w:color w:val="auto"/>
                <w:w w:val="93"/>
              </w:rPr>
              <w:t>Mid-America Group</w:t>
            </w:r>
          </w:p>
        </w:tc>
        <w:tc>
          <w:tcPr>
            <w:tcW w:w="26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20"/>
                <w:szCs w:val="20"/>
                <w:color w:val="auto"/>
                <w:w w:val="87"/>
              </w:rPr>
              <w:t>Southeast Group</w:t>
            </w: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5"/>
        </w:trPr>
        <w:tc>
          <w:tcPr>
            <w:tcW w:w="20" w:type="dxa"/>
            <w:vAlign w:val="bottom"/>
          </w:tcPr>
          <w:p>
            <w:pPr>
              <w:spacing w:after="0"/>
              <w:rPr>
                <w:sz w:val="17"/>
                <w:szCs w:val="17"/>
                <w:color w:val="auto"/>
              </w:rPr>
            </w:pPr>
          </w:p>
        </w:tc>
        <w:tc>
          <w:tcPr>
            <w:tcW w:w="2400" w:type="dxa"/>
            <w:vAlign w:val="bottom"/>
            <w:tcBorders>
              <w:top w:val="single" w:sz="8" w:color="auto"/>
            </w:tcBorders>
          </w:tcPr>
          <w:p>
            <w:pPr>
              <w:spacing w:after="0" w:line="205" w:lineRule="exact"/>
              <w:rPr>
                <w:sz w:val="20"/>
                <w:szCs w:val="20"/>
                <w:color w:val="auto"/>
              </w:rPr>
            </w:pPr>
            <w:r>
              <w:rPr>
                <w:rFonts w:ascii="Arial" w:cs="Arial" w:eastAsia="Arial" w:hAnsi="Arial"/>
                <w:sz w:val="20"/>
                <w:szCs w:val="20"/>
                <w:color w:val="auto"/>
              </w:rPr>
              <w:t>Operating Locations</w:t>
            </w:r>
          </w:p>
        </w:tc>
        <w:tc>
          <w:tcPr>
            <w:tcW w:w="160" w:type="dxa"/>
            <w:vAlign w:val="bottom"/>
          </w:tcPr>
          <w:p>
            <w:pPr>
              <w:spacing w:after="0"/>
              <w:rPr>
                <w:sz w:val="17"/>
                <w:szCs w:val="17"/>
                <w:color w:val="auto"/>
              </w:rPr>
            </w:pPr>
          </w:p>
        </w:tc>
        <w:tc>
          <w:tcPr>
            <w:tcW w:w="29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20"/>
                <w:szCs w:val="20"/>
                <w:color w:val="auto"/>
                <w:w w:val="89"/>
              </w:rPr>
              <w:t>Indiana, Iowa, northern Kansas,</w:t>
            </w:r>
          </w:p>
        </w:tc>
        <w:tc>
          <w:tcPr>
            <w:tcW w:w="140" w:type="dxa"/>
            <w:vAlign w:val="bottom"/>
          </w:tcPr>
          <w:p>
            <w:pPr>
              <w:spacing w:after="0"/>
              <w:rPr>
                <w:sz w:val="17"/>
                <w:szCs w:val="17"/>
                <w:color w:val="auto"/>
              </w:rPr>
            </w:pPr>
          </w:p>
        </w:tc>
        <w:tc>
          <w:tcPr>
            <w:tcW w:w="24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20"/>
                <w:szCs w:val="20"/>
                <w:color w:val="auto"/>
                <w:w w:val="90"/>
              </w:rPr>
              <w:t>Alabama, Florida, Georgia,</w:t>
            </w:r>
          </w:p>
        </w:tc>
        <w:tc>
          <w:tcPr>
            <w:tcW w:w="180" w:type="dxa"/>
            <w:vAlign w:val="bottom"/>
          </w:tcPr>
          <w:p>
            <w:pPr>
              <w:spacing w:after="0"/>
              <w:rPr>
                <w:sz w:val="17"/>
                <w:szCs w:val="17"/>
                <w:color w:val="auto"/>
              </w:rPr>
            </w:pPr>
          </w:p>
        </w:tc>
        <w:tc>
          <w:tcPr>
            <w:tcW w:w="31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20"/>
                <w:szCs w:val="20"/>
                <w:color w:val="auto"/>
                <w:w w:val="87"/>
              </w:rPr>
              <w:t>Arkansas, Colorado, southern Kansas,</w:t>
            </w: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gridSpan w:val="2"/>
          </w:tcPr>
          <w:p>
            <w:pPr>
              <w:jc w:val="center"/>
              <w:ind w:right="160"/>
              <w:spacing w:after="0" w:line="229" w:lineRule="exact"/>
              <w:rPr>
                <w:sz w:val="20"/>
                <w:szCs w:val="20"/>
                <w:color w:val="auto"/>
              </w:rPr>
            </w:pPr>
            <w:r>
              <w:rPr>
                <w:rFonts w:ascii="Arial" w:cs="Arial" w:eastAsia="Arial" w:hAnsi="Arial"/>
                <w:sz w:val="20"/>
                <w:szCs w:val="20"/>
                <w:color w:val="auto"/>
                <w:w w:val="91"/>
              </w:rPr>
              <w:t>Kentucky, Maryland, Minnesota,</w:t>
            </w:r>
          </w:p>
        </w:tc>
        <w:tc>
          <w:tcPr>
            <w:tcW w:w="2640" w:type="dxa"/>
            <w:vAlign w:val="bottom"/>
            <w:gridSpan w:val="2"/>
          </w:tcPr>
          <w:p>
            <w:pPr>
              <w:ind w:left="780"/>
              <w:spacing w:after="0" w:line="229" w:lineRule="exact"/>
              <w:rPr>
                <w:sz w:val="20"/>
                <w:szCs w:val="20"/>
                <w:color w:val="auto"/>
              </w:rPr>
            </w:pPr>
            <w:r>
              <w:rPr>
                <w:rFonts w:ascii="Arial" w:cs="Arial" w:eastAsia="Arial" w:hAnsi="Arial"/>
                <w:sz w:val="20"/>
                <w:szCs w:val="20"/>
                <w:color w:val="auto"/>
              </w:rPr>
              <w:t>Tennessee,</w:t>
            </w:r>
          </w:p>
        </w:tc>
        <w:tc>
          <w:tcPr>
            <w:tcW w:w="3100" w:type="dxa"/>
            <w:vAlign w:val="bottom"/>
          </w:tcPr>
          <w:p>
            <w:pPr>
              <w:jc w:val="center"/>
              <w:spacing w:after="0" w:line="229" w:lineRule="exact"/>
              <w:rPr>
                <w:sz w:val="20"/>
                <w:szCs w:val="20"/>
                <w:color w:val="auto"/>
              </w:rPr>
            </w:pPr>
            <w:r>
              <w:rPr>
                <w:rFonts w:ascii="Arial" w:cs="Arial" w:eastAsia="Arial" w:hAnsi="Arial"/>
                <w:sz w:val="20"/>
                <w:szCs w:val="20"/>
                <w:color w:val="auto"/>
                <w:w w:val="88"/>
              </w:rPr>
              <w:t>Louisiana, western Nebraska, Nevada,</w:t>
            </w: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gridSpan w:val="2"/>
          </w:tcPr>
          <w:p>
            <w:pPr>
              <w:jc w:val="center"/>
              <w:ind w:right="160"/>
              <w:spacing w:after="0" w:line="229" w:lineRule="exact"/>
              <w:rPr>
                <w:sz w:val="20"/>
                <w:szCs w:val="20"/>
                <w:color w:val="auto"/>
              </w:rPr>
            </w:pPr>
            <w:r>
              <w:rPr>
                <w:rFonts w:ascii="Arial" w:cs="Arial" w:eastAsia="Arial" w:hAnsi="Arial"/>
                <w:sz w:val="20"/>
                <w:szCs w:val="20"/>
                <w:color w:val="auto"/>
                <w:w w:val="89"/>
              </w:rPr>
              <w:t>Missouri, eastern Nebraska, North</w:t>
            </w:r>
          </w:p>
        </w:tc>
        <w:tc>
          <w:tcPr>
            <w:tcW w:w="2640" w:type="dxa"/>
            <w:vAlign w:val="bottom"/>
            <w:gridSpan w:val="2"/>
          </w:tcPr>
          <w:p>
            <w:pPr>
              <w:jc w:val="center"/>
              <w:ind w:right="200"/>
              <w:spacing w:after="0" w:line="229" w:lineRule="exact"/>
              <w:rPr>
                <w:sz w:val="20"/>
                <w:szCs w:val="20"/>
                <w:color w:val="auto"/>
              </w:rPr>
            </w:pPr>
            <w:r>
              <w:rPr>
                <w:rFonts w:ascii="Arial" w:cs="Arial" w:eastAsia="Arial" w:hAnsi="Arial"/>
                <w:sz w:val="20"/>
                <w:szCs w:val="20"/>
                <w:color w:val="auto"/>
                <w:w w:val="87"/>
              </w:rPr>
              <w:t>Nova Scotia and the Bahamas</w:t>
            </w:r>
          </w:p>
        </w:tc>
        <w:tc>
          <w:tcPr>
            <w:tcW w:w="3100" w:type="dxa"/>
            <w:vAlign w:val="bottom"/>
          </w:tcPr>
          <w:p>
            <w:pPr>
              <w:jc w:val="center"/>
              <w:spacing w:after="0" w:line="229" w:lineRule="exact"/>
              <w:rPr>
                <w:sz w:val="20"/>
                <w:szCs w:val="20"/>
                <w:color w:val="auto"/>
              </w:rPr>
            </w:pPr>
            <w:r>
              <w:rPr>
                <w:rFonts w:ascii="Arial" w:cs="Arial" w:eastAsia="Arial" w:hAnsi="Arial"/>
                <w:sz w:val="20"/>
                <w:szCs w:val="20"/>
                <w:color w:val="auto"/>
                <w:w w:val="88"/>
              </w:rPr>
              <w:t>Oklahoma, Texas, Utah and Wyoming</w:t>
            </w: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200" w:type="dxa"/>
            <w:vAlign w:val="bottom"/>
            <w:gridSpan w:val="3"/>
          </w:tcPr>
          <w:p>
            <w:pPr>
              <w:jc w:val="center"/>
              <w:spacing w:after="0" w:line="229" w:lineRule="exact"/>
              <w:rPr>
                <w:sz w:val="20"/>
                <w:szCs w:val="20"/>
                <w:color w:val="auto"/>
              </w:rPr>
            </w:pPr>
            <w:r>
              <w:rPr>
                <w:rFonts w:ascii="Arial" w:cs="Arial" w:eastAsia="Arial" w:hAnsi="Arial"/>
                <w:sz w:val="20"/>
                <w:szCs w:val="20"/>
                <w:color w:val="auto"/>
                <w:w w:val="89"/>
              </w:rPr>
              <w:t>Carolina, Ohio, Pennsylvania, South</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gridSpan w:val="2"/>
          </w:tcPr>
          <w:p>
            <w:pPr>
              <w:jc w:val="center"/>
              <w:ind w:right="140"/>
              <w:spacing w:after="0" w:line="229" w:lineRule="exact"/>
              <w:rPr>
                <w:sz w:val="20"/>
                <w:szCs w:val="20"/>
                <w:color w:val="auto"/>
              </w:rPr>
            </w:pPr>
            <w:r>
              <w:rPr>
                <w:rFonts w:ascii="Arial" w:cs="Arial" w:eastAsia="Arial" w:hAnsi="Arial"/>
                <w:sz w:val="20"/>
                <w:szCs w:val="20"/>
                <w:color w:val="auto"/>
                <w:w w:val="90"/>
              </w:rPr>
              <w:t>Carolina, Virginia, Washington and</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49"/>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40" w:type="dxa"/>
            <w:vAlign w:val="bottom"/>
            <w:gridSpan w:val="2"/>
          </w:tcPr>
          <w:p>
            <w:pPr>
              <w:jc w:val="center"/>
              <w:ind w:right="160"/>
              <w:spacing w:after="0"/>
              <w:rPr>
                <w:sz w:val="20"/>
                <w:szCs w:val="20"/>
                <w:color w:val="auto"/>
              </w:rPr>
            </w:pPr>
            <w:r>
              <w:rPr>
                <w:rFonts w:ascii="Arial" w:cs="Arial" w:eastAsia="Arial" w:hAnsi="Arial"/>
                <w:sz w:val="20"/>
                <w:szCs w:val="20"/>
                <w:color w:val="auto"/>
                <w:w w:val="91"/>
              </w:rPr>
              <w:t>West Virginia</w:t>
            </w: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435"/>
        </w:trPr>
        <w:tc>
          <w:tcPr>
            <w:tcW w:w="2420" w:type="dxa"/>
            <w:vAlign w:val="bottom"/>
            <w:gridSpan w:val="2"/>
          </w:tcPr>
          <w:p>
            <w:pPr>
              <w:spacing w:after="0"/>
              <w:rPr>
                <w:sz w:val="20"/>
                <w:szCs w:val="20"/>
                <w:color w:val="auto"/>
              </w:rPr>
            </w:pPr>
            <w:r>
              <w:rPr>
                <w:rFonts w:ascii="Arial" w:cs="Arial" w:eastAsia="Arial" w:hAnsi="Arial"/>
                <w:sz w:val="20"/>
                <w:szCs w:val="20"/>
                <w:color w:val="auto"/>
              </w:rPr>
              <w:t>Product Lines</w:t>
            </w:r>
          </w:p>
        </w:tc>
        <w:tc>
          <w:tcPr>
            <w:tcW w:w="160" w:type="dxa"/>
            <w:vAlign w:val="bottom"/>
          </w:tcPr>
          <w:p>
            <w:pPr>
              <w:spacing w:after="0"/>
              <w:rPr>
                <w:sz w:val="24"/>
                <w:szCs w:val="24"/>
                <w:color w:val="auto"/>
              </w:rPr>
            </w:pPr>
          </w:p>
        </w:tc>
        <w:tc>
          <w:tcPr>
            <w:tcW w:w="3040" w:type="dxa"/>
            <w:vAlign w:val="bottom"/>
            <w:gridSpan w:val="2"/>
          </w:tcPr>
          <w:p>
            <w:pPr>
              <w:jc w:val="center"/>
              <w:ind w:right="140"/>
              <w:spacing w:after="0"/>
              <w:rPr>
                <w:sz w:val="20"/>
                <w:szCs w:val="20"/>
                <w:color w:val="auto"/>
              </w:rPr>
            </w:pPr>
            <w:r>
              <w:rPr>
                <w:rFonts w:ascii="Arial" w:cs="Arial" w:eastAsia="Arial" w:hAnsi="Arial"/>
                <w:sz w:val="20"/>
                <w:szCs w:val="20"/>
                <w:color w:val="auto"/>
                <w:w w:val="87"/>
              </w:rPr>
              <w:t>Aggregates</w:t>
            </w:r>
          </w:p>
        </w:tc>
        <w:tc>
          <w:tcPr>
            <w:tcW w:w="2640" w:type="dxa"/>
            <w:vAlign w:val="bottom"/>
            <w:gridSpan w:val="2"/>
          </w:tcPr>
          <w:p>
            <w:pPr>
              <w:jc w:val="center"/>
              <w:ind w:right="180"/>
              <w:spacing w:after="0"/>
              <w:rPr>
                <w:sz w:val="20"/>
                <w:szCs w:val="20"/>
                <w:color w:val="auto"/>
              </w:rPr>
            </w:pPr>
            <w:r>
              <w:rPr>
                <w:rFonts w:ascii="Arial" w:cs="Arial" w:eastAsia="Arial" w:hAnsi="Arial"/>
                <w:sz w:val="20"/>
                <w:szCs w:val="20"/>
                <w:color w:val="auto"/>
                <w:w w:val="87"/>
              </w:rPr>
              <w:t>Aggregates</w:t>
            </w:r>
          </w:p>
        </w:tc>
        <w:tc>
          <w:tcPr>
            <w:tcW w:w="3100" w:type="dxa"/>
            <w:vAlign w:val="bottom"/>
          </w:tcPr>
          <w:p>
            <w:pPr>
              <w:jc w:val="center"/>
              <w:spacing w:after="0"/>
              <w:rPr>
                <w:sz w:val="20"/>
                <w:szCs w:val="20"/>
                <w:color w:val="auto"/>
              </w:rPr>
            </w:pPr>
            <w:r>
              <w:rPr>
                <w:rFonts w:ascii="Arial" w:cs="Arial" w:eastAsia="Arial" w:hAnsi="Arial"/>
                <w:sz w:val="20"/>
                <w:szCs w:val="20"/>
                <w:color w:val="auto"/>
                <w:w w:val="88"/>
              </w:rPr>
              <w:t>Aggregates, Cement, Ready Mixed</w:t>
            </w:r>
          </w:p>
        </w:tc>
      </w:tr>
      <w:tr>
        <w:trPr>
          <w:trHeight w:val="249"/>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00" w:type="dxa"/>
            <w:vAlign w:val="bottom"/>
          </w:tcPr>
          <w:p>
            <w:pPr>
              <w:jc w:val="center"/>
              <w:spacing w:after="0"/>
              <w:rPr>
                <w:sz w:val="20"/>
                <w:szCs w:val="20"/>
                <w:color w:val="auto"/>
              </w:rPr>
            </w:pPr>
            <w:r>
              <w:rPr>
                <w:rFonts w:ascii="Arial" w:cs="Arial" w:eastAsia="Arial" w:hAnsi="Arial"/>
                <w:sz w:val="20"/>
                <w:szCs w:val="20"/>
                <w:color w:val="auto"/>
                <w:w w:val="89"/>
              </w:rPr>
              <w:t>Concrete, Asphalt and Paving</w:t>
            </w:r>
          </w:p>
        </w:tc>
      </w:tr>
    </w:tbl>
    <w:p>
      <w:pPr>
        <w:spacing w:after="0" w:line="194" w:lineRule="exact"/>
        <w:rPr>
          <w:sz w:val="20"/>
          <w:szCs w:val="20"/>
          <w:color w:val="auto"/>
        </w:rPr>
      </w:pPr>
    </w:p>
    <w:p>
      <w:pPr>
        <w:jc w:val="both"/>
        <w:ind w:left="380"/>
        <w:spacing w:after="0" w:line="248" w:lineRule="auto"/>
        <w:rPr>
          <w:sz w:val="20"/>
          <w:szCs w:val="20"/>
          <w:color w:val="auto"/>
        </w:rPr>
      </w:pPr>
      <w:r>
        <w:rPr>
          <w:rFonts w:ascii="Arial" w:cs="Arial" w:eastAsia="Arial" w:hAnsi="Arial"/>
          <w:sz w:val="20"/>
          <w:szCs w:val="20"/>
          <w:color w:val="auto"/>
        </w:rPr>
        <w:t>The Company has a Magnesia Specialties business with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Basis of Presentation</w:t>
      </w:r>
    </w:p>
    <w:p>
      <w:pPr>
        <w:spacing w:after="0" w:line="58" w:lineRule="exact"/>
        <w:rPr>
          <w:sz w:val="20"/>
          <w:szCs w:val="20"/>
          <w:color w:val="auto"/>
        </w:rPr>
      </w:pPr>
    </w:p>
    <w:p>
      <w:pPr>
        <w:jc w:val="both"/>
        <w:ind w:left="380"/>
        <w:spacing w:after="0" w:line="254" w:lineRule="auto"/>
        <w:rPr>
          <w:sz w:val="20"/>
          <w:szCs w:val="20"/>
          <w:color w:val="auto"/>
        </w:rPr>
      </w:pPr>
      <w:r>
        <w:rPr>
          <w:rFonts w:ascii="Arial" w:cs="Arial" w:eastAsia="Arial" w:hAnsi="Arial"/>
          <w:sz w:val="19"/>
          <w:szCs w:val="19"/>
          <w:color w:val="auto"/>
        </w:rPr>
        <w:t xml:space="preserve">The accompanying unaudited consolidated financial statements of the Company have been prepared in accordance with accounting principles generally accepted in the United States (U.S. GAAP) for interim financial information and with the instructions to the Quarterly Report on Form 10-Q and in Article 10 of Regulation S-X. Other than the required adoption of </w:t>
      </w:r>
      <w:r>
        <w:rPr>
          <w:rFonts w:ascii="Arial" w:cs="Arial" w:eastAsia="Arial" w:hAnsi="Arial"/>
          <w:sz w:val="19"/>
          <w:szCs w:val="19"/>
          <w:i w:val="1"/>
          <w:iCs w:val="1"/>
          <w:color w:val="auto"/>
        </w:rPr>
        <w:t>Accounting Standards Codification 842 –</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Leases </w:t>
      </w:r>
      <w:r>
        <w:rPr>
          <w:rFonts w:ascii="Arial" w:cs="Arial" w:eastAsia="Arial" w:hAnsi="Arial"/>
          <w:sz w:val="19"/>
          <w:szCs w:val="19"/>
          <w:color w:val="auto"/>
        </w:rPr>
        <w:t>(ASC 842), the Company has continued to follow the accounting policies set forth in the audited consolidated financial statements</w:t>
      </w:r>
      <w:r>
        <w:rPr>
          <w:rFonts w:ascii="Arial" w:cs="Arial" w:eastAsia="Arial" w:hAnsi="Arial"/>
          <w:sz w:val="19"/>
          <w:szCs w:val="19"/>
          <w:i w:val="1"/>
          <w:iCs w:val="1"/>
          <w:color w:val="auto"/>
        </w:rPr>
        <w:t xml:space="preserve"> </w:t>
      </w:r>
      <w:r>
        <w:rPr>
          <w:rFonts w:ascii="Arial" w:cs="Arial" w:eastAsia="Arial" w:hAnsi="Arial"/>
          <w:sz w:val="19"/>
          <w:szCs w:val="19"/>
          <w:color w:val="auto"/>
        </w:rPr>
        <w:t>and related notes thereto included in the Company’s Annual Report on Form 10-K for the year ended December 31, 2018.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months ended March 31, 2019 are not indicative of the results expected for other interim periods or the full year. The consolidated balance sheet at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7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38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FORM 10-Q</w:t>
      </w:r>
    </w:p>
    <w:p>
      <w:pPr>
        <w:jc w:val="center"/>
        <w:ind w:right="380"/>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(Continued)</w:t>
      </w:r>
    </w:p>
    <w:p>
      <w:pPr>
        <w:spacing w:after="0" w:line="27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December 31, 2018 has been derived from the audited consolidated financial statements at that date but does not include all of the information and notes required by U.S. GAAP for complete financial statements. These consolidated financial statements should be read in conjunction with the audited consolidated financial statements and notes thereto included in the Company’s Annual Report on Form 10-K for the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Pronouncement</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Leases</w:t>
      </w:r>
    </w:p>
    <w:p>
      <w:pPr>
        <w:spacing w:after="0" w:line="106"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Effective January 1, 2019, the Company adopted ASC 842, which requires virtually all leases, excluding mineral interest leases, to be recorded as right-of-use (ROU) assets and lease liabilities on the balance sheet and provides guidance on the recognition of lease expense and income. ASC 842 requires the modified retrospective transition approach, applying the new standard to all leases existing at the date of initial application. It further states that an entity may use either 1) its effective date or 2) the beginning of the earliest comparative period presented in the financial statements as its date of initial application. The Company used the effective date as the date of initial application. As such, financial information and disclosures required under ASC 842 will not be provided for dates and periods prior to January 1, 2019.</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new standard provides a number of practical expedients for transition and policy elections for ongoing accounting. The Company elected the “package of practical expedients”, which permits the Company to not reassess its prior conclusions about lease identification, lease classification and initial direct costs. The Company elected the practical expedients pertaining to the use of hindsight and to land easements. Applying the hindsight practical expedient resulted in longer lease terms for many leases. The standard provides policy election options for recognition exemption for short-term leases and separation of lease and non-lease components. The Company elected the short-term lease recognition exemption and elected not to separate lease and non-lease components for all underlying asset classes with the exceptions of railcars and fleet vehicle leases. The Company determines lease and non-lease components based on observable information, including rates provided by the lessor.</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adoption of ASC 842 resulted in the recognition of ROU assets and lease liabilities of $502.5 million and $501.6 million, respectively, for operating leases and $10.9 million and $12.1 million, respectively, for finance leases. The adoption did not have a material impact on the Company’s consolidated statement of earnings or consolidated statement of cash flows.</w:t>
      </w:r>
    </w:p>
    <w:p>
      <w:pPr>
        <w:spacing w:after="0" w:line="7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Subsequent to the date of adoption, the Company determines if a contract is or contains a lease at inception of the agreement. Operating and finance leases are recognized as ROU assets and the related obligations are recognized as current or noncurrent liabilities on the Company’s consolidated balance sheets. Leases with an initial lease term of one year or less are not recorded on the balance sheet.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ROU assets, which represent the Company’s right to use an underlying asset, and lease liabilities, which represent the Company’s obligation to make lease payments arising from the lease, are recognized based on the present value of the future lease payments over the lease term at commencement date. The ROU asset also includes any lease payments made at or before commencement date and any initial direct costs incurred and excludes lease incentives. Certain of the Company’s leases contain renewal and/or termination options. The Company recognizes renewal or termination options as part of its ROU assets and lease liabilities when the Company has the unilateral right to renew or terminate and it is reasonably certain these options will be exercised. The Company determines the present value of lease payments based on the implicit rate, which may be explicitly stated in the lease if available or the Company’s estimated collateralized incremental borrowing rate based on the term of the lease. For operating leases, lease expense is recognized on a straight-line basis over the lease term.</w:t>
      </w:r>
    </w:p>
    <w:p>
      <w:pPr>
        <w:spacing w:after="0" w:line="188"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Page 8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65405</wp:posOffset>
            </wp:positionV>
            <wp:extent cx="7272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040"/>
          </w:cols>
          <w:pgMar w:left="62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1"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Some leases require the Company pay non-lease components, which may include taxes, maintenance, insurance and certain other expenses applicable to the leased property, and are primarily considered variable costs. The Company generally accounts for lease and non-lease components as a single amount. However, for railcars and fleet vehicle leases, the Company separately accounts for the lease and non-lease components.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Consolidated Comprehensive Earnings/Loss and Accumulated Other Comprehensive Loss</w:t>
      </w:r>
    </w:p>
    <w:p>
      <w:pPr>
        <w:spacing w:after="0" w:line="112"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Consolidated comprehensive earnings/loss and accumulated other comprehensive loss consist of consolidated net earnings or loss; adjustments for the funded status of pension and postretirement benefit plans; foreign currency translation adjustments; and the amortization of the value of terminated forward starting interest rate swap agreements into interest expense, and are presented in the Company’s consolidated statements of earnings and comprehensive earnings.</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Comprehensive earnings attributable to Martin Marietta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840" w:type="dxa"/>
            <w:vAlign w:val="bottom"/>
          </w:tcPr>
          <w:p>
            <w:pPr>
              <w:spacing w:after="0"/>
              <w:rPr>
                <w:sz w:val="21"/>
                <w:szCs w:val="21"/>
                <w:color w:val="auto"/>
              </w:rPr>
            </w:pPr>
          </w:p>
        </w:tc>
        <w:tc>
          <w:tcPr>
            <w:tcW w:w="2880" w:type="dxa"/>
            <w:vAlign w:val="bottom"/>
            <w:gridSpan w:val="4"/>
          </w:tcPr>
          <w:p>
            <w:pPr>
              <w:jc w:val="center"/>
              <w:ind w:left="482"/>
              <w:spacing w:after="0"/>
              <w:rPr>
                <w:sz w:val="20"/>
                <w:szCs w:val="20"/>
                <w:color w:val="auto"/>
              </w:rPr>
            </w:pPr>
            <w:r>
              <w:rPr>
                <w:rFonts w:ascii="Arial" w:cs="Arial" w:eastAsia="Arial" w:hAnsi="Arial"/>
                <w:sz w:val="20"/>
                <w:szCs w:val="20"/>
                <w:color w:val="auto"/>
                <w:w w:val="88"/>
              </w:rPr>
              <w:t>Three Months Ended</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5"/>
        </w:trPr>
        <w:tc>
          <w:tcPr>
            <w:tcW w:w="784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ind w:right="342"/>
              <w:spacing w:after="0"/>
              <w:rPr>
                <w:sz w:val="20"/>
                <w:szCs w:val="20"/>
                <w:color w:val="auto"/>
              </w:rPr>
            </w:pPr>
            <w:r>
              <w:rPr>
                <w:rFonts w:ascii="Arial" w:cs="Arial" w:eastAsia="Arial" w:hAnsi="Arial"/>
                <w:sz w:val="20"/>
                <w:szCs w:val="20"/>
                <w:color w:val="auto"/>
                <w:w w:val="92"/>
              </w:rPr>
              <w:t>March 31,</w:t>
            </w: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5"/>
        </w:trPr>
        <w:tc>
          <w:tcPr>
            <w:tcW w:w="78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5"/>
        </w:trPr>
        <w:tc>
          <w:tcPr>
            <w:tcW w:w="7840" w:type="dxa"/>
            <w:vAlign w:val="bottom"/>
          </w:tcPr>
          <w:p>
            <w:pPr>
              <w:spacing w:after="0"/>
              <w:rPr>
                <w:sz w:val="20"/>
                <w:szCs w:val="20"/>
                <w:color w:val="auto"/>
              </w:rPr>
            </w:pPr>
          </w:p>
        </w:tc>
        <w:tc>
          <w:tcPr>
            <w:tcW w:w="2880" w:type="dxa"/>
            <w:vAlign w:val="bottom"/>
            <w:gridSpan w:val="4"/>
          </w:tcPr>
          <w:p>
            <w:pPr>
              <w:jc w:val="center"/>
              <w:ind w:left="462"/>
              <w:spacing w:after="0"/>
              <w:rPr>
                <w:sz w:val="20"/>
                <w:szCs w:val="20"/>
                <w:color w:val="auto"/>
              </w:rPr>
            </w:pPr>
            <w:r>
              <w:rPr>
                <w:rFonts w:ascii="Arial" w:cs="Arial" w:eastAsia="Arial" w:hAnsi="Arial"/>
                <w:sz w:val="20"/>
                <w:szCs w:val="20"/>
                <w:i w:val="1"/>
                <w:iCs w:val="1"/>
                <w:color w:val="auto"/>
                <w:w w:val="91"/>
              </w:rPr>
              <w:t>(Dollars in Thousands)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2"/>
        </w:trPr>
        <w:tc>
          <w:tcPr>
            <w:tcW w:w="784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1020" w:type="dxa"/>
            <w:vAlign w:val="bottom"/>
            <w:shd w:val="clear" w:color="auto" w:fill="CFF0FC"/>
          </w:tcPr>
          <w:p>
            <w:pPr>
              <w:jc w:val="right"/>
              <w:ind w:right="822"/>
              <w:spacing w:after="0"/>
              <w:rPr>
                <w:sz w:val="20"/>
                <w:szCs w:val="20"/>
                <w:color w:val="auto"/>
              </w:rPr>
            </w:pPr>
            <w:r>
              <w:rPr>
                <w:rFonts w:ascii="Arial" w:cs="Arial" w:eastAsia="Arial" w:hAnsi="Arial"/>
                <w:sz w:val="20"/>
                <w:szCs w:val="2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42,853</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802"/>
              <w:spacing w:after="0"/>
              <w:rPr>
                <w:sz w:val="20"/>
                <w:szCs w:val="20"/>
                <w:color w:val="auto"/>
              </w:rPr>
            </w:pPr>
            <w:r>
              <w:rPr>
                <w:rFonts w:ascii="Arial" w:cs="Arial" w:eastAsia="Arial" w:hAnsi="Arial"/>
                <w:sz w:val="20"/>
                <w:szCs w:val="2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10,023</w:t>
            </w:r>
          </w:p>
        </w:tc>
        <w:tc>
          <w:tcPr>
            <w:tcW w:w="120" w:type="dxa"/>
            <w:vAlign w:val="bottom"/>
            <w:shd w:val="clear" w:color="auto" w:fill="CFF0FC"/>
          </w:tcPr>
          <w:p>
            <w:pPr>
              <w:spacing w:after="0"/>
              <w:rPr>
                <w:sz w:val="21"/>
                <w:szCs w:val="21"/>
                <w:color w:val="auto"/>
              </w:rPr>
            </w:pPr>
          </w:p>
        </w:tc>
      </w:tr>
      <w:tr>
        <w:trPr>
          <w:trHeight w:val="242"/>
        </w:trPr>
        <w:tc>
          <w:tcPr>
            <w:tcW w:w="78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3,255</w:t>
            </w:r>
          </w:p>
        </w:tc>
        <w:tc>
          <w:tcPr>
            <w:tcW w:w="28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1,619</w:t>
            </w:r>
          </w:p>
        </w:tc>
        <w:tc>
          <w:tcPr>
            <w:tcW w:w="120" w:type="dxa"/>
            <w:vAlign w:val="bottom"/>
            <w:tcBorders>
              <w:bottom w:val="single" w:sz="8" w:color="CFF0FC"/>
            </w:tcBorders>
          </w:tcPr>
          <w:p>
            <w:pPr>
              <w:spacing w:after="0"/>
              <w:rPr>
                <w:sz w:val="21"/>
                <w:szCs w:val="21"/>
                <w:color w:val="auto"/>
              </w:rPr>
            </w:pPr>
          </w:p>
        </w:tc>
      </w:tr>
      <w:tr>
        <w:trPr>
          <w:trHeight w:val="218"/>
        </w:trPr>
        <w:tc>
          <w:tcPr>
            <w:tcW w:w="7840" w:type="dxa"/>
            <w:vAlign w:val="bottom"/>
            <w:shd w:val="clear" w:color="auto" w:fill="CFF0FC"/>
          </w:tcPr>
          <w:p>
            <w:pPr>
              <w:spacing w:after="0" w:line="218" w:lineRule="exact"/>
              <w:rPr>
                <w:sz w:val="20"/>
                <w:szCs w:val="20"/>
                <w:color w:val="auto"/>
              </w:rPr>
            </w:pPr>
            <w:r>
              <w:rPr>
                <w:rFonts w:ascii="Arial" w:cs="Arial" w:eastAsia="Arial" w:hAnsi="Arial"/>
                <w:sz w:val="20"/>
                <w:szCs w:val="20"/>
                <w:color w:val="auto"/>
              </w:rPr>
              <w:t>Comprehensive earnings attributable to Martin Marietta</w:t>
            </w: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45"/>
        </w:trPr>
        <w:tc>
          <w:tcPr>
            <w:tcW w:w="78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Materials, Inc.</w:t>
            </w:r>
          </w:p>
        </w:tc>
        <w:tc>
          <w:tcPr>
            <w:tcW w:w="1020" w:type="dxa"/>
            <w:vAlign w:val="bottom"/>
            <w:tcBorders>
              <w:bottom w:val="single" w:sz="8" w:color="auto"/>
            </w:tcBorders>
            <w:shd w:val="clear" w:color="auto" w:fill="CFF0FC"/>
          </w:tcPr>
          <w:p>
            <w:pPr>
              <w:jc w:val="right"/>
              <w:ind w:right="822"/>
              <w:spacing w:after="0"/>
              <w:rPr>
                <w:sz w:val="20"/>
                <w:szCs w:val="20"/>
                <w:color w:val="auto"/>
              </w:rPr>
            </w:pPr>
            <w:r>
              <w:rPr>
                <w:rFonts w:ascii="Arial" w:cs="Arial" w:eastAsia="Arial" w:hAnsi="Arial"/>
                <w:sz w:val="20"/>
                <w:szCs w:val="20"/>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46,108</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02"/>
              <w:spacing w:after="0"/>
              <w:rPr>
                <w:sz w:val="20"/>
                <w:szCs w:val="20"/>
                <w:color w:val="auto"/>
              </w:rPr>
            </w:pPr>
            <w:r>
              <w:rPr>
                <w:rFonts w:ascii="Arial" w:cs="Arial" w:eastAsia="Arial" w:hAnsi="Arial"/>
                <w:sz w:val="20"/>
                <w:szCs w:val="20"/>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11,642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0"/>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right="20"/>
        <w:spacing w:after="0" w:line="248" w:lineRule="auto"/>
        <w:rPr>
          <w:sz w:val="20"/>
          <w:szCs w:val="20"/>
          <w:color w:val="auto"/>
        </w:rPr>
      </w:pPr>
      <w:r>
        <w:rPr>
          <w:rFonts w:ascii="Arial" w:cs="Arial" w:eastAsia="Arial" w:hAnsi="Arial"/>
          <w:sz w:val="20"/>
          <w:szCs w:val="20"/>
          <w:color w:val="auto"/>
        </w:rPr>
        <w:t>Comprehensive earnings attributable to noncontrolling interests consist of net earnings and adjustments for the funded status of pension and postretirement benefit plans. For the three months ended March 31, 2019 and 2018, there were no other comprehensive earnings attributable to noncontrolling interests.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accumulated other comprehensive earnings, net of tax,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20"/>
                <w:szCs w:val="20"/>
                <w:i w:val="1"/>
                <w:iCs w:val="1"/>
                <w:color w:val="auto"/>
                <w:w w:val="91"/>
              </w:rPr>
              <w:t>(Dollars in Thousands)</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4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20"/>
              <w:spacing w:after="0" w:line="218" w:lineRule="exact"/>
              <w:rPr>
                <w:sz w:val="20"/>
                <w:szCs w:val="20"/>
                <w:color w:val="auto"/>
              </w:rPr>
            </w:pPr>
            <w:r>
              <w:rPr>
                <w:rFonts w:ascii="Arial" w:cs="Arial" w:eastAsia="Arial" w:hAnsi="Arial"/>
                <w:sz w:val="20"/>
                <w:szCs w:val="20"/>
                <w:color w:val="auto"/>
                <w:w w:val="91"/>
              </w:rPr>
              <w:t>Unamortized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4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340"/>
              <w:spacing w:after="0" w:line="229" w:lineRule="exact"/>
              <w:rPr>
                <w:sz w:val="20"/>
                <w:szCs w:val="20"/>
                <w:color w:val="auto"/>
              </w:rPr>
            </w:pPr>
            <w:r>
              <w:rPr>
                <w:rFonts w:ascii="Arial" w:cs="Arial" w:eastAsia="Arial" w:hAnsi="Arial"/>
                <w:sz w:val="20"/>
                <w:szCs w:val="20"/>
                <w:color w:val="auto"/>
                <w:w w:val="89"/>
              </w:rPr>
              <w:t>Value of</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4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320"/>
              <w:spacing w:after="0" w:line="229" w:lineRule="exact"/>
              <w:rPr>
                <w:sz w:val="20"/>
                <w:szCs w:val="20"/>
                <w:color w:val="auto"/>
              </w:rPr>
            </w:pPr>
            <w:r>
              <w:rPr>
                <w:rFonts w:ascii="Arial" w:cs="Arial" w:eastAsia="Arial" w:hAnsi="Arial"/>
                <w:sz w:val="20"/>
                <w:szCs w:val="20"/>
                <w:color w:val="auto"/>
                <w:w w:val="86"/>
              </w:rPr>
              <w:t>Terminated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20"/>
              <w:spacing w:after="0" w:line="229" w:lineRule="exact"/>
              <w:rPr>
                <w:sz w:val="20"/>
                <w:szCs w:val="20"/>
                <w:color w:val="auto"/>
              </w:rPr>
            </w:pPr>
            <w:r>
              <w:rPr>
                <w:rFonts w:ascii="Arial" w:cs="Arial" w:eastAsia="Arial" w:hAnsi="Arial"/>
                <w:sz w:val="20"/>
                <w:szCs w:val="20"/>
                <w:color w:val="auto"/>
                <w:w w:val="89"/>
              </w:rPr>
              <w:t>Accumulated</w:t>
            </w:r>
          </w:p>
        </w:tc>
      </w:tr>
      <w:tr>
        <w:trPr>
          <w:trHeight w:val="228"/>
        </w:trPr>
        <w:tc>
          <w:tcPr>
            <w:tcW w:w="4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20"/>
              <w:spacing w:after="0" w:line="229" w:lineRule="exact"/>
              <w:rPr>
                <w:sz w:val="20"/>
                <w:szCs w:val="20"/>
                <w:color w:val="auto"/>
              </w:rPr>
            </w:pPr>
            <w:r>
              <w:rPr>
                <w:rFonts w:ascii="Arial" w:cs="Arial" w:eastAsia="Arial" w:hAnsi="Arial"/>
                <w:sz w:val="20"/>
                <w:szCs w:val="20"/>
                <w:color w:val="auto"/>
                <w:w w:val="86"/>
              </w:rPr>
              <w:t>Pension and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3"/>
          </w:tcPr>
          <w:p>
            <w:pPr>
              <w:spacing w:after="0" w:line="229" w:lineRule="exact"/>
              <w:rPr>
                <w:sz w:val="20"/>
                <w:szCs w:val="20"/>
                <w:color w:val="auto"/>
              </w:rPr>
            </w:pPr>
            <w:r>
              <w:rPr>
                <w:rFonts w:ascii="Arial" w:cs="Arial" w:eastAsia="Arial" w:hAnsi="Arial"/>
                <w:sz w:val="20"/>
                <w:szCs w:val="20"/>
                <w:color w:val="auto"/>
              </w:rPr>
              <w:t>Forward Starting</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20"/>
              <w:spacing w:after="0" w:line="229" w:lineRule="exact"/>
              <w:rPr>
                <w:sz w:val="20"/>
                <w:szCs w:val="20"/>
                <w:color w:val="auto"/>
              </w:rPr>
            </w:pPr>
            <w:r>
              <w:rPr>
                <w:rFonts w:ascii="Arial" w:cs="Arial" w:eastAsia="Arial" w:hAnsi="Arial"/>
                <w:sz w:val="20"/>
                <w:szCs w:val="20"/>
                <w:color w:val="auto"/>
                <w:w w:val="87"/>
              </w:rPr>
              <w:t>Other</w:t>
            </w:r>
          </w:p>
        </w:tc>
      </w:tr>
      <w:tr>
        <w:trPr>
          <w:trHeight w:val="228"/>
        </w:trPr>
        <w:tc>
          <w:tcPr>
            <w:tcW w:w="4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gridSpan w:val="3"/>
          </w:tcPr>
          <w:p>
            <w:pPr>
              <w:jc w:val="center"/>
              <w:ind w:right="120"/>
              <w:spacing w:after="0" w:line="229" w:lineRule="exact"/>
              <w:rPr>
                <w:sz w:val="20"/>
                <w:szCs w:val="20"/>
                <w:color w:val="auto"/>
              </w:rPr>
            </w:pPr>
            <w:r>
              <w:rPr>
                <w:rFonts w:ascii="Arial" w:cs="Arial" w:eastAsia="Arial" w:hAnsi="Arial"/>
                <w:sz w:val="20"/>
                <w:szCs w:val="20"/>
                <w:color w:val="auto"/>
                <w:w w:val="89"/>
              </w:rPr>
              <w:t>Postretirement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520"/>
              <w:spacing w:after="0" w:line="229" w:lineRule="exact"/>
              <w:rPr>
                <w:sz w:val="20"/>
                <w:szCs w:val="20"/>
                <w:color w:val="auto"/>
              </w:rPr>
            </w:pPr>
            <w:r>
              <w:rPr>
                <w:rFonts w:ascii="Arial" w:cs="Arial" w:eastAsia="Arial" w:hAnsi="Arial"/>
                <w:sz w:val="20"/>
                <w:szCs w:val="20"/>
                <w:color w:val="auto"/>
              </w:rPr>
              <w:t>Foreign</w:t>
            </w:r>
          </w:p>
        </w:tc>
        <w:tc>
          <w:tcPr>
            <w:tcW w:w="120" w:type="dxa"/>
            <w:vAlign w:val="bottom"/>
          </w:tcPr>
          <w:p>
            <w:pPr>
              <w:spacing w:after="0"/>
              <w:rPr>
                <w:sz w:val="19"/>
                <w:szCs w:val="19"/>
                <w:color w:val="auto"/>
              </w:rPr>
            </w:pPr>
          </w:p>
        </w:tc>
        <w:tc>
          <w:tcPr>
            <w:tcW w:w="1400" w:type="dxa"/>
            <w:vAlign w:val="bottom"/>
            <w:gridSpan w:val="2"/>
          </w:tcPr>
          <w:p>
            <w:pPr>
              <w:jc w:val="center"/>
              <w:ind w:right="320"/>
              <w:spacing w:after="0" w:line="229" w:lineRule="exact"/>
              <w:rPr>
                <w:sz w:val="20"/>
                <w:szCs w:val="20"/>
                <w:color w:val="auto"/>
              </w:rPr>
            </w:pPr>
            <w:r>
              <w:rPr>
                <w:rFonts w:ascii="Arial" w:cs="Arial" w:eastAsia="Arial" w:hAnsi="Arial"/>
                <w:sz w:val="20"/>
                <w:szCs w:val="20"/>
                <w:color w:val="auto"/>
                <w:w w:val="87"/>
              </w:rPr>
              <w:t>Interest Rate</w:t>
            </w:r>
          </w:p>
        </w:tc>
        <w:tc>
          <w:tcPr>
            <w:tcW w:w="80" w:type="dxa"/>
            <w:vAlign w:val="bottom"/>
          </w:tcPr>
          <w:p>
            <w:pPr>
              <w:spacing w:after="0"/>
              <w:rPr>
                <w:sz w:val="19"/>
                <w:szCs w:val="19"/>
                <w:color w:val="auto"/>
              </w:rPr>
            </w:pPr>
          </w:p>
        </w:tc>
        <w:tc>
          <w:tcPr>
            <w:tcW w:w="1360" w:type="dxa"/>
            <w:vAlign w:val="bottom"/>
            <w:gridSpan w:val="3"/>
          </w:tcPr>
          <w:p>
            <w:pPr>
              <w:jc w:val="center"/>
              <w:ind w:right="120"/>
              <w:spacing w:after="0" w:line="229" w:lineRule="exact"/>
              <w:rPr>
                <w:sz w:val="20"/>
                <w:szCs w:val="20"/>
                <w:color w:val="auto"/>
              </w:rPr>
            </w:pPr>
            <w:r>
              <w:rPr>
                <w:rFonts w:ascii="Arial" w:cs="Arial" w:eastAsia="Arial" w:hAnsi="Arial"/>
                <w:sz w:val="20"/>
                <w:szCs w:val="20"/>
                <w:color w:val="auto"/>
                <w:w w:val="88"/>
              </w:rPr>
              <w:t>Comprehensive</w:t>
            </w:r>
          </w:p>
        </w:tc>
      </w:tr>
      <w:tr>
        <w:trPr>
          <w:trHeight w:val="245"/>
        </w:trPr>
        <w:tc>
          <w:tcPr>
            <w:tcW w:w="4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2"/>
              <w:spacing w:after="0"/>
              <w:rPr>
                <w:sz w:val="20"/>
                <w:szCs w:val="20"/>
                <w:color w:val="auto"/>
              </w:rPr>
            </w:pPr>
            <w:r>
              <w:rPr>
                <w:rFonts w:ascii="Arial" w:cs="Arial" w:eastAsia="Arial" w:hAnsi="Arial"/>
                <w:sz w:val="20"/>
                <w:szCs w:val="20"/>
                <w:color w:val="auto"/>
                <w:w w:val="88"/>
              </w:rPr>
              <w:t>Benefit Plans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w w:val="93"/>
              </w:rPr>
              <w:t>Currency</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42"/>
              <w:spacing w:after="0"/>
              <w:rPr>
                <w:sz w:val="20"/>
                <w:szCs w:val="20"/>
                <w:color w:val="auto"/>
              </w:rPr>
            </w:pPr>
            <w:r>
              <w:rPr>
                <w:rFonts w:ascii="Arial" w:cs="Arial" w:eastAsia="Arial" w:hAnsi="Arial"/>
                <w:sz w:val="20"/>
                <w:szCs w:val="20"/>
                <w:color w:val="auto"/>
                <w:w w:val="87"/>
              </w:rPr>
              <w:t>Swap</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42"/>
              <w:spacing w:after="0"/>
              <w:rPr>
                <w:sz w:val="20"/>
                <w:szCs w:val="20"/>
                <w:color w:val="auto"/>
              </w:rPr>
            </w:pPr>
            <w:r>
              <w:rPr>
                <w:rFonts w:ascii="Arial" w:cs="Arial" w:eastAsia="Arial" w:hAnsi="Arial"/>
                <w:sz w:val="20"/>
                <w:szCs w:val="20"/>
                <w:color w:val="auto"/>
                <w:w w:val="89"/>
              </w:rPr>
              <w:t>Loss</w:t>
            </w:r>
          </w:p>
        </w:tc>
        <w:tc>
          <w:tcPr>
            <w:tcW w:w="100" w:type="dxa"/>
            <w:vAlign w:val="bottom"/>
          </w:tcPr>
          <w:p>
            <w:pPr>
              <w:spacing w:after="0"/>
              <w:rPr>
                <w:sz w:val="21"/>
                <w:szCs w:val="21"/>
                <w:color w:val="auto"/>
              </w:rPr>
            </w:pPr>
          </w:p>
        </w:tc>
      </w:tr>
      <w:tr>
        <w:trPr>
          <w:trHeight w:val="477"/>
        </w:trPr>
        <w:tc>
          <w:tcPr>
            <w:tcW w:w="4640" w:type="dxa"/>
            <w:vAlign w:val="bottom"/>
            <w:tcBorders>
              <w:bottom w:val="single" w:sz="8" w:color="CFF0FC"/>
            </w:tcBorders>
          </w:tcPr>
          <w:p>
            <w:pPr>
              <w:spacing w:after="0"/>
              <w:rPr>
                <w:sz w:val="24"/>
                <w:szCs w:val="24"/>
                <w:color w:val="auto"/>
              </w:rPr>
            </w:pPr>
          </w:p>
        </w:tc>
        <w:tc>
          <w:tcPr>
            <w:tcW w:w="92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20"/>
                <w:szCs w:val="20"/>
                <w:i w:val="1"/>
                <w:iCs w:val="1"/>
                <w:color w:val="auto"/>
                <w:w w:val="88"/>
              </w:rPr>
              <w:t>Three Months Ended March 31, 2019</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5"/>
        </w:trPr>
        <w:tc>
          <w:tcPr>
            <w:tcW w:w="46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(141,505)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(2,074)</w:t>
            </w:r>
          </w:p>
        </w:tc>
        <w:tc>
          <w:tcPr>
            <w:tcW w:w="120" w:type="dxa"/>
            <w:vAlign w:val="bottom"/>
            <w:shd w:val="clear" w:color="auto" w:fill="CFF0FC"/>
          </w:tcPr>
          <w:p>
            <w:pPr>
              <w:spacing w:after="0"/>
              <w:rPr>
                <w:sz w:val="20"/>
                <w:szCs w:val="20"/>
                <w:color w:val="auto"/>
              </w:rPr>
            </w:pPr>
            <w:r>
              <w:rPr>
                <w:rFonts w:ascii="Arial" w:cs="Arial" w:eastAsia="Arial" w:hAnsi="Arial"/>
                <w:sz w:val="20"/>
                <w:szCs w:val="20"/>
                <w:color w:val="auto"/>
                <w:w w:val="89"/>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(143,579)</w:t>
            </w:r>
          </w:p>
        </w:tc>
        <w:tc>
          <w:tcPr>
            <w:tcW w:w="100" w:type="dxa"/>
            <w:vAlign w:val="bottom"/>
            <w:shd w:val="clear" w:color="auto" w:fill="CFF0FC"/>
          </w:tcPr>
          <w:p>
            <w:pPr>
              <w:spacing w:after="0"/>
              <w:rPr>
                <w:sz w:val="20"/>
                <w:szCs w:val="20"/>
                <w:color w:val="auto"/>
              </w:rPr>
            </w:pPr>
          </w:p>
        </w:tc>
      </w:tr>
      <w:tr>
        <w:trPr>
          <w:trHeight w:val="225"/>
        </w:trPr>
        <w:tc>
          <w:tcPr>
            <w:tcW w:w="4640" w:type="dxa"/>
            <w:vAlign w:val="bottom"/>
          </w:tcPr>
          <w:p>
            <w:pPr>
              <w:spacing w:after="0" w:line="225" w:lineRule="exact"/>
              <w:rPr>
                <w:sz w:val="20"/>
                <w:szCs w:val="20"/>
                <w:color w:val="auto"/>
              </w:rPr>
            </w:pPr>
            <w:r>
              <w:rPr>
                <w:rFonts w:ascii="Arial" w:cs="Arial" w:eastAsia="Arial" w:hAnsi="Arial"/>
                <w:sz w:val="20"/>
                <w:szCs w:val="20"/>
                <w:color w:val="auto"/>
              </w:rPr>
              <w:t>Other comprehensive earnings before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4640" w:type="dxa"/>
            <w:vAlign w:val="bottom"/>
          </w:tcPr>
          <w:p>
            <w:pPr>
              <w:ind w:left="160"/>
              <w:spacing w:after="0"/>
              <w:rPr>
                <w:sz w:val="20"/>
                <w:szCs w:val="20"/>
                <w:color w:val="auto"/>
              </w:rPr>
            </w:pPr>
            <w:r>
              <w:rPr>
                <w:rFonts w:ascii="Arial" w:cs="Arial" w:eastAsia="Arial" w:hAnsi="Arial"/>
                <w:sz w:val="20"/>
                <w:szCs w:val="20"/>
                <w:color w:val="auto"/>
              </w:rPr>
              <w:t>reclassifications, net of tax</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497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497</w:t>
            </w:r>
          </w:p>
        </w:tc>
        <w:tc>
          <w:tcPr>
            <w:tcW w:w="100" w:type="dxa"/>
            <w:vAlign w:val="bottom"/>
          </w:tcPr>
          <w:p>
            <w:pPr>
              <w:spacing w:after="0"/>
              <w:rPr>
                <w:sz w:val="21"/>
                <w:szCs w:val="21"/>
                <w:color w:val="auto"/>
              </w:rPr>
            </w:pPr>
          </w:p>
        </w:tc>
      </w:tr>
      <w:tr>
        <w:trPr>
          <w:trHeight w:val="225"/>
        </w:trPr>
        <w:tc>
          <w:tcPr>
            <w:tcW w:w="46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Amounts reclassified from accumulated</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5"/>
        </w:trPr>
        <w:tc>
          <w:tcPr>
            <w:tcW w:w="46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other comprehensive loss, net of tax</w:t>
            </w: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2,758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2,758</w:t>
            </w:r>
          </w:p>
        </w:tc>
        <w:tc>
          <w:tcPr>
            <w:tcW w:w="100" w:type="dxa"/>
            <w:vAlign w:val="bottom"/>
            <w:shd w:val="clear" w:color="auto" w:fill="CFF0FC"/>
          </w:tcPr>
          <w:p>
            <w:pPr>
              <w:spacing w:after="0"/>
              <w:rPr>
                <w:sz w:val="21"/>
                <w:szCs w:val="21"/>
                <w:color w:val="auto"/>
              </w:rPr>
            </w:pPr>
          </w:p>
        </w:tc>
      </w:tr>
      <w:tr>
        <w:trPr>
          <w:trHeight w:val="235"/>
        </w:trPr>
        <w:tc>
          <w:tcPr>
            <w:tcW w:w="46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92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2,758</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497</w:t>
            </w:r>
          </w:p>
        </w:tc>
        <w:tc>
          <w:tcPr>
            <w:tcW w:w="26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3,255</w:t>
            </w:r>
          </w:p>
        </w:tc>
        <w:tc>
          <w:tcPr>
            <w:tcW w:w="100" w:type="dxa"/>
            <w:vAlign w:val="bottom"/>
            <w:tcBorders>
              <w:bottom w:val="single" w:sz="8" w:color="CFF0FC"/>
            </w:tcBorders>
          </w:tcPr>
          <w:p>
            <w:pPr>
              <w:spacing w:after="0"/>
              <w:rPr>
                <w:sz w:val="20"/>
                <w:szCs w:val="20"/>
                <w:color w:val="auto"/>
              </w:rPr>
            </w:pPr>
          </w:p>
        </w:tc>
      </w:tr>
      <w:tr>
        <w:trPr>
          <w:trHeight w:val="235"/>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9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(138,747)</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(1,577)</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(140,324)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4"/>
        </w:trPr>
        <w:tc>
          <w:tcPr>
            <w:tcW w:w="4640" w:type="dxa"/>
            <w:vAlign w:val="bottom"/>
            <w:tcBorders>
              <w:bottom w:val="single" w:sz="8" w:color="CFF0FC"/>
            </w:tcBorders>
          </w:tcPr>
          <w:p>
            <w:pPr>
              <w:spacing w:after="0"/>
              <w:rPr>
                <w:sz w:val="24"/>
                <w:szCs w:val="24"/>
                <w:color w:val="auto"/>
              </w:rPr>
            </w:pPr>
          </w:p>
        </w:tc>
        <w:tc>
          <w:tcPr>
            <w:tcW w:w="92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20"/>
                <w:szCs w:val="20"/>
                <w:color w:val="auto"/>
                <w:w w:val="89"/>
              </w:rPr>
              <w:t>Three Months Ended March 31, 2018</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FF2FA"/>
            </w:tcBorders>
          </w:tcPr>
          <w:p>
            <w:pPr>
              <w:spacing w:after="0"/>
              <w:rPr>
                <w:sz w:val="24"/>
                <w:szCs w:val="24"/>
                <w:color w:val="auto"/>
              </w:rPr>
            </w:pPr>
          </w:p>
        </w:tc>
      </w:tr>
      <w:tr>
        <w:trPr>
          <w:trHeight w:val="235"/>
        </w:trPr>
        <w:tc>
          <w:tcPr>
            <w:tcW w:w="46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920" w:type="dxa"/>
            <w:vAlign w:val="bottom"/>
            <w:shd w:val="clear" w:color="auto" w:fill="CFF0FC"/>
          </w:tcPr>
          <w:p>
            <w:pPr>
              <w:spacing w:after="0"/>
              <w:rPr>
                <w:sz w:val="20"/>
                <w:szCs w:val="20"/>
                <w:color w:val="auto"/>
              </w:rPr>
            </w:pPr>
          </w:p>
        </w:tc>
        <w:tc>
          <w:tcPr>
            <w:tcW w:w="100" w:type="dxa"/>
            <w:vAlign w:val="bottom"/>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260" w:type="dxa"/>
            <w:vAlign w:val="bottom"/>
            <w:gridSpan w:val="2"/>
            <w:shd w:val="clear" w:color="auto" w:fill="CFF2FA"/>
          </w:tcPr>
          <w:p>
            <w:pPr>
              <w:jc w:val="right"/>
              <w:ind w:right="40"/>
              <w:spacing w:after="0"/>
              <w:rPr>
                <w:sz w:val="20"/>
                <w:szCs w:val="20"/>
                <w:color w:val="auto"/>
              </w:rPr>
            </w:pPr>
            <w:r>
              <w:rPr>
                <w:rFonts w:ascii="Arial" w:cs="Arial" w:eastAsia="Arial" w:hAnsi="Arial"/>
                <w:sz w:val="20"/>
                <w:szCs w:val="20"/>
                <w:color w:val="auto"/>
              </w:rPr>
              <w:t>(128,802)</w:t>
            </w:r>
          </w:p>
        </w:tc>
        <w:tc>
          <w:tcPr>
            <w:tcW w:w="300" w:type="dxa"/>
            <w:vAlign w:val="bottom"/>
            <w:gridSpan w:val="2"/>
            <w:shd w:val="clear" w:color="auto" w:fill="CFF2FA"/>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FF2FA"/>
          </w:tcPr>
          <w:p>
            <w:pPr>
              <w:jc w:val="right"/>
              <w:ind w:right="200"/>
              <w:spacing w:after="0"/>
              <w:rPr>
                <w:sz w:val="20"/>
                <w:szCs w:val="20"/>
                <w:color w:val="auto"/>
              </w:rPr>
            </w:pPr>
            <w:r>
              <w:rPr>
                <w:rFonts w:ascii="Arial" w:cs="Arial" w:eastAsia="Arial" w:hAnsi="Arial"/>
                <w:sz w:val="20"/>
                <w:szCs w:val="20"/>
                <w:color w:val="auto"/>
              </w:rPr>
              <w:t>(22)</w:t>
            </w:r>
          </w:p>
        </w:tc>
        <w:tc>
          <w:tcPr>
            <w:tcW w:w="120" w:type="dxa"/>
            <w:vAlign w:val="bottom"/>
            <w:shd w:val="clear" w:color="auto" w:fill="CFF2FA"/>
          </w:tcPr>
          <w:p>
            <w:pPr>
              <w:spacing w:after="0"/>
              <w:rPr>
                <w:sz w:val="20"/>
                <w:szCs w:val="20"/>
                <w:color w:val="auto"/>
              </w:rPr>
            </w:pPr>
            <w:r>
              <w:rPr>
                <w:rFonts w:ascii="Arial" w:cs="Arial" w:eastAsia="Arial" w:hAnsi="Arial"/>
                <w:sz w:val="20"/>
                <w:szCs w:val="20"/>
                <w:color w:val="auto"/>
                <w:w w:val="89"/>
              </w:rPr>
              <w:t>$</w:t>
            </w:r>
          </w:p>
        </w:tc>
        <w:tc>
          <w:tcPr>
            <w:tcW w:w="140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(280)</w:t>
            </w:r>
          </w:p>
        </w:tc>
        <w:tc>
          <w:tcPr>
            <w:tcW w:w="180" w:type="dxa"/>
            <w:vAlign w:val="bottom"/>
            <w:gridSpan w:val="2"/>
            <w:shd w:val="clear" w:color="auto" w:fill="CFF2FA"/>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(129,104)</w:t>
            </w:r>
          </w:p>
        </w:tc>
        <w:tc>
          <w:tcPr>
            <w:tcW w:w="100" w:type="dxa"/>
            <w:vAlign w:val="bottom"/>
            <w:shd w:val="clear" w:color="auto" w:fill="CFF2FA"/>
          </w:tcPr>
          <w:p>
            <w:pPr>
              <w:spacing w:after="0"/>
              <w:rPr>
                <w:sz w:val="20"/>
                <w:szCs w:val="20"/>
                <w:color w:val="auto"/>
              </w:rPr>
            </w:pPr>
          </w:p>
        </w:tc>
      </w:tr>
      <w:tr>
        <w:trPr>
          <w:trHeight w:val="218"/>
        </w:trPr>
        <w:tc>
          <w:tcPr>
            <w:tcW w:w="4640" w:type="dxa"/>
            <w:vAlign w:val="bottom"/>
          </w:tcPr>
          <w:p>
            <w:pPr>
              <w:spacing w:after="0" w:line="218" w:lineRule="exact"/>
              <w:rPr>
                <w:sz w:val="20"/>
                <w:szCs w:val="20"/>
                <w:color w:val="auto"/>
              </w:rPr>
            </w:pPr>
            <w:r>
              <w:rPr>
                <w:rFonts w:ascii="Arial" w:cs="Arial" w:eastAsia="Arial" w:hAnsi="Arial"/>
                <w:sz w:val="20"/>
                <w:szCs w:val="20"/>
                <w:color w:val="auto"/>
              </w:rPr>
              <w:t>Other comprehensive loss before</w:t>
            </w:r>
          </w:p>
        </w:tc>
        <w:tc>
          <w:tcPr>
            <w:tcW w:w="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40" w:type="dxa"/>
            <w:vAlign w:val="bottom"/>
          </w:tcPr>
          <w:p>
            <w:pPr>
              <w:ind w:left="160"/>
              <w:spacing w:after="0"/>
              <w:rPr>
                <w:sz w:val="20"/>
                <w:szCs w:val="20"/>
                <w:color w:val="auto"/>
              </w:rPr>
            </w:pPr>
            <w:r>
              <w:rPr>
                <w:rFonts w:ascii="Arial" w:cs="Arial" w:eastAsia="Arial" w:hAnsi="Arial"/>
                <w:sz w:val="20"/>
                <w:szCs w:val="20"/>
                <w:color w:val="auto"/>
              </w:rPr>
              <w:t>reclassifications, net of tax</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20"/>
                <w:szCs w:val="20"/>
                <w:color w:val="auto"/>
              </w:rPr>
              <w:t>(587)</w:t>
            </w:r>
          </w:p>
        </w:tc>
        <w:tc>
          <w:tcPr>
            <w:tcW w:w="1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20"/>
                <w:szCs w:val="20"/>
                <w:color w:val="auto"/>
              </w:rPr>
              <w:t>(587)</w:t>
            </w:r>
          </w:p>
        </w:tc>
      </w:tr>
      <w:tr>
        <w:trPr>
          <w:trHeight w:val="225"/>
        </w:trPr>
        <w:tc>
          <w:tcPr>
            <w:tcW w:w="46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Amounts reclassified from accumulated</w:t>
            </w:r>
          </w:p>
        </w:tc>
        <w:tc>
          <w:tcPr>
            <w:tcW w:w="920" w:type="dxa"/>
            <w:vAlign w:val="bottom"/>
            <w:shd w:val="clear" w:color="auto" w:fill="CFF0FC"/>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98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22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r>
      <w:tr>
        <w:trPr>
          <w:trHeight w:val="245"/>
        </w:trPr>
        <w:tc>
          <w:tcPr>
            <w:tcW w:w="46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other comprehensive loss, net of tax</w:t>
            </w:r>
          </w:p>
        </w:tc>
        <w:tc>
          <w:tcPr>
            <w:tcW w:w="920" w:type="dxa"/>
            <w:vAlign w:val="bottom"/>
            <w:shd w:val="clear" w:color="auto" w:fill="CFF0FC"/>
          </w:tcPr>
          <w:p>
            <w:pPr>
              <w:spacing w:after="0"/>
              <w:rPr>
                <w:sz w:val="21"/>
                <w:szCs w:val="21"/>
                <w:color w:val="auto"/>
              </w:rPr>
            </w:pPr>
          </w:p>
        </w:tc>
        <w:tc>
          <w:tcPr>
            <w:tcW w:w="100" w:type="dxa"/>
            <w:vAlign w:val="bottom"/>
            <w:shd w:val="clear" w:color="auto" w:fill="CFF2FA"/>
          </w:tcPr>
          <w:p>
            <w:pPr>
              <w:spacing w:after="0"/>
              <w:rPr>
                <w:sz w:val="21"/>
                <w:szCs w:val="21"/>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1,996</w:t>
            </w:r>
          </w:p>
        </w:tc>
        <w:tc>
          <w:tcPr>
            <w:tcW w:w="100" w:type="dxa"/>
            <w:vAlign w:val="bottom"/>
            <w:shd w:val="clear" w:color="auto" w:fill="CFF2FA"/>
          </w:tcPr>
          <w:p>
            <w:pPr>
              <w:spacing w:after="0"/>
              <w:rPr>
                <w:sz w:val="21"/>
                <w:szCs w:val="21"/>
                <w:color w:val="auto"/>
              </w:rPr>
            </w:pPr>
          </w:p>
        </w:tc>
        <w:tc>
          <w:tcPr>
            <w:tcW w:w="160" w:type="dxa"/>
            <w:vAlign w:val="bottom"/>
            <w:shd w:val="clear" w:color="auto" w:fill="CFF2FA"/>
          </w:tcPr>
          <w:p>
            <w:pPr>
              <w:spacing w:after="0"/>
              <w:rPr>
                <w:sz w:val="21"/>
                <w:szCs w:val="21"/>
                <w:color w:val="auto"/>
              </w:rPr>
            </w:pPr>
          </w:p>
        </w:tc>
        <w:tc>
          <w:tcPr>
            <w:tcW w:w="140" w:type="dxa"/>
            <w:vAlign w:val="bottom"/>
            <w:shd w:val="clear" w:color="auto" w:fill="CFF2FA"/>
          </w:tcPr>
          <w:p>
            <w:pPr>
              <w:spacing w:after="0"/>
              <w:rPr>
                <w:sz w:val="21"/>
                <w:szCs w:val="21"/>
                <w:color w:val="auto"/>
              </w:rPr>
            </w:pPr>
          </w:p>
        </w:tc>
        <w:tc>
          <w:tcPr>
            <w:tcW w:w="1240" w:type="dxa"/>
            <w:vAlign w:val="bottom"/>
            <w:gridSpan w:val="2"/>
            <w:shd w:val="clear" w:color="auto" w:fill="CFF2FA"/>
          </w:tcPr>
          <w:p>
            <w:pPr>
              <w:jc w:val="right"/>
              <w:ind w:right="28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2FA"/>
          </w:tcPr>
          <w:p>
            <w:pPr>
              <w:spacing w:after="0"/>
              <w:rPr>
                <w:sz w:val="21"/>
                <w:szCs w:val="21"/>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210</w:t>
            </w:r>
          </w:p>
        </w:tc>
        <w:tc>
          <w:tcPr>
            <w:tcW w:w="180" w:type="dxa"/>
            <w:vAlign w:val="bottom"/>
            <w:shd w:val="clear" w:color="auto" w:fill="CFF2FA"/>
          </w:tcPr>
          <w:p>
            <w:pPr>
              <w:spacing w:after="0"/>
              <w:rPr>
                <w:sz w:val="21"/>
                <w:szCs w:val="21"/>
                <w:color w:val="auto"/>
              </w:rPr>
            </w:pPr>
          </w:p>
        </w:tc>
        <w:tc>
          <w:tcPr>
            <w:tcW w:w="80" w:type="dxa"/>
            <w:vAlign w:val="bottom"/>
            <w:shd w:val="clear" w:color="auto" w:fill="CFF2FA"/>
          </w:tcPr>
          <w:p>
            <w:pPr>
              <w:spacing w:after="0"/>
              <w:rPr>
                <w:sz w:val="21"/>
                <w:szCs w:val="21"/>
                <w:color w:val="auto"/>
              </w:rPr>
            </w:pPr>
          </w:p>
        </w:tc>
        <w:tc>
          <w:tcPr>
            <w:tcW w:w="100" w:type="dxa"/>
            <w:vAlign w:val="bottom"/>
            <w:shd w:val="clear" w:color="auto" w:fill="CFF2FA"/>
          </w:tcPr>
          <w:p>
            <w:pPr>
              <w:spacing w:after="0"/>
              <w:rPr>
                <w:sz w:val="21"/>
                <w:szCs w:val="21"/>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2,206</w:t>
            </w:r>
          </w:p>
        </w:tc>
        <w:tc>
          <w:tcPr>
            <w:tcW w:w="100" w:type="dxa"/>
            <w:vAlign w:val="bottom"/>
            <w:shd w:val="clear" w:color="auto" w:fill="CFF2FA"/>
          </w:tcPr>
          <w:p>
            <w:pPr>
              <w:spacing w:after="0"/>
              <w:rPr>
                <w:sz w:val="21"/>
                <w:szCs w:val="21"/>
                <w:color w:val="auto"/>
              </w:rPr>
            </w:pPr>
          </w:p>
        </w:tc>
      </w:tr>
      <w:tr>
        <w:trPr>
          <w:trHeight w:val="235"/>
        </w:trPr>
        <w:tc>
          <w:tcPr>
            <w:tcW w:w="46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(loss), net of tax</w:t>
            </w:r>
          </w:p>
        </w:tc>
        <w:tc>
          <w:tcPr>
            <w:tcW w:w="92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1,996</w:t>
            </w:r>
          </w:p>
        </w:tc>
        <w:tc>
          <w:tcPr>
            <w:tcW w:w="100" w:type="dxa"/>
            <w:vAlign w:val="bottom"/>
            <w:tcBorders>
              <w:bottom w:val="single" w:sz="8" w:color="CFF2FA"/>
            </w:tcBorders>
          </w:tcPr>
          <w:p>
            <w:pPr>
              <w:spacing w:after="0"/>
              <w:rPr>
                <w:sz w:val="20"/>
                <w:szCs w:val="20"/>
                <w:color w:val="auto"/>
              </w:rPr>
            </w:pPr>
          </w:p>
        </w:tc>
        <w:tc>
          <w:tcPr>
            <w:tcW w:w="160" w:type="dxa"/>
            <w:vAlign w:val="bottom"/>
            <w:tcBorders>
              <w:bottom w:val="single" w:sz="8" w:color="CFF2FA"/>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(587)</w:t>
            </w:r>
          </w:p>
        </w:tc>
        <w:tc>
          <w:tcPr>
            <w:tcW w:w="260" w:type="dxa"/>
            <w:vAlign w:val="bottom"/>
            <w:tcBorders>
              <w:bottom w:val="single" w:sz="8" w:color="CFF2FA"/>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210</w:t>
            </w:r>
          </w:p>
        </w:tc>
        <w:tc>
          <w:tcPr>
            <w:tcW w:w="180" w:type="dxa"/>
            <w:vAlign w:val="bottom"/>
            <w:tcBorders>
              <w:bottom w:val="single" w:sz="8" w:color="CFF2FA"/>
            </w:tcBorders>
          </w:tcPr>
          <w:p>
            <w:pPr>
              <w:spacing w:after="0"/>
              <w:rPr>
                <w:sz w:val="20"/>
                <w:szCs w:val="20"/>
                <w:color w:val="auto"/>
              </w:rPr>
            </w:pPr>
          </w:p>
        </w:tc>
        <w:tc>
          <w:tcPr>
            <w:tcW w:w="80" w:type="dxa"/>
            <w:vAlign w:val="bottom"/>
            <w:tcBorders>
              <w:bottom w:val="single" w:sz="8" w:color="CFF2FA"/>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1,619</w:t>
            </w:r>
          </w:p>
        </w:tc>
        <w:tc>
          <w:tcPr>
            <w:tcW w:w="100" w:type="dxa"/>
            <w:vAlign w:val="bottom"/>
            <w:tcBorders>
              <w:bottom w:val="single" w:sz="8" w:color="CFF2FA"/>
            </w:tcBorders>
          </w:tcPr>
          <w:p>
            <w:pPr>
              <w:spacing w:after="0"/>
              <w:rPr>
                <w:sz w:val="20"/>
                <w:szCs w:val="20"/>
                <w:color w:val="auto"/>
              </w:rPr>
            </w:pPr>
          </w:p>
        </w:tc>
      </w:tr>
      <w:tr>
        <w:trPr>
          <w:trHeight w:val="235"/>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9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(126,806)</w:t>
            </w:r>
          </w:p>
        </w:tc>
        <w:tc>
          <w:tcPr>
            <w:tcW w:w="100" w:type="dxa"/>
            <w:vAlign w:val="bottom"/>
            <w:tcBorders>
              <w:bottom w:val="single" w:sz="8" w:color="CFF2FA"/>
            </w:tcBorders>
            <w:shd w:val="clear" w:color="auto" w:fill="CFF2FA"/>
          </w:tcPr>
          <w:p>
            <w:pPr>
              <w:spacing w:after="0"/>
              <w:rPr>
                <w:sz w:val="20"/>
                <w:szCs w:val="20"/>
                <w:color w:val="auto"/>
              </w:rPr>
            </w:pPr>
          </w:p>
        </w:tc>
        <w:tc>
          <w:tcPr>
            <w:tcW w:w="160" w:type="dxa"/>
            <w:vAlign w:val="bottom"/>
            <w:tcBorders>
              <w:bottom w:val="single" w:sz="8" w:color="CFF2FA"/>
            </w:tcBorders>
            <w:shd w:val="clear" w:color="auto" w:fill="CFF2FA"/>
          </w:tcPr>
          <w:p>
            <w:pPr>
              <w:spacing w:after="0"/>
              <w:rPr>
                <w:sz w:val="20"/>
                <w:szCs w:val="20"/>
                <w:color w:val="auto"/>
              </w:rPr>
            </w:pPr>
          </w:p>
        </w:tc>
        <w:tc>
          <w:tcPr>
            <w:tcW w:w="1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(609)</w:t>
            </w:r>
          </w:p>
        </w:tc>
        <w:tc>
          <w:tcPr>
            <w:tcW w:w="260" w:type="dxa"/>
            <w:vAlign w:val="bottom"/>
            <w:tcBorders>
              <w:bottom w:val="single" w:sz="8" w:color="CFF2FA"/>
            </w:tcBorders>
            <w:shd w:val="clear" w:color="auto" w:fill="CFF2FA"/>
          </w:tcPr>
          <w:p>
            <w:pPr>
              <w:spacing w:after="0"/>
              <w:rPr>
                <w:sz w:val="20"/>
                <w:szCs w:val="20"/>
                <w:color w:val="auto"/>
              </w:rPr>
            </w:pPr>
          </w:p>
        </w:tc>
        <w:tc>
          <w:tcPr>
            <w:tcW w:w="12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(70)</w:t>
            </w:r>
          </w:p>
        </w:tc>
        <w:tc>
          <w:tcPr>
            <w:tcW w:w="180" w:type="dxa"/>
            <w:vAlign w:val="bottom"/>
            <w:tcBorders>
              <w:bottom w:val="single" w:sz="8" w:color="CFF2FA"/>
            </w:tcBorders>
            <w:shd w:val="clear" w:color="auto" w:fill="CFF2FA"/>
          </w:tcPr>
          <w:p>
            <w:pPr>
              <w:spacing w:after="0"/>
              <w:rPr>
                <w:sz w:val="20"/>
                <w:szCs w:val="20"/>
                <w:color w:val="auto"/>
              </w:rPr>
            </w:pPr>
          </w:p>
        </w:tc>
        <w:tc>
          <w:tcPr>
            <w:tcW w:w="80" w:type="dxa"/>
            <w:vAlign w:val="bottom"/>
            <w:tcBorders>
              <w:bottom w:val="single" w:sz="8" w:color="CFF2FA"/>
            </w:tcBorders>
            <w:shd w:val="clear" w:color="auto" w:fill="CFF2FA"/>
          </w:tcPr>
          <w:p>
            <w:pPr>
              <w:spacing w:after="0"/>
              <w:rPr>
                <w:sz w:val="20"/>
                <w:szCs w:val="20"/>
                <w:color w:val="auto"/>
              </w:rPr>
            </w:pPr>
          </w:p>
        </w:tc>
        <w:tc>
          <w:tcPr>
            <w:tcW w:w="1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(127,485)</w:t>
            </w:r>
          </w:p>
        </w:tc>
        <w:tc>
          <w:tcPr>
            <w:tcW w:w="100" w:type="dxa"/>
            <w:vAlign w:val="bottom"/>
            <w:tcBorders>
              <w:bottom w:val="single" w:sz="8" w:color="CFF2FA"/>
            </w:tcBorders>
            <w:shd w:val="clear" w:color="auto" w:fill="CFF2FA"/>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net noncurrent deferred tax assets recorded in accumulated other comprehensive loss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20"/>
                <w:szCs w:val="20"/>
                <w:i w:val="1"/>
                <w:iCs w:val="1"/>
                <w:color w:val="auto"/>
                <w:w w:val="90"/>
              </w:rPr>
              <w:t>(Dollars in Thousands)</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18"/>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center"/>
              <w:ind w:right="340"/>
              <w:spacing w:after="0" w:line="218" w:lineRule="exact"/>
              <w:rPr>
                <w:sz w:val="20"/>
                <w:szCs w:val="20"/>
                <w:color w:val="auto"/>
              </w:rPr>
            </w:pPr>
            <w:r>
              <w:rPr>
                <w:rFonts w:ascii="Arial" w:cs="Arial" w:eastAsia="Arial" w:hAnsi="Arial"/>
                <w:sz w:val="20"/>
                <w:szCs w:val="20"/>
                <w:color w:val="auto"/>
                <w:w w:val="91"/>
              </w:rPr>
              <w:t>Unamortized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2"/>
          </w:tcPr>
          <w:p>
            <w:pPr>
              <w:jc w:val="center"/>
              <w:ind w:right="320"/>
              <w:spacing w:after="0" w:line="229" w:lineRule="exact"/>
              <w:rPr>
                <w:sz w:val="20"/>
                <w:szCs w:val="20"/>
                <w:color w:val="auto"/>
              </w:rPr>
            </w:pPr>
            <w:r>
              <w:rPr>
                <w:rFonts w:ascii="Arial" w:cs="Arial" w:eastAsia="Arial" w:hAnsi="Arial"/>
                <w:sz w:val="20"/>
                <w:szCs w:val="20"/>
                <w:color w:val="auto"/>
                <w:w w:val="89"/>
              </w:rPr>
              <w:t>Value of</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2"/>
          </w:tcPr>
          <w:p>
            <w:pPr>
              <w:jc w:val="center"/>
              <w:ind w:right="320"/>
              <w:spacing w:after="0" w:line="229" w:lineRule="exact"/>
              <w:rPr>
                <w:sz w:val="20"/>
                <w:szCs w:val="20"/>
                <w:color w:val="auto"/>
              </w:rPr>
            </w:pPr>
            <w:r>
              <w:rPr>
                <w:rFonts w:ascii="Arial" w:cs="Arial" w:eastAsia="Arial" w:hAnsi="Arial"/>
                <w:sz w:val="20"/>
                <w:szCs w:val="20"/>
                <w:color w:val="auto"/>
                <w:w w:val="88"/>
              </w:rPr>
              <w:t>Terminated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center"/>
              <w:ind w:right="420"/>
              <w:spacing w:after="0" w:line="229" w:lineRule="exact"/>
              <w:rPr>
                <w:sz w:val="20"/>
                <w:szCs w:val="20"/>
                <w:color w:val="auto"/>
              </w:rPr>
            </w:pPr>
            <w:r>
              <w:rPr>
                <w:rFonts w:ascii="Arial" w:cs="Arial" w:eastAsia="Arial" w:hAnsi="Arial"/>
                <w:sz w:val="20"/>
                <w:szCs w:val="20"/>
                <w:color w:val="auto"/>
                <w:w w:val="86"/>
              </w:rPr>
              <w:t>Pension and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2"/>
          </w:tcPr>
          <w:p>
            <w:pPr>
              <w:jc w:val="center"/>
              <w:ind w:right="320"/>
              <w:spacing w:after="0" w:line="229" w:lineRule="exact"/>
              <w:rPr>
                <w:sz w:val="20"/>
                <w:szCs w:val="20"/>
                <w:color w:val="auto"/>
              </w:rPr>
            </w:pPr>
            <w:r>
              <w:rPr>
                <w:rFonts w:ascii="Arial" w:cs="Arial" w:eastAsia="Arial" w:hAnsi="Arial"/>
                <w:sz w:val="20"/>
                <w:szCs w:val="20"/>
                <w:color w:val="auto"/>
                <w:w w:val="90"/>
              </w:rPr>
              <w:t>Forward Starting</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center"/>
              <w:ind w:right="360"/>
              <w:spacing w:after="0" w:line="229" w:lineRule="exact"/>
              <w:rPr>
                <w:sz w:val="20"/>
                <w:szCs w:val="20"/>
                <w:color w:val="auto"/>
              </w:rPr>
            </w:pPr>
            <w:r>
              <w:rPr>
                <w:rFonts w:ascii="Arial" w:cs="Arial" w:eastAsia="Arial" w:hAnsi="Arial"/>
                <w:sz w:val="20"/>
                <w:szCs w:val="20"/>
                <w:color w:val="auto"/>
                <w:w w:val="89"/>
              </w:rPr>
              <w:t>Net Noncurrent</w:t>
            </w:r>
          </w:p>
        </w:tc>
      </w:tr>
      <w:tr>
        <w:trPr>
          <w:trHeight w:val="228"/>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center"/>
              <w:ind w:right="420"/>
              <w:spacing w:after="0" w:line="229" w:lineRule="exact"/>
              <w:rPr>
                <w:sz w:val="20"/>
                <w:szCs w:val="20"/>
                <w:color w:val="auto"/>
              </w:rPr>
            </w:pPr>
            <w:r>
              <w:rPr>
                <w:rFonts w:ascii="Arial" w:cs="Arial" w:eastAsia="Arial" w:hAnsi="Arial"/>
                <w:sz w:val="20"/>
                <w:szCs w:val="20"/>
                <w:color w:val="auto"/>
                <w:w w:val="89"/>
              </w:rPr>
              <w:t>Postretirement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2"/>
          </w:tcPr>
          <w:p>
            <w:pPr>
              <w:jc w:val="center"/>
              <w:ind w:right="340"/>
              <w:spacing w:after="0" w:line="229" w:lineRule="exact"/>
              <w:rPr>
                <w:sz w:val="20"/>
                <w:szCs w:val="20"/>
                <w:color w:val="auto"/>
              </w:rPr>
            </w:pPr>
            <w:r>
              <w:rPr>
                <w:rFonts w:ascii="Arial" w:cs="Arial" w:eastAsia="Arial" w:hAnsi="Arial"/>
                <w:sz w:val="20"/>
                <w:szCs w:val="20"/>
                <w:color w:val="auto"/>
                <w:w w:val="87"/>
              </w:rPr>
              <w:t>Interest Rate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center"/>
              <w:ind w:right="340"/>
              <w:spacing w:after="0" w:line="229" w:lineRule="exact"/>
              <w:rPr>
                <w:sz w:val="20"/>
                <w:szCs w:val="20"/>
                <w:color w:val="auto"/>
              </w:rPr>
            </w:pPr>
            <w:r>
              <w:rPr>
                <w:rFonts w:ascii="Arial" w:cs="Arial" w:eastAsia="Arial" w:hAnsi="Arial"/>
                <w:sz w:val="20"/>
                <w:szCs w:val="20"/>
                <w:color w:val="auto"/>
                <w:w w:val="89"/>
              </w:rPr>
              <w:t>Deferred Tax</w:t>
            </w:r>
          </w:p>
        </w:tc>
      </w:tr>
      <w:tr>
        <w:trPr>
          <w:trHeight w:val="245"/>
        </w:trPr>
        <w:tc>
          <w:tcPr>
            <w:tcW w:w="4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142"/>
              <w:spacing w:after="0"/>
              <w:rPr>
                <w:sz w:val="20"/>
                <w:szCs w:val="20"/>
                <w:color w:val="auto"/>
              </w:rPr>
            </w:pPr>
            <w:r>
              <w:rPr>
                <w:rFonts w:ascii="Arial" w:cs="Arial" w:eastAsia="Arial" w:hAnsi="Arial"/>
                <w:sz w:val="20"/>
                <w:szCs w:val="20"/>
                <w:color w:val="auto"/>
                <w:w w:val="88"/>
              </w:rPr>
              <w:t>Benefit Plans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color w:val="auto"/>
                <w:w w:val="87"/>
              </w:rPr>
              <w:t>Swap</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142"/>
              <w:spacing w:after="0"/>
              <w:rPr>
                <w:sz w:val="20"/>
                <w:szCs w:val="20"/>
                <w:color w:val="auto"/>
              </w:rPr>
            </w:pPr>
            <w:r>
              <w:rPr>
                <w:rFonts w:ascii="Arial" w:cs="Arial" w:eastAsia="Arial" w:hAnsi="Arial"/>
                <w:sz w:val="20"/>
                <w:szCs w:val="20"/>
                <w:color w:val="auto"/>
                <w:w w:val="83"/>
              </w:rPr>
              <w:t>Assets</w:t>
            </w:r>
          </w:p>
        </w:tc>
        <w:tc>
          <w:tcPr>
            <w:tcW w:w="120" w:type="dxa"/>
            <w:vAlign w:val="bottom"/>
          </w:tcPr>
          <w:p>
            <w:pPr>
              <w:spacing w:after="0"/>
              <w:rPr>
                <w:sz w:val="21"/>
                <w:szCs w:val="21"/>
                <w:color w:val="auto"/>
              </w:rPr>
            </w:pPr>
          </w:p>
        </w:tc>
      </w:tr>
      <w:tr>
        <w:trPr>
          <w:trHeight w:val="477"/>
        </w:trPr>
        <w:tc>
          <w:tcPr>
            <w:tcW w:w="47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8"/>
          </w:tcPr>
          <w:p>
            <w:pPr>
              <w:jc w:val="center"/>
              <w:ind w:left="1362"/>
              <w:spacing w:after="0"/>
              <w:rPr>
                <w:sz w:val="20"/>
                <w:szCs w:val="20"/>
                <w:color w:val="auto"/>
              </w:rPr>
            </w:pPr>
            <w:r>
              <w:rPr>
                <w:rFonts w:ascii="Arial" w:cs="Arial" w:eastAsia="Arial" w:hAnsi="Arial"/>
                <w:sz w:val="20"/>
                <w:szCs w:val="20"/>
                <w:color w:val="auto"/>
                <w:w w:val="89"/>
              </w:rPr>
              <w:t>Three Months Ended March 31, 2019</w:t>
            </w: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5"/>
        </w:trPr>
        <w:tc>
          <w:tcPr>
            <w:tcW w:w="47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220" w:type="dxa"/>
            <w:vAlign w:val="bottom"/>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84,207</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320" w:type="dxa"/>
            <w:vAlign w:val="bottom"/>
            <w:gridSpan w:val="2"/>
            <w:shd w:val="clear" w:color="auto" w:fill="CFF0FC"/>
          </w:tcPr>
          <w:p>
            <w:pPr>
              <w:jc w:val="right"/>
              <w:ind w:right="22"/>
              <w:spacing w:after="0"/>
              <w:rPr>
                <w:sz w:val="20"/>
                <w:szCs w:val="20"/>
                <w:color w:val="auto"/>
              </w:rPr>
            </w:pPr>
            <w:r>
              <w:rPr>
                <w:rFonts w:ascii="Arial" w:cs="Arial" w:eastAsia="Arial" w:hAnsi="Arial"/>
                <w:sz w:val="20"/>
                <w:szCs w:val="20"/>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84,207</w:t>
            </w:r>
          </w:p>
        </w:tc>
        <w:tc>
          <w:tcPr>
            <w:tcW w:w="120" w:type="dxa"/>
            <w:vAlign w:val="bottom"/>
            <w:shd w:val="clear" w:color="auto" w:fill="CFF0FC"/>
          </w:tcPr>
          <w:p>
            <w:pPr>
              <w:spacing w:after="0"/>
              <w:rPr>
                <w:sz w:val="20"/>
                <w:szCs w:val="20"/>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22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rPr>
              <w:t>(868)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20"/>
                <w:szCs w:val="20"/>
                <w:color w:val="auto"/>
              </w:rPr>
              <w:t>(868)</w:t>
            </w:r>
          </w:p>
        </w:tc>
      </w:tr>
      <w:tr>
        <w:trPr>
          <w:trHeight w:val="235"/>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83,339</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83,339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4"/>
        </w:trPr>
        <w:tc>
          <w:tcPr>
            <w:tcW w:w="47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8"/>
          </w:tcPr>
          <w:p>
            <w:pPr>
              <w:jc w:val="center"/>
              <w:ind w:left="1362"/>
              <w:spacing w:after="0"/>
              <w:rPr>
                <w:sz w:val="20"/>
                <w:szCs w:val="20"/>
                <w:color w:val="auto"/>
              </w:rPr>
            </w:pPr>
            <w:r>
              <w:rPr>
                <w:rFonts w:ascii="Arial" w:cs="Arial" w:eastAsia="Arial" w:hAnsi="Arial"/>
                <w:sz w:val="20"/>
                <w:szCs w:val="20"/>
                <w:color w:val="auto"/>
                <w:w w:val="89"/>
              </w:rPr>
              <w:t>Three Months Ended March 31, 2018</w:t>
            </w: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5"/>
        </w:trPr>
        <w:tc>
          <w:tcPr>
            <w:tcW w:w="47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220" w:type="dxa"/>
            <w:vAlign w:val="bottom"/>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79,938</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w:t>
            </w:r>
          </w:p>
        </w:tc>
        <w:tc>
          <w:tcPr>
            <w:tcW w:w="18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22"/>
              <w:spacing w:after="0"/>
              <w:rPr>
                <w:sz w:val="20"/>
                <w:szCs w:val="20"/>
                <w:color w:val="auto"/>
              </w:rPr>
            </w:pPr>
            <w:r>
              <w:rPr>
                <w:rFonts w:ascii="Arial" w:cs="Arial" w:eastAsia="Arial" w:hAnsi="Arial"/>
                <w:sz w:val="20"/>
                <w:szCs w:val="20"/>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80,116</w:t>
            </w:r>
          </w:p>
        </w:tc>
        <w:tc>
          <w:tcPr>
            <w:tcW w:w="120" w:type="dxa"/>
            <w:vAlign w:val="bottom"/>
            <w:shd w:val="clear" w:color="auto" w:fill="CFF0FC"/>
          </w:tcPr>
          <w:p>
            <w:pPr>
              <w:spacing w:after="0"/>
              <w:rPr>
                <w:sz w:val="20"/>
                <w:szCs w:val="20"/>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22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rPr>
              <w:t>(658)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gridSpan w:val="2"/>
          </w:tcPr>
          <w:p>
            <w:pPr>
              <w:jc w:val="right"/>
              <w:ind w:right="120"/>
              <w:spacing w:after="0"/>
              <w:rPr>
                <w:sz w:val="20"/>
                <w:szCs w:val="20"/>
                <w:color w:val="auto"/>
              </w:rPr>
            </w:pPr>
            <w:r>
              <w:rPr>
                <w:rFonts w:ascii="Arial" w:cs="Arial" w:eastAsia="Arial" w:hAnsi="Arial"/>
                <w:sz w:val="20"/>
                <w:szCs w:val="20"/>
                <w:color w:val="auto"/>
              </w:rPr>
              <w:t>(137)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20"/>
                <w:szCs w:val="20"/>
                <w:color w:val="auto"/>
              </w:rPr>
              <w:t>(795)</w:t>
            </w:r>
          </w:p>
        </w:tc>
      </w:tr>
      <w:tr>
        <w:trPr>
          <w:trHeight w:val="235"/>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79,280</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79,321</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Reclassifications out of accumulated other comprehensive loss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40" w:type="dxa"/>
            <w:vAlign w:val="bottom"/>
            <w:gridSpan w:val="4"/>
          </w:tcPr>
          <w:p>
            <w:pPr>
              <w:jc w:val="center"/>
              <w:ind w:left="313"/>
              <w:spacing w:after="0"/>
              <w:rPr>
                <w:sz w:val="20"/>
                <w:szCs w:val="20"/>
                <w:color w:val="auto"/>
              </w:rPr>
            </w:pPr>
            <w:r>
              <w:rPr>
                <w:rFonts w:ascii="Arial" w:cs="Arial" w:eastAsia="Arial" w:hAnsi="Arial"/>
                <w:sz w:val="20"/>
                <w:szCs w:val="20"/>
                <w:color w:val="auto"/>
                <w:w w:val="88"/>
              </w:rPr>
              <w:t>Three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jc w:val="center"/>
              <w:ind w:left="66"/>
              <w:spacing w:after="0"/>
              <w:rPr>
                <w:sz w:val="20"/>
                <w:szCs w:val="20"/>
                <w:color w:val="auto"/>
              </w:rPr>
            </w:pPr>
            <w:r>
              <w:rPr>
                <w:rFonts w:ascii="Arial" w:cs="Arial" w:eastAsia="Arial" w:hAnsi="Arial"/>
                <w:sz w:val="19"/>
                <w:szCs w:val="19"/>
                <w:color w:val="auto"/>
                <w:w w:val="91"/>
              </w:rPr>
              <w:t>Affected line items in the consolidated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306"/>
              <w:spacing w:after="0"/>
              <w:rPr>
                <w:sz w:val="20"/>
                <w:szCs w:val="20"/>
                <w:color w:val="auto"/>
              </w:rPr>
            </w:pPr>
            <w:r>
              <w:rPr>
                <w:rFonts w:ascii="Arial" w:cs="Arial" w:eastAsia="Arial" w:hAnsi="Arial"/>
                <w:sz w:val="19"/>
                <w:szCs w:val="19"/>
                <w:color w:val="auto"/>
                <w:w w:val="92"/>
              </w:rPr>
              <w:t>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jc w:val="center"/>
              <w:ind w:left="66"/>
              <w:spacing w:after="0"/>
              <w:rPr>
                <w:sz w:val="20"/>
                <w:szCs w:val="20"/>
                <w:color w:val="auto"/>
              </w:rPr>
            </w:pPr>
            <w:r>
              <w:rPr>
                <w:rFonts w:ascii="Arial" w:cs="Arial" w:eastAsia="Arial" w:hAnsi="Arial"/>
                <w:sz w:val="19"/>
                <w:szCs w:val="19"/>
                <w:color w:val="auto"/>
                <w:w w:val="87"/>
              </w:rPr>
              <w:t>statements of earnings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2019</w:t>
            </w:r>
          </w:p>
        </w:tc>
        <w:tc>
          <w:tcPr>
            <w:tcW w:w="4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2018</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960" w:type="dxa"/>
            <w:vAlign w:val="bottom"/>
            <w:tcBorders>
              <w:bottom w:val="single" w:sz="8" w:color="auto"/>
            </w:tcBorders>
          </w:tcPr>
          <w:p>
            <w:pPr>
              <w:jc w:val="center"/>
              <w:ind w:left="66"/>
              <w:spacing w:after="0"/>
              <w:rPr>
                <w:sz w:val="20"/>
                <w:szCs w:val="20"/>
                <w:color w:val="auto"/>
              </w:rPr>
            </w:pPr>
            <w:r>
              <w:rPr>
                <w:rFonts w:ascii="Arial" w:cs="Arial" w:eastAsia="Arial" w:hAnsi="Arial"/>
                <w:sz w:val="19"/>
                <w:szCs w:val="19"/>
                <w:color w:val="auto"/>
                <w:w w:val="88"/>
              </w:rPr>
              <w:t>comprehensive earnings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40" w:type="dxa"/>
            <w:vAlign w:val="bottom"/>
            <w:gridSpan w:val="4"/>
          </w:tcPr>
          <w:p>
            <w:pPr>
              <w:jc w:val="center"/>
              <w:ind w:left="333"/>
              <w:spacing w:after="0"/>
              <w:rPr>
                <w:sz w:val="20"/>
                <w:szCs w:val="20"/>
                <w:color w:val="auto"/>
              </w:rPr>
            </w:pPr>
            <w:r>
              <w:rPr>
                <w:rFonts w:ascii="Arial" w:cs="Arial" w:eastAsia="Arial" w:hAnsi="Arial"/>
                <w:sz w:val="19"/>
                <w:szCs w:val="19"/>
                <w:i w:val="1"/>
                <w:iCs w:val="1"/>
                <w:color w:val="auto"/>
                <w:w w:val="92"/>
              </w:rPr>
              <w:t>(Dollars in Thousands)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9"/>
                <w:szCs w:val="19"/>
                <w:color w:val="auto"/>
              </w:rPr>
              <w:t>Pension and postretirement benefit plans</w:t>
            </w: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9"/>
                <w:szCs w:val="19"/>
                <w:color w:val="auto"/>
              </w:rPr>
              <w:t>Amortization of:</w:t>
            </w: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shd w:val="clear" w:color="auto" w:fill="CFF0FC"/>
          </w:tcPr>
          <w:p>
            <w:pPr>
              <w:ind w:left="480"/>
              <w:spacing w:after="0"/>
              <w:rPr>
                <w:sz w:val="20"/>
                <w:szCs w:val="20"/>
                <w:color w:val="auto"/>
              </w:rPr>
            </w:pPr>
            <w:r>
              <w:rPr>
                <w:rFonts w:ascii="Arial" w:cs="Arial" w:eastAsia="Arial" w:hAnsi="Arial"/>
                <w:sz w:val="19"/>
                <w:szCs w:val="19"/>
                <w:color w:val="auto"/>
              </w:rPr>
              <w:t>Prior service credit</w:t>
            </w:r>
          </w:p>
        </w:tc>
        <w:tc>
          <w:tcPr>
            <w:tcW w:w="1560" w:type="dxa"/>
            <w:vAlign w:val="bottom"/>
            <w:gridSpan w:val="2"/>
            <w:shd w:val="clear" w:color="auto" w:fill="CFF0FC"/>
          </w:tcPr>
          <w:p>
            <w:pPr>
              <w:jc w:val="right"/>
              <w:ind w:right="633"/>
              <w:spacing w:after="0"/>
              <w:rPr>
                <w:sz w:val="20"/>
                <w:szCs w:val="20"/>
                <w:color w:val="auto"/>
              </w:rPr>
            </w:pPr>
            <w:r>
              <w:rPr>
                <w:rFonts w:ascii="Arial" w:cs="Arial" w:eastAsia="Arial" w:hAnsi="Arial"/>
                <w:sz w:val="19"/>
                <w:szCs w:val="19"/>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9"/>
                <w:szCs w:val="19"/>
                <w:color w:val="auto"/>
              </w:rPr>
              <w:t>(188)</w:t>
            </w:r>
          </w:p>
        </w:tc>
        <w:tc>
          <w:tcPr>
            <w:tcW w:w="820" w:type="dxa"/>
            <w:vAlign w:val="bottom"/>
            <w:shd w:val="clear" w:color="auto" w:fill="CFF0FC"/>
          </w:tcPr>
          <w:p>
            <w:pPr>
              <w:jc w:val="right"/>
              <w:ind w:right="626"/>
              <w:spacing w:after="0"/>
              <w:rPr>
                <w:sz w:val="20"/>
                <w:szCs w:val="20"/>
                <w:color w:val="auto"/>
              </w:rPr>
            </w:pPr>
            <w:r>
              <w:rPr>
                <w:rFonts w:ascii="Arial" w:cs="Arial" w:eastAsia="Arial" w:hAnsi="Arial"/>
                <w:sz w:val="19"/>
                <w:szCs w:val="19"/>
                <w:color w:val="auto"/>
                <w:w w:val="75"/>
              </w:rPr>
              <w:t>$</w:t>
            </w: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9"/>
                <w:szCs w:val="19"/>
                <w:color w:val="auto"/>
              </w:rPr>
              <w:t>(585)</w:t>
            </w:r>
          </w:p>
        </w:tc>
        <w:tc>
          <w:tcPr>
            <w:tcW w:w="3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tcBorders>
              <w:bottom w:val="single" w:sz="8" w:color="CFF0FC"/>
            </w:tcBorders>
          </w:tcPr>
          <w:p>
            <w:pPr>
              <w:ind w:left="480"/>
              <w:spacing w:after="0"/>
              <w:rPr>
                <w:sz w:val="20"/>
                <w:szCs w:val="20"/>
                <w:color w:val="auto"/>
              </w:rPr>
            </w:pPr>
            <w:r>
              <w:rPr>
                <w:rFonts w:ascii="Arial" w:cs="Arial" w:eastAsia="Arial" w:hAnsi="Arial"/>
                <w:sz w:val="19"/>
                <w:szCs w:val="19"/>
                <w:color w:val="auto"/>
              </w:rPr>
              <w:t>Actuarial loss</w:t>
            </w:r>
          </w:p>
        </w:tc>
        <w:tc>
          <w:tcPr>
            <w:tcW w:w="7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4"/>
              </w:rPr>
              <w:t>3,814</w:t>
            </w:r>
          </w:p>
        </w:tc>
        <w:tc>
          <w:tcPr>
            <w:tcW w:w="2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4"/>
              </w:rPr>
              <w:t>3,239</w:t>
            </w:r>
          </w:p>
        </w:tc>
        <w:tc>
          <w:tcPr>
            <w:tcW w:w="100" w:type="dxa"/>
            <w:vAlign w:val="bottom"/>
            <w:tcBorders>
              <w:bottom w:val="single" w:sz="8" w:color="CFF0FC"/>
            </w:tcBorders>
          </w:tcPr>
          <w:p>
            <w:pPr>
              <w:spacing w:after="0"/>
              <w:rPr>
                <w:sz w:val="19"/>
                <w:szCs w:val="19"/>
                <w:color w:val="auto"/>
              </w:rPr>
            </w:pPr>
          </w:p>
        </w:tc>
        <w:tc>
          <w:tcPr>
            <w:tcW w:w="39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9"/>
                <w:szCs w:val="19"/>
                <w:color w:val="auto"/>
                <w:w w:val="84"/>
              </w:rPr>
              <w:t>3,626</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9"/>
                <w:szCs w:val="19"/>
                <w:color w:val="auto"/>
                <w:w w:val="84"/>
              </w:rPr>
              <w:t>2,654</w:t>
            </w:r>
          </w:p>
        </w:tc>
        <w:tc>
          <w:tcPr>
            <w:tcW w:w="100" w:type="dxa"/>
            <w:vAlign w:val="bottom"/>
            <w:shd w:val="clear" w:color="auto" w:fill="CFF0FC"/>
          </w:tcPr>
          <w:p>
            <w:pPr>
              <w:spacing w:after="0"/>
              <w:rPr>
                <w:sz w:val="19"/>
                <w:szCs w:val="19"/>
                <w:color w:val="auto"/>
              </w:rPr>
            </w:pPr>
          </w:p>
        </w:tc>
        <w:tc>
          <w:tcPr>
            <w:tcW w:w="3960" w:type="dxa"/>
            <w:vAlign w:val="bottom"/>
            <w:shd w:val="clear" w:color="auto" w:fill="CFF0FC"/>
          </w:tcPr>
          <w:p>
            <w:pPr>
              <w:ind w:left="180"/>
              <w:spacing w:after="0"/>
              <w:rPr>
                <w:sz w:val="20"/>
                <w:szCs w:val="20"/>
                <w:color w:val="auto"/>
              </w:rPr>
            </w:pPr>
            <w:r>
              <w:rPr>
                <w:rFonts w:ascii="Arial" w:cs="Arial" w:eastAsia="Arial" w:hAnsi="Arial"/>
                <w:sz w:val="19"/>
                <w:szCs w:val="19"/>
                <w:color w:val="auto"/>
              </w:rPr>
              <w:t>Other nonoperating income, net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9"/>
                <w:szCs w:val="19"/>
                <w:color w:val="auto"/>
              </w:rPr>
              <w:t>Tax benefit</w:t>
            </w: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9"/>
                <w:szCs w:val="19"/>
                <w:color w:val="auto"/>
              </w:rPr>
              <w:t>(868)</w:t>
            </w:r>
          </w:p>
        </w:tc>
        <w:tc>
          <w:tcPr>
            <w:tcW w:w="820" w:type="dxa"/>
            <w:vAlign w:val="bottom"/>
          </w:tcPr>
          <w:p>
            <w:pPr>
              <w:spacing w:after="0"/>
              <w:rPr>
                <w:sz w:val="19"/>
                <w:szCs w:val="19"/>
                <w:color w:val="auto"/>
              </w:rPr>
            </w:pPr>
          </w:p>
        </w:tc>
        <w:tc>
          <w:tcPr>
            <w:tcW w:w="4500" w:type="dxa"/>
            <w:vAlign w:val="bottom"/>
            <w:gridSpan w:val="3"/>
          </w:tcPr>
          <w:p>
            <w:pPr>
              <w:ind w:left="80"/>
              <w:spacing w:after="0"/>
              <w:rPr>
                <w:sz w:val="20"/>
                <w:szCs w:val="20"/>
                <w:color w:val="auto"/>
              </w:rPr>
            </w:pPr>
            <w:r>
              <w:rPr>
                <w:rFonts w:ascii="Arial" w:cs="Arial" w:eastAsia="Arial" w:hAnsi="Arial"/>
                <w:sz w:val="19"/>
                <w:szCs w:val="19"/>
                <w:color w:val="auto"/>
              </w:rPr>
              <w:t>(658)   Income tax (benefit) expense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33"/>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84"/>
              </w:rPr>
              <w:t>2,758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26"/>
              <w:spacing w:after="0"/>
              <w:rPr>
                <w:sz w:val="20"/>
                <w:szCs w:val="20"/>
                <w:color w:val="auto"/>
              </w:rPr>
            </w:pPr>
            <w:r>
              <w:rPr>
                <w:rFonts w:ascii="Arial" w:cs="Arial" w:eastAsia="Arial" w:hAnsi="Arial"/>
                <w:sz w:val="19"/>
                <w:szCs w:val="19"/>
                <w:color w:val="auto"/>
                <w:w w:val="75"/>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84"/>
              </w:rPr>
              <w:t>1,996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800" w:type="dxa"/>
            <w:vAlign w:val="bottom"/>
            <w:shd w:val="clear" w:color="auto" w:fill="CFF0FC"/>
          </w:tcPr>
          <w:p>
            <w:pPr>
              <w:spacing w:after="0" w:line="206" w:lineRule="exact"/>
              <w:rPr>
                <w:sz w:val="20"/>
                <w:szCs w:val="20"/>
                <w:color w:val="auto"/>
              </w:rPr>
            </w:pPr>
            <w:r>
              <w:rPr>
                <w:rFonts w:ascii="Arial" w:cs="Arial" w:eastAsia="Arial" w:hAnsi="Arial"/>
                <w:sz w:val="19"/>
                <w:szCs w:val="19"/>
                <w:color w:val="auto"/>
              </w:rPr>
              <w:t>Unamortized value of terminated</w:t>
            </w:r>
          </w:p>
        </w:tc>
        <w:tc>
          <w:tcPr>
            <w:tcW w:w="7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shd w:val="clear" w:color="auto" w:fill="CFF0FC"/>
          </w:tcPr>
          <w:p>
            <w:pPr>
              <w:ind w:left="120"/>
              <w:spacing w:after="0"/>
              <w:rPr>
                <w:sz w:val="20"/>
                <w:szCs w:val="20"/>
                <w:color w:val="auto"/>
              </w:rPr>
            </w:pPr>
            <w:r>
              <w:rPr>
                <w:rFonts w:ascii="Arial" w:cs="Arial" w:eastAsia="Arial" w:hAnsi="Arial"/>
                <w:sz w:val="19"/>
                <w:szCs w:val="19"/>
                <w:color w:val="auto"/>
              </w:rPr>
              <w:t>forward starting interest rate swap</w:t>
            </w:r>
          </w:p>
        </w:tc>
        <w:tc>
          <w:tcPr>
            <w:tcW w:w="7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9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9"/>
                <w:szCs w:val="19"/>
                <w:color w:val="auto"/>
              </w:rPr>
              <w:t>Additional interest expense</w:t>
            </w:r>
          </w:p>
        </w:tc>
        <w:tc>
          <w:tcPr>
            <w:tcW w:w="1560" w:type="dxa"/>
            <w:vAlign w:val="bottom"/>
            <w:gridSpan w:val="2"/>
          </w:tcPr>
          <w:p>
            <w:pPr>
              <w:jc w:val="right"/>
              <w:ind w:right="633"/>
              <w:spacing w:after="0"/>
              <w:rPr>
                <w:sz w:val="20"/>
                <w:szCs w:val="20"/>
                <w:color w:val="auto"/>
              </w:rPr>
            </w:pPr>
            <w:r>
              <w:rPr>
                <w:rFonts w:ascii="Arial" w:cs="Arial" w:eastAsia="Arial" w:hAnsi="Arial"/>
                <w:sz w:val="19"/>
                <w:szCs w:val="19"/>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626"/>
              <w:spacing w:after="0"/>
              <w:rPr>
                <w:sz w:val="20"/>
                <w:szCs w:val="20"/>
                <w:color w:val="auto"/>
              </w:rPr>
            </w:pPr>
            <w:r>
              <w:rPr>
                <w:rFonts w:ascii="Arial" w:cs="Arial" w:eastAsia="Arial" w:hAnsi="Arial"/>
                <w:sz w:val="19"/>
                <w:szCs w:val="19"/>
                <w:color w:val="auto"/>
                <w:w w:val="75"/>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347</w:t>
            </w:r>
          </w:p>
        </w:tc>
        <w:tc>
          <w:tcPr>
            <w:tcW w:w="100" w:type="dxa"/>
            <w:vAlign w:val="bottom"/>
          </w:tcPr>
          <w:p>
            <w:pPr>
              <w:spacing w:after="0"/>
              <w:rPr>
                <w:sz w:val="19"/>
                <w:szCs w:val="19"/>
                <w:color w:val="auto"/>
              </w:rPr>
            </w:pPr>
          </w:p>
        </w:tc>
        <w:tc>
          <w:tcPr>
            <w:tcW w:w="3960" w:type="dxa"/>
            <w:vAlign w:val="bottom"/>
          </w:tcPr>
          <w:p>
            <w:pPr>
              <w:ind w:left="180"/>
              <w:spacing w:after="0"/>
              <w:rPr>
                <w:sz w:val="20"/>
                <w:szCs w:val="20"/>
                <w:color w:val="auto"/>
              </w:rPr>
            </w:pPr>
            <w:r>
              <w:rPr>
                <w:rFonts w:ascii="Arial" w:cs="Arial" w:eastAsia="Arial" w:hAnsi="Arial"/>
                <w:sz w:val="19"/>
                <w:szCs w:val="19"/>
                <w:color w:val="auto"/>
              </w:rPr>
              <w:t>Interest expense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Tax benefit</w:t>
            </w: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shd w:val="clear" w:color="auto" w:fill="CFF0FC"/>
          </w:tcPr>
          <w:p>
            <w:pPr>
              <w:spacing w:after="0"/>
              <w:rPr>
                <w:sz w:val="19"/>
                <w:szCs w:val="19"/>
                <w:color w:val="auto"/>
              </w:rPr>
            </w:pPr>
          </w:p>
        </w:tc>
        <w:tc>
          <w:tcPr>
            <w:tcW w:w="4500" w:type="dxa"/>
            <w:vAlign w:val="bottom"/>
            <w:gridSpan w:val="3"/>
            <w:shd w:val="clear" w:color="auto" w:fill="CFF0FC"/>
          </w:tcPr>
          <w:p>
            <w:pPr>
              <w:ind w:left="80"/>
              <w:spacing w:after="0"/>
              <w:rPr>
                <w:sz w:val="20"/>
                <w:szCs w:val="20"/>
                <w:color w:val="auto"/>
              </w:rPr>
            </w:pPr>
            <w:r>
              <w:rPr>
                <w:rFonts w:ascii="Arial" w:cs="Arial" w:eastAsia="Arial" w:hAnsi="Arial"/>
                <w:sz w:val="19"/>
                <w:szCs w:val="19"/>
                <w:color w:val="auto"/>
              </w:rPr>
              <w:t>(137)   Income tax (benefit) expense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26"/>
              <w:spacing w:after="0"/>
              <w:rPr>
                <w:sz w:val="20"/>
                <w:szCs w:val="20"/>
                <w:color w:val="auto"/>
              </w:rPr>
            </w:pPr>
            <w:r>
              <w:rPr>
                <w:rFonts w:ascii="Arial" w:cs="Arial" w:eastAsia="Arial" w:hAnsi="Arial"/>
                <w:sz w:val="19"/>
                <w:szCs w:val="19"/>
                <w:color w:val="auto"/>
                <w:w w:val="7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210</w:t>
            </w:r>
          </w:p>
        </w:tc>
        <w:tc>
          <w:tcPr>
            <w:tcW w:w="1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Earnings per Common Share</w:t>
      </w:r>
    </w:p>
    <w:p>
      <w:pPr>
        <w:spacing w:after="0" w:line="112" w:lineRule="exact"/>
        <w:rPr>
          <w:sz w:val="20"/>
          <w:szCs w:val="20"/>
          <w:color w:val="auto"/>
        </w:rPr>
      </w:pPr>
    </w:p>
    <w:p>
      <w:pPr>
        <w:jc w:val="both"/>
        <w:ind w:left="380"/>
        <w:spacing w:after="0" w:line="248" w:lineRule="auto"/>
        <w:rPr>
          <w:sz w:val="20"/>
          <w:szCs w:val="20"/>
          <w:color w:val="auto"/>
        </w:rPr>
      </w:pPr>
      <w:r>
        <w:rPr>
          <w:rFonts w:ascii="Arial" w:cs="Arial" w:eastAsia="Arial" w:hAnsi="Arial"/>
          <w:sz w:val="20"/>
          <w:szCs w:val="20"/>
          <w:color w:val="auto"/>
        </w:rPr>
        <w:t>The numerator for basic and diluted earnings per common share is net earnings attributable to Martin Marietta Materials, Inc. reduced by dividends and undistributed earnings attributable to certain of the Company’s stock-based compensation. If there is a net loss, no amount of the undistributed loss is attributed to unvested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1" w:lineRule="exact"/>
        <w:rPr>
          <w:sz w:val="20"/>
          <w:szCs w:val="20"/>
          <w:color w:val="auto"/>
        </w:rPr>
      </w:pPr>
    </w:p>
    <w:p>
      <w:pPr>
        <w:jc w:val="both"/>
        <w:ind w:left="380"/>
        <w:spacing w:after="0" w:line="293" w:lineRule="auto"/>
        <w:rPr>
          <w:sz w:val="20"/>
          <w:szCs w:val="20"/>
          <w:color w:val="auto"/>
        </w:rPr>
      </w:pPr>
      <w:r>
        <w:rPr>
          <w:rFonts w:ascii="Arial" w:cs="Arial" w:eastAsia="Arial" w:hAnsi="Arial"/>
          <w:sz w:val="17"/>
          <w:szCs w:val="17"/>
          <w:color w:val="auto"/>
        </w:rPr>
        <w:t>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 For the three months ended March 31, 2019 and 2018, the diluted per-share computations reflect the number of common shares outstanding to include the number of additional shares that would have been outstanding if the potentially dilutive common shares had been issued.</w:t>
      </w:r>
    </w:p>
    <w:p>
      <w:pPr>
        <w:spacing w:after="0" w:line="4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reconciles the numerator and denominator for basic and diluted earnings per common share: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gridSpan w:val="3"/>
          </w:tcPr>
          <w:p>
            <w:pPr>
              <w:jc w:val="center"/>
              <w:spacing w:after="0"/>
              <w:rPr>
                <w:sz w:val="20"/>
                <w:szCs w:val="20"/>
                <w:color w:val="auto"/>
              </w:rPr>
            </w:pPr>
            <w:r>
              <w:rPr>
                <w:rFonts w:ascii="Arial" w:cs="Arial" w:eastAsia="Arial" w:hAnsi="Arial"/>
                <w:sz w:val="20"/>
                <w:szCs w:val="20"/>
                <w:color w:val="auto"/>
                <w:w w:val="88"/>
              </w:rPr>
              <w:t>Three Months Ended</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2"/>
              </w:rPr>
              <w:t>March 31,</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02"/>
              <w:spacing w:after="0"/>
              <w:rPr>
                <w:sz w:val="20"/>
                <w:szCs w:val="20"/>
                <w:color w:val="auto"/>
              </w:rPr>
            </w:pPr>
            <w:r>
              <w:rPr>
                <w:rFonts w:ascii="Arial" w:cs="Arial" w:eastAsia="Arial" w:hAnsi="Arial"/>
                <w:sz w:val="20"/>
                <w:szCs w:val="20"/>
                <w:color w:val="auto"/>
                <w:w w:val="85"/>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gridSpan w:val="3"/>
          </w:tcPr>
          <w:p>
            <w:pPr>
              <w:jc w:val="center"/>
              <w:spacing w:after="0"/>
              <w:rPr>
                <w:sz w:val="20"/>
                <w:szCs w:val="20"/>
                <w:color w:val="auto"/>
              </w:rPr>
            </w:pPr>
            <w:r>
              <w:rPr>
                <w:rFonts w:ascii="Arial" w:cs="Arial" w:eastAsia="Arial" w:hAnsi="Arial"/>
                <w:sz w:val="20"/>
                <w:szCs w:val="20"/>
                <w:i w:val="1"/>
                <w:iCs w:val="1"/>
                <w:color w:val="auto"/>
                <w:w w:val="89"/>
              </w:rPr>
              <w:t>(In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6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Net earnings attributable to Martin Marietta</w:t>
            </w: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Materials, Inc.</w:t>
            </w:r>
          </w:p>
        </w:tc>
        <w:tc>
          <w:tcPr>
            <w:tcW w:w="1060" w:type="dxa"/>
            <w:vAlign w:val="bottom"/>
            <w:shd w:val="clear" w:color="auto" w:fill="CFF0FC"/>
          </w:tcPr>
          <w:p>
            <w:pPr>
              <w:jc w:val="right"/>
              <w:ind w:right="862"/>
              <w:spacing w:after="0"/>
              <w:rPr>
                <w:sz w:val="20"/>
                <w:szCs w:val="20"/>
                <w:color w:val="auto"/>
              </w:rPr>
            </w:pPr>
            <w:r>
              <w:rPr>
                <w:rFonts w:ascii="Arial" w:cs="Arial" w:eastAsia="Arial" w:hAnsi="Arial"/>
                <w:sz w:val="20"/>
                <w:szCs w:val="2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42,853</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482"/>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60" w:type="dxa"/>
            <w:vAlign w:val="bottom"/>
          </w:tcPr>
          <w:p>
            <w:pPr>
              <w:spacing w:after="0" w:line="225" w:lineRule="exact"/>
              <w:rPr>
                <w:sz w:val="20"/>
                <w:szCs w:val="20"/>
                <w:color w:val="auto"/>
              </w:rPr>
            </w:pPr>
            <w:r>
              <w:rPr>
                <w:rFonts w:ascii="Arial" w:cs="Arial" w:eastAsia="Arial" w:hAnsi="Arial"/>
                <w:sz w:val="20"/>
                <w:szCs w:val="20"/>
                <w:color w:val="auto"/>
              </w:rPr>
              <w:t>Less: Distributed and undistributed earnings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6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attributable to unvested awards</w:t>
            </w:r>
          </w:p>
        </w:tc>
        <w:tc>
          <w:tcPr>
            <w:tcW w:w="10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w:t>
            </w:r>
          </w:p>
        </w:tc>
        <w:tc>
          <w:tcPr>
            <w:tcW w:w="300" w:type="dxa"/>
            <w:vAlign w:val="bottom"/>
            <w:tcBorders>
              <w:bottom w:val="single" w:sz="8" w:color="CFF0FC"/>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FF0FC"/>
          </w:tcPr>
          <w:p>
            <w:pPr>
              <w:spacing w:after="0" w:line="218" w:lineRule="exact"/>
              <w:rPr>
                <w:sz w:val="20"/>
                <w:szCs w:val="20"/>
                <w:color w:val="auto"/>
              </w:rPr>
            </w:pPr>
            <w:r>
              <w:rPr>
                <w:rFonts w:ascii="Arial" w:cs="Arial" w:eastAsia="Arial" w:hAnsi="Arial"/>
                <w:sz w:val="20"/>
                <w:szCs w:val="20"/>
                <w:color w:val="auto"/>
              </w:rPr>
              <w:t>Basic and diluted net earnings available to common</w:t>
            </w:r>
          </w:p>
        </w:tc>
        <w:tc>
          <w:tcPr>
            <w:tcW w:w="10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shd w:val="clear" w:color="auto" w:fill="CFF0FC"/>
          </w:tcPr>
          <w:p>
            <w:pPr>
              <w:ind w:left="140"/>
              <w:spacing w:after="0" w:line="229" w:lineRule="exact"/>
              <w:rPr>
                <w:sz w:val="20"/>
                <w:szCs w:val="20"/>
                <w:color w:val="auto"/>
              </w:rPr>
            </w:pPr>
            <w:r>
              <w:rPr>
                <w:rFonts w:ascii="Arial" w:cs="Arial" w:eastAsia="Arial" w:hAnsi="Arial"/>
                <w:sz w:val="20"/>
                <w:szCs w:val="20"/>
                <w:color w:val="auto"/>
              </w:rPr>
              <w:t>shareholders attributable to Martin Marietta</w:t>
            </w: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Materials, Inc.</w:t>
            </w:r>
          </w:p>
        </w:tc>
        <w:tc>
          <w:tcPr>
            <w:tcW w:w="1060" w:type="dxa"/>
            <w:vAlign w:val="bottom"/>
            <w:tcBorders>
              <w:bottom w:val="single" w:sz="8" w:color="auto"/>
            </w:tcBorders>
            <w:shd w:val="clear" w:color="auto" w:fill="CFF0FC"/>
          </w:tcPr>
          <w:p>
            <w:pPr>
              <w:jc w:val="right"/>
              <w:ind w:right="862"/>
              <w:spacing w:after="0"/>
              <w:rPr>
                <w:sz w:val="20"/>
                <w:szCs w:val="20"/>
                <w:color w:val="auto"/>
              </w:rPr>
            </w:pPr>
            <w:r>
              <w:rPr>
                <w:rFonts w:ascii="Arial" w:cs="Arial" w:eastAsia="Arial" w:hAnsi="Arial"/>
                <w:sz w:val="20"/>
                <w:szCs w:val="20"/>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42,767</w:t>
            </w:r>
          </w:p>
        </w:tc>
        <w:tc>
          <w:tcPr>
            <w:tcW w:w="3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482"/>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9,960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7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7460" w:type="dxa"/>
            <w:vAlign w:val="bottom"/>
            <w:shd w:val="clear" w:color="auto" w:fill="CFF0FC"/>
          </w:tcPr>
          <w:p>
            <w:pPr>
              <w:spacing w:after="0"/>
              <w:rPr>
                <w:sz w:val="20"/>
                <w:szCs w:val="20"/>
                <w:color w:val="auto"/>
              </w:rPr>
            </w:pPr>
            <w:r>
              <w:rPr>
                <w:rFonts w:ascii="Arial" w:cs="Arial" w:eastAsia="Arial" w:hAnsi="Arial"/>
                <w:sz w:val="20"/>
                <w:szCs w:val="20"/>
                <w:color w:val="auto"/>
              </w:rPr>
              <w:t>Basic weighted-average common shares outstanding</w:t>
            </w:r>
          </w:p>
        </w:tc>
        <w:tc>
          <w:tcPr>
            <w:tcW w:w="10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62,584</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62,957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4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Effect of dilutive employee and director awards</w:t>
            </w:r>
          </w:p>
        </w:tc>
        <w:tc>
          <w:tcPr>
            <w:tcW w:w="10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193</w:t>
            </w:r>
          </w:p>
        </w:tc>
        <w:tc>
          <w:tcPr>
            <w:tcW w:w="300" w:type="dxa"/>
            <w:vAlign w:val="bottom"/>
            <w:tcBorders>
              <w:bottom w:val="single" w:sz="8" w:color="CFF0FC"/>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Diluted weighted-average common shares outstanding</w:t>
            </w:r>
          </w:p>
        </w:tc>
        <w:tc>
          <w:tcPr>
            <w:tcW w:w="10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62,777</w:t>
            </w:r>
          </w:p>
        </w:tc>
        <w:tc>
          <w:tcPr>
            <w:tcW w:w="3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63,222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380" w:hanging="373"/>
        <w:spacing w:after="0"/>
        <w:tabs>
          <w:tab w:leader="none" w:pos="3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w:t>
      </w:r>
    </w:p>
    <w:p>
      <w:pPr>
        <w:spacing w:after="0" w:line="111" w:lineRule="exact"/>
        <w:rPr>
          <w:rFonts w:ascii="Arial" w:cs="Arial" w:eastAsia="Arial" w:hAnsi="Arial"/>
          <w:sz w:val="20"/>
          <w:szCs w:val="20"/>
          <w:b w:val="1"/>
          <w:bCs w:val="1"/>
          <w:color w:val="auto"/>
        </w:rPr>
      </w:pPr>
    </w:p>
    <w:p>
      <w:pPr>
        <w:jc w:val="both"/>
        <w:ind w:left="380"/>
        <w:spacing w:after="0" w:line="284" w:lineRule="auto"/>
        <w:rPr>
          <w:rFonts w:ascii="Arial" w:cs="Arial" w:eastAsia="Arial" w:hAnsi="Arial"/>
          <w:sz w:val="20"/>
          <w:szCs w:val="20"/>
          <w:b w:val="1"/>
          <w:bCs w:val="1"/>
          <w:color w:val="auto"/>
        </w:rPr>
      </w:pPr>
      <w:r>
        <w:rPr>
          <w:rFonts w:ascii="Arial" w:cs="Arial" w:eastAsia="Arial" w:hAnsi="Arial"/>
          <w:sz w:val="17"/>
          <w:szCs w:val="17"/>
          <w:color w:val="auto"/>
        </w:rPr>
        <w:t>Total revenues include sales of products and services to customers, net of any discounts or allowances, and freight revenues. Product revenues are recognized when control of the promised good is transferred to the customer, typically when finished products are shipped. Intersegment and interproduct revenues are eliminated in consolidation. Service revenues are derived from the paving business and recognized using the percentage-of-completion method under the revenue-cost approach. Freight revenues reflect delivery arranged by the Company using a third party on behalf of the customer and are recognized consistent with the timing of the product revenues.</w:t>
      </w:r>
    </w:p>
    <w:p>
      <w:pPr>
        <w:jc w:val="both"/>
        <w:ind w:left="380"/>
        <w:spacing w:after="0" w:line="254" w:lineRule="auto"/>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Performance Obligations. </w:t>
      </w:r>
      <w:r>
        <w:rPr>
          <w:rFonts w:ascii="Arial" w:cs="Arial" w:eastAsia="Arial" w:hAnsi="Arial"/>
          <w:sz w:val="19"/>
          <w:szCs w:val="19"/>
          <w:color w:val="auto"/>
        </w:rPr>
        <w:t>Performance obligations are contractual promises to transfer or provide a distinct good or service for a stated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price. The Company’s product sales agreements are single-performance obligations that are satisfied at a point in time. Performance obligations within paving service agreements are satisfied over time, primarily ranging from one day to 20 months. For product revenues and freight revenues, customer payment terms are generally 30 days from invoice date. Customer payments for the paving operations are based on a contractual billing schedule and are due 30 days from invoice date.</w:t>
      </w:r>
    </w:p>
    <w:p>
      <w:pPr>
        <w:spacing w:after="0" w:line="76" w:lineRule="exact"/>
        <w:rPr>
          <w:rFonts w:ascii="Arial" w:cs="Arial" w:eastAsia="Arial" w:hAnsi="Arial"/>
          <w:sz w:val="20"/>
          <w:szCs w:val="20"/>
          <w:b w:val="1"/>
          <w:bCs w:val="1"/>
          <w:color w:val="auto"/>
        </w:rPr>
      </w:pPr>
    </w:p>
    <w:p>
      <w:pPr>
        <w:jc w:val="both"/>
        <w:ind w:left="380"/>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Future revenues from unsatisfied performance obligations at March 31, 2019 and 2018 were $149.4 million and $88.1 million, respectively, where the remaining periods to complete these obligations ranged from one month to 21 months and one month to 20 months,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39"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 xml:space="preserve">Revenue by Category. </w:t>
      </w:r>
      <w:r>
        <w:rPr>
          <w:rFonts w:ascii="Arial" w:cs="Arial" w:eastAsia="Arial" w:hAnsi="Arial"/>
          <w:sz w:val="19"/>
          <w:szCs w:val="19"/>
          <w:color w:val="auto"/>
        </w:rPr>
        <w:t>The following table presents the Company’s total revenues by category for each reportable segment: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3"/>
          </w:tcPr>
          <w:p>
            <w:pPr>
              <w:ind w:left="20"/>
              <w:spacing w:after="0"/>
              <w:rPr>
                <w:sz w:val="20"/>
                <w:szCs w:val="20"/>
                <w:color w:val="auto"/>
              </w:rPr>
            </w:pPr>
            <w:r>
              <w:rPr>
                <w:rFonts w:ascii="Arial" w:cs="Arial" w:eastAsia="Arial" w:hAnsi="Arial"/>
                <w:sz w:val="20"/>
                <w:szCs w:val="20"/>
                <w:color w:val="auto"/>
                <w:w w:val="94"/>
              </w:rPr>
              <w:t>Three Months Ended</w:t>
            </w: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20"/>
                <w:szCs w:val="20"/>
                <w:color w:val="auto"/>
                <w:w w:val="89"/>
              </w:rPr>
              <w:t>March 31, 2019</w:t>
            </w: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40"/>
              <w:spacing w:after="0" w:line="218" w:lineRule="exact"/>
              <w:rPr>
                <w:sz w:val="20"/>
                <w:szCs w:val="20"/>
                <w:color w:val="auto"/>
              </w:rPr>
            </w:pPr>
            <w:r>
              <w:rPr>
                <w:rFonts w:ascii="Arial" w:cs="Arial" w:eastAsia="Arial" w:hAnsi="Arial"/>
                <w:sz w:val="20"/>
                <w:szCs w:val="20"/>
                <w:color w:val="auto"/>
                <w:w w:val="86"/>
              </w:rPr>
              <w:t>Products and</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06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220" w:type="dxa"/>
            <w:vAlign w:val="bottom"/>
          </w:tcPr>
          <w:p>
            <w:pPr>
              <w:spacing w:after="0"/>
              <w:rPr>
                <w:sz w:val="21"/>
                <w:szCs w:val="21"/>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20"/>
                <w:szCs w:val="20"/>
                <w:color w:val="auto"/>
                <w:w w:val="86"/>
              </w:rPr>
              <w:t>Services</w:t>
            </w:r>
          </w:p>
        </w:tc>
        <w:tc>
          <w:tcPr>
            <w:tcW w:w="16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Freight</w:t>
            </w:r>
          </w:p>
        </w:tc>
        <w:tc>
          <w:tcPr>
            <w:tcW w:w="360" w:type="dxa"/>
            <w:vAlign w:val="bottom"/>
          </w:tcPr>
          <w:p>
            <w:pPr>
              <w:spacing w:after="0"/>
              <w:rPr>
                <w:sz w:val="21"/>
                <w:szCs w:val="21"/>
                <w:color w:val="auto"/>
              </w:rPr>
            </w:pPr>
          </w:p>
        </w:tc>
        <w:tc>
          <w:tcPr>
            <w:tcW w:w="1420" w:type="dxa"/>
            <w:vAlign w:val="bottom"/>
            <w:gridSpan w:val="2"/>
          </w:tcPr>
          <w:p>
            <w:pPr>
              <w:ind w:left="260"/>
              <w:spacing w:after="0"/>
              <w:rPr>
                <w:sz w:val="20"/>
                <w:szCs w:val="20"/>
                <w:color w:val="auto"/>
              </w:rPr>
            </w:pPr>
            <w:r>
              <w:rPr>
                <w:rFonts w:ascii="Arial" w:cs="Arial" w:eastAsia="Arial" w:hAnsi="Arial"/>
                <w:sz w:val="20"/>
                <w:szCs w:val="20"/>
                <w:color w:val="auto"/>
              </w:rPr>
              <w:t>Total</w:t>
            </w:r>
          </w:p>
        </w:tc>
      </w:tr>
      <w:tr>
        <w:trPr>
          <w:trHeight w:val="235"/>
        </w:trPr>
        <w:tc>
          <w:tcPr>
            <w:tcW w:w="20" w:type="dxa"/>
            <w:vAlign w:val="bottom"/>
          </w:tcPr>
          <w:p>
            <w:pPr>
              <w:spacing w:after="0"/>
              <w:rPr>
                <w:sz w:val="20"/>
                <w:szCs w:val="20"/>
                <w:color w:val="auto"/>
              </w:rPr>
            </w:pPr>
          </w:p>
        </w:tc>
        <w:tc>
          <w:tcPr>
            <w:tcW w:w="6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22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230,308</w:t>
            </w:r>
          </w:p>
        </w:tc>
        <w:tc>
          <w:tcPr>
            <w:tcW w:w="10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18,505</w:t>
            </w:r>
          </w:p>
        </w:tc>
        <w:tc>
          <w:tcPr>
            <w:tcW w:w="12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248,813</w:t>
            </w:r>
          </w:p>
        </w:tc>
        <w:tc>
          <w:tcPr>
            <w:tcW w:w="100" w:type="dxa"/>
            <w:vAlign w:val="bottom"/>
            <w:tcBorders>
              <w:top w:val="single" w:sz="8" w:color="CFF0FC"/>
            </w:tcBorders>
            <w:shd w:val="clear" w:color="auto" w:fill="CFF0FC"/>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6040" w:type="dxa"/>
            <w:vAlign w:val="bottom"/>
          </w:tcPr>
          <w:p>
            <w:pPr>
              <w:spacing w:after="0"/>
              <w:rPr>
                <w:sz w:val="20"/>
                <w:szCs w:val="20"/>
                <w:color w:val="auto"/>
              </w:rPr>
            </w:pPr>
            <w:r>
              <w:rPr>
                <w:rFonts w:ascii="Arial" w:cs="Arial" w:eastAsia="Arial" w:hAnsi="Arial"/>
                <w:sz w:val="20"/>
                <w:szCs w:val="20"/>
                <w:color w:val="auto"/>
              </w:rPr>
              <w:t>Southeast Group</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115,312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3,925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119,237</w:t>
            </w:r>
          </w:p>
        </w:tc>
        <w:tc>
          <w:tcPr>
            <w:tcW w:w="100" w:type="dxa"/>
            <w:vAlign w:val="bottom"/>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60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463,511</w:t>
            </w:r>
          </w:p>
        </w:tc>
        <w:tc>
          <w:tcPr>
            <w:tcW w:w="1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33,320</w:t>
            </w:r>
          </w:p>
        </w:tc>
        <w:tc>
          <w:tcPr>
            <w:tcW w:w="12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496,831</w:t>
            </w:r>
          </w:p>
        </w:tc>
        <w:tc>
          <w:tcPr>
            <w:tcW w:w="100" w:type="dxa"/>
            <w:vAlign w:val="bottom"/>
            <w:shd w:val="clear" w:color="auto" w:fill="CFF0FC"/>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809,131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55,750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864,881</w:t>
            </w:r>
          </w:p>
        </w:tc>
        <w:tc>
          <w:tcPr>
            <w:tcW w:w="10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60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69,174</w:t>
            </w:r>
          </w:p>
        </w:tc>
        <w:tc>
          <w:tcPr>
            <w:tcW w:w="1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4,900</w:t>
            </w:r>
          </w:p>
        </w:tc>
        <w:tc>
          <w:tcPr>
            <w:tcW w:w="12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74,074</w:t>
            </w:r>
          </w:p>
        </w:tc>
        <w:tc>
          <w:tcPr>
            <w:tcW w:w="100" w:type="dxa"/>
            <w:vAlign w:val="bottom"/>
            <w:shd w:val="clear" w:color="auto" w:fill="CFF0FC"/>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878,305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60,650</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938,955</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ind w:left="20"/>
              <w:spacing w:after="0"/>
              <w:rPr>
                <w:sz w:val="20"/>
                <w:szCs w:val="20"/>
                <w:color w:val="auto"/>
              </w:rPr>
            </w:pPr>
            <w:r>
              <w:rPr>
                <w:rFonts w:ascii="Arial" w:cs="Arial" w:eastAsia="Arial" w:hAnsi="Arial"/>
                <w:sz w:val="20"/>
                <w:szCs w:val="20"/>
                <w:color w:val="auto"/>
                <w:w w:val="94"/>
              </w:rPr>
              <w:t>Three Months Ended</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20"/>
                <w:szCs w:val="20"/>
                <w:color w:val="auto"/>
                <w:w w:val="89"/>
              </w:rPr>
              <w:t>March 31, 2018</w:t>
            </w: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40"/>
              <w:spacing w:after="0" w:line="218" w:lineRule="exact"/>
              <w:rPr>
                <w:sz w:val="20"/>
                <w:szCs w:val="20"/>
                <w:color w:val="auto"/>
              </w:rPr>
            </w:pPr>
            <w:r>
              <w:rPr>
                <w:rFonts w:ascii="Arial" w:cs="Arial" w:eastAsia="Arial" w:hAnsi="Arial"/>
                <w:sz w:val="20"/>
                <w:szCs w:val="20"/>
                <w:color w:val="auto"/>
                <w:w w:val="86"/>
              </w:rPr>
              <w:t>Products and</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06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220" w:type="dxa"/>
            <w:vAlign w:val="bottom"/>
          </w:tcPr>
          <w:p>
            <w:pPr>
              <w:spacing w:after="0"/>
              <w:rPr>
                <w:sz w:val="21"/>
                <w:szCs w:val="21"/>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20"/>
                <w:szCs w:val="20"/>
                <w:color w:val="auto"/>
                <w:w w:val="86"/>
              </w:rPr>
              <w:t>Services</w:t>
            </w:r>
          </w:p>
        </w:tc>
        <w:tc>
          <w:tcPr>
            <w:tcW w:w="16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Freight</w:t>
            </w:r>
          </w:p>
        </w:tc>
        <w:tc>
          <w:tcPr>
            <w:tcW w:w="360" w:type="dxa"/>
            <w:vAlign w:val="bottom"/>
          </w:tcPr>
          <w:p>
            <w:pPr>
              <w:spacing w:after="0"/>
              <w:rPr>
                <w:sz w:val="21"/>
                <w:szCs w:val="21"/>
                <w:color w:val="auto"/>
              </w:rPr>
            </w:pPr>
          </w:p>
        </w:tc>
        <w:tc>
          <w:tcPr>
            <w:tcW w:w="1420" w:type="dxa"/>
            <w:vAlign w:val="bottom"/>
            <w:gridSpan w:val="2"/>
          </w:tcPr>
          <w:p>
            <w:pPr>
              <w:ind w:left="260"/>
              <w:spacing w:after="0"/>
              <w:rPr>
                <w:sz w:val="20"/>
                <w:szCs w:val="20"/>
                <w:color w:val="auto"/>
              </w:rPr>
            </w:pPr>
            <w:r>
              <w:rPr>
                <w:rFonts w:ascii="Arial" w:cs="Arial" w:eastAsia="Arial" w:hAnsi="Arial"/>
                <w:sz w:val="20"/>
                <w:szCs w:val="20"/>
                <w:color w:val="auto"/>
              </w:rPr>
              <w:t>Total</w:t>
            </w:r>
          </w:p>
        </w:tc>
      </w:tr>
      <w:tr>
        <w:trPr>
          <w:trHeight w:val="235"/>
        </w:trPr>
        <w:tc>
          <w:tcPr>
            <w:tcW w:w="20" w:type="dxa"/>
            <w:vAlign w:val="bottom"/>
          </w:tcPr>
          <w:p>
            <w:pPr>
              <w:spacing w:after="0"/>
              <w:rPr>
                <w:sz w:val="20"/>
                <w:szCs w:val="20"/>
                <w:color w:val="auto"/>
              </w:rPr>
            </w:pPr>
          </w:p>
        </w:tc>
        <w:tc>
          <w:tcPr>
            <w:tcW w:w="6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22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167,890</w:t>
            </w:r>
          </w:p>
        </w:tc>
        <w:tc>
          <w:tcPr>
            <w:tcW w:w="10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10,891</w:t>
            </w:r>
          </w:p>
        </w:tc>
        <w:tc>
          <w:tcPr>
            <w:tcW w:w="12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178,781</w:t>
            </w:r>
          </w:p>
        </w:tc>
        <w:tc>
          <w:tcPr>
            <w:tcW w:w="100" w:type="dxa"/>
            <w:vAlign w:val="bottom"/>
            <w:tcBorders>
              <w:top w:val="single" w:sz="8" w:color="CFF0FC"/>
            </w:tcBorders>
            <w:shd w:val="clear" w:color="auto" w:fill="CFF0FC"/>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6040" w:type="dxa"/>
            <w:vAlign w:val="bottom"/>
          </w:tcPr>
          <w:p>
            <w:pPr>
              <w:spacing w:after="0"/>
              <w:rPr>
                <w:sz w:val="20"/>
                <w:szCs w:val="20"/>
                <w:color w:val="auto"/>
              </w:rPr>
            </w:pPr>
            <w:r>
              <w:rPr>
                <w:rFonts w:ascii="Arial" w:cs="Arial" w:eastAsia="Arial" w:hAnsi="Arial"/>
                <w:sz w:val="20"/>
                <w:szCs w:val="20"/>
                <w:color w:val="auto"/>
              </w:rPr>
              <w:t>Southeast Group</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77,563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2,676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80,239</w:t>
            </w:r>
          </w:p>
        </w:tc>
        <w:tc>
          <w:tcPr>
            <w:tcW w:w="100" w:type="dxa"/>
            <w:vAlign w:val="bottom"/>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60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442,983</w:t>
            </w:r>
          </w:p>
        </w:tc>
        <w:tc>
          <w:tcPr>
            <w:tcW w:w="1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30,739</w:t>
            </w:r>
          </w:p>
        </w:tc>
        <w:tc>
          <w:tcPr>
            <w:tcW w:w="12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473,722</w:t>
            </w:r>
          </w:p>
        </w:tc>
        <w:tc>
          <w:tcPr>
            <w:tcW w:w="100" w:type="dxa"/>
            <w:vAlign w:val="bottom"/>
            <w:shd w:val="clear" w:color="auto" w:fill="CFF0FC"/>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688,436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44,306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732,742</w:t>
            </w:r>
          </w:p>
        </w:tc>
        <w:tc>
          <w:tcPr>
            <w:tcW w:w="10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60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64,869</w:t>
            </w:r>
          </w:p>
        </w:tc>
        <w:tc>
          <w:tcPr>
            <w:tcW w:w="1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4,393</w:t>
            </w:r>
          </w:p>
        </w:tc>
        <w:tc>
          <w:tcPr>
            <w:tcW w:w="12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69,262</w:t>
            </w:r>
          </w:p>
        </w:tc>
        <w:tc>
          <w:tcPr>
            <w:tcW w:w="100" w:type="dxa"/>
            <w:vAlign w:val="bottom"/>
            <w:shd w:val="clear" w:color="auto" w:fill="CFF0FC"/>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753,305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48,699</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802,004</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380"/>
        <w:spacing w:after="0" w:line="258" w:lineRule="auto"/>
        <w:rPr>
          <w:sz w:val="20"/>
          <w:szCs w:val="20"/>
          <w:color w:val="auto"/>
        </w:rPr>
      </w:pPr>
      <w:r>
        <w:rPr>
          <w:rFonts w:ascii="Arial" w:cs="Arial" w:eastAsia="Arial" w:hAnsi="Arial"/>
          <w:sz w:val="20"/>
          <w:szCs w:val="20"/>
          <w:color w:val="auto"/>
        </w:rPr>
        <w:t>Service revenues, which include paving operations located in Colorado, were $9.9 million and $11.1 million for the three months ended March 31, 2019 and 2018, respectively.</w:t>
      </w:r>
    </w:p>
    <w:p>
      <w:pPr>
        <w:spacing w:after="0" w:line="69" w:lineRule="exact"/>
        <w:rPr>
          <w:sz w:val="20"/>
          <w:szCs w:val="20"/>
          <w:color w:val="auto"/>
        </w:rPr>
      </w:pPr>
    </w:p>
    <w:p>
      <w:pPr>
        <w:jc w:val="both"/>
        <w:ind w:left="380"/>
        <w:spacing w:after="0" w:line="302" w:lineRule="auto"/>
        <w:rPr>
          <w:sz w:val="20"/>
          <w:szCs w:val="20"/>
          <w:color w:val="auto"/>
        </w:rPr>
      </w:pPr>
      <w:r>
        <w:rPr>
          <w:rFonts w:ascii="Arial" w:cs="Arial" w:eastAsia="Arial" w:hAnsi="Arial"/>
          <w:sz w:val="17"/>
          <w:szCs w:val="17"/>
          <w:b w:val="1"/>
          <w:bCs w:val="1"/>
          <w:i w:val="1"/>
          <w:iCs w:val="1"/>
          <w:color w:val="auto"/>
        </w:rPr>
        <w:t xml:space="preserve">Contract Balances. </w:t>
      </w:r>
      <w:r>
        <w:rPr>
          <w:rFonts w:ascii="Arial" w:cs="Arial" w:eastAsia="Arial" w:hAnsi="Arial"/>
          <w:sz w:val="17"/>
          <w:szCs w:val="17"/>
          <w:color w:val="auto"/>
        </w:rPr>
        <w:t>Costs in excess of billings relate to the conditional right to consideration for completed contractual performance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contract assets on the consolidated balance sheets. Costs in excess of billings are reclassified 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0"/>
                <w:szCs w:val="20"/>
                <w:color w:val="auto"/>
              </w:rPr>
            </w:pPr>
            <w:r>
              <w:rPr>
                <w:rFonts w:ascii="Arial" w:cs="Arial" w:eastAsia="Arial" w:hAnsi="Arial"/>
                <w:sz w:val="20"/>
                <w:szCs w:val="20"/>
                <w:i w:val="1"/>
                <w:iCs w:val="1"/>
                <w:color w:val="auto"/>
              </w:rPr>
              <w:t>(Dollars in Thousands)</w:t>
            </w:r>
          </w:p>
        </w:tc>
        <w:tc>
          <w:tcPr>
            <w:tcW w:w="2520" w:type="dxa"/>
            <w:vAlign w:val="bottom"/>
          </w:tcPr>
          <w:p>
            <w:pPr>
              <w:spacing w:after="0"/>
              <w:rPr>
                <w:sz w:val="21"/>
                <w:szCs w:val="21"/>
                <w:color w:val="auto"/>
              </w:rPr>
            </w:pPr>
          </w:p>
        </w:tc>
        <w:tc>
          <w:tcPr>
            <w:tcW w:w="2140" w:type="dxa"/>
            <w:vAlign w:val="bottom"/>
            <w:gridSpan w:val="2"/>
          </w:tcPr>
          <w:p>
            <w:pPr>
              <w:ind w:left="220"/>
              <w:spacing w:after="0"/>
              <w:rPr>
                <w:sz w:val="20"/>
                <w:szCs w:val="20"/>
                <w:color w:val="auto"/>
              </w:rPr>
            </w:pPr>
            <w:r>
              <w:rPr>
                <w:rFonts w:ascii="Arial" w:cs="Arial" w:eastAsia="Arial" w:hAnsi="Arial"/>
                <w:sz w:val="20"/>
                <w:szCs w:val="20"/>
                <w:color w:val="auto"/>
              </w:rPr>
              <w:t>March 31, 2019</w:t>
            </w:r>
          </w:p>
        </w:tc>
        <w:tc>
          <w:tcPr>
            <w:tcW w:w="240" w:type="dxa"/>
            <w:vAlign w:val="bottom"/>
          </w:tcPr>
          <w:p>
            <w:pPr>
              <w:spacing w:after="0"/>
              <w:rPr>
                <w:sz w:val="21"/>
                <w:szCs w:val="21"/>
                <w:color w:val="auto"/>
              </w:rPr>
            </w:pPr>
          </w:p>
        </w:tc>
        <w:tc>
          <w:tcPr>
            <w:tcW w:w="2240" w:type="dxa"/>
            <w:vAlign w:val="bottom"/>
            <w:gridSpan w:val="2"/>
          </w:tcPr>
          <w:p>
            <w:pPr>
              <w:ind w:left="160"/>
              <w:spacing w:after="0"/>
              <w:rPr>
                <w:sz w:val="20"/>
                <w:szCs w:val="20"/>
                <w:color w:val="auto"/>
              </w:rPr>
            </w:pPr>
            <w:r>
              <w:rPr>
                <w:rFonts w:ascii="Arial" w:cs="Arial" w:eastAsia="Arial" w:hAnsi="Arial"/>
                <w:sz w:val="20"/>
                <w:szCs w:val="20"/>
                <w:color w:val="auto"/>
              </w:rPr>
              <w:t>December 31, 2018</w:t>
            </w:r>
          </w:p>
        </w:tc>
      </w:tr>
      <w:tr>
        <w:trPr>
          <w:trHeight w:val="235"/>
        </w:trPr>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Costs in excess of billings</w:t>
            </w:r>
          </w:p>
        </w:tc>
        <w:tc>
          <w:tcPr>
            <w:tcW w:w="2520" w:type="dxa"/>
            <w:vAlign w:val="bottom"/>
            <w:tcBorders>
              <w:top w:val="single" w:sz="8" w:color="auto"/>
            </w:tcBorders>
            <w:shd w:val="clear" w:color="auto" w:fill="CFF0FC"/>
          </w:tcPr>
          <w:p>
            <w:pPr>
              <w:jc w:val="right"/>
              <w:ind w:right="122"/>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2,238</w:t>
            </w:r>
          </w:p>
        </w:tc>
        <w:tc>
          <w:tcPr>
            <w:tcW w:w="1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1,975</w:t>
            </w:r>
          </w:p>
        </w:tc>
        <w:tc>
          <w:tcPr>
            <w:tcW w:w="120" w:type="dxa"/>
            <w:vAlign w:val="bottom"/>
            <w:tcBorders>
              <w:top w:val="single" w:sz="8" w:color="CFF0FC"/>
            </w:tcBorders>
            <w:shd w:val="clear" w:color="auto" w:fill="CFF0FC"/>
          </w:tcPr>
          <w:p>
            <w:pPr>
              <w:spacing w:after="0"/>
              <w:rPr>
                <w:sz w:val="20"/>
                <w:szCs w:val="20"/>
                <w:color w:val="auto"/>
              </w:rPr>
            </w:pPr>
          </w:p>
        </w:tc>
      </w:tr>
      <w:tr>
        <w:trPr>
          <w:trHeight w:val="249"/>
        </w:trPr>
        <w:tc>
          <w:tcPr>
            <w:tcW w:w="4280" w:type="dxa"/>
            <w:vAlign w:val="bottom"/>
          </w:tcPr>
          <w:p>
            <w:pPr>
              <w:spacing w:after="0"/>
              <w:rPr>
                <w:sz w:val="20"/>
                <w:szCs w:val="20"/>
                <w:color w:val="auto"/>
              </w:rPr>
            </w:pPr>
            <w:r>
              <w:rPr>
                <w:rFonts w:ascii="Arial" w:cs="Arial" w:eastAsia="Arial" w:hAnsi="Arial"/>
                <w:sz w:val="20"/>
                <w:szCs w:val="20"/>
                <w:color w:val="auto"/>
              </w:rPr>
              <w:t>Billings in excess of costs</w:t>
            </w:r>
          </w:p>
        </w:tc>
        <w:tc>
          <w:tcPr>
            <w:tcW w:w="252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2020" w:type="dxa"/>
            <w:vAlign w:val="bottom"/>
          </w:tcPr>
          <w:p>
            <w:pPr>
              <w:jc w:val="right"/>
              <w:spacing w:after="0"/>
              <w:rPr>
                <w:sz w:val="20"/>
                <w:szCs w:val="20"/>
                <w:color w:val="auto"/>
              </w:rPr>
            </w:pPr>
            <w:r>
              <w:rPr>
                <w:rFonts w:ascii="Arial" w:cs="Arial" w:eastAsia="Arial" w:hAnsi="Arial"/>
                <w:sz w:val="20"/>
                <w:szCs w:val="20"/>
                <w:color w:val="auto"/>
              </w:rPr>
              <w:t>5,814</w:t>
            </w:r>
          </w:p>
        </w:tc>
        <w:tc>
          <w:tcPr>
            <w:tcW w:w="120" w:type="dxa"/>
            <w:vAlign w:val="bottom"/>
          </w:tcPr>
          <w:p>
            <w:pPr>
              <w:spacing w:after="0"/>
              <w:rPr>
                <w:sz w:val="21"/>
                <w:szCs w:val="21"/>
                <w:color w:val="auto"/>
              </w:rPr>
            </w:pPr>
          </w:p>
        </w:tc>
        <w:tc>
          <w:tcPr>
            <w:tcW w:w="240" w:type="dxa"/>
            <w:vAlign w:val="bottom"/>
          </w:tcPr>
          <w:p>
            <w:pPr>
              <w:jc w:val="right"/>
              <w:ind w:right="42"/>
              <w:spacing w:after="0"/>
              <w:rPr>
                <w:sz w:val="20"/>
                <w:szCs w:val="20"/>
                <w:color w:val="auto"/>
              </w:rPr>
            </w:pPr>
            <w:r>
              <w:rPr>
                <w:rFonts w:ascii="Arial" w:cs="Arial" w:eastAsia="Arial" w:hAnsi="Arial"/>
                <w:sz w:val="20"/>
                <w:szCs w:val="20"/>
                <w:color w:val="auto"/>
                <w:w w:val="71"/>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6,743</w:t>
            </w:r>
          </w:p>
        </w:tc>
        <w:tc>
          <w:tcPr>
            <w:tcW w:w="120" w:type="dxa"/>
            <w:vAlign w:val="bottom"/>
          </w:tcPr>
          <w:p>
            <w:pPr>
              <w:spacing w:after="0"/>
              <w:rPr>
                <w:sz w:val="21"/>
                <w:szCs w:val="21"/>
                <w:color w:val="auto"/>
              </w:rPr>
            </w:pPr>
          </w:p>
        </w:tc>
      </w:tr>
    </w:tbl>
    <w:p>
      <w:pPr>
        <w:spacing w:after="0" w:line="190" w:lineRule="exact"/>
        <w:rPr>
          <w:sz w:val="20"/>
          <w:szCs w:val="20"/>
          <w:color w:val="auto"/>
        </w:rPr>
      </w:pPr>
    </w:p>
    <w:p>
      <w:pPr>
        <w:jc w:val="both"/>
        <w:ind w:left="380"/>
        <w:spacing w:after="0" w:line="258" w:lineRule="auto"/>
        <w:rPr>
          <w:sz w:val="20"/>
          <w:szCs w:val="20"/>
          <w:color w:val="auto"/>
        </w:rPr>
      </w:pPr>
      <w:r>
        <w:rPr>
          <w:rFonts w:ascii="Arial" w:cs="Arial" w:eastAsia="Arial" w:hAnsi="Arial"/>
          <w:sz w:val="20"/>
          <w:szCs w:val="20"/>
          <w:color w:val="auto"/>
        </w:rPr>
        <w:t>Revenues recognized from the beginning balance of contract liabilities for the three months ended March 31, 2019 and 2018 were $3.8 million and $4.2 million, respectively.</w:t>
      </w:r>
    </w:p>
    <w:p>
      <w:pPr>
        <w:spacing w:after="0" w:line="69" w:lineRule="exact"/>
        <w:rPr>
          <w:sz w:val="20"/>
          <w:szCs w:val="20"/>
          <w:color w:val="auto"/>
        </w:rPr>
      </w:pPr>
    </w:p>
    <w:p>
      <w:pPr>
        <w:jc w:val="both"/>
        <w:ind w:left="380"/>
        <w:spacing w:after="0" w:line="248" w:lineRule="auto"/>
        <w:rPr>
          <w:sz w:val="20"/>
          <w:szCs w:val="20"/>
          <w:color w:val="auto"/>
        </w:rPr>
      </w:pPr>
      <w:r>
        <w:rPr>
          <w:rFonts w:ascii="Arial" w:cs="Arial" w:eastAsia="Arial" w:hAnsi="Arial"/>
          <w:sz w:val="20"/>
          <w:szCs w:val="20"/>
          <w:color w:val="auto"/>
        </w:rPr>
        <w:t>Retainage, which primarily relates to the paving services, represents amounts that have been billed to customers but payment withheld until final acceptance of the performance obligation by the customer. Included on the Company’s consolidated balance sheets, retainage was $5.4 million and $7.5 million at March 31, 2019 and December 31,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1" w:lineRule="exact"/>
        <w:rPr>
          <w:sz w:val="20"/>
          <w:szCs w:val="20"/>
          <w:color w:val="auto"/>
        </w:rPr>
      </w:pPr>
    </w:p>
    <w:p>
      <w:pPr>
        <w:jc w:val="both"/>
        <w:ind w:left="380"/>
        <w:spacing w:after="0" w:line="296" w:lineRule="auto"/>
        <w:rPr>
          <w:sz w:val="20"/>
          <w:szCs w:val="20"/>
          <w:color w:val="auto"/>
        </w:rPr>
      </w:pPr>
      <w:r>
        <w:rPr>
          <w:rFonts w:ascii="Arial" w:cs="Arial" w:eastAsia="Arial" w:hAnsi="Arial"/>
          <w:sz w:val="17"/>
          <w:szCs w:val="17"/>
          <w:b w:val="1"/>
          <w:bCs w:val="1"/>
          <w:i w:val="1"/>
          <w:iCs w:val="1"/>
          <w:color w:val="auto"/>
        </w:rPr>
        <w:t xml:space="preserve">Warranties. </w:t>
      </w:r>
      <w:r>
        <w:rPr>
          <w:rFonts w:ascii="Arial" w:cs="Arial" w:eastAsia="Arial" w:hAnsi="Arial"/>
          <w:sz w:val="17"/>
          <w:szCs w:val="17"/>
          <w:color w:val="auto"/>
        </w:rPr>
        <w:t>The Company’s construction contracts generally contain warranty provisions typically for a period of nine months to one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after project completion and cover materials, design or workmanship defects. Historically, the Company has not experienced material costs for warranties. The ready mixed concrete product line carries longer warranty periods, for which the Company has accrued an estimate of warranty cost based on experience with the type of work and any known risks relative to the project. In total, warranty costs were not material to the Company’s consolidated results of operations for the three months ended March 31, 2019 and March 31, 2018.</w:t>
      </w:r>
    </w:p>
    <w:p>
      <w:pPr>
        <w:spacing w:after="0" w:line="43"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b w:val="1"/>
          <w:bCs w:val="1"/>
          <w:i w:val="1"/>
          <w:iCs w:val="1"/>
          <w:color w:val="auto"/>
        </w:rPr>
        <w:t xml:space="preserve">Policy Elections. </w:t>
      </w:r>
      <w:r>
        <w:rPr>
          <w:rFonts w:ascii="Arial" w:cs="Arial" w:eastAsia="Arial" w:hAnsi="Arial"/>
          <w:sz w:val="20"/>
          <w:szCs w:val="20"/>
          <w:color w:val="auto"/>
        </w:rPr>
        <w:t>When the Company arranges third party freight to deliver products to customers, the Company has elected the delivery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 a fulfillment activity rather than a separate performance obligation. Further, the Company acts as a principal in the delivery arrangements and, as required by the accounting standard, the related revenues and costs are presented gross and are included in the consolidated statements of earnings.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840" w:type="dxa"/>
            <w:vAlign w:val="bottom"/>
          </w:tcPr>
          <w:p>
            <w:pPr>
              <w:spacing w:after="0"/>
              <w:rPr>
                <w:sz w:val="20"/>
                <w:szCs w:val="20"/>
                <w:color w:val="auto"/>
              </w:rPr>
            </w:pPr>
            <w:r>
              <w:rPr>
                <w:rFonts w:ascii="Arial" w:cs="Arial" w:eastAsia="Arial" w:hAnsi="Arial"/>
                <w:sz w:val="20"/>
                <w:szCs w:val="20"/>
                <w:b w:val="1"/>
                <w:bCs w:val="1"/>
                <w:color w:val="auto"/>
              </w:rPr>
              <w:t>3.  Inventories, Net</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328"/>
        </w:trPr>
        <w:tc>
          <w:tcPr>
            <w:tcW w:w="7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20"/>
                <w:szCs w:val="20"/>
                <w:color w:val="auto"/>
              </w:rPr>
              <w:t>March 31,</w:t>
            </w:r>
          </w:p>
        </w:tc>
        <w:tc>
          <w:tcPr>
            <w:tcW w:w="160" w:type="dxa"/>
            <w:vAlign w:val="bottom"/>
          </w:tcPr>
          <w:p>
            <w:pPr>
              <w:spacing w:after="0"/>
              <w:rPr>
                <w:sz w:val="24"/>
                <w:szCs w:val="2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20"/>
                <w:szCs w:val="20"/>
                <w:color w:val="auto"/>
                <w:w w:val="92"/>
              </w:rPr>
              <w:t>December 31,</w:t>
            </w:r>
          </w:p>
        </w:tc>
      </w:tr>
      <w:tr>
        <w:trPr>
          <w:trHeight w:val="245"/>
        </w:trPr>
        <w:tc>
          <w:tcPr>
            <w:tcW w:w="7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2019</w:t>
            </w: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2018</w:t>
            </w:r>
          </w:p>
        </w:tc>
        <w:tc>
          <w:tcPr>
            <w:tcW w:w="120" w:type="dxa"/>
            <w:vAlign w:val="bottom"/>
          </w:tcPr>
          <w:p>
            <w:pPr>
              <w:spacing w:after="0"/>
              <w:rPr>
                <w:sz w:val="21"/>
                <w:szCs w:val="21"/>
                <w:color w:val="auto"/>
              </w:rPr>
            </w:pPr>
          </w:p>
        </w:tc>
      </w:tr>
      <w:tr>
        <w:trPr>
          <w:trHeight w:val="235"/>
        </w:trPr>
        <w:tc>
          <w:tcPr>
            <w:tcW w:w="7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gridSpan w:val="4"/>
          </w:tcPr>
          <w:p>
            <w:pPr>
              <w:jc w:val="right"/>
              <w:ind w:right="722"/>
              <w:spacing w:after="0"/>
              <w:rPr>
                <w:sz w:val="20"/>
                <w:szCs w:val="20"/>
                <w:color w:val="auto"/>
              </w:rPr>
            </w:pPr>
            <w:r>
              <w:rPr>
                <w:rFonts w:ascii="Arial" w:cs="Arial" w:eastAsia="Arial" w:hAnsi="Arial"/>
                <w:sz w:val="20"/>
                <w:szCs w:val="20"/>
                <w:i w:val="1"/>
                <w:iCs w:val="1"/>
                <w:color w:val="auto"/>
              </w:rPr>
              <w:t>(Dollars in Thousands)</w:t>
            </w:r>
          </w:p>
        </w:tc>
        <w:tc>
          <w:tcPr>
            <w:tcW w:w="120" w:type="dxa"/>
            <w:vAlign w:val="bottom"/>
          </w:tcPr>
          <w:p>
            <w:pPr>
              <w:spacing w:after="0"/>
              <w:rPr>
                <w:sz w:val="20"/>
                <w:szCs w:val="20"/>
                <w:color w:val="auto"/>
              </w:rPr>
            </w:pPr>
          </w:p>
        </w:tc>
      </w:tr>
      <w:tr>
        <w:trPr>
          <w:trHeight w:val="242"/>
        </w:trPr>
        <w:tc>
          <w:tcPr>
            <w:tcW w:w="7840" w:type="dxa"/>
            <w:vAlign w:val="bottom"/>
            <w:shd w:val="clear" w:color="auto" w:fill="CFF0FC"/>
          </w:tcPr>
          <w:p>
            <w:pPr>
              <w:spacing w:after="0"/>
              <w:rPr>
                <w:sz w:val="20"/>
                <w:szCs w:val="20"/>
                <w:color w:val="auto"/>
              </w:rPr>
            </w:pPr>
            <w:r>
              <w:rPr>
                <w:rFonts w:ascii="Arial" w:cs="Arial" w:eastAsia="Arial" w:hAnsi="Arial"/>
                <w:sz w:val="20"/>
                <w:szCs w:val="20"/>
                <w:color w:val="auto"/>
              </w:rPr>
              <w:t>Finished products</w:t>
            </w: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605,785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615,719</w:t>
            </w:r>
          </w:p>
        </w:tc>
        <w:tc>
          <w:tcPr>
            <w:tcW w:w="120" w:type="dxa"/>
            <w:vAlign w:val="bottom"/>
            <w:shd w:val="clear" w:color="auto" w:fill="CFF0FC"/>
          </w:tcPr>
          <w:p>
            <w:pPr>
              <w:spacing w:after="0"/>
              <w:rPr>
                <w:sz w:val="21"/>
                <w:szCs w:val="21"/>
                <w:color w:val="auto"/>
              </w:rPr>
            </w:pPr>
          </w:p>
        </w:tc>
      </w:tr>
      <w:tr>
        <w:trPr>
          <w:trHeight w:val="242"/>
        </w:trPr>
        <w:tc>
          <w:tcPr>
            <w:tcW w:w="7840" w:type="dxa"/>
            <w:vAlign w:val="bottom"/>
          </w:tcPr>
          <w:p>
            <w:pPr>
              <w:spacing w:after="0"/>
              <w:rPr>
                <w:sz w:val="20"/>
                <w:szCs w:val="20"/>
                <w:color w:val="auto"/>
              </w:rPr>
            </w:pPr>
            <w:r>
              <w:rPr>
                <w:rFonts w:ascii="Arial" w:cs="Arial" w:eastAsia="Arial" w:hAnsi="Arial"/>
                <w:sz w:val="20"/>
                <w:szCs w:val="20"/>
                <w:color w:val="auto"/>
              </w:rPr>
              <w:t>Products in process and raw materials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63,114</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66,920</w:t>
            </w:r>
          </w:p>
        </w:tc>
        <w:tc>
          <w:tcPr>
            <w:tcW w:w="120" w:type="dxa"/>
            <w:vAlign w:val="bottom"/>
          </w:tcPr>
          <w:p>
            <w:pPr>
              <w:spacing w:after="0"/>
              <w:rPr>
                <w:sz w:val="21"/>
                <w:szCs w:val="21"/>
                <w:color w:val="auto"/>
              </w:rPr>
            </w:pPr>
          </w:p>
        </w:tc>
      </w:tr>
      <w:tr>
        <w:trPr>
          <w:trHeight w:val="242"/>
        </w:trPr>
        <w:tc>
          <w:tcPr>
            <w:tcW w:w="7840" w:type="dxa"/>
            <w:vAlign w:val="bottom"/>
            <w:shd w:val="clear" w:color="auto" w:fill="CFF0FC"/>
          </w:tcPr>
          <w:p>
            <w:pPr>
              <w:spacing w:after="0"/>
              <w:rPr>
                <w:sz w:val="20"/>
                <w:szCs w:val="20"/>
                <w:color w:val="auto"/>
              </w:rPr>
            </w:pPr>
            <w:r>
              <w:rPr>
                <w:rFonts w:ascii="Arial" w:cs="Arial" w:eastAsia="Arial" w:hAnsi="Arial"/>
                <w:sz w:val="20"/>
                <w:szCs w:val="20"/>
                <w:color w:val="auto"/>
              </w:rPr>
              <w:t>Supplies and expendable parts</w:t>
            </w: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136,792</w:t>
            </w:r>
          </w:p>
        </w:tc>
        <w:tc>
          <w:tcPr>
            <w:tcW w:w="2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139,566</w:t>
            </w:r>
          </w:p>
        </w:tc>
        <w:tc>
          <w:tcPr>
            <w:tcW w:w="120" w:type="dxa"/>
            <w:vAlign w:val="bottom"/>
            <w:shd w:val="clear" w:color="auto" w:fill="CFF0FC"/>
          </w:tcPr>
          <w:p>
            <w:pPr>
              <w:spacing w:after="0"/>
              <w:rPr>
                <w:sz w:val="21"/>
                <w:szCs w:val="21"/>
                <w:color w:val="auto"/>
              </w:rPr>
            </w:pPr>
          </w:p>
        </w:tc>
      </w:tr>
      <w:tr>
        <w:trPr>
          <w:trHeight w:val="235"/>
        </w:trPr>
        <w:tc>
          <w:tcPr>
            <w:tcW w:w="7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805,691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822,205</w:t>
            </w:r>
          </w:p>
        </w:tc>
        <w:tc>
          <w:tcPr>
            <w:tcW w:w="120" w:type="dxa"/>
            <w:vAlign w:val="bottom"/>
          </w:tcPr>
          <w:p>
            <w:pPr>
              <w:spacing w:after="0"/>
              <w:rPr>
                <w:sz w:val="20"/>
                <w:szCs w:val="20"/>
                <w:color w:val="auto"/>
              </w:rPr>
            </w:pPr>
          </w:p>
        </w:tc>
      </w:tr>
      <w:tr>
        <w:trPr>
          <w:trHeight w:val="242"/>
        </w:trPr>
        <w:tc>
          <w:tcPr>
            <w:tcW w:w="7840" w:type="dxa"/>
            <w:vAlign w:val="bottom"/>
            <w:shd w:val="clear" w:color="auto" w:fill="CFF0FC"/>
          </w:tcPr>
          <w:p>
            <w:pPr>
              <w:spacing w:after="0"/>
              <w:rPr>
                <w:sz w:val="20"/>
                <w:szCs w:val="20"/>
                <w:color w:val="auto"/>
              </w:rPr>
            </w:pPr>
            <w:r>
              <w:rPr>
                <w:rFonts w:ascii="Arial" w:cs="Arial" w:eastAsia="Arial" w:hAnsi="Arial"/>
                <w:sz w:val="20"/>
                <w:szCs w:val="20"/>
                <w:color w:val="auto"/>
              </w:rPr>
              <w:t>Less: Allowances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(159,515)</w:t>
            </w:r>
          </w:p>
        </w:tc>
        <w:tc>
          <w:tcPr>
            <w:tcW w:w="1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(159,170)</w:t>
            </w:r>
          </w:p>
        </w:tc>
      </w:tr>
      <w:tr>
        <w:trPr>
          <w:trHeight w:val="235"/>
        </w:trPr>
        <w:tc>
          <w:tcPr>
            <w:tcW w:w="7840" w:type="dxa"/>
            <w:vAlign w:val="bottom"/>
          </w:tcPr>
          <w:p>
            <w:pPr>
              <w:spacing w:after="0"/>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646,176</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663,035</w:t>
            </w:r>
          </w:p>
        </w:tc>
        <w:tc>
          <w:tcPr>
            <w:tcW w:w="120" w:type="dxa"/>
            <w:vAlign w:val="bottom"/>
          </w:tcPr>
          <w:p>
            <w:pPr>
              <w:spacing w:after="0"/>
              <w:rPr>
                <w:sz w:val="20"/>
                <w:szCs w:val="20"/>
                <w:color w:val="auto"/>
              </w:rPr>
            </w:pPr>
          </w:p>
        </w:tc>
      </w:tr>
      <w:tr>
        <w:trPr>
          <w:trHeight w:val="20"/>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color w:val="auto"/>
        </w:rPr>
        <w:t>4.</w:t>
        <w:tab/>
        <w:t>Long-Term Debt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9"/>
                <w:szCs w:val="19"/>
                <w:color w:val="auto"/>
              </w:rPr>
              <w:t>March 31,</w:t>
            </w:r>
          </w:p>
        </w:tc>
        <w:tc>
          <w:tcPr>
            <w:tcW w:w="20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9"/>
                <w:szCs w:val="19"/>
                <w:color w:val="auto"/>
                <w:w w:val="95"/>
              </w:rPr>
              <w:t>December 31,</w:t>
            </w:r>
          </w:p>
        </w:tc>
      </w:tr>
      <w:tr>
        <w:trPr>
          <w:trHeight w:val="237"/>
        </w:trPr>
        <w:tc>
          <w:tcPr>
            <w:tcW w:w="6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06"/>
              <w:spacing w:after="0"/>
              <w:rPr>
                <w:sz w:val="20"/>
                <w:szCs w:val="20"/>
                <w:color w:val="auto"/>
              </w:rPr>
            </w:pPr>
            <w:r>
              <w:rPr>
                <w:rFonts w:ascii="Arial" w:cs="Arial" w:eastAsia="Arial" w:hAnsi="Arial"/>
                <w:sz w:val="19"/>
                <w:szCs w:val="19"/>
                <w:color w:val="auto"/>
              </w:rPr>
              <w:t>2019</w:t>
            </w: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46"/>
              <w:spacing w:after="0"/>
              <w:rPr>
                <w:sz w:val="20"/>
                <w:szCs w:val="20"/>
                <w:color w:val="auto"/>
              </w:rPr>
            </w:pPr>
            <w:r>
              <w:rPr>
                <w:rFonts w:ascii="Arial" w:cs="Arial" w:eastAsia="Arial" w:hAnsi="Arial"/>
                <w:sz w:val="19"/>
                <w:szCs w:val="19"/>
                <w:color w:val="auto"/>
              </w:rPr>
              <w:t>2018</w:t>
            </w:r>
          </w:p>
        </w:tc>
        <w:tc>
          <w:tcPr>
            <w:tcW w:w="120" w:type="dxa"/>
            <w:vAlign w:val="bottom"/>
          </w:tcPr>
          <w:p>
            <w:pPr>
              <w:spacing w:after="0"/>
              <w:rPr>
                <w:sz w:val="20"/>
                <w:szCs w:val="20"/>
                <w:color w:val="auto"/>
              </w:rPr>
            </w:pPr>
          </w:p>
        </w:tc>
      </w:tr>
      <w:tr>
        <w:trPr>
          <w:trHeight w:val="222"/>
        </w:trPr>
        <w:tc>
          <w:tcPr>
            <w:tcW w:w="6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0" w:type="dxa"/>
            <w:vAlign w:val="bottom"/>
            <w:gridSpan w:val="4"/>
          </w:tcPr>
          <w:p>
            <w:pPr>
              <w:jc w:val="right"/>
              <w:ind w:right="866"/>
              <w:spacing w:after="0"/>
              <w:rPr>
                <w:sz w:val="20"/>
                <w:szCs w:val="20"/>
                <w:color w:val="auto"/>
              </w:rPr>
            </w:pPr>
            <w:r>
              <w:rPr>
                <w:rFonts w:ascii="Arial" w:cs="Arial" w:eastAsia="Arial" w:hAnsi="Arial"/>
                <w:sz w:val="19"/>
                <w:szCs w:val="19"/>
                <w:i w:val="1"/>
                <w:iCs w:val="1"/>
                <w:color w:val="auto"/>
              </w:rPr>
              <w:t>(Dollars in Thousands)</w:t>
            </w:r>
          </w:p>
        </w:tc>
        <w:tc>
          <w:tcPr>
            <w:tcW w:w="120" w:type="dxa"/>
            <w:vAlign w:val="bottom"/>
          </w:tcPr>
          <w:p>
            <w:pPr>
              <w:spacing w:after="0"/>
              <w:rPr>
                <w:sz w:val="19"/>
                <w:szCs w:val="19"/>
                <w:color w:val="auto"/>
              </w:rPr>
            </w:pPr>
          </w:p>
        </w:tc>
      </w:tr>
      <w:tr>
        <w:trPr>
          <w:trHeight w:val="228"/>
        </w:trPr>
        <w:tc>
          <w:tcPr>
            <w:tcW w:w="6420" w:type="dxa"/>
            <w:vAlign w:val="bottom"/>
            <w:shd w:val="clear" w:color="auto" w:fill="CFF0FC"/>
          </w:tcPr>
          <w:p>
            <w:pPr>
              <w:spacing w:after="0"/>
              <w:rPr>
                <w:sz w:val="20"/>
                <w:szCs w:val="20"/>
                <w:color w:val="auto"/>
              </w:rPr>
            </w:pPr>
            <w:r>
              <w:rPr>
                <w:rFonts w:ascii="Arial" w:cs="Arial" w:eastAsia="Arial" w:hAnsi="Arial"/>
                <w:sz w:val="19"/>
                <w:szCs w:val="19"/>
                <w:color w:val="auto"/>
              </w:rPr>
              <w:t>4.25% Senior Notes, due 2024</w:t>
            </w:r>
          </w:p>
        </w:tc>
        <w:tc>
          <w:tcPr>
            <w:tcW w:w="1480" w:type="dxa"/>
            <w:vAlign w:val="bottom"/>
            <w:gridSpan w:val="2"/>
            <w:shd w:val="clear" w:color="auto" w:fill="CFF0FC"/>
          </w:tcPr>
          <w:p>
            <w:pPr>
              <w:jc w:val="right"/>
              <w:ind w:right="86"/>
              <w:spacing w:after="0"/>
              <w:rPr>
                <w:sz w:val="20"/>
                <w:szCs w:val="20"/>
                <w:color w:val="auto"/>
              </w:rPr>
            </w:pPr>
            <w:r>
              <w:rPr>
                <w:rFonts w:ascii="Arial" w:cs="Arial" w:eastAsia="Arial" w:hAnsi="Arial"/>
                <w:sz w:val="19"/>
                <w:szCs w:val="19"/>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396,547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6"/>
              <w:spacing w:after="0"/>
              <w:rPr>
                <w:sz w:val="20"/>
                <w:szCs w:val="20"/>
                <w:color w:val="auto"/>
              </w:rPr>
            </w:pPr>
            <w:r>
              <w:rPr>
                <w:rFonts w:ascii="Arial" w:cs="Arial" w:eastAsia="Arial" w:hAnsi="Arial"/>
                <w:sz w:val="19"/>
                <w:szCs w:val="19"/>
                <w:color w:val="auto"/>
                <w:w w:val="75"/>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396,398</w:t>
            </w:r>
          </w:p>
        </w:tc>
        <w:tc>
          <w:tcPr>
            <w:tcW w:w="120" w:type="dxa"/>
            <w:vAlign w:val="bottom"/>
            <w:shd w:val="clear" w:color="auto" w:fill="CFF0FC"/>
          </w:tcPr>
          <w:p>
            <w:pPr>
              <w:spacing w:after="0"/>
              <w:rPr>
                <w:sz w:val="19"/>
                <w:szCs w:val="19"/>
                <w:color w:val="auto"/>
              </w:rPr>
            </w:pPr>
          </w:p>
        </w:tc>
      </w:tr>
      <w:tr>
        <w:trPr>
          <w:trHeight w:val="228"/>
        </w:trPr>
        <w:tc>
          <w:tcPr>
            <w:tcW w:w="6420" w:type="dxa"/>
            <w:vAlign w:val="bottom"/>
          </w:tcPr>
          <w:p>
            <w:pPr>
              <w:spacing w:after="0"/>
              <w:rPr>
                <w:sz w:val="20"/>
                <w:szCs w:val="20"/>
                <w:color w:val="auto"/>
              </w:rPr>
            </w:pPr>
            <w:r>
              <w:rPr>
                <w:rFonts w:ascii="Arial" w:cs="Arial" w:eastAsia="Arial" w:hAnsi="Arial"/>
                <w:sz w:val="19"/>
                <w:szCs w:val="19"/>
                <w:color w:val="auto"/>
              </w:rPr>
              <w:t>7% Debentures, due 2025</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124,296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124,272</w:t>
            </w:r>
          </w:p>
        </w:tc>
        <w:tc>
          <w:tcPr>
            <w:tcW w:w="120" w:type="dxa"/>
            <w:vAlign w:val="bottom"/>
          </w:tcPr>
          <w:p>
            <w:pPr>
              <w:spacing w:after="0"/>
              <w:rPr>
                <w:sz w:val="19"/>
                <w:szCs w:val="19"/>
                <w:color w:val="auto"/>
              </w:rPr>
            </w:pPr>
          </w:p>
        </w:tc>
      </w:tr>
      <w:tr>
        <w:trPr>
          <w:trHeight w:val="228"/>
        </w:trPr>
        <w:tc>
          <w:tcPr>
            <w:tcW w:w="6420" w:type="dxa"/>
            <w:vAlign w:val="bottom"/>
            <w:shd w:val="clear" w:color="auto" w:fill="CFF0FC"/>
          </w:tcPr>
          <w:p>
            <w:pPr>
              <w:spacing w:after="0"/>
              <w:rPr>
                <w:sz w:val="20"/>
                <w:szCs w:val="20"/>
                <w:color w:val="auto"/>
              </w:rPr>
            </w:pPr>
            <w:r>
              <w:rPr>
                <w:rFonts w:ascii="Arial" w:cs="Arial" w:eastAsia="Arial" w:hAnsi="Arial"/>
                <w:sz w:val="19"/>
                <w:szCs w:val="19"/>
                <w:color w:val="auto"/>
              </w:rPr>
              <w:t>3.450% Senior Notes, due 2027</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297,019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296,939</w:t>
            </w:r>
          </w:p>
        </w:tc>
        <w:tc>
          <w:tcPr>
            <w:tcW w:w="120" w:type="dxa"/>
            <w:vAlign w:val="bottom"/>
            <w:shd w:val="clear" w:color="auto" w:fill="CFF0FC"/>
          </w:tcPr>
          <w:p>
            <w:pPr>
              <w:spacing w:after="0"/>
              <w:rPr>
                <w:sz w:val="19"/>
                <w:szCs w:val="19"/>
                <w:color w:val="auto"/>
              </w:rPr>
            </w:pPr>
          </w:p>
        </w:tc>
      </w:tr>
      <w:tr>
        <w:trPr>
          <w:trHeight w:val="228"/>
        </w:trPr>
        <w:tc>
          <w:tcPr>
            <w:tcW w:w="6420" w:type="dxa"/>
            <w:vAlign w:val="bottom"/>
          </w:tcPr>
          <w:p>
            <w:pPr>
              <w:spacing w:after="0"/>
              <w:rPr>
                <w:sz w:val="20"/>
                <w:szCs w:val="20"/>
                <w:color w:val="auto"/>
              </w:rPr>
            </w:pPr>
            <w:r>
              <w:rPr>
                <w:rFonts w:ascii="Arial" w:cs="Arial" w:eastAsia="Arial" w:hAnsi="Arial"/>
                <w:sz w:val="19"/>
                <w:szCs w:val="19"/>
                <w:color w:val="auto"/>
              </w:rPr>
              <w:t>3.500% Senior Notes, due 2027</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494,888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494,765</w:t>
            </w:r>
          </w:p>
        </w:tc>
        <w:tc>
          <w:tcPr>
            <w:tcW w:w="120" w:type="dxa"/>
            <w:vAlign w:val="bottom"/>
          </w:tcPr>
          <w:p>
            <w:pPr>
              <w:spacing w:after="0"/>
              <w:rPr>
                <w:sz w:val="19"/>
                <w:szCs w:val="19"/>
                <w:color w:val="auto"/>
              </w:rPr>
            </w:pPr>
          </w:p>
        </w:tc>
      </w:tr>
      <w:tr>
        <w:trPr>
          <w:trHeight w:val="228"/>
        </w:trPr>
        <w:tc>
          <w:tcPr>
            <w:tcW w:w="6420" w:type="dxa"/>
            <w:vAlign w:val="bottom"/>
            <w:shd w:val="clear" w:color="auto" w:fill="CFF0FC"/>
          </w:tcPr>
          <w:p>
            <w:pPr>
              <w:spacing w:after="0"/>
              <w:rPr>
                <w:sz w:val="20"/>
                <w:szCs w:val="20"/>
                <w:color w:val="auto"/>
              </w:rPr>
            </w:pPr>
            <w:r>
              <w:rPr>
                <w:rFonts w:ascii="Arial" w:cs="Arial" w:eastAsia="Arial" w:hAnsi="Arial"/>
                <w:sz w:val="19"/>
                <w:szCs w:val="19"/>
                <w:color w:val="auto"/>
              </w:rPr>
              <w:t>6.25% Senior Notes, due 2037</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228,110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228,094</w:t>
            </w:r>
          </w:p>
        </w:tc>
        <w:tc>
          <w:tcPr>
            <w:tcW w:w="120" w:type="dxa"/>
            <w:vAlign w:val="bottom"/>
            <w:shd w:val="clear" w:color="auto" w:fill="CFF0FC"/>
          </w:tcPr>
          <w:p>
            <w:pPr>
              <w:spacing w:after="0"/>
              <w:rPr>
                <w:sz w:val="19"/>
                <w:szCs w:val="19"/>
                <w:color w:val="auto"/>
              </w:rPr>
            </w:pPr>
          </w:p>
        </w:tc>
      </w:tr>
      <w:tr>
        <w:trPr>
          <w:trHeight w:val="228"/>
        </w:trPr>
        <w:tc>
          <w:tcPr>
            <w:tcW w:w="6420" w:type="dxa"/>
            <w:vAlign w:val="bottom"/>
          </w:tcPr>
          <w:p>
            <w:pPr>
              <w:spacing w:after="0"/>
              <w:rPr>
                <w:sz w:val="20"/>
                <w:szCs w:val="20"/>
                <w:color w:val="auto"/>
              </w:rPr>
            </w:pPr>
            <w:r>
              <w:rPr>
                <w:rFonts w:ascii="Arial" w:cs="Arial" w:eastAsia="Arial" w:hAnsi="Arial"/>
                <w:sz w:val="19"/>
                <w:szCs w:val="19"/>
                <w:color w:val="auto"/>
              </w:rPr>
              <w:t>4.250% Senior Notes, due 2047</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591,583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591,541</w:t>
            </w:r>
          </w:p>
        </w:tc>
        <w:tc>
          <w:tcPr>
            <w:tcW w:w="120" w:type="dxa"/>
            <w:vAlign w:val="bottom"/>
          </w:tcPr>
          <w:p>
            <w:pPr>
              <w:spacing w:after="0"/>
              <w:rPr>
                <w:sz w:val="19"/>
                <w:szCs w:val="19"/>
                <w:color w:val="auto"/>
              </w:rPr>
            </w:pPr>
          </w:p>
        </w:tc>
      </w:tr>
      <w:tr>
        <w:trPr>
          <w:trHeight w:val="206"/>
        </w:trPr>
        <w:tc>
          <w:tcPr>
            <w:tcW w:w="6420" w:type="dxa"/>
            <w:vAlign w:val="bottom"/>
            <w:shd w:val="clear" w:color="auto" w:fill="CFF0FC"/>
          </w:tcPr>
          <w:p>
            <w:pPr>
              <w:spacing w:after="0" w:line="206" w:lineRule="exact"/>
              <w:rPr>
                <w:sz w:val="20"/>
                <w:szCs w:val="20"/>
                <w:color w:val="auto"/>
              </w:rPr>
            </w:pPr>
            <w:r>
              <w:rPr>
                <w:rFonts w:ascii="Arial" w:cs="Arial" w:eastAsia="Arial" w:hAnsi="Arial"/>
                <w:sz w:val="19"/>
                <w:szCs w:val="19"/>
                <w:color w:val="auto"/>
              </w:rPr>
              <w:t>Floating Rate Notes, due 2019, interest rate of 3.13%,</w:t>
            </w: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5"/>
        </w:trPr>
        <w:tc>
          <w:tcPr>
            <w:tcW w:w="6420" w:type="dxa"/>
            <w:vAlign w:val="bottom"/>
            <w:shd w:val="clear" w:color="auto" w:fill="CFF0FC"/>
          </w:tcPr>
          <w:p>
            <w:pPr>
              <w:ind w:left="140"/>
              <w:spacing w:after="0" w:line="214" w:lineRule="exact"/>
              <w:rPr>
                <w:sz w:val="20"/>
                <w:szCs w:val="20"/>
                <w:color w:val="auto"/>
              </w:rPr>
            </w:pPr>
            <w:r>
              <w:rPr>
                <w:rFonts w:ascii="Arial" w:cs="Arial" w:eastAsia="Arial" w:hAnsi="Arial"/>
                <w:sz w:val="19"/>
                <w:szCs w:val="19"/>
                <w:color w:val="auto"/>
              </w:rPr>
              <w:t>3.29% and 2.70% at March 31, 2019 and December 31, 2018,</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7"/>
        </w:trPr>
        <w:tc>
          <w:tcPr>
            <w:tcW w:w="6420" w:type="dxa"/>
            <w:vAlign w:val="bottom"/>
            <w:shd w:val="clear" w:color="auto" w:fill="CFF0FC"/>
          </w:tcPr>
          <w:p>
            <w:pPr>
              <w:ind w:left="140"/>
              <w:spacing w:after="0"/>
              <w:rPr>
                <w:sz w:val="20"/>
                <w:szCs w:val="20"/>
                <w:color w:val="auto"/>
              </w:rPr>
            </w:pPr>
            <w:r>
              <w:rPr>
                <w:rFonts w:ascii="Arial" w:cs="Arial" w:eastAsia="Arial" w:hAnsi="Arial"/>
                <w:sz w:val="19"/>
                <w:szCs w:val="19"/>
                <w:color w:val="auto"/>
              </w:rPr>
              <w:t>respectively</w:t>
            </w: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299,446</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299,260</w:t>
            </w:r>
          </w:p>
        </w:tc>
        <w:tc>
          <w:tcPr>
            <w:tcW w:w="120" w:type="dxa"/>
            <w:vAlign w:val="bottom"/>
            <w:shd w:val="clear" w:color="auto" w:fill="CFF0FC"/>
          </w:tcPr>
          <w:p>
            <w:pPr>
              <w:spacing w:after="0"/>
              <w:rPr>
                <w:sz w:val="20"/>
                <w:szCs w:val="20"/>
                <w:color w:val="auto"/>
              </w:rPr>
            </w:pPr>
          </w:p>
        </w:tc>
      </w:tr>
      <w:tr>
        <w:trPr>
          <w:trHeight w:val="206"/>
        </w:trPr>
        <w:tc>
          <w:tcPr>
            <w:tcW w:w="6420" w:type="dxa"/>
            <w:vAlign w:val="bottom"/>
          </w:tcPr>
          <w:p>
            <w:pPr>
              <w:spacing w:after="0" w:line="206" w:lineRule="exact"/>
              <w:rPr>
                <w:sz w:val="20"/>
                <w:szCs w:val="20"/>
                <w:color w:val="auto"/>
              </w:rPr>
            </w:pPr>
            <w:r>
              <w:rPr>
                <w:rFonts w:ascii="Arial" w:cs="Arial" w:eastAsia="Arial" w:hAnsi="Arial"/>
                <w:sz w:val="19"/>
                <w:szCs w:val="19"/>
                <w:color w:val="auto"/>
              </w:rPr>
              <w:t>Floating Rate Notes, due 2020, interest rate of 3.31%, 3.30%</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6420" w:type="dxa"/>
            <w:vAlign w:val="bottom"/>
          </w:tcPr>
          <w:p>
            <w:pPr>
              <w:ind w:left="140"/>
              <w:spacing w:after="0"/>
              <w:rPr>
                <w:sz w:val="20"/>
                <w:szCs w:val="20"/>
                <w:color w:val="auto"/>
              </w:rPr>
            </w:pPr>
            <w:r>
              <w:rPr>
                <w:rFonts w:ascii="Arial" w:cs="Arial" w:eastAsia="Arial" w:hAnsi="Arial"/>
                <w:sz w:val="19"/>
                <w:szCs w:val="19"/>
                <w:color w:val="auto"/>
              </w:rPr>
              <w:t>and 2.55% at March 31, 2019 and December 31, 2018, respectively</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299,139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298,956</w:t>
            </w:r>
          </w:p>
        </w:tc>
        <w:tc>
          <w:tcPr>
            <w:tcW w:w="120" w:type="dxa"/>
            <w:vAlign w:val="bottom"/>
          </w:tcPr>
          <w:p>
            <w:pPr>
              <w:spacing w:after="0"/>
              <w:rPr>
                <w:sz w:val="20"/>
                <w:szCs w:val="20"/>
                <w:color w:val="auto"/>
              </w:rPr>
            </w:pPr>
          </w:p>
        </w:tc>
      </w:tr>
      <w:tr>
        <w:trPr>
          <w:trHeight w:val="228"/>
        </w:trPr>
        <w:tc>
          <w:tcPr>
            <w:tcW w:w="6420" w:type="dxa"/>
            <w:vAlign w:val="bottom"/>
            <w:shd w:val="clear" w:color="auto" w:fill="CFF0FC"/>
          </w:tcPr>
          <w:p>
            <w:pPr>
              <w:spacing w:after="0"/>
              <w:rPr>
                <w:sz w:val="20"/>
                <w:szCs w:val="20"/>
                <w:color w:val="auto"/>
              </w:rPr>
            </w:pPr>
            <w:r>
              <w:rPr>
                <w:rFonts w:ascii="Arial" w:cs="Arial" w:eastAsia="Arial" w:hAnsi="Arial"/>
                <w:sz w:val="19"/>
                <w:szCs w:val="19"/>
                <w:color w:val="auto"/>
              </w:rPr>
              <w:t>6.60% Senior Notes, due 2018</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9"/>
                <w:szCs w:val="19"/>
                <w:color w:val="auto"/>
              </w:rPr>
              <w:t>—</w:t>
            </w:r>
          </w:p>
        </w:tc>
        <w:tc>
          <w:tcPr>
            <w:tcW w:w="2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w:t>
            </w:r>
          </w:p>
        </w:tc>
      </w:tr>
      <w:tr>
        <w:trPr>
          <w:trHeight w:val="206"/>
        </w:trPr>
        <w:tc>
          <w:tcPr>
            <w:tcW w:w="6420" w:type="dxa"/>
            <w:vAlign w:val="bottom"/>
          </w:tcPr>
          <w:p>
            <w:pPr>
              <w:spacing w:after="0" w:line="206" w:lineRule="exact"/>
              <w:rPr>
                <w:sz w:val="20"/>
                <w:szCs w:val="20"/>
                <w:color w:val="auto"/>
              </w:rPr>
            </w:pPr>
            <w:r>
              <w:rPr>
                <w:rFonts w:ascii="Arial" w:cs="Arial" w:eastAsia="Arial" w:hAnsi="Arial"/>
                <w:sz w:val="19"/>
                <w:szCs w:val="19"/>
                <w:color w:val="auto"/>
              </w:rPr>
              <w:t>Revolving Facility, due 2023, interest rate of 3.59% at</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6420" w:type="dxa"/>
            <w:vAlign w:val="bottom"/>
          </w:tcPr>
          <w:p>
            <w:pPr>
              <w:ind w:left="140"/>
              <w:spacing w:after="0"/>
              <w:rPr>
                <w:sz w:val="20"/>
                <w:szCs w:val="20"/>
                <w:color w:val="auto"/>
              </w:rPr>
            </w:pPr>
            <w:r>
              <w:rPr>
                <w:rFonts w:ascii="Arial" w:cs="Arial" w:eastAsia="Arial" w:hAnsi="Arial"/>
                <w:sz w:val="19"/>
                <w:szCs w:val="19"/>
                <w:color w:val="auto"/>
              </w:rPr>
              <w:t>March 31, 2019</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70,000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r>
      <w:tr>
        <w:trPr>
          <w:trHeight w:val="206"/>
        </w:trPr>
        <w:tc>
          <w:tcPr>
            <w:tcW w:w="6420" w:type="dxa"/>
            <w:vAlign w:val="bottom"/>
            <w:shd w:val="clear" w:color="auto" w:fill="CFF0FC"/>
          </w:tcPr>
          <w:p>
            <w:pPr>
              <w:spacing w:after="0" w:line="206" w:lineRule="exact"/>
              <w:rPr>
                <w:sz w:val="20"/>
                <w:szCs w:val="20"/>
                <w:color w:val="auto"/>
              </w:rPr>
            </w:pPr>
            <w:r>
              <w:rPr>
                <w:rFonts w:ascii="Arial" w:cs="Arial" w:eastAsia="Arial" w:hAnsi="Arial"/>
                <w:sz w:val="19"/>
                <w:szCs w:val="19"/>
                <w:color w:val="auto"/>
              </w:rPr>
              <w:t>Trade Receivable Facility, interest rate of 3.21% and 3.07% at</w:t>
            </w: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7"/>
        </w:trPr>
        <w:tc>
          <w:tcPr>
            <w:tcW w:w="6420" w:type="dxa"/>
            <w:vAlign w:val="bottom"/>
            <w:shd w:val="clear" w:color="auto" w:fill="CFF0FC"/>
          </w:tcPr>
          <w:p>
            <w:pPr>
              <w:ind w:left="140"/>
              <w:spacing w:after="0"/>
              <w:rPr>
                <w:sz w:val="20"/>
                <w:szCs w:val="20"/>
                <w:color w:val="auto"/>
              </w:rPr>
            </w:pPr>
            <w:r>
              <w:rPr>
                <w:rFonts w:ascii="Arial" w:cs="Arial" w:eastAsia="Arial" w:hAnsi="Arial"/>
                <w:sz w:val="19"/>
                <w:szCs w:val="19"/>
                <w:color w:val="auto"/>
              </w:rPr>
              <w:t>March 31, 2019 and December 31, 2018, respectively</w:t>
            </w: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360,000</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390,000</w:t>
            </w:r>
          </w:p>
        </w:tc>
        <w:tc>
          <w:tcPr>
            <w:tcW w:w="120" w:type="dxa"/>
            <w:vAlign w:val="bottom"/>
            <w:shd w:val="clear" w:color="auto" w:fill="CFF0FC"/>
          </w:tcPr>
          <w:p>
            <w:pPr>
              <w:spacing w:after="0"/>
              <w:rPr>
                <w:sz w:val="20"/>
                <w:szCs w:val="20"/>
                <w:color w:val="auto"/>
              </w:rPr>
            </w:pPr>
          </w:p>
        </w:tc>
      </w:tr>
      <w:tr>
        <w:trPr>
          <w:trHeight w:val="228"/>
        </w:trPr>
        <w:tc>
          <w:tcPr>
            <w:tcW w:w="642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Other notes</w:t>
            </w:r>
          </w:p>
        </w:tc>
        <w:tc>
          <w:tcPr>
            <w:tcW w:w="1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256</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256</w:t>
            </w:r>
          </w:p>
        </w:tc>
        <w:tc>
          <w:tcPr>
            <w:tcW w:w="120" w:type="dxa"/>
            <w:vAlign w:val="bottom"/>
            <w:tcBorders>
              <w:bottom w:val="single" w:sz="8" w:color="CFF0FC"/>
            </w:tcBorders>
          </w:tcPr>
          <w:p>
            <w:pPr>
              <w:spacing w:after="0"/>
              <w:rPr>
                <w:sz w:val="19"/>
                <w:szCs w:val="19"/>
                <w:color w:val="auto"/>
              </w:rPr>
            </w:pPr>
          </w:p>
        </w:tc>
      </w:tr>
      <w:tr>
        <w:trPr>
          <w:trHeight w:val="222"/>
        </w:trPr>
        <w:tc>
          <w:tcPr>
            <w:tcW w:w="6420" w:type="dxa"/>
            <w:vAlign w:val="bottom"/>
            <w:shd w:val="clear" w:color="auto" w:fill="CFF0FC"/>
          </w:tcPr>
          <w:p>
            <w:pPr>
              <w:spacing w:after="0"/>
              <w:rPr>
                <w:sz w:val="20"/>
                <w:szCs w:val="20"/>
                <w:color w:val="auto"/>
              </w:rPr>
            </w:pPr>
            <w:r>
              <w:rPr>
                <w:rFonts w:ascii="Arial" w:cs="Arial" w:eastAsia="Arial" w:hAnsi="Arial"/>
                <w:sz w:val="19"/>
                <w:szCs w:val="19"/>
                <w:color w:val="auto"/>
              </w:rPr>
              <w:t>Total debt</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3,161,284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3,120,481</w:t>
            </w:r>
          </w:p>
        </w:tc>
        <w:tc>
          <w:tcPr>
            <w:tcW w:w="120" w:type="dxa"/>
            <w:vAlign w:val="bottom"/>
            <w:shd w:val="clear" w:color="auto" w:fill="CFF0FC"/>
          </w:tcPr>
          <w:p>
            <w:pPr>
              <w:spacing w:after="0"/>
              <w:rPr>
                <w:sz w:val="19"/>
                <w:szCs w:val="19"/>
                <w:color w:val="auto"/>
              </w:rPr>
            </w:pPr>
          </w:p>
        </w:tc>
      </w:tr>
      <w:tr>
        <w:trPr>
          <w:trHeight w:val="206"/>
        </w:trPr>
        <w:tc>
          <w:tcPr>
            <w:tcW w:w="6420" w:type="dxa"/>
            <w:vAlign w:val="bottom"/>
          </w:tcPr>
          <w:p>
            <w:pPr>
              <w:spacing w:after="0" w:line="206" w:lineRule="exact"/>
              <w:rPr>
                <w:sz w:val="20"/>
                <w:szCs w:val="20"/>
                <w:color w:val="auto"/>
              </w:rPr>
            </w:pPr>
            <w:r>
              <w:rPr>
                <w:rFonts w:ascii="Arial" w:cs="Arial" w:eastAsia="Arial" w:hAnsi="Arial"/>
                <w:sz w:val="19"/>
                <w:szCs w:val="19"/>
                <w:color w:val="auto"/>
              </w:rPr>
              <w:t>Less: Current maturities of long-term debt and short-term</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6420" w:type="dxa"/>
            <w:vAlign w:val="bottom"/>
          </w:tcPr>
          <w:p>
            <w:pPr>
              <w:ind w:left="140"/>
              <w:spacing w:after="0"/>
              <w:rPr>
                <w:sz w:val="20"/>
                <w:szCs w:val="20"/>
                <w:color w:val="auto"/>
              </w:rPr>
            </w:pPr>
            <w:r>
              <w:rPr>
                <w:rFonts w:ascii="Arial" w:cs="Arial" w:eastAsia="Arial" w:hAnsi="Arial"/>
                <w:sz w:val="19"/>
                <w:szCs w:val="19"/>
                <w:color w:val="auto"/>
              </w:rPr>
              <w:t>facilities</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9"/>
                <w:szCs w:val="19"/>
                <w:color w:val="auto"/>
              </w:rPr>
              <w:t>(360,056)</w:t>
            </w:r>
          </w:p>
        </w:tc>
        <w:tc>
          <w:tcPr>
            <w:tcW w:w="200" w:type="dxa"/>
            <w:vAlign w:val="bottom"/>
          </w:tcPr>
          <w:p>
            <w:pPr>
              <w:spacing w:after="0"/>
              <w:rPr>
                <w:sz w:val="20"/>
                <w:szCs w:val="20"/>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9"/>
                <w:szCs w:val="19"/>
                <w:color w:val="auto"/>
              </w:rPr>
              <w:t>(390,042)</w:t>
            </w:r>
          </w:p>
        </w:tc>
      </w:tr>
      <w:tr>
        <w:trPr>
          <w:trHeight w:val="222"/>
        </w:trPr>
        <w:tc>
          <w:tcPr>
            <w:tcW w:w="6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Long-term debt</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9"/>
                <w:szCs w:val="19"/>
                <w:color w:val="auto"/>
                <w:w w:val="75"/>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2,801,228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9"/>
                <w:szCs w:val="19"/>
                <w:color w:val="auto"/>
                <w:w w:val="75"/>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2,730,439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left="380"/>
        <w:spacing w:after="0" w:line="288" w:lineRule="auto"/>
        <w:rPr>
          <w:sz w:val="20"/>
          <w:szCs w:val="20"/>
          <w:color w:val="auto"/>
        </w:rPr>
      </w:pPr>
      <w:r>
        <w:rPr>
          <w:rFonts w:ascii="Arial" w:cs="Arial" w:eastAsia="Arial" w:hAnsi="Arial"/>
          <w:sz w:val="17"/>
          <w:szCs w:val="17"/>
          <w:color w:val="auto"/>
        </w:rPr>
        <w:t>The Company, through a wholly-owned special-purpose subsidiary, has a $400 million trade receivable securitization facility (the Trade Receivable Facility). The Trade Receivable Facility, with SunTrust Bank, Regions Bank, PNC Bank, N.A., The Bank of Tokyo-Mitsubishi UFJ, LTD. (New York Branch), and certain other lenders that may become a party to the facility from time to time, is backed by eligible trade receivables, as defined, and is limited to the lesser of the facility limit or the borrowing base, as defined. These receivables are originated by the Company and then sold to the wholly-owned special-purpose subsidiary by the Company. The Company continues to be responsible for the servicing and administration of the receivables purchased by the wholly-owned special-purpose subsidiary. Borrowings under the Trade Receivable Facility bear interest at a rate equal to one-month London Interbank Offered Rate, or LIBOR, plus 0.725%, subject to change in the event that this rate no longer reflects the lender’s cost of lending. The Trade Receivable Facility, which contains a cross-default provision to the Company’s other debt agreements, matures on September 25, 2019.</w:t>
      </w:r>
    </w:p>
    <w:p>
      <w:pPr>
        <w:spacing w:after="0" w:line="51" w:lineRule="exact"/>
        <w:rPr>
          <w:sz w:val="20"/>
          <w:szCs w:val="20"/>
          <w:color w:val="auto"/>
        </w:rPr>
      </w:pPr>
    </w:p>
    <w:p>
      <w:pPr>
        <w:jc w:val="both"/>
        <w:ind w:left="380"/>
        <w:spacing w:after="0" w:line="241" w:lineRule="auto"/>
        <w:rPr>
          <w:sz w:val="20"/>
          <w:szCs w:val="20"/>
          <w:color w:val="auto"/>
        </w:rPr>
      </w:pPr>
      <w:r>
        <w:rPr>
          <w:rFonts w:ascii="Arial" w:cs="Arial" w:eastAsia="Arial" w:hAnsi="Arial"/>
          <w:sz w:val="20"/>
          <w:szCs w:val="20"/>
          <w:color w:val="auto"/>
        </w:rPr>
        <w:t>The Company has a $700 million five-year senior unsecured revolving facility (the Revolving Facility), which expires on December 5, 2023, with JPMorgan Chase Bank, N.A., as Administrative Agent, Branch Banking and Trust Company (BB&amp;T), Deutsche Bank Securities, Inc., SunTrust Bank and Wells Fargo Bank, N.A., as Co-Syndication Agents, and the lenders party thereto. Borrowings under the Revolving Facility bear interest, at the Company’s option, at rates based upon LIBOR or a base rate, plus, for each rate, a margin determined in accordance with a ratings-based pricing grid. The Revolving Facility requires the Company’s ratio of consolidated debt-to-consolidated earnings before interest, taxes, depreciation and amortization (EBITDA), as defined by the Revolving Facility, for the trailing-twelve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1" w:lineRule="exact"/>
        <w:rPr>
          <w:sz w:val="20"/>
          <w:szCs w:val="20"/>
          <w:color w:val="auto"/>
        </w:rPr>
      </w:pPr>
    </w:p>
    <w:p>
      <w:pPr>
        <w:jc w:val="both"/>
        <w:ind w:left="380"/>
        <w:spacing w:after="0" w:line="257" w:lineRule="auto"/>
        <w:rPr>
          <w:sz w:val="20"/>
          <w:szCs w:val="20"/>
          <w:color w:val="auto"/>
        </w:rPr>
      </w:pPr>
      <w:r>
        <w:rPr>
          <w:rFonts w:ascii="Arial" w:cs="Arial" w:eastAsia="Arial" w:hAnsi="Arial"/>
          <w:sz w:val="19"/>
          <w:szCs w:val="19"/>
          <w:color w:val="auto"/>
        </w:rPr>
        <w:t>months (the Ratio) to not exceed 3.50x as of the end of any fiscal quarter, provided that the Company may exclude from the Ratio debt incurred in connection with certain acquisitions during such quarter or the three preceding quarters so long as the Ratio calculated without such exclusion does not exceed 3.75x. Additionally, if no amounts are outstanding under both the Revolving Facility and the Trade Receivable Facility, consolidated debt, including debt for which the Company is a co-borrower, may be reduced by the Company’s unrestricted cash and cash equivalents in excess of $50 million, such reduction not to exceed $200 million, for purposes of the covenant calculation. The Company was in compliance with this Ratio at March 31, 2019.</w:t>
      </w:r>
    </w:p>
    <w:p>
      <w:pPr>
        <w:spacing w:after="0" w:line="73" w:lineRule="exact"/>
        <w:rPr>
          <w:sz w:val="20"/>
          <w:szCs w:val="20"/>
          <w:color w:val="auto"/>
        </w:rPr>
      </w:pPr>
    </w:p>
    <w:p>
      <w:pPr>
        <w:jc w:val="both"/>
        <w:ind w:left="380"/>
        <w:spacing w:after="0" w:line="248" w:lineRule="auto"/>
        <w:rPr>
          <w:sz w:val="20"/>
          <w:szCs w:val="20"/>
          <w:color w:val="auto"/>
        </w:rPr>
      </w:pPr>
      <w:r>
        <w:rPr>
          <w:rFonts w:ascii="Arial" w:cs="Arial" w:eastAsia="Arial" w:hAnsi="Arial"/>
          <w:sz w:val="20"/>
          <w:szCs w:val="20"/>
          <w:color w:val="auto"/>
        </w:rPr>
        <w:t>Available borrowings under the Revolving Facility are reduced by any outstanding letters of credit issued by the Company under the Revolving Facility. The Company had $2.3 million of outstanding letters of credit issued under the Revolving Facility at March 31, 2019 and December 31, 2018.</w:t>
      </w:r>
    </w:p>
    <w:p>
      <w:pPr>
        <w:spacing w:after="0" w:line="79" w:lineRule="exact"/>
        <w:rPr>
          <w:sz w:val="20"/>
          <w:szCs w:val="20"/>
          <w:color w:val="auto"/>
        </w:rPr>
      </w:pPr>
    </w:p>
    <w:p>
      <w:pPr>
        <w:jc w:val="both"/>
        <w:ind w:left="380"/>
        <w:spacing w:after="0" w:line="284" w:lineRule="auto"/>
        <w:rPr>
          <w:sz w:val="20"/>
          <w:szCs w:val="20"/>
          <w:color w:val="auto"/>
        </w:rPr>
      </w:pPr>
      <w:r>
        <w:rPr>
          <w:rFonts w:ascii="Arial" w:cs="Arial" w:eastAsia="Arial" w:hAnsi="Arial"/>
          <w:sz w:val="19"/>
          <w:szCs w:val="19"/>
          <w:color w:val="auto"/>
        </w:rPr>
        <w:t>The Floating Senior Rate Notes due 2019 are classified as noncurrent long-term debt on the consolidated balance sheets as of March 31, 2019 and December 31, 2018 as the Company has the ability and intent to refinance the notes on a long-term basis.</w:t>
      </w:r>
    </w:p>
    <w:p>
      <w:pPr>
        <w:spacing w:after="0" w:line="256" w:lineRule="exact"/>
        <w:rPr>
          <w:sz w:val="20"/>
          <w:szCs w:val="20"/>
          <w:color w:val="auto"/>
        </w:rPr>
      </w:pPr>
    </w:p>
    <w:p>
      <w:pPr>
        <w:ind w:left="380" w:hanging="373"/>
        <w:spacing w:after="0"/>
        <w:tabs>
          <w:tab w:leader="none" w:pos="3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11" w:lineRule="exact"/>
        <w:rPr>
          <w:rFonts w:ascii="Arial" w:cs="Arial" w:eastAsia="Arial" w:hAnsi="Arial"/>
          <w:sz w:val="20"/>
          <w:szCs w:val="20"/>
          <w:b w:val="1"/>
          <w:bCs w:val="1"/>
          <w:color w:val="auto"/>
        </w:rPr>
      </w:pPr>
    </w:p>
    <w:p>
      <w:pPr>
        <w:ind w:left="380"/>
        <w:spacing w:after="0" w:line="258" w:lineRule="auto"/>
        <w:rPr>
          <w:rFonts w:ascii="Arial" w:cs="Arial" w:eastAsia="Arial" w:hAnsi="Arial"/>
          <w:sz w:val="20"/>
          <w:szCs w:val="20"/>
          <w:b w:val="1"/>
          <w:bCs w:val="1"/>
          <w:color w:val="auto"/>
        </w:rPr>
      </w:pPr>
      <w:r>
        <w:rPr>
          <w:rFonts w:ascii="Arial" w:cs="Arial" w:eastAsia="Arial" w:hAnsi="Arial"/>
          <w:sz w:val="20"/>
          <w:szCs w:val="20"/>
          <w:color w:val="auto"/>
        </w:rPr>
        <w:t>The Company’s financial instruments include cash equivalents, accounts receivable, notes receivable, accounts payable, publicly-registered long-term notes, debentures and other long-term debt.</w:t>
      </w:r>
    </w:p>
    <w:p>
      <w:pPr>
        <w:spacing w:after="0" w:line="69" w:lineRule="exact"/>
        <w:rPr>
          <w:rFonts w:ascii="Arial" w:cs="Arial" w:eastAsia="Arial" w:hAnsi="Arial"/>
          <w:sz w:val="20"/>
          <w:szCs w:val="20"/>
          <w:b w:val="1"/>
          <w:bCs w:val="1"/>
          <w:color w:val="auto"/>
        </w:rPr>
      </w:pPr>
    </w:p>
    <w:p>
      <w:pPr>
        <w:jc w:val="both"/>
        <w:ind w:left="380"/>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Cash equivalents are placed primarily in money market funds, money market demand deposit accounts and Eurodollar time deposits. The Company’s cash equivalents have original maturities of less than three months. Due to the short maturity of these investments, they are carried on the consolidated balance sheets at cost, which approximates fair value.</w:t>
      </w:r>
    </w:p>
    <w:p>
      <w:pPr>
        <w:spacing w:after="0" w:line="79" w:lineRule="exact"/>
        <w:rPr>
          <w:rFonts w:ascii="Arial" w:cs="Arial" w:eastAsia="Arial" w:hAnsi="Arial"/>
          <w:sz w:val="20"/>
          <w:szCs w:val="20"/>
          <w:b w:val="1"/>
          <w:bCs w:val="1"/>
          <w:color w:val="auto"/>
        </w:rPr>
      </w:pPr>
    </w:p>
    <w:p>
      <w:pPr>
        <w:jc w:val="both"/>
        <w:ind w:left="380" w:right="20"/>
        <w:spacing w:after="0" w:line="267" w:lineRule="auto"/>
        <w:rPr>
          <w:rFonts w:ascii="Arial" w:cs="Arial" w:eastAsia="Arial" w:hAnsi="Arial"/>
          <w:sz w:val="20"/>
          <w:szCs w:val="20"/>
          <w:b w:val="1"/>
          <w:bCs w:val="1"/>
          <w:color w:val="auto"/>
        </w:rPr>
      </w:pPr>
      <w:r>
        <w:rPr>
          <w:rFonts w:ascii="Arial" w:cs="Arial" w:eastAsia="Arial" w:hAnsi="Arial"/>
          <w:sz w:val="19"/>
          <w:szCs w:val="19"/>
          <w:color w:val="auto"/>
        </w:rPr>
        <w:t>Accounts receivable are due from a large number of customers, primarily in the construction industry, and are dispersed across wide geographic and economic regions. No single customer accounted for 10% or more of consolidated total revenues. The estimated fair values of accounts receivable approximate their carrying amounts due to the short-term nature of the receivables.</w:t>
      </w:r>
    </w:p>
    <w:p>
      <w:pPr>
        <w:spacing w:after="0" w:line="63" w:lineRule="exact"/>
        <w:rPr>
          <w:rFonts w:ascii="Arial" w:cs="Arial" w:eastAsia="Arial" w:hAnsi="Arial"/>
          <w:sz w:val="20"/>
          <w:szCs w:val="20"/>
          <w:b w:val="1"/>
          <w:bCs w:val="1"/>
          <w:color w:val="auto"/>
        </w:rPr>
      </w:pPr>
    </w:p>
    <w:p>
      <w:pPr>
        <w:ind w:left="380"/>
        <w:spacing w:after="0" w:line="258" w:lineRule="auto"/>
        <w:rPr>
          <w:rFonts w:ascii="Arial" w:cs="Arial" w:eastAsia="Arial" w:hAnsi="Arial"/>
          <w:sz w:val="20"/>
          <w:szCs w:val="20"/>
          <w:b w:val="1"/>
          <w:bCs w:val="1"/>
          <w:color w:val="auto"/>
        </w:rPr>
      </w:pPr>
      <w:r>
        <w:rPr>
          <w:rFonts w:ascii="Arial" w:cs="Arial" w:eastAsia="Arial" w:hAnsi="Arial"/>
          <w:sz w:val="20"/>
          <w:szCs w:val="20"/>
          <w:color w:val="auto"/>
        </w:rPr>
        <w:t>Notes receivable are not publicly traded. Management estimates that the fair value of notes receivable approximates the carrying amount due to the short-term nature of the receivables.</w:t>
      </w:r>
    </w:p>
    <w:p>
      <w:pPr>
        <w:spacing w:after="0" w:line="69" w:lineRule="exact"/>
        <w:rPr>
          <w:rFonts w:ascii="Arial" w:cs="Arial" w:eastAsia="Arial" w:hAnsi="Arial"/>
          <w:sz w:val="20"/>
          <w:szCs w:val="20"/>
          <w:b w:val="1"/>
          <w:bCs w:val="1"/>
          <w:color w:val="auto"/>
        </w:rPr>
      </w:pPr>
    </w:p>
    <w:p>
      <w:pPr>
        <w:ind w:left="380"/>
        <w:spacing w:after="0" w:line="258" w:lineRule="auto"/>
        <w:rPr>
          <w:rFonts w:ascii="Arial" w:cs="Arial" w:eastAsia="Arial" w:hAnsi="Arial"/>
          <w:sz w:val="20"/>
          <w:szCs w:val="20"/>
          <w:b w:val="1"/>
          <w:bCs w:val="1"/>
          <w:color w:val="auto"/>
        </w:rPr>
      </w:pPr>
      <w:r>
        <w:rPr>
          <w:rFonts w:ascii="Arial" w:cs="Arial" w:eastAsia="Arial" w:hAnsi="Arial"/>
          <w:sz w:val="20"/>
          <w:szCs w:val="20"/>
          <w:color w:val="auto"/>
        </w:rPr>
        <w:t>Accounts payable represent amounts owed to suppliers and vendors. The estimated fair value of accounts payable approximates its carrying amount due to the short-term nature of the payables.</w:t>
      </w:r>
    </w:p>
    <w:p>
      <w:pPr>
        <w:spacing w:after="0" w:line="69" w:lineRule="exact"/>
        <w:rPr>
          <w:rFonts w:ascii="Arial" w:cs="Arial" w:eastAsia="Arial" w:hAnsi="Arial"/>
          <w:sz w:val="20"/>
          <w:szCs w:val="20"/>
          <w:b w:val="1"/>
          <w:bCs w:val="1"/>
          <w:color w:val="auto"/>
        </w:rPr>
      </w:pPr>
    </w:p>
    <w:p>
      <w:pPr>
        <w:jc w:val="both"/>
        <w:ind w:left="38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The carrying values and fair values of the Company’s long-term debt were $3.16 billion and $3.13 billion, respectively, at March 31, 2019 and $3.12 billion and $3.01 billion, respectively, at December 31, 2018. The estimated fair value of the publicly-registered long-term notes was estimated based on Level 2 of the fair value hierarchy using quoted market prices. The estimated fair value of other borrowings approximate their carrying amounts as the interest rates reset periodically.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40" w:lineRule="exact"/>
        <w:rPr>
          <w:sz w:val="20"/>
          <w:szCs w:val="20"/>
          <w:color w:val="auto"/>
        </w:rPr>
      </w:pPr>
    </w:p>
    <w:p>
      <w:pPr>
        <w:ind w:left="380" w:hanging="373"/>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11" w:lineRule="exact"/>
        <w:rPr>
          <w:rFonts w:ascii="Arial" w:cs="Arial" w:eastAsia="Arial" w:hAnsi="Arial"/>
          <w:sz w:val="20"/>
          <w:szCs w:val="20"/>
          <w:b w:val="1"/>
          <w:bCs w:val="1"/>
          <w:color w:val="auto"/>
        </w:rPr>
      </w:pPr>
    </w:p>
    <w:p>
      <w:pPr>
        <w:jc w:val="both"/>
        <w:ind w:left="380"/>
        <w:spacing w:after="0" w:line="302" w:lineRule="auto"/>
        <w:rPr>
          <w:rFonts w:ascii="Arial" w:cs="Arial" w:eastAsia="Arial" w:hAnsi="Arial"/>
          <w:sz w:val="20"/>
          <w:szCs w:val="20"/>
          <w:b w:val="1"/>
          <w:bCs w:val="1"/>
          <w:color w:val="auto"/>
        </w:rPr>
      </w:pPr>
      <w:r>
        <w:rPr>
          <w:rFonts w:ascii="Arial" w:cs="Arial" w:eastAsia="Arial" w:hAnsi="Arial"/>
          <w:sz w:val="17"/>
          <w:szCs w:val="17"/>
          <w:color w:val="auto"/>
        </w:rPr>
        <w:t>The effective income tax rate reflects the effect of federal and state income taxes on earnings and the impact of differences in book and tax accounting arising from the net permanent tax benefits associated with the statutory depletion deduction for mineral reserves. Additionally, for the three months ended March 31, 2019, the effective income tax rate includes a $13.2 million discrete benefit from a change in the tax status of a subsidiary from a partnership to a corporation, contributing to an overall tax benefit of $5.0 million.</w:t>
      </w:r>
    </w:p>
    <w:p>
      <w:pPr>
        <w:spacing w:after="0" w:line="36" w:lineRule="exact"/>
        <w:rPr>
          <w:rFonts w:ascii="Arial" w:cs="Arial" w:eastAsia="Arial" w:hAnsi="Arial"/>
          <w:sz w:val="20"/>
          <w:szCs w:val="20"/>
          <w:b w:val="1"/>
          <w:bCs w:val="1"/>
          <w:color w:val="auto"/>
        </w:rPr>
      </w:pPr>
    </w:p>
    <w:p>
      <w:pPr>
        <w:ind w:left="380"/>
        <w:spacing w:after="0" w:line="258" w:lineRule="auto"/>
        <w:rPr>
          <w:rFonts w:ascii="Arial" w:cs="Arial" w:eastAsia="Arial" w:hAnsi="Arial"/>
          <w:sz w:val="20"/>
          <w:szCs w:val="20"/>
          <w:b w:val="1"/>
          <w:bCs w:val="1"/>
          <w:color w:val="auto"/>
        </w:rPr>
      </w:pPr>
      <w:r>
        <w:rPr>
          <w:rFonts w:ascii="Arial" w:cs="Arial" w:eastAsia="Arial" w:hAnsi="Arial"/>
          <w:sz w:val="20"/>
          <w:szCs w:val="20"/>
          <w:color w:val="auto"/>
        </w:rPr>
        <w:t>The Company records interest accrued in relation to unrecognized tax benefits as income tax expense. Penalties, if incurred, are recorded as operating expenses in the consolidated statements of earnings and comprehensive earnings.</w:t>
      </w:r>
    </w:p>
    <w:p>
      <w:pPr>
        <w:spacing w:after="0" w:line="278" w:lineRule="exact"/>
        <w:rPr>
          <w:rFonts w:ascii="Arial" w:cs="Arial" w:eastAsia="Arial" w:hAnsi="Arial"/>
          <w:sz w:val="20"/>
          <w:szCs w:val="20"/>
          <w:b w:val="1"/>
          <w:bCs w:val="1"/>
          <w:color w:val="auto"/>
        </w:rPr>
      </w:pPr>
    </w:p>
    <w:p>
      <w:pPr>
        <w:ind w:left="380" w:hanging="373"/>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Postretirement Benefits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estimated components of the recorded net periodic benefit cost (credit) for pension and postretirement benefits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ind w:right="62"/>
              <w:spacing w:after="0"/>
              <w:rPr>
                <w:sz w:val="20"/>
                <w:szCs w:val="20"/>
                <w:color w:val="auto"/>
              </w:rPr>
            </w:pPr>
            <w:r>
              <w:rPr>
                <w:rFonts w:ascii="Arial" w:cs="Arial" w:eastAsia="Arial" w:hAnsi="Arial"/>
                <w:sz w:val="20"/>
                <w:szCs w:val="20"/>
                <w:color w:val="auto"/>
              </w:rPr>
              <w:t>Pension</w:t>
            </w: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gridSpan w:val="6"/>
          </w:tcPr>
          <w:p>
            <w:pPr>
              <w:jc w:val="right"/>
              <w:ind w:right="960"/>
              <w:spacing w:after="0"/>
              <w:rPr>
                <w:sz w:val="20"/>
                <w:szCs w:val="20"/>
                <w:color w:val="auto"/>
              </w:rPr>
            </w:pPr>
            <w:r>
              <w:rPr>
                <w:rFonts w:ascii="Arial" w:cs="Arial" w:eastAsia="Arial" w:hAnsi="Arial"/>
                <w:sz w:val="20"/>
                <w:szCs w:val="20"/>
                <w:color w:val="auto"/>
              </w:rPr>
              <w:t>Postretirement Benefits</w:t>
            </w:r>
          </w:p>
        </w:tc>
      </w:tr>
      <w:tr>
        <w:trPr>
          <w:trHeight w:val="235"/>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3380" w:type="dxa"/>
            <w:vAlign w:val="bottom"/>
            <w:tcBorders>
              <w:top w:val="single" w:sz="8" w:color="auto"/>
              <w:bottom w:val="single" w:sz="8" w:color="auto"/>
            </w:tcBorders>
            <w:gridSpan w:val="5"/>
          </w:tcPr>
          <w:p>
            <w:pPr>
              <w:jc w:val="right"/>
              <w:ind w:right="680"/>
              <w:spacing w:after="0"/>
              <w:rPr>
                <w:sz w:val="20"/>
                <w:szCs w:val="20"/>
                <w:color w:val="auto"/>
              </w:rPr>
            </w:pPr>
            <w:r>
              <w:rPr>
                <w:rFonts w:ascii="Arial" w:cs="Arial" w:eastAsia="Arial" w:hAnsi="Arial"/>
                <w:sz w:val="20"/>
                <w:szCs w:val="20"/>
                <w:color w:val="auto"/>
                <w:w w:val="95"/>
              </w:rPr>
              <w:t>Three Months Ended March 31,</w:t>
            </w: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2019</w:t>
            </w: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2018</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2019</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2018</w:t>
            </w:r>
          </w:p>
        </w:tc>
        <w:tc>
          <w:tcPr>
            <w:tcW w:w="100" w:type="dxa"/>
            <w:vAlign w:val="bottom"/>
          </w:tcPr>
          <w:p>
            <w:pPr>
              <w:spacing w:after="0"/>
              <w:rPr>
                <w:sz w:val="20"/>
                <w:szCs w:val="20"/>
                <w:color w:val="auto"/>
              </w:rPr>
            </w:pPr>
          </w:p>
        </w:tc>
      </w:tr>
      <w:tr>
        <w:trPr>
          <w:trHeight w:val="235"/>
        </w:trPr>
        <w:tc>
          <w:tcPr>
            <w:tcW w:w="3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80" w:type="dxa"/>
            <w:vAlign w:val="bottom"/>
            <w:gridSpan w:val="5"/>
          </w:tcPr>
          <w:p>
            <w:pPr>
              <w:jc w:val="right"/>
              <w:ind w:right="1020"/>
              <w:spacing w:after="0"/>
              <w:rPr>
                <w:sz w:val="20"/>
                <w:szCs w:val="20"/>
                <w:color w:val="auto"/>
              </w:rPr>
            </w:pPr>
            <w:r>
              <w:rPr>
                <w:rFonts w:ascii="Arial" w:cs="Arial" w:eastAsia="Arial" w:hAnsi="Arial"/>
                <w:sz w:val="20"/>
                <w:szCs w:val="20"/>
                <w:i w:val="1"/>
                <w:iCs w:val="1"/>
                <w:color w:val="auto"/>
              </w:rPr>
              <w:t>(Dollars in Thousands)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328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1040" w:type="dxa"/>
            <w:vAlign w:val="bottom"/>
            <w:gridSpan w:val="2"/>
            <w:shd w:val="clear" w:color="auto" w:fill="CFF0FC"/>
          </w:tcPr>
          <w:p>
            <w:pPr>
              <w:jc w:val="right"/>
              <w:ind w:right="162"/>
              <w:spacing w:after="0"/>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7,872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22"/>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8,148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62"/>
              <w:spacing w:after="0"/>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100" w:type="dxa"/>
            <w:vAlign w:val="bottom"/>
            <w:shd w:val="clear" w:color="auto" w:fill="CFF0FC"/>
          </w:tcPr>
          <w:p>
            <w:pPr>
              <w:spacing w:after="0"/>
              <w:rPr>
                <w:sz w:val="21"/>
                <w:szCs w:val="21"/>
                <w:color w:val="auto"/>
              </w:rPr>
            </w:pPr>
          </w:p>
        </w:tc>
      </w:tr>
      <w:tr>
        <w:trPr>
          <w:trHeight w:val="242"/>
        </w:trPr>
        <w:tc>
          <w:tcPr>
            <w:tcW w:w="3280" w:type="dxa"/>
            <w:vAlign w:val="bottom"/>
          </w:tcPr>
          <w:p>
            <w:pPr>
              <w:spacing w:after="0"/>
              <w:rPr>
                <w:sz w:val="20"/>
                <w:szCs w:val="20"/>
                <w:color w:val="auto"/>
              </w:rPr>
            </w:pPr>
            <w:r>
              <w:rPr>
                <w:rFonts w:ascii="Arial" w:cs="Arial" w:eastAsia="Arial" w:hAnsi="Arial"/>
                <w:sz w:val="20"/>
                <w:szCs w:val="20"/>
                <w:color w:val="auto"/>
              </w:rPr>
              <w:t>Interest cost</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9,395</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8,361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131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125</w:t>
            </w:r>
          </w:p>
        </w:tc>
        <w:tc>
          <w:tcPr>
            <w:tcW w:w="100" w:type="dxa"/>
            <w:vAlign w:val="bottom"/>
          </w:tcPr>
          <w:p>
            <w:pPr>
              <w:spacing w:after="0"/>
              <w:rPr>
                <w:sz w:val="21"/>
                <w:szCs w:val="21"/>
                <w:color w:val="auto"/>
              </w:rPr>
            </w:pPr>
          </w:p>
        </w:tc>
      </w:tr>
      <w:tr>
        <w:trPr>
          <w:trHeight w:val="242"/>
        </w:trPr>
        <w:tc>
          <w:tcPr>
            <w:tcW w:w="3280" w:type="dxa"/>
            <w:vAlign w:val="bottom"/>
            <w:shd w:val="clear" w:color="auto" w:fill="CFF0FC"/>
          </w:tcPr>
          <w:p>
            <w:pPr>
              <w:spacing w:after="0"/>
              <w:rPr>
                <w:sz w:val="20"/>
                <w:szCs w:val="20"/>
                <w:color w:val="auto"/>
              </w:rPr>
            </w:pPr>
            <w:r>
              <w:rPr>
                <w:rFonts w:ascii="Arial" w:cs="Arial" w:eastAsia="Arial" w:hAnsi="Arial"/>
                <w:sz w:val="20"/>
                <w:szCs w:val="20"/>
                <w:color w:val="auto"/>
              </w:rPr>
              <w:t>Expected return on assets</w:t>
            </w: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(11,966)</w:t>
            </w:r>
          </w:p>
        </w:tc>
        <w:tc>
          <w:tcPr>
            <w:tcW w:w="3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(10,629)</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42"/>
        </w:trPr>
        <w:tc>
          <w:tcPr>
            <w:tcW w:w="3280" w:type="dxa"/>
            <w:vAlign w:val="bottom"/>
          </w:tcPr>
          <w:p>
            <w:pPr>
              <w:spacing w:after="0"/>
              <w:rPr>
                <w:sz w:val="20"/>
                <w:szCs w:val="20"/>
                <w:color w:val="auto"/>
              </w:rPr>
            </w:pPr>
            <w:r>
              <w:rPr>
                <w:rFonts w:ascii="Arial" w:cs="Arial" w:eastAsia="Arial" w:hAnsi="Arial"/>
                <w:sz w:val="20"/>
                <w:szCs w:val="20"/>
                <w:color w:val="auto"/>
              </w:rPr>
              <w:t>Amortization of:</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32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Prior service cost (credit)</w:t>
            </w: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(190)</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(611)</w:t>
            </w:r>
          </w:p>
        </w:tc>
      </w:tr>
      <w:tr>
        <w:trPr>
          <w:trHeight w:val="242"/>
        </w:trPr>
        <w:tc>
          <w:tcPr>
            <w:tcW w:w="3280" w:type="dxa"/>
            <w:vAlign w:val="bottom"/>
          </w:tcPr>
          <w:p>
            <w:pPr>
              <w:ind w:left="260"/>
              <w:spacing w:after="0"/>
              <w:rPr>
                <w:sz w:val="20"/>
                <w:szCs w:val="20"/>
                <w:color w:val="auto"/>
              </w:rPr>
            </w:pPr>
            <w:r>
              <w:rPr>
                <w:rFonts w:ascii="Arial" w:cs="Arial" w:eastAsia="Arial" w:hAnsi="Arial"/>
                <w:sz w:val="20"/>
                <w:szCs w:val="20"/>
                <w:color w:val="auto"/>
              </w:rPr>
              <w:t>Actuarial loss (gain)</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3,932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3,296</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20"/>
                <w:szCs w:val="20"/>
                <w:color w:val="auto"/>
              </w:rPr>
              <w:t>(118)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(57)</w:t>
            </w:r>
          </w:p>
        </w:tc>
      </w:tr>
      <w:tr>
        <w:trPr>
          <w:trHeight w:val="235"/>
        </w:trPr>
        <w:tc>
          <w:tcPr>
            <w:tcW w:w="3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periodic benefit cost (credit)</w:t>
            </w:r>
          </w:p>
        </w:tc>
        <w:tc>
          <w:tcPr>
            <w:tcW w:w="6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9,235</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22"/>
              <w:spacing w:after="0"/>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9,202</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(162)</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80"/>
        <w:spacing w:after="0" w:line="248" w:lineRule="auto"/>
        <w:rPr>
          <w:sz w:val="20"/>
          <w:szCs w:val="20"/>
          <w:color w:val="auto"/>
        </w:rPr>
      </w:pPr>
      <w:r>
        <w:rPr>
          <w:rFonts w:ascii="Arial" w:cs="Arial" w:eastAsia="Arial" w:hAnsi="Arial"/>
          <w:sz w:val="20"/>
          <w:szCs w:val="20"/>
          <w:color w:val="auto"/>
        </w:rPr>
        <w:t>The service cost component of net periodic benefit cost (credit) is included in cost of revenues – products and services and selling, general and administrative expenses. All other components are included in other nonoperating income, net, in the consolidated statements of earnings and comprehensive earnings.</w:t>
      </w:r>
    </w:p>
    <w:p>
      <w:pPr>
        <w:spacing w:after="0" w:line="288" w:lineRule="exact"/>
        <w:rPr>
          <w:sz w:val="20"/>
          <w:szCs w:val="20"/>
          <w:color w:val="auto"/>
        </w:rPr>
      </w:pPr>
    </w:p>
    <w:p>
      <w:pPr>
        <w:ind w:left="380" w:right="8020" w:hanging="373"/>
        <w:spacing w:after="0" w:line="415" w:lineRule="auto"/>
        <w:tabs>
          <w:tab w:leader="none" w:pos="376"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u w:val="single" w:color="auto"/>
          <w:color w:val="auto"/>
        </w:rPr>
        <w:t>Legal and Administrative Proceedings</w:t>
      </w:r>
    </w:p>
    <w:p>
      <w:pPr>
        <w:spacing w:after="0" w:line="1" w:lineRule="exact"/>
        <w:rPr>
          <w:rFonts w:ascii="Arial" w:cs="Arial" w:eastAsia="Arial" w:hAnsi="Arial"/>
          <w:sz w:val="17"/>
          <w:szCs w:val="17"/>
          <w:b w:val="1"/>
          <w:bCs w:val="1"/>
          <w:color w:val="auto"/>
        </w:rPr>
      </w:pPr>
    </w:p>
    <w:p>
      <w:pPr>
        <w:jc w:val="both"/>
        <w:ind w:left="380"/>
        <w:spacing w:after="0" w:line="262" w:lineRule="auto"/>
        <w:rPr>
          <w:rFonts w:ascii="Arial" w:cs="Arial" w:eastAsia="Arial" w:hAnsi="Arial"/>
          <w:sz w:val="17"/>
          <w:szCs w:val="17"/>
          <w:b w:val="1"/>
          <w:bCs w:val="1"/>
          <w:color w:val="auto"/>
        </w:rPr>
      </w:pPr>
      <w:r>
        <w:rPr>
          <w:rFonts w:ascii="Arial" w:cs="Arial" w:eastAsia="Arial" w:hAnsi="Arial"/>
          <w:sz w:val="19"/>
          <w:szCs w:val="19"/>
          <w:color w:val="auto"/>
        </w:rPr>
        <w:t>The Company is engaged in 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relating to the Company and its subsidiaries, will have a material adverse effect on the overall results of the Company’s operations, its cash flows or its financial position.</w:t>
      </w:r>
    </w:p>
    <w:p>
      <w:pPr>
        <w:spacing w:after="0" w:line="173"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20"/>
          <w:szCs w:val="20"/>
          <w:u w:val="single" w:color="auto"/>
          <w:color w:val="auto"/>
        </w:rPr>
        <w:t>Borrowing Arrangements with Affiliate</w:t>
      </w:r>
    </w:p>
    <w:p>
      <w:pPr>
        <w:spacing w:after="0" w:line="105" w:lineRule="exact"/>
        <w:rPr>
          <w:rFonts w:ascii="Arial" w:cs="Arial" w:eastAsia="Arial" w:hAnsi="Arial"/>
          <w:sz w:val="17"/>
          <w:szCs w:val="17"/>
          <w:b w:val="1"/>
          <w:bCs w:val="1"/>
          <w:color w:val="auto"/>
        </w:rPr>
      </w:pPr>
    </w:p>
    <w:p>
      <w:pPr>
        <w:jc w:val="both"/>
        <w:ind w:left="380"/>
        <w:spacing w:after="0" w:line="248" w:lineRule="auto"/>
        <w:rPr>
          <w:rFonts w:ascii="Arial" w:cs="Arial" w:eastAsia="Arial" w:hAnsi="Arial"/>
          <w:sz w:val="17"/>
          <w:szCs w:val="17"/>
          <w:b w:val="1"/>
          <w:bCs w:val="1"/>
          <w:color w:val="auto"/>
        </w:rPr>
      </w:pPr>
      <w:r>
        <w:rPr>
          <w:rFonts w:ascii="Arial" w:cs="Arial" w:eastAsia="Arial" w:hAnsi="Arial"/>
          <w:sz w:val="20"/>
          <w:szCs w:val="20"/>
          <w:color w:val="auto"/>
        </w:rPr>
        <w:t>The Company is a co-borrower with an unconsolidated affiliate for a $15.5 million revolving line of credit agreement with BB&amp;T, of which $12.8 million was outstanding as of March 31, 2019 and has a maturity date of March 2020. The affiliate has agreed to reimburse and indemnify the Company for any payments and expenses the Company may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1" w:lineRule="exact"/>
        <w:rPr>
          <w:sz w:val="20"/>
          <w:szCs w:val="20"/>
          <w:color w:val="auto"/>
        </w:rPr>
      </w:pPr>
    </w:p>
    <w:p>
      <w:pPr>
        <w:jc w:val="both"/>
        <w:ind w:left="380"/>
        <w:spacing w:after="0" w:line="258" w:lineRule="auto"/>
        <w:rPr>
          <w:sz w:val="20"/>
          <w:szCs w:val="20"/>
          <w:color w:val="auto"/>
        </w:rPr>
      </w:pPr>
      <w:r>
        <w:rPr>
          <w:rFonts w:ascii="Arial" w:cs="Arial" w:eastAsia="Arial" w:hAnsi="Arial"/>
          <w:sz w:val="20"/>
          <w:szCs w:val="20"/>
          <w:color w:val="auto"/>
        </w:rPr>
        <w:t>incur from this agreement. The Company holds a lien on the affiliate’s membership interest in a joint venture as collateral for payment under the revolving line of credit.</w:t>
      </w:r>
    </w:p>
    <w:p>
      <w:pPr>
        <w:spacing w:after="0" w:line="69" w:lineRule="exact"/>
        <w:rPr>
          <w:sz w:val="20"/>
          <w:szCs w:val="20"/>
          <w:color w:val="auto"/>
        </w:rPr>
      </w:pPr>
    </w:p>
    <w:p>
      <w:pPr>
        <w:jc w:val="both"/>
        <w:ind w:left="380"/>
        <w:spacing w:after="0" w:line="258" w:lineRule="auto"/>
        <w:rPr>
          <w:sz w:val="20"/>
          <w:szCs w:val="20"/>
          <w:color w:val="auto"/>
        </w:rPr>
      </w:pPr>
      <w:r>
        <w:rPr>
          <w:rFonts w:ascii="Arial" w:cs="Arial" w:eastAsia="Arial" w:hAnsi="Arial"/>
          <w:sz w:val="20"/>
          <w:szCs w:val="20"/>
          <w:color w:val="auto"/>
        </w:rPr>
        <w:t>In addition, the Company has a $6.0 million interest-only loan, due December 31, 2022, outstanding from this unconsolidated affiliate as of March 31, 2019 and December 31, 2018. The interest rate is one-month LIBOR plus a current spread of 1.75%.</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20"/>
          <w:szCs w:val="20"/>
          <w:u w:val="single" w:color="auto"/>
          <w:color w:val="auto"/>
        </w:rPr>
        <w:t>Letters of Credit</w:t>
      </w:r>
    </w:p>
    <w:p>
      <w:pPr>
        <w:spacing w:after="0" w:line="106" w:lineRule="exact"/>
        <w:rPr>
          <w:sz w:val="20"/>
          <w:szCs w:val="20"/>
          <w:color w:val="auto"/>
        </w:rPr>
      </w:pPr>
    </w:p>
    <w:p>
      <w:pPr>
        <w:jc w:val="both"/>
        <w:ind w:left="380"/>
        <w:spacing w:after="0" w:line="267" w:lineRule="auto"/>
        <w:rPr>
          <w:sz w:val="20"/>
          <w:szCs w:val="20"/>
          <w:color w:val="auto"/>
        </w:rPr>
      </w:pPr>
      <w:r>
        <w:rPr>
          <w:rFonts w:ascii="Arial" w:cs="Arial" w:eastAsia="Arial" w:hAnsi="Arial"/>
          <w:sz w:val="19"/>
          <w:szCs w:val="19"/>
          <w:color w:val="auto"/>
        </w:rPr>
        <w:t>In the normal course of business, the Company provides certain third parties with standby letter of credit agreements guaranteeing its payment for certain insurance claims, contract performance and permit requirements. At March 31, 2019, the Company was contingently liable for $36.1 million in letters of credit, of which $2.3 million were issued under the Company’s Revolving Facility.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20"/>
          <w:szCs w:val="20"/>
          <w:u w:val="single" w:color="auto"/>
          <w:color w:val="auto"/>
        </w:rPr>
        <w:t>Employees</w:t>
      </w:r>
    </w:p>
    <w:p>
      <w:pPr>
        <w:spacing w:after="0" w:line="106" w:lineRule="exact"/>
        <w:rPr>
          <w:sz w:val="20"/>
          <w:szCs w:val="20"/>
          <w:color w:val="auto"/>
        </w:rPr>
      </w:pPr>
    </w:p>
    <w:p>
      <w:pPr>
        <w:jc w:val="both"/>
        <w:ind w:left="380"/>
        <w:spacing w:after="0" w:line="313" w:lineRule="auto"/>
        <w:rPr>
          <w:sz w:val="20"/>
          <w:szCs w:val="20"/>
          <w:color w:val="auto"/>
        </w:rPr>
      </w:pPr>
      <w:r>
        <w:rPr>
          <w:rFonts w:ascii="Arial" w:cs="Arial" w:eastAsia="Arial" w:hAnsi="Arial"/>
          <w:sz w:val="17"/>
          <w:szCs w:val="17"/>
          <w:color w:val="auto"/>
        </w:rPr>
        <w:t>The Company maintains collective bargaining agreements relating to the union employees within the Building Materials business and Magnesia Specialties segment. Of the Magnesia Specialties segment, 100% of its hourly employees are represented by labor unions. The Manistee collective bargaining agreement expires in August 2019. The Woodville collective bargaining agreement expires June 2022.</w:t>
      </w:r>
    </w:p>
    <w:p>
      <w:pPr>
        <w:spacing w:after="0" w:line="344" w:lineRule="exact"/>
        <w:rPr>
          <w:sz w:val="20"/>
          <w:szCs w:val="20"/>
          <w:color w:val="auto"/>
        </w:rPr>
      </w:pPr>
    </w:p>
    <w:p>
      <w:pPr>
        <w:ind w:left="380" w:hanging="373"/>
        <w:spacing w:after="0"/>
        <w:tabs>
          <w:tab w:leader="none" w:pos="3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w:t>
      </w:r>
    </w:p>
    <w:p>
      <w:pPr>
        <w:spacing w:after="0" w:line="57" w:lineRule="exact"/>
        <w:rPr>
          <w:rFonts w:ascii="Arial" w:cs="Arial" w:eastAsia="Arial" w:hAnsi="Arial"/>
          <w:sz w:val="20"/>
          <w:szCs w:val="20"/>
          <w:b w:val="1"/>
          <w:bCs w:val="1"/>
          <w:color w:val="auto"/>
        </w:rPr>
      </w:pPr>
    </w:p>
    <w:p>
      <w:pPr>
        <w:jc w:val="both"/>
        <w:ind w:left="380"/>
        <w:spacing w:after="0" w:line="255" w:lineRule="auto"/>
        <w:rPr>
          <w:rFonts w:ascii="Arial" w:cs="Arial" w:eastAsia="Arial" w:hAnsi="Arial"/>
          <w:sz w:val="20"/>
          <w:szCs w:val="20"/>
          <w:b w:val="1"/>
          <w:bCs w:val="1"/>
          <w:color w:val="auto"/>
        </w:rPr>
      </w:pPr>
      <w:r>
        <w:rPr>
          <w:rFonts w:ascii="Arial" w:cs="Arial" w:eastAsia="Arial" w:hAnsi="Arial"/>
          <w:sz w:val="19"/>
          <w:szCs w:val="19"/>
          <w:color w:val="auto"/>
        </w:rPr>
        <w:t>The Building Materials business contains three reportable business segments: Mid-America Group, Southeast Group and West Group. The Company also has a Magnesia Specialties segment. The Company’s evaluation of performance and allocation of resources are based primarily on earnings from operations. Consolidated earnings from operations include total revenues less cost of revenues; selling, general and administrative expenses; acquisition-related expenses, net; other operating income and expenses, net; and exclude interest expense; other nonoperating income and expenses, net; and taxes on income. Corporate loss from operations primarily includes depreciation on capitalized interest; unallocated expenses for corporate administrative functions; acquisition-related expenses, net; and other nonrecurring income and expenses excluded from the Company’s evaluation of business segment performance and resource allocation. All debt and related interest expense are held at Corporate.</w:t>
      </w:r>
    </w:p>
    <w:p>
      <w:pPr>
        <w:spacing w:after="0" w:line="76" w:lineRule="exact"/>
        <w:rPr>
          <w:rFonts w:ascii="Arial" w:cs="Arial" w:eastAsia="Arial" w:hAnsi="Arial"/>
          <w:sz w:val="20"/>
          <w:szCs w:val="20"/>
          <w:b w:val="1"/>
          <w:bCs w:val="1"/>
          <w:color w:val="auto"/>
        </w:rPr>
      </w:pPr>
    </w:p>
    <w:p>
      <w:pPr>
        <w:jc w:val="both"/>
        <w:ind w:left="38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The following table displays selected financial data for the Company’s reportable business segments. The Bluegrass Materials Company (Bluegrass) operations, acquired in April 2018, are located in the Mid-America Group and Southeast Group. Total revenues, as well as the consolidated statements of earnings and comprehensive earnings, exclude intersegment revenues which represent sales from one segment to another segment, which are eliminated.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740" w:type="dxa"/>
            <w:vAlign w:val="bottom"/>
            <w:gridSpan w:val="8"/>
          </w:tcPr>
          <w:p>
            <w:pPr>
              <w:jc w:val="center"/>
              <w:ind w:right="1600"/>
              <w:spacing w:after="0"/>
              <w:rPr>
                <w:sz w:val="20"/>
                <w:szCs w:val="20"/>
                <w:color w:val="auto"/>
              </w:rPr>
            </w:pPr>
            <w:r>
              <w:rPr>
                <w:rFonts w:ascii="Arial" w:cs="Arial" w:eastAsia="Arial" w:hAnsi="Arial"/>
                <w:sz w:val="20"/>
                <w:szCs w:val="20"/>
                <w:color w:val="auto"/>
                <w:w w:val="88"/>
              </w:rPr>
              <w:t>Three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5"/>
          </w:tcPr>
          <w:p>
            <w:pPr>
              <w:jc w:val="center"/>
              <w:ind w:left="462"/>
              <w:spacing w:after="0"/>
              <w:rPr>
                <w:sz w:val="20"/>
                <w:szCs w:val="20"/>
                <w:color w:val="auto"/>
              </w:rPr>
            </w:pPr>
            <w:r>
              <w:rPr>
                <w:rFonts w:ascii="Arial" w:cs="Arial" w:eastAsia="Arial" w:hAnsi="Arial"/>
                <w:sz w:val="20"/>
                <w:szCs w:val="20"/>
                <w:color w:val="auto"/>
                <w:w w:val="89"/>
              </w:rPr>
              <w:t>March 31,</w:t>
            </w:r>
          </w:p>
        </w:tc>
        <w:tc>
          <w:tcPr>
            <w:tcW w:w="2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20"/>
                <w:szCs w:val="20"/>
                <w:color w:val="auto"/>
              </w:rPr>
              <w:t>2019</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902"/>
              <w:spacing w:after="0"/>
              <w:rPr>
                <w:sz w:val="20"/>
                <w:szCs w:val="20"/>
                <w:color w:val="auto"/>
              </w:rPr>
            </w:pPr>
            <w:r>
              <w:rPr>
                <w:rFonts w:ascii="Arial" w:cs="Arial" w:eastAsia="Arial" w:hAnsi="Arial"/>
                <w:sz w:val="20"/>
                <w:szCs w:val="20"/>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20" w:type="dxa"/>
            <w:vAlign w:val="bottom"/>
            <w:gridSpan w:val="6"/>
          </w:tcPr>
          <w:p>
            <w:pPr>
              <w:jc w:val="center"/>
              <w:ind w:right="1362"/>
              <w:spacing w:after="0"/>
              <w:rPr>
                <w:sz w:val="20"/>
                <w:szCs w:val="20"/>
                <w:color w:val="auto"/>
              </w:rPr>
            </w:pPr>
            <w:r>
              <w:rPr>
                <w:rFonts w:ascii="Arial" w:cs="Arial" w:eastAsia="Arial" w:hAnsi="Arial"/>
                <w:sz w:val="20"/>
                <w:szCs w:val="20"/>
                <w:i w:val="1"/>
                <w:iCs w:val="1"/>
                <w:color w:val="auto"/>
                <w:w w:val="91"/>
              </w:rPr>
              <w:t>(Dollars in Thousands)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gridSpan w:val="5"/>
            <w:shd w:val="clear" w:color="auto" w:fill="CFF0FC"/>
          </w:tcPr>
          <w:p>
            <w:pPr>
              <w:spacing w:after="0" w:line="202" w:lineRule="exact"/>
              <w:rPr>
                <w:sz w:val="20"/>
                <w:szCs w:val="20"/>
                <w:color w:val="auto"/>
              </w:rPr>
            </w:pPr>
            <w:r>
              <w:rPr>
                <w:rFonts w:ascii="Arial" w:cs="Arial" w:eastAsia="Arial" w:hAnsi="Arial"/>
                <w:sz w:val="20"/>
                <w:szCs w:val="20"/>
                <w:color w:val="auto"/>
              </w:rPr>
              <w:t>Total revenues:</w:t>
            </w: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90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40" w:type="dxa"/>
            <w:vAlign w:val="bottom"/>
            <w:gridSpan w:val="5"/>
          </w:tcPr>
          <w:p>
            <w:pPr>
              <w:spacing w:after="0"/>
              <w:rPr>
                <w:sz w:val="20"/>
                <w:szCs w:val="20"/>
                <w:color w:val="auto"/>
              </w:rPr>
            </w:pPr>
            <w:r>
              <w:rPr>
                <w:rFonts w:ascii="Arial" w:cs="Arial" w:eastAsia="Arial" w:hAnsi="Arial"/>
                <w:sz w:val="20"/>
                <w:szCs w:val="20"/>
                <w:color w:val="auto"/>
              </w:rPr>
              <w:t>Mid-America Group</w:t>
            </w:r>
          </w:p>
        </w:tc>
        <w:tc>
          <w:tcPr>
            <w:tcW w:w="196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248,813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178,781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1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119,237</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80,239</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4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West Group</w:t>
            </w:r>
          </w:p>
        </w:tc>
        <w:tc>
          <w:tcPr>
            <w:tcW w:w="17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496,831</w:t>
            </w:r>
          </w:p>
        </w:tc>
        <w:tc>
          <w:tcPr>
            <w:tcW w:w="1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473,722</w:t>
            </w: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864,881</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732,742</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4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Magnesia Specialties</w:t>
            </w:r>
          </w:p>
        </w:tc>
        <w:tc>
          <w:tcPr>
            <w:tcW w:w="17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74,074</w:t>
            </w:r>
          </w:p>
        </w:tc>
        <w:tc>
          <w:tcPr>
            <w:tcW w:w="1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69,262</w:t>
            </w: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440" w:type="dxa"/>
            <w:vAlign w:val="bottom"/>
            <w:tcBorders>
              <w:bottom w:val="single" w:sz="8" w:color="CFF0FC"/>
            </w:tcBorders>
            <w:gridSpan w:val="5"/>
            <w:shd w:val="clear" w:color="auto" w:fill="CFF0FC"/>
          </w:tcPr>
          <w:p>
            <w:pPr>
              <w:spacing w:after="0"/>
              <w:rPr>
                <w:sz w:val="20"/>
                <w:szCs w:val="20"/>
                <w:color w:val="auto"/>
              </w:rPr>
            </w:pPr>
            <w:r>
              <w:rPr>
                <w:rFonts w:ascii="Arial" w:cs="Arial" w:eastAsia="Arial" w:hAnsi="Arial"/>
                <w:sz w:val="20"/>
                <w:szCs w:val="20"/>
                <w:color w:val="auto"/>
              </w:rPr>
              <w:t>Total</w:t>
            </w:r>
          </w:p>
        </w:tc>
        <w:tc>
          <w:tcPr>
            <w:tcW w:w="17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938,955</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40" w:type="dxa"/>
            <w:vAlign w:val="bottom"/>
            <w:tcBorders>
              <w:bottom w:val="single" w:sz="8" w:color="auto"/>
            </w:tcBorders>
            <w:shd w:val="clear" w:color="auto" w:fill="CFF0FC"/>
          </w:tcPr>
          <w:p>
            <w:pPr>
              <w:spacing w:after="0"/>
              <w:rPr>
                <w:sz w:val="20"/>
                <w:szCs w:val="20"/>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802,004</w:t>
            </w: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2500" w:type="dxa"/>
            <w:vAlign w:val="bottom"/>
            <w:tcBorders>
              <w:bottom w:val="single" w:sz="8" w:color="auto"/>
            </w:tcBorders>
            <w:gridSpan w:val="3"/>
            <w:shd w:val="clear" w:color="auto" w:fill="CFF0FC"/>
          </w:tcPr>
          <w:p>
            <w:pPr>
              <w:spacing w:after="0" w:line="202" w:lineRule="exact"/>
              <w:rPr>
                <w:sz w:val="20"/>
                <w:szCs w:val="20"/>
                <w:color w:val="auto"/>
              </w:rPr>
            </w:pPr>
            <w:r>
              <w:rPr>
                <w:rFonts w:ascii="Arial" w:cs="Arial" w:eastAsia="Arial" w:hAnsi="Arial"/>
                <w:sz w:val="20"/>
                <w:szCs w:val="20"/>
                <w:color w:val="auto"/>
                <w:w w:val="85"/>
              </w:rPr>
              <w:t>Products and services revenues:</w:t>
            </w:r>
          </w:p>
        </w:tc>
        <w:tc>
          <w:tcPr>
            <w:tcW w:w="1940" w:type="dxa"/>
            <w:vAlign w:val="bottom"/>
            <w:tcBorders>
              <w:bottom w:val="single" w:sz="8" w:color="CFF0FC"/>
            </w:tcBorders>
            <w:gridSpan w:val="2"/>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40" w:type="dxa"/>
            <w:vAlign w:val="bottom"/>
            <w:gridSpan w:val="5"/>
          </w:tcPr>
          <w:p>
            <w:pPr>
              <w:spacing w:after="0"/>
              <w:rPr>
                <w:sz w:val="20"/>
                <w:szCs w:val="20"/>
                <w:color w:val="auto"/>
              </w:rPr>
            </w:pPr>
            <w:r>
              <w:rPr>
                <w:rFonts w:ascii="Arial" w:cs="Arial" w:eastAsia="Arial" w:hAnsi="Arial"/>
                <w:sz w:val="20"/>
                <w:szCs w:val="20"/>
                <w:color w:val="auto"/>
              </w:rPr>
              <w:t>Mid-America Group</w:t>
            </w:r>
          </w:p>
        </w:tc>
        <w:tc>
          <w:tcPr>
            <w:tcW w:w="196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230,308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167,890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1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115,312</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77,563</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4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West Group</w:t>
            </w:r>
          </w:p>
        </w:tc>
        <w:tc>
          <w:tcPr>
            <w:tcW w:w="17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463,511</w:t>
            </w:r>
          </w:p>
        </w:tc>
        <w:tc>
          <w:tcPr>
            <w:tcW w:w="1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442,983</w:t>
            </w: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809,131</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688,436</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4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Magnesia Specialties</w:t>
            </w:r>
          </w:p>
        </w:tc>
        <w:tc>
          <w:tcPr>
            <w:tcW w:w="17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69,174</w:t>
            </w:r>
          </w:p>
        </w:tc>
        <w:tc>
          <w:tcPr>
            <w:tcW w:w="1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64,869</w:t>
            </w: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440" w:type="dxa"/>
            <w:vAlign w:val="bottom"/>
            <w:tcBorders>
              <w:bottom w:val="single" w:sz="8" w:color="CFF0FC"/>
            </w:tcBorders>
            <w:gridSpan w:val="5"/>
            <w:shd w:val="clear" w:color="auto" w:fill="CFF0FC"/>
          </w:tcPr>
          <w:p>
            <w:pPr>
              <w:spacing w:after="0"/>
              <w:rPr>
                <w:sz w:val="20"/>
                <w:szCs w:val="20"/>
                <w:color w:val="auto"/>
              </w:rPr>
            </w:pPr>
            <w:r>
              <w:rPr>
                <w:rFonts w:ascii="Arial" w:cs="Arial" w:eastAsia="Arial" w:hAnsi="Arial"/>
                <w:sz w:val="20"/>
                <w:szCs w:val="20"/>
                <w:color w:val="auto"/>
              </w:rPr>
              <w:t>Total</w:t>
            </w:r>
          </w:p>
        </w:tc>
        <w:tc>
          <w:tcPr>
            <w:tcW w:w="17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878,305</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40" w:type="dxa"/>
            <w:vAlign w:val="bottom"/>
            <w:tcBorders>
              <w:bottom w:val="single" w:sz="8" w:color="auto"/>
            </w:tcBorders>
            <w:shd w:val="clear" w:color="auto" w:fill="CFF0FC"/>
          </w:tcPr>
          <w:p>
            <w:pPr>
              <w:spacing w:after="0"/>
              <w:rPr>
                <w:sz w:val="20"/>
                <w:szCs w:val="20"/>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753,305</w:t>
            </w: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440" w:type="dxa"/>
            <w:vAlign w:val="bottom"/>
            <w:gridSpan w:val="5"/>
            <w:shd w:val="clear" w:color="auto" w:fill="CFF0FC"/>
          </w:tcPr>
          <w:p>
            <w:pPr>
              <w:spacing w:after="0" w:line="202" w:lineRule="exact"/>
              <w:rPr>
                <w:sz w:val="20"/>
                <w:szCs w:val="20"/>
                <w:color w:val="auto"/>
              </w:rPr>
            </w:pPr>
            <w:r>
              <w:rPr>
                <w:rFonts w:ascii="Arial" w:cs="Arial" w:eastAsia="Arial" w:hAnsi="Arial"/>
                <w:sz w:val="20"/>
                <w:szCs w:val="20"/>
                <w:color w:val="auto"/>
              </w:rPr>
              <w:t>Earnings (Loss) from operations:</w:t>
            </w:r>
          </w:p>
        </w:tc>
        <w:tc>
          <w:tcPr>
            <w:tcW w:w="1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tcBorders>
              <w:top w:val="single" w:sz="8" w:color="auto"/>
            </w:tcBorders>
            <w:gridSpan w:val="4"/>
          </w:tcPr>
          <w:p>
            <w:pPr>
              <w:spacing w:after="0"/>
              <w:rPr>
                <w:sz w:val="20"/>
                <w:szCs w:val="20"/>
                <w:color w:val="auto"/>
              </w:rPr>
            </w:pPr>
            <w:r>
              <w:rPr>
                <w:rFonts w:ascii="Arial" w:cs="Arial" w:eastAsia="Arial" w:hAnsi="Arial"/>
                <w:sz w:val="20"/>
                <w:szCs w:val="20"/>
                <w:color w:val="auto"/>
              </w:rPr>
              <w:t>Mid-America Group</w:t>
            </w:r>
          </w:p>
        </w:tc>
        <w:tc>
          <w:tcPr>
            <w:tcW w:w="1900" w:type="dxa"/>
            <w:vAlign w:val="bottom"/>
            <w:tcBorders>
              <w:top w:val="single" w:sz="8" w:color="CFF0FC"/>
            </w:tcBorders>
          </w:tcPr>
          <w:p>
            <w:pPr>
              <w:spacing w:after="0"/>
              <w:rPr>
                <w:sz w:val="21"/>
                <w:szCs w:val="21"/>
                <w:color w:val="auto"/>
              </w:rPr>
            </w:pPr>
          </w:p>
        </w:tc>
        <w:tc>
          <w:tcPr>
            <w:tcW w:w="1960" w:type="dxa"/>
            <w:vAlign w:val="bottom"/>
            <w:tcBorders>
              <w:top w:val="single" w:sz="8" w:color="CFF0FC"/>
            </w:tcBorders>
            <w:gridSpan w:val="2"/>
          </w:tcPr>
          <w:p>
            <w:pPr>
              <w:jc w:val="right"/>
              <w:ind w:right="2"/>
              <w:spacing w:after="0"/>
              <w:rPr>
                <w:sz w:val="20"/>
                <w:szCs w:val="20"/>
                <w:color w:val="auto"/>
              </w:rPr>
            </w:pPr>
            <w:r>
              <w:rPr>
                <w:rFonts w:ascii="Arial" w:cs="Arial" w:eastAsia="Arial" w:hAnsi="Arial"/>
                <w:sz w:val="20"/>
                <w:szCs w:val="20"/>
                <w:color w:val="auto"/>
              </w:rPr>
              <w:t>$</w:t>
            </w:r>
          </w:p>
        </w:tc>
        <w:tc>
          <w:tcPr>
            <w:tcW w:w="1260" w:type="dxa"/>
            <w:vAlign w:val="bottom"/>
            <w:tcBorders>
              <w:top w:val="single" w:sz="8" w:color="CFF0FC"/>
            </w:tcBorders>
          </w:tcPr>
          <w:p>
            <w:pPr>
              <w:spacing w:after="0"/>
              <w:rPr>
                <w:sz w:val="21"/>
                <w:szCs w:val="21"/>
                <w:color w:val="auto"/>
              </w:rPr>
            </w:pP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30,955</w:t>
            </w:r>
          </w:p>
        </w:tc>
        <w:tc>
          <w:tcPr>
            <w:tcW w:w="100" w:type="dxa"/>
            <w:vAlign w:val="bottom"/>
            <w:tcBorders>
              <w:top w:val="single" w:sz="8" w:color="CFF0FC"/>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w w:val="71"/>
              </w:rPr>
              <w:t>$</w:t>
            </w:r>
          </w:p>
        </w:tc>
        <w:tc>
          <w:tcPr>
            <w:tcW w:w="240" w:type="dxa"/>
            <w:vAlign w:val="bottom"/>
            <w:tcBorders>
              <w:top w:val="single" w:sz="8" w:color="CFF0FC"/>
            </w:tcBorders>
          </w:tcPr>
          <w:p>
            <w:pPr>
              <w:spacing w:after="0"/>
              <w:rPr>
                <w:sz w:val="21"/>
                <w:szCs w:val="21"/>
                <w:color w:val="auto"/>
              </w:rPr>
            </w:pPr>
          </w:p>
        </w:tc>
        <w:tc>
          <w:tcPr>
            <w:tcW w:w="20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6,167</w:t>
            </w:r>
          </w:p>
        </w:tc>
        <w:tc>
          <w:tcPr>
            <w:tcW w:w="2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1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21,134</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2,041</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4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West Group</w:t>
            </w:r>
          </w:p>
        </w:tc>
        <w:tc>
          <w:tcPr>
            <w:tcW w:w="17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19,936</w:t>
            </w:r>
          </w:p>
        </w:tc>
        <w:tc>
          <w:tcPr>
            <w:tcW w:w="1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34,951</w:t>
            </w: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72,025</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43,159</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40" w:type="dxa"/>
            <w:vAlign w:val="bottom"/>
            <w:gridSpan w:val="5"/>
          </w:tcPr>
          <w:p>
            <w:pPr>
              <w:spacing w:after="0"/>
              <w:rPr>
                <w:sz w:val="20"/>
                <w:szCs w:val="20"/>
                <w:color w:val="auto"/>
              </w:rPr>
            </w:pPr>
            <w:r>
              <w:rPr>
                <w:rFonts w:ascii="Arial" w:cs="Arial" w:eastAsia="Arial" w:hAnsi="Arial"/>
                <w:sz w:val="20"/>
                <w:szCs w:val="20"/>
                <w:color w:val="auto"/>
              </w:rPr>
              <w:t>Magnesia Specialties</w:t>
            </w: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22,642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21,237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Corporate</w:t>
            </w:r>
          </w:p>
        </w:tc>
        <w:tc>
          <w:tcPr>
            <w:tcW w:w="1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(25,446)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140" w:type="dxa"/>
            <w:vAlign w:val="bottom"/>
            <w:gridSpan w:val="3"/>
            <w:shd w:val="clear" w:color="auto" w:fill="CFF0FC"/>
          </w:tcPr>
          <w:p>
            <w:pPr>
              <w:jc w:val="right"/>
              <w:ind w:right="60"/>
              <w:spacing w:after="0"/>
              <w:rPr>
                <w:sz w:val="20"/>
                <w:szCs w:val="20"/>
                <w:color w:val="auto"/>
              </w:rPr>
            </w:pPr>
            <w:r>
              <w:rPr>
                <w:rFonts w:ascii="Arial" w:cs="Arial" w:eastAsia="Arial" w:hAnsi="Arial"/>
                <w:sz w:val="20"/>
                <w:szCs w:val="20"/>
                <w:color w:val="auto"/>
              </w:rPr>
              <w:t>(25,315)</w:t>
            </w:r>
          </w:p>
        </w:tc>
        <w:tc>
          <w:tcPr>
            <w:tcW w:w="0" w:type="dxa"/>
            <w:vAlign w:val="bottom"/>
          </w:tcPr>
          <w:p>
            <w:pPr>
              <w:spacing w:after="0"/>
              <w:rPr>
                <w:sz w:val="1"/>
                <w:szCs w:val="1"/>
                <w:color w:val="auto"/>
              </w:rPr>
            </w:pPr>
          </w:p>
        </w:tc>
      </w:tr>
      <w:tr>
        <w:trPr>
          <w:trHeight w:val="235"/>
        </w:trPr>
        <w:tc>
          <w:tcPr>
            <w:tcW w:w="4460" w:type="dxa"/>
            <w:vAlign w:val="bottom"/>
            <w:gridSpan w:val="6"/>
          </w:tcPr>
          <w:p>
            <w:pPr>
              <w:spacing w:after="0"/>
              <w:rPr>
                <w:sz w:val="20"/>
                <w:szCs w:val="20"/>
                <w:color w:val="auto"/>
              </w:rPr>
            </w:pPr>
            <w:r>
              <w:rPr>
                <w:rFonts w:ascii="Arial" w:cs="Arial" w:eastAsia="Arial" w:hAnsi="Arial"/>
                <w:sz w:val="20"/>
                <w:szCs w:val="20"/>
                <w:color w:val="auto"/>
              </w:rPr>
              <w:t>Total</w:t>
            </w:r>
          </w:p>
        </w:tc>
        <w:tc>
          <w:tcPr>
            <w:tcW w:w="17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69,221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40" w:type="dxa"/>
            <w:vAlign w:val="bottom"/>
            <w:tcBorders>
              <w:top w:val="single" w:sz="8" w:color="auto"/>
              <w:bottom w:val="single" w:sz="8" w:color="auto"/>
            </w:tcBorders>
          </w:tcPr>
          <w:p>
            <w:pPr>
              <w:spacing w:after="0"/>
              <w:rPr>
                <w:sz w:val="20"/>
                <w:szCs w:val="20"/>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39,081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4"/>
          </w:tcPr>
          <w:p>
            <w:pPr>
              <w:ind w:left="500"/>
              <w:spacing w:after="0"/>
              <w:rPr>
                <w:sz w:val="20"/>
                <w:szCs w:val="20"/>
                <w:color w:val="auto"/>
              </w:rPr>
            </w:pPr>
            <w:r>
              <w:rPr>
                <w:rFonts w:ascii="Arial" w:cs="Arial" w:eastAsia="Arial" w:hAnsi="Arial"/>
                <w:sz w:val="20"/>
                <w:szCs w:val="20"/>
                <w:color w:val="auto"/>
              </w:rPr>
              <w:t>March 31, 2019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3"/>
          </w:tcPr>
          <w:p>
            <w:pPr>
              <w:jc w:val="right"/>
              <w:ind w:right="480"/>
              <w:spacing w:after="0"/>
              <w:rPr>
                <w:sz w:val="20"/>
                <w:szCs w:val="20"/>
                <w:color w:val="auto"/>
              </w:rPr>
            </w:pPr>
            <w:r>
              <w:rPr>
                <w:rFonts w:ascii="Arial" w:cs="Arial" w:eastAsia="Arial" w:hAnsi="Arial"/>
                <w:sz w:val="20"/>
                <w:szCs w:val="20"/>
                <w:color w:val="auto"/>
                <w:w w:val="93"/>
              </w:rPr>
              <w:t>December 31, 2018</w:t>
            </w:r>
          </w:p>
        </w:tc>
        <w:tc>
          <w:tcPr>
            <w:tcW w:w="0" w:type="dxa"/>
            <w:vAlign w:val="bottom"/>
          </w:tcPr>
          <w:p>
            <w:pPr>
              <w:spacing w:after="0"/>
              <w:rPr>
                <w:sz w:val="1"/>
                <w:szCs w:val="1"/>
                <w:color w:val="auto"/>
              </w:rPr>
            </w:pPr>
          </w:p>
        </w:tc>
      </w:tr>
      <w:tr>
        <w:trPr>
          <w:trHeight w:val="195"/>
        </w:trPr>
        <w:tc>
          <w:tcPr>
            <w:tcW w:w="4460" w:type="dxa"/>
            <w:vAlign w:val="bottom"/>
            <w:gridSpan w:val="6"/>
          </w:tcPr>
          <w:p>
            <w:pPr>
              <w:spacing w:after="0" w:line="195" w:lineRule="exact"/>
              <w:rPr>
                <w:sz w:val="20"/>
                <w:szCs w:val="20"/>
                <w:color w:val="auto"/>
              </w:rPr>
            </w:pPr>
            <w:r>
              <w:rPr>
                <w:rFonts w:ascii="Arial" w:cs="Arial" w:eastAsia="Arial" w:hAnsi="Arial"/>
                <w:sz w:val="20"/>
                <w:szCs w:val="20"/>
                <w:color w:val="auto"/>
              </w:rPr>
              <w:t>Assets employed:</w:t>
            </w: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640" w:type="dxa"/>
            <w:vAlign w:val="bottom"/>
            <w:tcBorders>
              <w:top w:val="single" w:sz="8" w:color="auto"/>
            </w:tcBorders>
            <w:gridSpan w:val="7"/>
          </w:tcPr>
          <w:p>
            <w:pPr>
              <w:ind w:left="280"/>
              <w:spacing w:after="0" w:line="195" w:lineRule="exact"/>
              <w:rPr>
                <w:sz w:val="20"/>
                <w:szCs w:val="20"/>
                <w:color w:val="auto"/>
              </w:rPr>
            </w:pPr>
            <w:r>
              <w:rPr>
                <w:rFonts w:ascii="Arial" w:cs="Arial" w:eastAsia="Arial" w:hAnsi="Arial"/>
                <w:sz w:val="20"/>
                <w:szCs w:val="20"/>
                <w:i w:val="1"/>
                <w:iCs w:val="1"/>
                <w:color w:val="auto"/>
              </w:rPr>
              <w:t>(Dollars 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460" w:type="dxa"/>
            <w:vAlign w:val="bottom"/>
            <w:gridSpan w:val="6"/>
          </w:tcPr>
          <w:p>
            <w:pPr>
              <w:spacing w:after="0"/>
              <w:rPr>
                <w:sz w:val="20"/>
                <w:szCs w:val="20"/>
                <w:color w:val="auto"/>
              </w:rPr>
            </w:pPr>
            <w:r>
              <w:rPr>
                <w:rFonts w:ascii="Arial" w:cs="Arial" w:eastAsia="Arial" w:hAnsi="Arial"/>
                <w:sz w:val="20"/>
                <w:szCs w:val="20"/>
                <w:color w:val="auto"/>
              </w:rPr>
              <w:t>Mid-America Group</w:t>
            </w:r>
          </w:p>
        </w:tc>
        <w:tc>
          <w:tcPr>
            <w:tcW w:w="3220" w:type="dxa"/>
            <w:vAlign w:val="bottom"/>
            <w:gridSpan w:val="3"/>
          </w:tcPr>
          <w:p>
            <w:pPr>
              <w:jc w:val="right"/>
              <w:ind w:right="1062"/>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2,848,652</w:t>
            </w:r>
          </w:p>
        </w:tc>
        <w:tc>
          <w:tcPr>
            <w:tcW w:w="260" w:type="dxa"/>
            <w:vAlign w:val="bottom"/>
          </w:tcPr>
          <w:p>
            <w:pPr>
              <w:spacing w:after="0"/>
              <w:rPr>
                <w:sz w:val="22"/>
                <w:szCs w:val="22"/>
                <w:color w:val="auto"/>
              </w:rPr>
            </w:pP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2040" w:type="dxa"/>
            <w:vAlign w:val="bottom"/>
            <w:gridSpan w:val="2"/>
          </w:tcPr>
          <w:p>
            <w:pPr>
              <w:jc w:val="right"/>
              <w:ind w:right="20"/>
              <w:spacing w:after="0"/>
              <w:rPr>
                <w:sz w:val="20"/>
                <w:szCs w:val="20"/>
                <w:color w:val="auto"/>
              </w:rPr>
            </w:pPr>
            <w:r>
              <w:rPr>
                <w:rFonts w:ascii="Arial" w:cs="Arial" w:eastAsia="Arial" w:hAnsi="Arial"/>
                <w:sz w:val="20"/>
                <w:szCs w:val="20"/>
                <w:color w:val="auto"/>
              </w:rPr>
              <w:t>2,788,454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1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1,443,597</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1,299,469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4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West Group</w:t>
            </w:r>
          </w:p>
        </w:tc>
        <w:tc>
          <w:tcPr>
            <w:tcW w:w="17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5,280,109</w:t>
            </w: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4,989,639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9,572,358</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9,077,562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40" w:type="dxa"/>
            <w:vAlign w:val="bottom"/>
            <w:gridSpan w:val="5"/>
          </w:tcPr>
          <w:p>
            <w:pPr>
              <w:spacing w:after="0"/>
              <w:rPr>
                <w:sz w:val="20"/>
                <w:szCs w:val="20"/>
                <w:color w:val="auto"/>
              </w:rPr>
            </w:pPr>
            <w:r>
              <w:rPr>
                <w:rFonts w:ascii="Arial" w:cs="Arial" w:eastAsia="Arial" w:hAnsi="Arial"/>
                <w:sz w:val="20"/>
                <w:szCs w:val="20"/>
                <w:color w:val="auto"/>
              </w:rPr>
              <w:t>Magnesia Specialties</w:t>
            </w: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170,833</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20"/>
                <w:szCs w:val="20"/>
                <w:color w:val="auto"/>
              </w:rPr>
              <w:t>156,106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4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Corporate</w:t>
            </w:r>
          </w:p>
        </w:tc>
        <w:tc>
          <w:tcPr>
            <w:tcW w:w="1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305,216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317,751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460" w:type="dxa"/>
            <w:vAlign w:val="bottom"/>
            <w:gridSpan w:val="6"/>
          </w:tcPr>
          <w:p>
            <w:pPr>
              <w:spacing w:after="0"/>
              <w:rPr>
                <w:sz w:val="20"/>
                <w:szCs w:val="20"/>
                <w:color w:val="auto"/>
              </w:rPr>
            </w:pPr>
            <w:r>
              <w:rPr>
                <w:rFonts w:ascii="Arial" w:cs="Arial" w:eastAsia="Arial" w:hAnsi="Arial"/>
                <w:sz w:val="20"/>
                <w:szCs w:val="20"/>
                <w:color w:val="auto"/>
              </w:rPr>
              <w:t>Total</w:t>
            </w:r>
          </w:p>
        </w:tc>
        <w:tc>
          <w:tcPr>
            <w:tcW w:w="1960" w:type="dxa"/>
            <w:vAlign w:val="bottom"/>
            <w:gridSpan w:val="2"/>
          </w:tcPr>
          <w:p>
            <w:pPr>
              <w:spacing w:after="0"/>
              <w:rPr>
                <w:sz w:val="20"/>
                <w:szCs w:val="20"/>
                <w:color w:val="auto"/>
              </w:rPr>
            </w:pPr>
          </w:p>
        </w:tc>
        <w:tc>
          <w:tcPr>
            <w:tcW w:w="1260" w:type="dxa"/>
            <w:vAlign w:val="bottom"/>
            <w:tcBorders>
              <w:bottom w:val="single" w:sz="8" w:color="auto"/>
            </w:tcBorders>
          </w:tcPr>
          <w:p>
            <w:pPr>
              <w:jc w:val="right"/>
              <w:ind w:right="1062"/>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w w:val="95"/>
              </w:rPr>
              <w:t>10,048,407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2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9,551,419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18" w:lineRule="exact"/>
        <w:rPr>
          <w:sz w:val="20"/>
          <w:szCs w:val="20"/>
          <w:color w:val="auto"/>
        </w:rPr>
      </w:pPr>
    </w:p>
    <w:p>
      <w:pPr>
        <w:ind w:left="380" w:hanging="373"/>
        <w:spacing w:after="0"/>
        <w:tabs>
          <w:tab w:leader="none" w:pos="3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Revenues and Gross Profit</w:t>
      </w:r>
    </w:p>
    <w:p>
      <w:pPr>
        <w:spacing w:after="0" w:line="111" w:lineRule="exact"/>
        <w:rPr>
          <w:rFonts w:ascii="Arial" w:cs="Arial" w:eastAsia="Arial" w:hAnsi="Arial"/>
          <w:sz w:val="20"/>
          <w:szCs w:val="20"/>
          <w:b w:val="1"/>
          <w:bCs w:val="1"/>
          <w:color w:val="auto"/>
        </w:rPr>
      </w:pPr>
    </w:p>
    <w:p>
      <w:pPr>
        <w:jc w:val="both"/>
        <w:ind w:left="380"/>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The Building Materials business includes the aggregates, cement, ready mixed concrete and asphalt and paving product lines. All cement, ready mixed concrete and asphalt and paving product lines reside in the West Group. The following table, which is reconciled to consolidated amounts, provides total revenues and gross profit by product line.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gridSpan w:val="5"/>
          </w:tcPr>
          <w:p>
            <w:pPr>
              <w:jc w:val="center"/>
              <w:ind w:right="480"/>
              <w:spacing w:after="0"/>
              <w:rPr>
                <w:sz w:val="20"/>
                <w:szCs w:val="20"/>
                <w:color w:val="auto"/>
              </w:rPr>
            </w:pPr>
            <w:r>
              <w:rPr>
                <w:rFonts w:ascii="Arial" w:cs="Arial" w:eastAsia="Arial" w:hAnsi="Arial"/>
                <w:sz w:val="20"/>
                <w:szCs w:val="20"/>
                <w:color w:val="auto"/>
                <w:w w:val="88"/>
              </w:rPr>
              <w:t>Three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center"/>
              <w:ind w:left="702"/>
              <w:spacing w:after="0"/>
              <w:rPr>
                <w:sz w:val="20"/>
                <w:szCs w:val="20"/>
                <w:color w:val="auto"/>
              </w:rPr>
            </w:pPr>
            <w:r>
              <w:rPr>
                <w:rFonts w:ascii="Arial" w:cs="Arial" w:eastAsia="Arial" w:hAnsi="Arial"/>
                <w:sz w:val="20"/>
                <w:szCs w:val="20"/>
                <w:color w:val="auto"/>
                <w:w w:val="92"/>
              </w:rPr>
              <w:t>March 31,</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2019</w:t>
            </w:r>
          </w:p>
        </w:tc>
        <w:tc>
          <w:tcPr>
            <w:tcW w:w="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4"/>
          </w:tcPr>
          <w:p>
            <w:pPr>
              <w:jc w:val="center"/>
              <w:ind w:right="282"/>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tcBorders>
              <w:bottom w:val="single" w:sz="8" w:color="auto"/>
            </w:tcBorders>
            <w:shd w:val="clear" w:color="auto" w:fill="CFF0FC"/>
          </w:tcPr>
          <w:p>
            <w:pPr>
              <w:spacing w:after="0" w:line="202" w:lineRule="exact"/>
              <w:rPr>
                <w:sz w:val="20"/>
                <w:szCs w:val="20"/>
                <w:color w:val="auto"/>
              </w:rPr>
            </w:pPr>
            <w:r>
              <w:rPr>
                <w:rFonts w:ascii="Arial" w:cs="Arial" w:eastAsia="Arial" w:hAnsi="Arial"/>
                <w:sz w:val="20"/>
                <w:szCs w:val="20"/>
                <w:color w:val="auto"/>
                <w:w w:val="85"/>
              </w:rPr>
              <w:t>Total revenues:</w:t>
            </w:r>
          </w:p>
        </w:tc>
        <w:tc>
          <w:tcPr>
            <w:tcW w:w="6620" w:type="dxa"/>
            <w:vAlign w:val="bottom"/>
            <w:tcBorders>
              <w:bottom w:val="single" w:sz="8" w:color="CFF0FC"/>
            </w:tcBorders>
            <w:gridSpan w:val="2"/>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tcPr>
          <w:p>
            <w:pPr>
              <w:spacing w:after="0"/>
              <w:rPr>
                <w:sz w:val="20"/>
                <w:szCs w:val="20"/>
                <w:color w:val="auto"/>
              </w:rPr>
            </w:pPr>
            <w:r>
              <w:rPr>
                <w:rFonts w:ascii="Arial" w:cs="Arial" w:eastAsia="Arial" w:hAnsi="Arial"/>
                <w:sz w:val="20"/>
                <w:szCs w:val="20"/>
                <w:color w:val="auto"/>
              </w:rPr>
              <w:t>Building Materials Business: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Products and services: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tcPr>
          <w:p>
            <w:pPr>
              <w:ind w:left="240"/>
              <w:spacing w:after="0"/>
              <w:rPr>
                <w:sz w:val="20"/>
                <w:szCs w:val="20"/>
                <w:color w:val="auto"/>
              </w:rPr>
            </w:pPr>
            <w:r>
              <w:rPr>
                <w:rFonts w:ascii="Arial" w:cs="Arial" w:eastAsia="Arial" w:hAnsi="Arial"/>
                <w:sz w:val="20"/>
                <w:szCs w:val="20"/>
                <w:color w:val="auto"/>
              </w:rPr>
              <w:t>Aggregates</w:t>
            </w:r>
          </w:p>
        </w:tc>
        <w:tc>
          <w:tcPr>
            <w:tcW w:w="360" w:type="dxa"/>
            <w:vAlign w:val="bottom"/>
          </w:tcPr>
          <w:p>
            <w:pPr>
              <w:jc w:val="right"/>
              <w:ind w:right="162"/>
              <w:spacing w:after="0"/>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541,473</w:t>
            </w:r>
          </w:p>
        </w:tc>
        <w:tc>
          <w:tcPr>
            <w:tcW w:w="280" w:type="dxa"/>
            <w:vAlign w:val="bottom"/>
          </w:tcPr>
          <w:p>
            <w:pPr>
              <w:spacing w:after="0"/>
              <w:rPr>
                <w:sz w:val="21"/>
                <w:szCs w:val="21"/>
                <w:color w:val="auto"/>
              </w:rPr>
            </w:pPr>
          </w:p>
        </w:tc>
        <w:tc>
          <w:tcPr>
            <w:tcW w:w="420" w:type="dxa"/>
            <w:vAlign w:val="bottom"/>
          </w:tcPr>
          <w:p>
            <w:pPr>
              <w:jc w:val="right"/>
              <w:ind w:right="222"/>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425,016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shd w:val="clear" w:color="auto" w:fill="CFF0FC"/>
          </w:tcPr>
          <w:p>
            <w:pPr>
              <w:ind w:left="240"/>
              <w:spacing w:after="0"/>
              <w:rPr>
                <w:sz w:val="20"/>
                <w:szCs w:val="20"/>
                <w:color w:val="auto"/>
              </w:rPr>
            </w:pPr>
            <w:r>
              <w:rPr>
                <w:rFonts w:ascii="Arial" w:cs="Arial" w:eastAsia="Arial" w:hAnsi="Arial"/>
                <w:sz w:val="20"/>
                <w:szCs w:val="20"/>
                <w:color w:val="auto"/>
              </w:rPr>
              <w:t>Cement</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99,017</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89,183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tcPr>
          <w:p>
            <w:pPr>
              <w:ind w:left="240"/>
              <w:spacing w:after="0"/>
              <w:rPr>
                <w:sz w:val="20"/>
                <w:szCs w:val="20"/>
                <w:color w:val="auto"/>
              </w:rPr>
            </w:pPr>
            <w:r>
              <w:rPr>
                <w:rFonts w:ascii="Arial" w:cs="Arial" w:eastAsia="Arial" w:hAnsi="Arial"/>
                <w:sz w:val="20"/>
                <w:szCs w:val="20"/>
                <w:color w:val="auto"/>
              </w:rPr>
              <w:t>Ready mixed concrete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211,156</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218,537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shd w:val="clear" w:color="auto" w:fill="CFF0FC"/>
          </w:tcPr>
          <w:p>
            <w:pPr>
              <w:ind w:left="240"/>
              <w:spacing w:after="0"/>
              <w:rPr>
                <w:sz w:val="20"/>
                <w:szCs w:val="20"/>
                <w:color w:val="auto"/>
              </w:rPr>
            </w:pPr>
            <w:r>
              <w:rPr>
                <w:rFonts w:ascii="Arial" w:cs="Arial" w:eastAsia="Arial" w:hAnsi="Arial"/>
                <w:sz w:val="20"/>
                <w:szCs w:val="20"/>
                <w:color w:val="auto"/>
              </w:rPr>
              <w:t>Asphalt and paving services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15,846</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16,365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tcPr>
          <w:p>
            <w:pPr>
              <w:ind w:left="240"/>
              <w:spacing w:after="0"/>
              <w:rPr>
                <w:sz w:val="20"/>
                <w:szCs w:val="20"/>
                <w:color w:val="auto"/>
              </w:rPr>
            </w:pPr>
            <w:r>
              <w:rPr>
                <w:rFonts w:ascii="Arial" w:cs="Arial" w:eastAsia="Arial" w:hAnsi="Arial"/>
                <w:sz w:val="20"/>
                <w:szCs w:val="20"/>
                <w:color w:val="auto"/>
              </w:rPr>
              <w:t>Less: interproduct revenues</w:t>
            </w:r>
          </w:p>
        </w:tc>
        <w:tc>
          <w:tcPr>
            <w:tcW w:w="3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(58,361)</w:t>
            </w:r>
          </w:p>
        </w:tc>
        <w:tc>
          <w:tcPr>
            <w:tcW w:w="42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(60,665)</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20" w:type="dxa"/>
            <w:vAlign w:val="bottom"/>
            <w:tcBorders>
              <w:top w:val="single" w:sz="8" w:color="CFF0FC"/>
            </w:tcBorders>
            <w:gridSpan w:val="3"/>
            <w:shd w:val="clear" w:color="auto" w:fill="CFF0FC"/>
          </w:tcPr>
          <w:p>
            <w:pPr>
              <w:ind w:left="120"/>
              <w:spacing w:after="0"/>
              <w:rPr>
                <w:sz w:val="20"/>
                <w:szCs w:val="20"/>
                <w:color w:val="auto"/>
              </w:rPr>
            </w:pPr>
            <w:r>
              <w:rPr>
                <w:rFonts w:ascii="Arial" w:cs="Arial" w:eastAsia="Arial" w:hAnsi="Arial"/>
                <w:sz w:val="20"/>
                <w:szCs w:val="20"/>
                <w:color w:val="auto"/>
              </w:rPr>
              <w:t>Products and services</w:t>
            </w:r>
          </w:p>
        </w:tc>
        <w:tc>
          <w:tcPr>
            <w:tcW w:w="36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809,131</w:t>
            </w:r>
          </w:p>
        </w:tc>
        <w:tc>
          <w:tcPr>
            <w:tcW w:w="280" w:type="dxa"/>
            <w:vAlign w:val="bottom"/>
            <w:tcBorders>
              <w:top w:val="single" w:sz="8" w:color="CFF0FC"/>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688,436</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tcBorders>
              <w:bottom w:val="single" w:sz="8" w:color="CFF0FC"/>
            </w:tcBorders>
            <w:gridSpan w:val="3"/>
          </w:tcPr>
          <w:p>
            <w:pPr>
              <w:ind w:left="120"/>
              <w:spacing w:after="0"/>
              <w:rPr>
                <w:sz w:val="20"/>
                <w:szCs w:val="20"/>
                <w:color w:val="auto"/>
              </w:rPr>
            </w:pPr>
            <w:r>
              <w:rPr>
                <w:rFonts w:ascii="Arial" w:cs="Arial" w:eastAsia="Arial" w:hAnsi="Arial"/>
                <w:sz w:val="20"/>
                <w:szCs w:val="20"/>
                <w:color w:val="auto"/>
              </w:rPr>
              <w:t>Freight</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55,750</w:t>
            </w:r>
          </w:p>
        </w:tc>
        <w:tc>
          <w:tcPr>
            <w:tcW w:w="28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44,306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864,881</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732,742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tcPr>
          <w:p>
            <w:pPr>
              <w:spacing w:after="0"/>
              <w:rPr>
                <w:sz w:val="20"/>
                <w:szCs w:val="20"/>
                <w:color w:val="auto"/>
              </w:rPr>
            </w:pPr>
            <w:r>
              <w:rPr>
                <w:rFonts w:ascii="Arial" w:cs="Arial" w:eastAsia="Arial" w:hAnsi="Arial"/>
                <w:sz w:val="20"/>
                <w:szCs w:val="20"/>
                <w:color w:val="auto"/>
              </w:rPr>
              <w:t>Magnesia Specialties: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shd w:val="clear" w:color="auto" w:fill="CFF0FC"/>
          </w:tcPr>
          <w:p>
            <w:pPr>
              <w:ind w:left="120"/>
              <w:spacing w:after="0"/>
              <w:rPr>
                <w:sz w:val="20"/>
                <w:szCs w:val="20"/>
                <w:color w:val="auto"/>
              </w:rPr>
            </w:pPr>
            <w:r>
              <w:rPr>
                <w:rFonts w:ascii="Arial" w:cs="Arial" w:eastAsia="Arial" w:hAnsi="Arial"/>
                <w:sz w:val="20"/>
                <w:szCs w:val="20"/>
                <w:color w:val="auto"/>
              </w:rPr>
              <w:t>Products and services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69,174</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64,869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tcBorders>
              <w:bottom w:val="single" w:sz="8" w:color="CFF0FC"/>
            </w:tcBorders>
            <w:gridSpan w:val="3"/>
          </w:tcPr>
          <w:p>
            <w:pPr>
              <w:ind w:left="120"/>
              <w:spacing w:after="0"/>
              <w:rPr>
                <w:sz w:val="20"/>
                <w:szCs w:val="20"/>
                <w:color w:val="auto"/>
              </w:rPr>
            </w:pPr>
            <w:r>
              <w:rPr>
                <w:rFonts w:ascii="Arial" w:cs="Arial" w:eastAsia="Arial" w:hAnsi="Arial"/>
                <w:sz w:val="20"/>
                <w:szCs w:val="20"/>
                <w:color w:val="auto"/>
              </w:rPr>
              <w:t>Freight</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4,900</w:t>
            </w:r>
          </w:p>
        </w:tc>
        <w:tc>
          <w:tcPr>
            <w:tcW w:w="28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4,393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3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74,074</w:t>
            </w:r>
          </w:p>
        </w:tc>
        <w:tc>
          <w:tcPr>
            <w:tcW w:w="28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69,262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840" w:type="dxa"/>
            <w:vAlign w:val="bottom"/>
            <w:gridSpan w:val="4"/>
          </w:tcPr>
          <w:p>
            <w:pPr>
              <w:spacing w:after="0"/>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938,955</w:t>
            </w:r>
          </w:p>
        </w:tc>
        <w:tc>
          <w:tcPr>
            <w:tcW w:w="280" w:type="dxa"/>
            <w:vAlign w:val="bottom"/>
          </w:tcPr>
          <w:p>
            <w:pPr>
              <w:spacing w:after="0"/>
              <w:rPr>
                <w:sz w:val="20"/>
                <w:szCs w:val="20"/>
                <w:color w:val="auto"/>
              </w:rPr>
            </w:pPr>
          </w:p>
        </w:tc>
        <w:tc>
          <w:tcPr>
            <w:tcW w:w="42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802,004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40" w:type="dxa"/>
            <w:vAlign w:val="bottom"/>
            <w:gridSpan w:val="4"/>
            <w:vMerge w:val="restart"/>
          </w:tcPr>
          <w:p>
            <w:pPr>
              <w:spacing w:after="0"/>
              <w:rPr>
                <w:sz w:val="20"/>
                <w:szCs w:val="20"/>
                <w:color w:val="auto"/>
              </w:rPr>
            </w:pPr>
            <w:r>
              <w:rPr>
                <w:rFonts w:ascii="Arial" w:cs="Arial" w:eastAsia="Arial" w:hAnsi="Arial"/>
                <w:sz w:val="20"/>
                <w:szCs w:val="20"/>
                <w:color w:val="auto"/>
              </w:rPr>
              <w:t>Gross profit (loss):</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7840" w:type="dxa"/>
            <w:vAlign w:val="bottom"/>
            <w:gridSpan w:val="4"/>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vMerge w:val="continue"/>
          </w:tcPr>
          <w:p>
            <w:pPr>
              <w:spacing w:after="0"/>
              <w:rPr>
                <w:sz w:val="21"/>
                <w:szCs w:val="21"/>
                <w:color w:val="auto"/>
              </w:rPr>
            </w:pPr>
          </w:p>
        </w:tc>
        <w:tc>
          <w:tcPr>
            <w:tcW w:w="78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tcPr>
          <w:p>
            <w:pPr>
              <w:spacing w:after="0"/>
              <w:rPr>
                <w:sz w:val="20"/>
                <w:szCs w:val="20"/>
                <w:color w:val="auto"/>
              </w:rPr>
            </w:pPr>
            <w:r>
              <w:rPr>
                <w:rFonts w:ascii="Arial" w:cs="Arial" w:eastAsia="Arial" w:hAnsi="Arial"/>
                <w:sz w:val="20"/>
                <w:szCs w:val="20"/>
                <w:color w:val="auto"/>
              </w:rPr>
              <w:t>Products and services: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shd w:val="clear" w:color="auto" w:fill="CFF0FC"/>
          </w:tcPr>
          <w:p>
            <w:pPr>
              <w:ind w:left="240"/>
              <w:spacing w:after="0"/>
              <w:rPr>
                <w:sz w:val="20"/>
                <w:szCs w:val="20"/>
                <w:color w:val="auto"/>
              </w:rPr>
            </w:pPr>
            <w:r>
              <w:rPr>
                <w:rFonts w:ascii="Arial" w:cs="Arial" w:eastAsia="Arial" w:hAnsi="Arial"/>
                <w:sz w:val="20"/>
                <w:szCs w:val="20"/>
                <w:color w:val="auto"/>
              </w:rPr>
              <w:t>Aggregates</w:t>
            </w:r>
          </w:p>
        </w:tc>
        <w:tc>
          <w:tcPr>
            <w:tcW w:w="3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97,562</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53,002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tcPr>
          <w:p>
            <w:pPr>
              <w:ind w:left="240"/>
              <w:spacing w:after="0"/>
              <w:rPr>
                <w:sz w:val="20"/>
                <w:szCs w:val="20"/>
                <w:color w:val="auto"/>
              </w:rPr>
            </w:pPr>
            <w:r>
              <w:rPr>
                <w:rFonts w:ascii="Arial" w:cs="Arial" w:eastAsia="Arial" w:hAnsi="Arial"/>
                <w:sz w:val="20"/>
                <w:szCs w:val="20"/>
                <w:color w:val="auto"/>
              </w:rPr>
              <w:t>Cement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13,779</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23,734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shd w:val="clear" w:color="auto" w:fill="CFF0FC"/>
          </w:tcPr>
          <w:p>
            <w:pPr>
              <w:ind w:left="240"/>
              <w:spacing w:after="0"/>
              <w:rPr>
                <w:sz w:val="20"/>
                <w:szCs w:val="20"/>
                <w:color w:val="auto"/>
              </w:rPr>
            </w:pPr>
            <w:r>
              <w:rPr>
                <w:rFonts w:ascii="Arial" w:cs="Arial" w:eastAsia="Arial" w:hAnsi="Arial"/>
                <w:sz w:val="20"/>
                <w:szCs w:val="20"/>
                <w:color w:val="auto"/>
              </w:rPr>
              <w:t>Ready mixed concrete</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14,492</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15,641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tcPr>
          <w:p>
            <w:pPr>
              <w:ind w:left="240"/>
              <w:spacing w:after="0"/>
              <w:rPr>
                <w:sz w:val="20"/>
                <w:szCs w:val="20"/>
                <w:color w:val="auto"/>
              </w:rPr>
            </w:pPr>
            <w:r>
              <w:rPr>
                <w:rFonts w:ascii="Arial" w:cs="Arial" w:eastAsia="Arial" w:hAnsi="Arial"/>
                <w:sz w:val="20"/>
                <w:szCs w:val="20"/>
                <w:color w:val="auto"/>
              </w:rPr>
              <w:t>Asphalt and paving services</w:t>
            </w:r>
          </w:p>
        </w:tc>
        <w:tc>
          <w:tcPr>
            <w:tcW w:w="3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(7,829)</w:t>
            </w:r>
          </w:p>
        </w:tc>
        <w:tc>
          <w:tcPr>
            <w:tcW w:w="42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(7,639)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20" w:type="dxa"/>
            <w:vAlign w:val="bottom"/>
            <w:tcBorders>
              <w:top w:val="single" w:sz="8" w:color="CFF0FC"/>
            </w:tcBorders>
            <w:gridSpan w:val="3"/>
            <w:shd w:val="clear" w:color="auto" w:fill="CFF0FC"/>
          </w:tcPr>
          <w:p>
            <w:pPr>
              <w:ind w:left="120"/>
              <w:spacing w:after="0"/>
              <w:rPr>
                <w:sz w:val="20"/>
                <w:szCs w:val="20"/>
                <w:color w:val="auto"/>
              </w:rPr>
            </w:pPr>
            <w:r>
              <w:rPr>
                <w:rFonts w:ascii="Arial" w:cs="Arial" w:eastAsia="Arial" w:hAnsi="Arial"/>
                <w:sz w:val="20"/>
                <w:szCs w:val="20"/>
                <w:color w:val="auto"/>
              </w:rPr>
              <w:t>Products and services</w:t>
            </w:r>
          </w:p>
        </w:tc>
        <w:tc>
          <w:tcPr>
            <w:tcW w:w="36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118,004</w:t>
            </w:r>
          </w:p>
        </w:tc>
        <w:tc>
          <w:tcPr>
            <w:tcW w:w="280" w:type="dxa"/>
            <w:vAlign w:val="bottom"/>
            <w:tcBorders>
              <w:top w:val="single" w:sz="8" w:color="CFF0FC"/>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84,738</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tcPr>
          <w:p>
            <w:pPr>
              <w:ind w:left="120"/>
              <w:spacing w:after="0"/>
              <w:rPr>
                <w:sz w:val="20"/>
                <w:szCs w:val="20"/>
                <w:color w:val="auto"/>
              </w:rPr>
            </w:pPr>
            <w:r>
              <w:rPr>
                <w:rFonts w:ascii="Arial" w:cs="Arial" w:eastAsia="Arial" w:hAnsi="Arial"/>
                <w:sz w:val="20"/>
                <w:szCs w:val="20"/>
                <w:color w:val="auto"/>
              </w:rPr>
              <w:t>Freight</w:t>
            </w:r>
          </w:p>
        </w:tc>
        <w:tc>
          <w:tcPr>
            <w:tcW w:w="3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(165)</w:t>
            </w:r>
          </w:p>
        </w:tc>
        <w:tc>
          <w:tcPr>
            <w:tcW w:w="42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(119)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36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117,839</w:t>
            </w:r>
          </w:p>
        </w:tc>
        <w:tc>
          <w:tcPr>
            <w:tcW w:w="280" w:type="dxa"/>
            <w:vAlign w:val="bottom"/>
            <w:tcBorders>
              <w:top w:val="single" w:sz="8" w:color="CFF0FC"/>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84,619</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tcPr>
          <w:p>
            <w:pPr>
              <w:spacing w:after="0"/>
              <w:rPr>
                <w:sz w:val="20"/>
                <w:szCs w:val="20"/>
                <w:color w:val="auto"/>
              </w:rPr>
            </w:pPr>
            <w:r>
              <w:rPr>
                <w:rFonts w:ascii="Arial" w:cs="Arial" w:eastAsia="Arial" w:hAnsi="Arial"/>
                <w:sz w:val="20"/>
                <w:szCs w:val="20"/>
                <w:color w:val="auto"/>
              </w:rPr>
              <w:t>Magnesia Specialties: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shd w:val="clear" w:color="auto" w:fill="CFF0FC"/>
          </w:tcPr>
          <w:p>
            <w:pPr>
              <w:ind w:left="120"/>
              <w:spacing w:after="0"/>
              <w:rPr>
                <w:sz w:val="20"/>
                <w:szCs w:val="20"/>
                <w:color w:val="auto"/>
              </w:rPr>
            </w:pPr>
            <w:r>
              <w:rPr>
                <w:rFonts w:ascii="Arial" w:cs="Arial" w:eastAsia="Arial" w:hAnsi="Arial"/>
                <w:sz w:val="20"/>
                <w:szCs w:val="20"/>
                <w:color w:val="auto"/>
              </w:rPr>
              <w:t>Products and services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26,607</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25,063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tcPr>
          <w:p>
            <w:pPr>
              <w:ind w:left="120"/>
              <w:spacing w:after="0"/>
              <w:rPr>
                <w:sz w:val="20"/>
                <w:szCs w:val="20"/>
                <w:color w:val="auto"/>
              </w:rPr>
            </w:pPr>
            <w:r>
              <w:rPr>
                <w:rFonts w:ascii="Arial" w:cs="Arial" w:eastAsia="Arial" w:hAnsi="Arial"/>
                <w:sz w:val="20"/>
                <w:szCs w:val="20"/>
                <w:color w:val="auto"/>
              </w:rPr>
              <w:t>Freight</w:t>
            </w:r>
          </w:p>
        </w:tc>
        <w:tc>
          <w:tcPr>
            <w:tcW w:w="3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(1,065)</w:t>
            </w:r>
          </w:p>
        </w:tc>
        <w:tc>
          <w:tcPr>
            <w:tcW w:w="42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(1,174)</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36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25,542</w:t>
            </w:r>
          </w:p>
        </w:tc>
        <w:tc>
          <w:tcPr>
            <w:tcW w:w="280" w:type="dxa"/>
            <w:vAlign w:val="bottom"/>
            <w:tcBorders>
              <w:top w:val="single" w:sz="8" w:color="CFF0FC"/>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23,889</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820" w:type="dxa"/>
            <w:vAlign w:val="bottom"/>
            <w:gridSpan w:val="3"/>
          </w:tcPr>
          <w:p>
            <w:pPr>
              <w:spacing w:after="0"/>
              <w:rPr>
                <w:sz w:val="20"/>
                <w:szCs w:val="20"/>
                <w:color w:val="auto"/>
              </w:rPr>
            </w:pPr>
            <w:r>
              <w:rPr>
                <w:rFonts w:ascii="Arial" w:cs="Arial" w:eastAsia="Arial" w:hAnsi="Arial"/>
                <w:sz w:val="20"/>
                <w:szCs w:val="20"/>
                <w:color w:val="auto"/>
              </w:rPr>
              <w:t>Corporate</w:t>
            </w:r>
          </w:p>
        </w:tc>
        <w:tc>
          <w:tcPr>
            <w:tcW w:w="3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(474)</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1,884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2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w:t>
            </w: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142,907</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22"/>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110,392</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18" w:lineRule="exact"/>
        <w:rPr>
          <w:sz w:val="20"/>
          <w:szCs w:val="20"/>
          <w:color w:val="auto"/>
        </w:rPr>
      </w:pPr>
    </w:p>
    <w:p>
      <w:pPr>
        <w:ind w:left="380" w:hanging="373"/>
        <w:spacing w:after="0"/>
        <w:tabs>
          <w:tab w:leader="none" w:pos="3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111" w:lineRule="exact"/>
        <w:rPr>
          <w:rFonts w:ascii="Arial" w:cs="Arial" w:eastAsia="Arial" w:hAnsi="Arial"/>
          <w:sz w:val="20"/>
          <w:szCs w:val="20"/>
          <w:b w:val="1"/>
          <w:bCs w:val="1"/>
          <w:color w:val="auto"/>
        </w:rPr>
      </w:pPr>
    </w:p>
    <w:p>
      <w:pPr>
        <w:jc w:val="both"/>
        <w:ind w:left="380"/>
        <w:spacing w:after="0" w:line="267" w:lineRule="auto"/>
        <w:rPr>
          <w:rFonts w:ascii="Arial" w:cs="Arial" w:eastAsia="Arial" w:hAnsi="Arial"/>
          <w:sz w:val="20"/>
          <w:szCs w:val="20"/>
          <w:b w:val="1"/>
          <w:bCs w:val="1"/>
          <w:color w:val="auto"/>
        </w:rPr>
      </w:pPr>
      <w:r>
        <w:rPr>
          <w:rFonts w:ascii="Arial" w:cs="Arial" w:eastAsia="Arial" w:hAnsi="Arial"/>
          <w:sz w:val="19"/>
          <w:szCs w:val="19"/>
          <w:color w:val="auto"/>
        </w:rPr>
        <w:t>The Company has leases primarily for equipment, railcars, fleet vehicles, office space, land and information technology equipment and software. The Company’s leases have remaining lease terms of one year to 54 years, some of which may include options to extend the leases for up to 30 years, and some of which may include options to terminate the leases within one year.</w:t>
      </w:r>
    </w:p>
    <w:p>
      <w:pPr>
        <w:spacing w:after="0" w:line="63" w:lineRule="exact"/>
        <w:rPr>
          <w:rFonts w:ascii="Arial" w:cs="Arial" w:eastAsia="Arial" w:hAnsi="Arial"/>
          <w:sz w:val="20"/>
          <w:szCs w:val="20"/>
          <w:b w:val="1"/>
          <w:bCs w:val="1"/>
          <w:color w:val="auto"/>
        </w:rPr>
      </w:pPr>
    </w:p>
    <w:p>
      <w:pPr>
        <w:jc w:val="both"/>
        <w:ind w:left="380"/>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Certain of the Company’s lease agreements include payments based upon variable rates, including but not limited to hours used, tonnage processed and factors related to indices. The Company’s lease agreements do not contain any material residual value guarantees or material restrictive covenants.</w:t>
      </w:r>
    </w:p>
    <w:p>
      <w:pPr>
        <w:spacing w:after="0" w:line="79"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The components of lease cost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5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60" w:type="dxa"/>
            <w:vAlign w:val="bottom"/>
            <w:gridSpan w:val="2"/>
          </w:tcPr>
          <w:p>
            <w:pPr>
              <w:jc w:val="center"/>
              <w:ind w:right="520"/>
              <w:spacing w:after="0"/>
              <w:rPr>
                <w:sz w:val="20"/>
                <w:szCs w:val="20"/>
                <w:color w:val="auto"/>
              </w:rPr>
            </w:pPr>
            <w:r>
              <w:rPr>
                <w:rFonts w:ascii="Arial" w:cs="Arial" w:eastAsia="Arial" w:hAnsi="Arial"/>
                <w:sz w:val="20"/>
                <w:szCs w:val="20"/>
                <w:color w:val="auto"/>
                <w:w w:val="88"/>
              </w:rPr>
              <w:t>Three Months Ended</w:t>
            </w:r>
          </w:p>
        </w:tc>
      </w:tr>
      <w:tr>
        <w:trPr>
          <w:trHeight w:val="245"/>
        </w:trPr>
        <w:tc>
          <w:tcPr>
            <w:tcW w:w="55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60" w:type="dxa"/>
            <w:vAlign w:val="bottom"/>
            <w:gridSpan w:val="2"/>
          </w:tcPr>
          <w:p>
            <w:pPr>
              <w:jc w:val="center"/>
              <w:ind w:right="520"/>
              <w:spacing w:after="0"/>
              <w:rPr>
                <w:sz w:val="20"/>
                <w:szCs w:val="20"/>
                <w:color w:val="auto"/>
              </w:rPr>
            </w:pPr>
            <w:r>
              <w:rPr>
                <w:rFonts w:ascii="Arial" w:cs="Arial" w:eastAsia="Arial" w:hAnsi="Arial"/>
                <w:sz w:val="20"/>
                <w:szCs w:val="20"/>
                <w:color w:val="auto"/>
                <w:w w:val="90"/>
              </w:rPr>
              <w:t>March 31, 2019</w:t>
            </w:r>
          </w:p>
        </w:tc>
      </w:tr>
      <w:tr>
        <w:trPr>
          <w:trHeight w:val="235"/>
        </w:trPr>
        <w:tc>
          <w:tcPr>
            <w:tcW w:w="5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740" w:type="dxa"/>
            <w:vAlign w:val="bottom"/>
            <w:tcBorders>
              <w:top w:val="single" w:sz="8" w:color="auto"/>
            </w:tcBorders>
          </w:tcPr>
          <w:p>
            <w:pPr>
              <w:jc w:val="center"/>
              <w:ind w:right="282"/>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0"/>
                <w:szCs w:val="20"/>
                <w:color w:val="auto"/>
              </w:rPr>
            </w:pPr>
          </w:p>
        </w:tc>
      </w:tr>
      <w:tr>
        <w:trPr>
          <w:trHeight w:val="242"/>
        </w:trPr>
        <w:tc>
          <w:tcPr>
            <w:tcW w:w="5540" w:type="dxa"/>
            <w:vAlign w:val="bottom"/>
            <w:shd w:val="clear" w:color="auto" w:fill="CFF0FC"/>
          </w:tcPr>
          <w:p>
            <w:pPr>
              <w:spacing w:after="0"/>
              <w:rPr>
                <w:sz w:val="20"/>
                <w:szCs w:val="20"/>
                <w:color w:val="auto"/>
              </w:rPr>
            </w:pPr>
            <w:r>
              <w:rPr>
                <w:rFonts w:ascii="Arial" w:cs="Arial" w:eastAsia="Arial" w:hAnsi="Arial"/>
                <w:sz w:val="20"/>
                <w:szCs w:val="20"/>
                <w:color w:val="auto"/>
              </w:rPr>
              <w:t>Operating lease cost</w:t>
            </w:r>
          </w:p>
        </w:tc>
        <w:tc>
          <w:tcPr>
            <w:tcW w:w="3020" w:type="dxa"/>
            <w:vAlign w:val="bottom"/>
            <w:gridSpan w:val="2"/>
            <w:shd w:val="clear" w:color="auto" w:fill="CFF0FC"/>
          </w:tcPr>
          <w:p>
            <w:pPr>
              <w:jc w:val="right"/>
              <w:ind w:right="182"/>
              <w:spacing w:after="0"/>
              <w:rPr>
                <w:sz w:val="20"/>
                <w:szCs w:val="20"/>
                <w:color w:val="auto"/>
              </w:rPr>
            </w:pPr>
            <w:r>
              <w:rPr>
                <w:rFonts w:ascii="Arial" w:cs="Arial" w:eastAsia="Arial" w:hAnsi="Arial"/>
                <w:sz w:val="20"/>
                <w:szCs w:val="20"/>
                <w:color w:val="auto"/>
              </w:rPr>
              <w:t>$</w:t>
            </w:r>
          </w:p>
        </w:tc>
        <w:tc>
          <w:tcPr>
            <w:tcW w:w="2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19,966</w:t>
            </w:r>
          </w:p>
        </w:tc>
        <w:tc>
          <w:tcPr>
            <w:tcW w:w="120" w:type="dxa"/>
            <w:vAlign w:val="bottom"/>
            <w:shd w:val="clear" w:color="auto" w:fill="CFF0FC"/>
          </w:tcPr>
          <w:p>
            <w:pPr>
              <w:spacing w:after="0"/>
              <w:rPr>
                <w:sz w:val="21"/>
                <w:szCs w:val="21"/>
                <w:color w:val="auto"/>
              </w:rPr>
            </w:pPr>
          </w:p>
        </w:tc>
      </w:tr>
      <w:tr>
        <w:trPr>
          <w:trHeight w:val="242"/>
        </w:trPr>
        <w:tc>
          <w:tcPr>
            <w:tcW w:w="5540" w:type="dxa"/>
            <w:vAlign w:val="bottom"/>
          </w:tcPr>
          <w:p>
            <w:pPr>
              <w:spacing w:after="0"/>
              <w:rPr>
                <w:sz w:val="20"/>
                <w:szCs w:val="20"/>
                <w:color w:val="auto"/>
              </w:rPr>
            </w:pPr>
            <w:r>
              <w:rPr>
                <w:rFonts w:ascii="Arial" w:cs="Arial" w:eastAsia="Arial" w:hAnsi="Arial"/>
                <w:sz w:val="20"/>
                <w:szCs w:val="20"/>
                <w:color w:val="auto"/>
              </w:rPr>
              <w:t>Finance lease cost:</w:t>
            </w:r>
          </w:p>
        </w:tc>
        <w:tc>
          <w:tcPr>
            <w:tcW w:w="2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2"/>
        </w:trPr>
        <w:tc>
          <w:tcPr>
            <w:tcW w:w="55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Amortization of right-of-use assets</w:t>
            </w:r>
          </w:p>
        </w:tc>
        <w:tc>
          <w:tcPr>
            <w:tcW w:w="26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935</w:t>
            </w:r>
          </w:p>
        </w:tc>
        <w:tc>
          <w:tcPr>
            <w:tcW w:w="120" w:type="dxa"/>
            <w:vAlign w:val="bottom"/>
            <w:shd w:val="clear" w:color="auto" w:fill="CFF0FC"/>
          </w:tcPr>
          <w:p>
            <w:pPr>
              <w:spacing w:after="0"/>
              <w:rPr>
                <w:sz w:val="21"/>
                <w:szCs w:val="21"/>
                <w:color w:val="auto"/>
              </w:rPr>
            </w:pPr>
          </w:p>
        </w:tc>
      </w:tr>
      <w:tr>
        <w:trPr>
          <w:trHeight w:val="242"/>
        </w:trPr>
        <w:tc>
          <w:tcPr>
            <w:tcW w:w="5540" w:type="dxa"/>
            <w:vAlign w:val="bottom"/>
          </w:tcPr>
          <w:p>
            <w:pPr>
              <w:ind w:left="160"/>
              <w:spacing w:after="0"/>
              <w:rPr>
                <w:sz w:val="20"/>
                <w:szCs w:val="20"/>
                <w:color w:val="auto"/>
              </w:rPr>
            </w:pPr>
            <w:r>
              <w:rPr>
                <w:rFonts w:ascii="Arial" w:cs="Arial" w:eastAsia="Arial" w:hAnsi="Arial"/>
                <w:sz w:val="20"/>
                <w:szCs w:val="20"/>
                <w:color w:val="auto"/>
              </w:rPr>
              <w:t>Interest on lease liabilities</w:t>
            </w:r>
          </w:p>
        </w:tc>
        <w:tc>
          <w:tcPr>
            <w:tcW w:w="2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20"/>
                <w:szCs w:val="20"/>
                <w:color w:val="auto"/>
              </w:rPr>
              <w:t>148</w:t>
            </w:r>
          </w:p>
        </w:tc>
        <w:tc>
          <w:tcPr>
            <w:tcW w:w="120" w:type="dxa"/>
            <w:vAlign w:val="bottom"/>
          </w:tcPr>
          <w:p>
            <w:pPr>
              <w:spacing w:after="0"/>
              <w:rPr>
                <w:sz w:val="21"/>
                <w:szCs w:val="21"/>
                <w:color w:val="auto"/>
              </w:rPr>
            </w:pPr>
          </w:p>
        </w:tc>
      </w:tr>
      <w:tr>
        <w:trPr>
          <w:trHeight w:val="242"/>
        </w:trPr>
        <w:tc>
          <w:tcPr>
            <w:tcW w:w="5540" w:type="dxa"/>
            <w:vAlign w:val="bottom"/>
            <w:shd w:val="clear" w:color="auto" w:fill="CFF0FC"/>
          </w:tcPr>
          <w:p>
            <w:pPr>
              <w:spacing w:after="0"/>
              <w:rPr>
                <w:sz w:val="20"/>
                <w:szCs w:val="20"/>
                <w:color w:val="auto"/>
              </w:rPr>
            </w:pPr>
            <w:r>
              <w:rPr>
                <w:rFonts w:ascii="Arial" w:cs="Arial" w:eastAsia="Arial" w:hAnsi="Arial"/>
                <w:sz w:val="20"/>
                <w:szCs w:val="20"/>
                <w:color w:val="auto"/>
              </w:rPr>
              <w:t>Variable lease cost</w:t>
            </w:r>
          </w:p>
        </w:tc>
        <w:tc>
          <w:tcPr>
            <w:tcW w:w="26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4,667</w:t>
            </w:r>
          </w:p>
        </w:tc>
        <w:tc>
          <w:tcPr>
            <w:tcW w:w="120" w:type="dxa"/>
            <w:vAlign w:val="bottom"/>
            <w:shd w:val="clear" w:color="auto" w:fill="CFF0FC"/>
          </w:tcPr>
          <w:p>
            <w:pPr>
              <w:spacing w:after="0"/>
              <w:rPr>
                <w:sz w:val="21"/>
                <w:szCs w:val="21"/>
                <w:color w:val="auto"/>
              </w:rPr>
            </w:pPr>
          </w:p>
        </w:tc>
      </w:tr>
      <w:tr>
        <w:trPr>
          <w:trHeight w:val="242"/>
        </w:trPr>
        <w:tc>
          <w:tcPr>
            <w:tcW w:w="55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Short-term lease cost</w:t>
            </w:r>
          </w:p>
        </w:tc>
        <w:tc>
          <w:tcPr>
            <w:tcW w:w="264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8,118</w:t>
            </w:r>
          </w:p>
        </w:tc>
        <w:tc>
          <w:tcPr>
            <w:tcW w:w="120" w:type="dxa"/>
            <w:vAlign w:val="bottom"/>
            <w:tcBorders>
              <w:bottom w:val="single" w:sz="8" w:color="CFF0FC"/>
            </w:tcBorders>
          </w:tcPr>
          <w:p>
            <w:pPr>
              <w:spacing w:after="0"/>
              <w:rPr>
                <w:sz w:val="21"/>
                <w:szCs w:val="21"/>
                <w:color w:val="auto"/>
              </w:rPr>
            </w:pPr>
          </w:p>
        </w:tc>
      </w:tr>
      <w:tr>
        <w:trPr>
          <w:trHeight w:val="235"/>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lease cost</w:t>
            </w:r>
          </w:p>
        </w:tc>
        <w:tc>
          <w:tcPr>
            <w:tcW w:w="26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20"/>
                <w:szCs w:val="20"/>
                <w:color w:val="auto"/>
                <w:w w:val="71"/>
              </w:rPr>
              <w:t>$</w:t>
            </w:r>
          </w:p>
        </w:tc>
        <w:tc>
          <w:tcPr>
            <w:tcW w:w="2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33,834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5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balance sheet classifications of operating and finance leases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80" w:type="dxa"/>
            <w:vAlign w:val="bottom"/>
            <w:gridSpan w:val="2"/>
          </w:tcPr>
          <w:p>
            <w:pPr>
              <w:jc w:val="center"/>
              <w:ind w:right="480"/>
              <w:spacing w:after="0"/>
              <w:rPr>
                <w:sz w:val="20"/>
                <w:szCs w:val="20"/>
                <w:color w:val="auto"/>
              </w:rPr>
            </w:pPr>
            <w:r>
              <w:rPr>
                <w:rFonts w:ascii="Arial" w:cs="Arial" w:eastAsia="Arial" w:hAnsi="Arial"/>
                <w:sz w:val="20"/>
                <w:szCs w:val="20"/>
                <w:color w:val="auto"/>
                <w:w w:val="88"/>
              </w:rPr>
              <w:t>Three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80" w:type="dxa"/>
            <w:vAlign w:val="bottom"/>
            <w:gridSpan w:val="2"/>
          </w:tcPr>
          <w:p>
            <w:pPr>
              <w:jc w:val="center"/>
              <w:ind w:right="460"/>
              <w:spacing w:after="0"/>
              <w:rPr>
                <w:sz w:val="20"/>
                <w:szCs w:val="20"/>
                <w:color w:val="auto"/>
              </w:rPr>
            </w:pPr>
            <w:r>
              <w:rPr>
                <w:rFonts w:ascii="Arial" w:cs="Arial" w:eastAsia="Arial" w:hAnsi="Arial"/>
                <w:sz w:val="20"/>
                <w:szCs w:val="20"/>
                <w:color w:val="auto"/>
                <w:w w:val="89"/>
              </w:rPr>
              <w:t>March 31, 2019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242"/>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20"/>
                <w:szCs w:val="20"/>
                <w:color w:val="auto"/>
              </w:rPr>
              <w:t>Operating Leases:</w:t>
            </w:r>
          </w:p>
        </w:tc>
        <w:tc>
          <w:tcPr>
            <w:tcW w:w="26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660" w:type="dxa"/>
            <w:vAlign w:val="bottom"/>
          </w:tcPr>
          <w:p>
            <w:pPr>
              <w:ind w:left="120"/>
              <w:spacing w:after="0"/>
              <w:rPr>
                <w:sz w:val="20"/>
                <w:szCs w:val="20"/>
                <w:color w:val="auto"/>
              </w:rPr>
            </w:pPr>
            <w:r>
              <w:rPr>
                <w:rFonts w:ascii="Arial" w:cs="Arial" w:eastAsia="Arial" w:hAnsi="Arial"/>
                <w:sz w:val="20"/>
                <w:szCs w:val="20"/>
                <w:color w:val="auto"/>
              </w:rPr>
              <w:t>Operating lease right-of-use assets</w:t>
            </w:r>
          </w:p>
        </w:tc>
        <w:tc>
          <w:tcPr>
            <w:tcW w:w="296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2660" w:type="dxa"/>
            <w:vAlign w:val="bottom"/>
          </w:tcPr>
          <w:p>
            <w:pPr>
              <w:jc w:val="right"/>
              <w:spacing w:after="0"/>
              <w:rPr>
                <w:sz w:val="20"/>
                <w:szCs w:val="20"/>
                <w:color w:val="auto"/>
              </w:rPr>
            </w:pPr>
            <w:r>
              <w:rPr>
                <w:rFonts w:ascii="Arial" w:cs="Arial" w:eastAsia="Arial" w:hAnsi="Arial"/>
                <w:sz w:val="20"/>
                <w:szCs w:val="20"/>
                <w:color w:val="auto"/>
              </w:rPr>
              <w:t>498,233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Borders>
              <w:top w:val="single" w:sz="8" w:color="CFF0FC"/>
            </w:tcBorders>
            <w:shd w:val="clear" w:color="auto" w:fill="CFF0FC"/>
          </w:tcPr>
          <w:p>
            <w:pPr>
              <w:spacing w:after="0"/>
              <w:rPr>
                <w:sz w:val="19"/>
                <w:szCs w:val="19"/>
                <w:color w:val="auto"/>
              </w:rPr>
            </w:pPr>
          </w:p>
        </w:tc>
        <w:tc>
          <w:tcPr>
            <w:tcW w:w="26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60" w:type="dxa"/>
            <w:vAlign w:val="bottom"/>
          </w:tcPr>
          <w:p>
            <w:pPr>
              <w:ind w:left="120"/>
              <w:spacing w:after="0"/>
              <w:rPr>
                <w:sz w:val="20"/>
                <w:szCs w:val="20"/>
                <w:color w:val="auto"/>
              </w:rPr>
            </w:pPr>
            <w:r>
              <w:rPr>
                <w:rFonts w:ascii="Arial" w:cs="Arial" w:eastAsia="Arial" w:hAnsi="Arial"/>
                <w:sz w:val="20"/>
                <w:szCs w:val="20"/>
                <w:color w:val="auto"/>
              </w:rPr>
              <w:t>Current operating lease liabilities</w:t>
            </w:r>
          </w:p>
        </w:tc>
        <w:tc>
          <w:tcPr>
            <w:tcW w:w="296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2660" w:type="dxa"/>
            <w:vAlign w:val="bottom"/>
          </w:tcPr>
          <w:p>
            <w:pPr>
              <w:jc w:val="right"/>
              <w:spacing w:after="0"/>
              <w:rPr>
                <w:sz w:val="20"/>
                <w:szCs w:val="20"/>
                <w:color w:val="auto"/>
              </w:rPr>
            </w:pPr>
            <w:r>
              <w:rPr>
                <w:rFonts w:ascii="Arial" w:cs="Arial" w:eastAsia="Arial" w:hAnsi="Arial"/>
                <w:sz w:val="20"/>
                <w:szCs w:val="20"/>
                <w:color w:val="auto"/>
              </w:rPr>
              <w:t>50,776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60" w:type="dxa"/>
            <w:vAlign w:val="bottom"/>
            <w:shd w:val="clear" w:color="auto" w:fill="CFF0FC"/>
          </w:tcPr>
          <w:p>
            <w:pPr>
              <w:ind w:left="120"/>
              <w:spacing w:after="0"/>
              <w:rPr>
                <w:sz w:val="20"/>
                <w:szCs w:val="20"/>
                <w:color w:val="auto"/>
              </w:rPr>
            </w:pPr>
            <w:r>
              <w:rPr>
                <w:rFonts w:ascii="Arial" w:cs="Arial" w:eastAsia="Arial" w:hAnsi="Arial"/>
                <w:sz w:val="20"/>
                <w:szCs w:val="20"/>
                <w:color w:val="auto"/>
              </w:rPr>
              <w:t>Noncurrent operating lease liabilities</w:t>
            </w:r>
          </w:p>
        </w:tc>
        <w:tc>
          <w:tcPr>
            <w:tcW w:w="262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2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446,128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66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Total operating lease liabilities</w:t>
            </w:r>
          </w:p>
        </w:tc>
        <w:tc>
          <w:tcPr>
            <w:tcW w:w="262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w w:val="71"/>
              </w:rPr>
              <w:t>$</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496,904</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566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660" w:type="dxa"/>
            <w:vAlign w:val="bottom"/>
          </w:tcPr>
          <w:p>
            <w:pPr>
              <w:spacing w:after="0"/>
              <w:rPr>
                <w:sz w:val="20"/>
                <w:szCs w:val="20"/>
                <w:color w:val="auto"/>
              </w:rPr>
            </w:pPr>
            <w:r>
              <w:rPr>
                <w:rFonts w:ascii="Arial" w:cs="Arial" w:eastAsia="Arial" w:hAnsi="Arial"/>
                <w:sz w:val="20"/>
                <w:szCs w:val="20"/>
                <w:color w:val="auto"/>
              </w:rPr>
              <w:t>Finance Leases:</w:t>
            </w:r>
          </w:p>
        </w:tc>
        <w:tc>
          <w:tcPr>
            <w:tcW w:w="2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60" w:type="dxa"/>
            <w:vAlign w:val="bottom"/>
            <w:shd w:val="clear" w:color="auto" w:fill="CFF0FC"/>
          </w:tcPr>
          <w:p>
            <w:pPr>
              <w:ind w:left="120"/>
              <w:spacing w:after="0"/>
              <w:rPr>
                <w:sz w:val="20"/>
                <w:szCs w:val="20"/>
                <w:color w:val="auto"/>
              </w:rPr>
            </w:pPr>
            <w:r>
              <w:rPr>
                <w:rFonts w:ascii="Arial" w:cs="Arial" w:eastAsia="Arial" w:hAnsi="Arial"/>
                <w:sz w:val="20"/>
                <w:szCs w:val="20"/>
                <w:color w:val="auto"/>
              </w:rPr>
              <w:t>Property, plant and equipment</w:t>
            </w:r>
          </w:p>
        </w:tc>
        <w:tc>
          <w:tcPr>
            <w:tcW w:w="2960" w:type="dxa"/>
            <w:vAlign w:val="bottom"/>
            <w:gridSpan w:val="2"/>
            <w:shd w:val="clear" w:color="auto" w:fill="CFF0FC"/>
          </w:tcPr>
          <w:p>
            <w:pPr>
              <w:jc w:val="right"/>
              <w:ind w:right="142"/>
              <w:spacing w:after="0"/>
              <w:rPr>
                <w:sz w:val="20"/>
                <w:szCs w:val="20"/>
                <w:color w:val="auto"/>
              </w:rPr>
            </w:pPr>
            <w:r>
              <w:rPr>
                <w:rFonts w:ascii="Arial" w:cs="Arial" w:eastAsia="Arial" w:hAnsi="Arial"/>
                <w:sz w:val="20"/>
                <w:szCs w:val="20"/>
                <w:color w:val="auto"/>
              </w:rPr>
              <w:t>$</w:t>
            </w:r>
          </w:p>
        </w:tc>
        <w:tc>
          <w:tcPr>
            <w:tcW w:w="2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11,143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60" w:type="dxa"/>
            <w:vAlign w:val="bottom"/>
          </w:tcPr>
          <w:p>
            <w:pPr>
              <w:ind w:left="120"/>
              <w:spacing w:after="0"/>
              <w:rPr>
                <w:sz w:val="20"/>
                <w:szCs w:val="20"/>
                <w:color w:val="auto"/>
              </w:rPr>
            </w:pPr>
            <w:r>
              <w:rPr>
                <w:rFonts w:ascii="Arial" w:cs="Arial" w:eastAsia="Arial" w:hAnsi="Arial"/>
                <w:sz w:val="20"/>
                <w:szCs w:val="20"/>
                <w:color w:val="auto"/>
              </w:rPr>
              <w:t>Accumulated depreciation</w:t>
            </w:r>
          </w:p>
        </w:tc>
        <w:tc>
          <w:tcPr>
            <w:tcW w:w="2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80" w:type="dxa"/>
            <w:vAlign w:val="bottom"/>
            <w:gridSpan w:val="2"/>
          </w:tcPr>
          <w:p>
            <w:pPr>
              <w:jc w:val="right"/>
              <w:ind w:right="60"/>
              <w:spacing w:after="0"/>
              <w:rPr>
                <w:sz w:val="20"/>
                <w:szCs w:val="20"/>
                <w:color w:val="auto"/>
              </w:rPr>
            </w:pPr>
            <w:r>
              <w:rPr>
                <w:rFonts w:ascii="Arial" w:cs="Arial" w:eastAsia="Arial" w:hAnsi="Arial"/>
                <w:sz w:val="20"/>
                <w:szCs w:val="20"/>
                <w:color w:val="auto"/>
              </w:rPr>
              <w:t>(935)</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Property, plant and equipment, net</w:t>
            </w:r>
          </w:p>
        </w:tc>
        <w:tc>
          <w:tcPr>
            <w:tcW w:w="262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42"/>
              <w:spacing w:after="0"/>
              <w:rPr>
                <w:sz w:val="20"/>
                <w:szCs w:val="20"/>
                <w:color w:val="auto"/>
              </w:rPr>
            </w:pPr>
            <w:r>
              <w:rPr>
                <w:rFonts w:ascii="Arial" w:cs="Arial" w:eastAsia="Arial" w:hAnsi="Arial"/>
                <w:sz w:val="20"/>
                <w:szCs w:val="20"/>
                <w:color w:val="auto"/>
                <w:w w:val="71"/>
              </w:rPr>
              <w:t>$</w:t>
            </w:r>
          </w:p>
        </w:tc>
        <w:tc>
          <w:tcPr>
            <w:tcW w:w="2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10,208</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60" w:type="dxa"/>
            <w:vAlign w:val="bottom"/>
            <w:shd w:val="clear" w:color="auto" w:fill="CFF0FC"/>
          </w:tcPr>
          <w:p>
            <w:pPr>
              <w:ind w:left="120"/>
              <w:spacing w:after="0"/>
              <w:rPr>
                <w:sz w:val="20"/>
                <w:szCs w:val="20"/>
                <w:color w:val="auto"/>
              </w:rPr>
            </w:pPr>
            <w:r>
              <w:rPr>
                <w:rFonts w:ascii="Arial" w:cs="Arial" w:eastAsia="Arial" w:hAnsi="Arial"/>
                <w:sz w:val="20"/>
                <w:szCs w:val="20"/>
                <w:color w:val="auto"/>
              </w:rPr>
              <w:t>Other current liabilities</w:t>
            </w:r>
          </w:p>
        </w:tc>
        <w:tc>
          <w:tcPr>
            <w:tcW w:w="2960" w:type="dxa"/>
            <w:vAlign w:val="bottom"/>
            <w:gridSpan w:val="2"/>
            <w:shd w:val="clear" w:color="auto" w:fill="CFF0FC"/>
          </w:tcPr>
          <w:p>
            <w:pPr>
              <w:jc w:val="right"/>
              <w:ind w:right="142"/>
              <w:spacing w:after="0"/>
              <w:rPr>
                <w:sz w:val="20"/>
                <w:szCs w:val="20"/>
                <w:color w:val="auto"/>
              </w:rPr>
            </w:pPr>
            <w:r>
              <w:rPr>
                <w:rFonts w:ascii="Arial" w:cs="Arial" w:eastAsia="Arial" w:hAnsi="Arial"/>
                <w:sz w:val="20"/>
                <w:szCs w:val="20"/>
                <w:color w:val="auto"/>
              </w:rPr>
              <w:t>$</w:t>
            </w:r>
          </w:p>
        </w:tc>
        <w:tc>
          <w:tcPr>
            <w:tcW w:w="2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3,456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60" w:type="dxa"/>
            <w:vAlign w:val="bottom"/>
            <w:tcBorders>
              <w:bottom w:val="single" w:sz="8" w:color="CFF0FC"/>
            </w:tcBorders>
          </w:tcPr>
          <w:p>
            <w:pPr>
              <w:ind w:left="120"/>
              <w:spacing w:after="0"/>
              <w:rPr>
                <w:sz w:val="20"/>
                <w:szCs w:val="20"/>
                <w:color w:val="auto"/>
              </w:rPr>
            </w:pPr>
            <w:r>
              <w:rPr>
                <w:rFonts w:ascii="Arial" w:cs="Arial" w:eastAsia="Arial" w:hAnsi="Arial"/>
                <w:sz w:val="20"/>
                <w:szCs w:val="20"/>
                <w:color w:val="auto"/>
              </w:rPr>
              <w:t>Other noncurrent liabilities</w:t>
            </w:r>
          </w:p>
        </w:tc>
        <w:tc>
          <w:tcPr>
            <w:tcW w:w="26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7,862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Total finance lease liabilities</w:t>
            </w:r>
          </w:p>
        </w:tc>
        <w:tc>
          <w:tcPr>
            <w:tcW w:w="26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20"/>
                <w:szCs w:val="20"/>
                <w:color w:val="auto"/>
                <w:w w:val="71"/>
              </w:rPr>
              <w:t>$</w:t>
            </w:r>
          </w:p>
        </w:tc>
        <w:tc>
          <w:tcPr>
            <w:tcW w:w="2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11,318</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1" w:lineRule="exact"/>
        <w:rPr>
          <w:sz w:val="20"/>
          <w:szCs w:val="20"/>
          <w:color w:val="auto"/>
        </w:rPr>
      </w:pPr>
    </w:p>
    <w:p>
      <w:pPr>
        <w:jc w:val="both"/>
        <w:ind w:left="380"/>
        <w:spacing w:after="0" w:line="258" w:lineRule="auto"/>
        <w:rPr>
          <w:sz w:val="20"/>
          <w:szCs w:val="20"/>
          <w:color w:val="auto"/>
        </w:rPr>
      </w:pPr>
      <w:r>
        <w:rPr>
          <w:rFonts w:ascii="Arial" w:cs="Arial" w:eastAsia="Arial" w:hAnsi="Arial"/>
          <w:sz w:val="20"/>
          <w:szCs w:val="20"/>
          <w:color w:val="auto"/>
        </w:rPr>
        <w:t>The estimated incremental borrowing rate range used was 3.5% to 5.5%. Weighted-average remaining lease terms and discount rates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500" w:type="dxa"/>
            <w:vAlign w:val="bottom"/>
            <w:tcBorders>
              <w:bottom w:val="single" w:sz="8" w:color="CFF0FC"/>
            </w:tcBorders>
          </w:tcPr>
          <w:p>
            <w:pPr>
              <w:spacing w:after="0"/>
              <w:rPr>
                <w:sz w:val="21"/>
                <w:szCs w:val="21"/>
                <w:color w:val="auto"/>
              </w:rPr>
            </w:pPr>
          </w:p>
        </w:tc>
        <w:tc>
          <w:tcPr>
            <w:tcW w:w="720" w:type="dxa"/>
            <w:vAlign w:val="bottom"/>
            <w:tcBorders>
              <w:bottom w:val="single" w:sz="8" w:color="CFF0FC"/>
            </w:tcBorders>
          </w:tcPr>
          <w:p>
            <w:pPr>
              <w:spacing w:after="0"/>
              <w:rPr>
                <w:sz w:val="21"/>
                <w:szCs w:val="21"/>
                <w:color w:val="auto"/>
              </w:rPr>
            </w:pPr>
          </w:p>
        </w:tc>
        <w:tc>
          <w:tcPr>
            <w:tcW w:w="1780" w:type="dxa"/>
            <w:vAlign w:val="bottom"/>
            <w:tcBorders>
              <w:bottom w:val="single" w:sz="8" w:color="CFF0FC"/>
            </w:tcBorders>
          </w:tcPr>
          <w:p>
            <w:pPr>
              <w:spacing w:after="0"/>
              <w:rPr>
                <w:sz w:val="21"/>
                <w:szCs w:val="21"/>
                <w:color w:val="auto"/>
              </w:rPr>
            </w:pPr>
          </w:p>
        </w:tc>
        <w:tc>
          <w:tcPr>
            <w:tcW w:w="8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March 31, 2019</w:t>
            </w:r>
          </w:p>
        </w:tc>
        <w:tc>
          <w:tcPr>
            <w:tcW w:w="720" w:type="dxa"/>
            <w:vAlign w:val="bottom"/>
            <w:tcBorders>
              <w:bottom w:val="single" w:sz="8" w:color="auto"/>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Weighted-average remaining lease term (years):</w:t>
            </w:r>
          </w:p>
        </w:tc>
        <w:tc>
          <w:tcPr>
            <w:tcW w:w="72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3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Pr>
          <w:p>
            <w:pPr>
              <w:ind w:left="140"/>
              <w:spacing w:after="0"/>
              <w:rPr>
                <w:sz w:val="20"/>
                <w:szCs w:val="20"/>
                <w:color w:val="auto"/>
              </w:rPr>
            </w:pPr>
            <w:r>
              <w:rPr>
                <w:rFonts w:ascii="Arial" w:cs="Arial" w:eastAsia="Arial" w:hAnsi="Arial"/>
                <w:sz w:val="20"/>
                <w:szCs w:val="20"/>
                <w:color w:val="auto"/>
              </w:rPr>
              <w:t>Operating leases</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15.0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Finance leases</w:t>
            </w:r>
          </w:p>
        </w:tc>
        <w:tc>
          <w:tcPr>
            <w:tcW w:w="7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Weighted-average discount rate:</w:t>
            </w:r>
          </w:p>
        </w:tc>
        <w:tc>
          <w:tcPr>
            <w:tcW w:w="7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3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Pr>
          <w:p>
            <w:pPr>
              <w:ind w:left="140"/>
              <w:spacing w:after="0"/>
              <w:rPr>
                <w:sz w:val="20"/>
                <w:szCs w:val="20"/>
                <w:color w:val="auto"/>
              </w:rPr>
            </w:pPr>
            <w:r>
              <w:rPr>
                <w:rFonts w:ascii="Arial" w:cs="Arial" w:eastAsia="Arial" w:hAnsi="Arial"/>
                <w:sz w:val="20"/>
                <w:szCs w:val="20"/>
                <w:color w:val="auto"/>
              </w:rPr>
              <w:t>Operating leases</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Finance leases</w:t>
            </w:r>
          </w:p>
        </w:tc>
        <w:tc>
          <w:tcPr>
            <w:tcW w:w="7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36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7000" w:type="dxa"/>
            <w:vAlign w:val="bottom"/>
            <w:gridSpan w:val="3"/>
          </w:tcPr>
          <w:p>
            <w:pPr>
              <w:ind w:left="360"/>
              <w:spacing w:after="0"/>
              <w:rPr>
                <w:sz w:val="20"/>
                <w:szCs w:val="20"/>
                <w:color w:val="auto"/>
              </w:rPr>
            </w:pPr>
            <w:r>
              <w:rPr>
                <w:rFonts w:ascii="Arial" w:cs="Arial" w:eastAsia="Arial" w:hAnsi="Arial"/>
                <w:sz w:val="20"/>
                <w:szCs w:val="20"/>
                <w:color w:val="auto"/>
              </w:rPr>
              <w:t>Future lease payments under leases as of March 31, 2019 are as follows:</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jc w:val="right"/>
              <w:ind w:right="2"/>
              <w:spacing w:after="0"/>
              <w:rPr>
                <w:sz w:val="20"/>
                <w:szCs w:val="20"/>
                <w:color w:val="auto"/>
              </w:rPr>
            </w:pPr>
            <w:r>
              <w:rPr>
                <w:rFonts w:ascii="Arial" w:cs="Arial" w:eastAsia="Arial" w:hAnsi="Arial"/>
                <w:sz w:val="20"/>
                <w:szCs w:val="20"/>
                <w:color w:val="auto"/>
              </w:rPr>
              <w:t>Operating</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jc w:val="right"/>
              <w:ind w:right="382"/>
              <w:spacing w:after="0"/>
              <w:rPr>
                <w:sz w:val="20"/>
                <w:szCs w:val="20"/>
                <w:color w:val="auto"/>
              </w:rPr>
            </w:pPr>
            <w:r>
              <w:rPr>
                <w:rFonts w:ascii="Arial" w:cs="Arial" w:eastAsia="Arial" w:hAnsi="Arial"/>
                <w:sz w:val="20"/>
                <w:szCs w:val="20"/>
                <w:color w:val="auto"/>
              </w:rPr>
              <w:t>Finance</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Leases</w:t>
            </w:r>
          </w:p>
        </w:tc>
        <w:tc>
          <w:tcPr>
            <w:tcW w:w="8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color w:val="auto"/>
              </w:rPr>
              <w:t>Leases</w:t>
            </w:r>
          </w:p>
        </w:tc>
        <w:tc>
          <w:tcPr>
            <w:tcW w:w="7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500" w:type="dxa"/>
            <w:vAlign w:val="bottom"/>
            <w:gridSpan w:val="4"/>
          </w:tcPr>
          <w:p>
            <w:pPr>
              <w:jc w:val="right"/>
              <w:ind w:right="1222"/>
              <w:spacing w:after="0"/>
              <w:rPr>
                <w:sz w:val="20"/>
                <w:szCs w:val="20"/>
                <w:color w:val="auto"/>
              </w:rPr>
            </w:pPr>
            <w:r>
              <w:rPr>
                <w:rFonts w:ascii="Arial" w:cs="Arial" w:eastAsia="Arial" w:hAnsi="Arial"/>
                <w:sz w:val="20"/>
                <w:szCs w:val="20"/>
                <w:i w:val="1"/>
                <w:iCs w:val="1"/>
                <w:color w:val="auto"/>
              </w:rPr>
              <w:t>(Dollars in Thousands)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2019</w:t>
            </w:r>
          </w:p>
        </w:tc>
        <w:tc>
          <w:tcPr>
            <w:tcW w:w="2500" w:type="dxa"/>
            <w:vAlign w:val="bottom"/>
            <w:gridSpan w:val="2"/>
            <w:shd w:val="clear" w:color="auto" w:fill="CFF0FC"/>
          </w:tcPr>
          <w:p>
            <w:pPr>
              <w:jc w:val="right"/>
              <w:ind w:right="1582"/>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53,014</w:t>
            </w:r>
          </w:p>
        </w:tc>
        <w:tc>
          <w:tcPr>
            <w:tcW w:w="300" w:type="dxa"/>
            <w:vAlign w:val="bottom"/>
            <w:shd w:val="clear" w:color="auto" w:fill="CFF0FC"/>
          </w:tcPr>
          <w:p>
            <w:pPr>
              <w:spacing w:after="0"/>
              <w:rPr>
                <w:sz w:val="21"/>
                <w:szCs w:val="21"/>
                <w:color w:val="auto"/>
              </w:rPr>
            </w:pPr>
          </w:p>
        </w:tc>
        <w:tc>
          <w:tcPr>
            <w:tcW w:w="2380" w:type="dxa"/>
            <w:vAlign w:val="bottom"/>
            <w:gridSpan w:val="2"/>
            <w:shd w:val="clear" w:color="auto" w:fill="CFF0FC"/>
          </w:tcPr>
          <w:p>
            <w:pPr>
              <w:jc w:val="right"/>
              <w:ind w:right="2162"/>
              <w:spacing w:after="0"/>
              <w:rPr>
                <w:sz w:val="20"/>
                <w:szCs w:val="20"/>
                <w:color w:val="auto"/>
              </w:rPr>
            </w:pPr>
            <w:r>
              <w:rPr>
                <w:rFonts w:ascii="Arial" w:cs="Arial" w:eastAsia="Arial" w:hAnsi="Arial"/>
                <w:sz w:val="20"/>
                <w:szCs w:val="20"/>
                <w:color w:val="auto"/>
                <w:w w:val="89"/>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2,956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0"/>
                <w:szCs w:val="20"/>
                <w:color w:val="auto"/>
              </w:rPr>
              <w:t>2020</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63,870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20"/>
                <w:szCs w:val="20"/>
                <w:color w:val="auto"/>
              </w:rPr>
              <w:t>3,243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2021</w:t>
            </w:r>
          </w:p>
        </w:tc>
        <w:tc>
          <w:tcPr>
            <w:tcW w:w="7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52,674</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3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1,951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0"/>
                <w:szCs w:val="20"/>
                <w:color w:val="auto"/>
              </w:rPr>
              <w:t>2022</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48,376</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20"/>
                <w:szCs w:val="20"/>
                <w:color w:val="auto"/>
              </w:rPr>
              <w:t>1,094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2023</w:t>
            </w:r>
          </w:p>
        </w:tc>
        <w:tc>
          <w:tcPr>
            <w:tcW w:w="7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45,912</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3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779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Thereafter</w:t>
            </w:r>
          </w:p>
        </w:tc>
        <w:tc>
          <w:tcPr>
            <w:tcW w:w="720" w:type="dxa"/>
            <w:vAlign w:val="bottom"/>
            <w:tcBorders>
              <w:bottom w:val="single" w:sz="8" w:color="CFF0FC"/>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429,013</w:t>
            </w:r>
          </w:p>
        </w:tc>
        <w:tc>
          <w:tcPr>
            <w:tcW w:w="3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4,176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Total lease payments</w:t>
            </w:r>
          </w:p>
        </w:tc>
        <w:tc>
          <w:tcPr>
            <w:tcW w:w="72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692,859</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3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14,199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0"/>
                <w:szCs w:val="20"/>
                <w:color w:val="auto"/>
              </w:rPr>
              <w:t>Less: imputed interest</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0"/>
                <w:szCs w:val="20"/>
                <w:color w:val="auto"/>
              </w:rPr>
              <w:t>(195,593)</w:t>
            </w:r>
          </w:p>
        </w:tc>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20"/>
                <w:szCs w:val="20"/>
                <w:color w:val="auto"/>
              </w:rPr>
              <w:t>(2,881)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Present value of lease payments</w:t>
            </w:r>
          </w:p>
        </w:tc>
        <w:tc>
          <w:tcPr>
            <w:tcW w:w="720" w:type="dxa"/>
            <w:vAlign w:val="bottom"/>
            <w:tcBorders>
              <w:top w:val="single" w:sz="8" w:color="CFF0FC"/>
            </w:tcBorders>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497,266</w:t>
            </w:r>
          </w:p>
        </w:tc>
        <w:tc>
          <w:tcPr>
            <w:tcW w:w="3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3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11,318</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0"/>
                <w:szCs w:val="20"/>
                <w:color w:val="auto"/>
              </w:rPr>
              <w:t>Less: current lease obligations</w:t>
            </w:r>
          </w:p>
        </w:tc>
        <w:tc>
          <w:tcPr>
            <w:tcW w:w="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0"/>
                <w:szCs w:val="20"/>
                <w:color w:val="auto"/>
              </w:rPr>
              <w:t>(50,776)</w:t>
            </w:r>
          </w:p>
        </w:tc>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20"/>
                <w:szCs w:val="20"/>
                <w:color w:val="auto"/>
              </w:rPr>
              <w:t>(3,456)</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long-term lease obligations</w:t>
            </w:r>
          </w:p>
        </w:tc>
        <w:tc>
          <w:tcPr>
            <w:tcW w:w="720" w:type="dxa"/>
            <w:vAlign w:val="bottom"/>
            <w:tcBorders>
              <w:top w:val="single" w:sz="8" w:color="CFF0FC"/>
              <w:bottom w:val="single" w:sz="8" w:color="CFF0FC"/>
            </w:tcBorders>
            <w:shd w:val="clear" w:color="auto" w:fill="CFF0FC"/>
          </w:tcPr>
          <w:p>
            <w:pPr>
              <w:spacing w:after="0"/>
              <w:rPr>
                <w:sz w:val="20"/>
                <w:szCs w:val="20"/>
                <w:color w:val="auto"/>
              </w:rPr>
            </w:pPr>
          </w:p>
        </w:tc>
        <w:tc>
          <w:tcPr>
            <w:tcW w:w="1780" w:type="dxa"/>
            <w:vAlign w:val="bottom"/>
            <w:tcBorders>
              <w:top w:val="single" w:sz="8" w:color="auto"/>
              <w:bottom w:val="single" w:sz="8" w:color="auto"/>
            </w:tcBorders>
            <w:shd w:val="clear" w:color="auto" w:fill="CFF0FC"/>
          </w:tcPr>
          <w:p>
            <w:pPr>
              <w:jc w:val="right"/>
              <w:ind w:right="1582"/>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446,490</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2360" w:type="dxa"/>
            <w:vAlign w:val="bottom"/>
            <w:tcBorders>
              <w:top w:val="single" w:sz="8" w:color="auto"/>
              <w:bottom w:val="single" w:sz="8" w:color="auto"/>
            </w:tcBorders>
            <w:shd w:val="clear" w:color="auto" w:fill="CFF0FC"/>
          </w:tcPr>
          <w:p>
            <w:pPr>
              <w:jc w:val="right"/>
              <w:ind w:right="2162"/>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7,862</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380"/>
        <w:spacing w:after="0" w:line="248" w:lineRule="auto"/>
        <w:rPr>
          <w:sz w:val="20"/>
          <w:szCs w:val="20"/>
          <w:color w:val="auto"/>
        </w:rPr>
      </w:pPr>
      <w:r>
        <w:rPr>
          <w:rFonts w:ascii="Arial" w:cs="Arial" w:eastAsia="Arial" w:hAnsi="Arial"/>
          <w:sz w:val="20"/>
          <w:szCs w:val="20"/>
          <w:color w:val="auto"/>
        </w:rPr>
        <w:t>As of March 31, 2019, the Company has additional operating leases, primarily for equipment and land, that have not yet commenced of $1.7 million. These operating leases will commence in fiscal year 2019 with lease terms of two years to ten years. These leases are included in the preceding table.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ectPr>
          <w:pgSz w:w="11900" w:h="16838" w:orient="portrait"/>
          <w:cols w:equalWidth="0" w:num="1">
            <w:col w:w="11420"/>
          </w:cols>
          <w:pgMar w:left="240" w:top="122" w:right="239" w:bottom="1440" w:gutter="0" w:footer="0" w:header="0"/>
        </w:sectPr>
      </w:pPr>
    </w:p>
    <w:p>
      <w:pPr>
        <w:spacing w:after="0" w:line="33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Other lease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60" w:right="3360" w:hanging="147"/>
        <w:spacing w:after="0" w:line="249" w:lineRule="auto"/>
        <w:rPr>
          <w:sz w:val="20"/>
          <w:szCs w:val="20"/>
          <w:color w:val="auto"/>
        </w:rPr>
      </w:pPr>
      <w:r>
        <w:rPr>
          <w:rFonts w:ascii="Arial" w:cs="Arial" w:eastAsia="Arial" w:hAnsi="Arial"/>
          <w:sz w:val="20"/>
          <w:szCs w:val="20"/>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7247255" cy="298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255" cy="298450"/>
                    </a:xfrm>
                    <a:prstGeom prst="rect">
                      <a:avLst/>
                    </a:prstGeom>
                    <a:noFill/>
                  </pic:spPr>
                </pic:pic>
              </a:graphicData>
            </a:graphic>
          </wp:anchor>
        </w:drawing>
      </w:r>
    </w:p>
    <w:p>
      <w:pPr>
        <w:ind w:left="280"/>
        <w:spacing w:after="0"/>
        <w:rPr>
          <w:sz w:val="20"/>
          <w:szCs w:val="20"/>
          <w:color w:val="auto"/>
        </w:rPr>
      </w:pPr>
      <w:r>
        <w:rPr>
          <w:rFonts w:ascii="Arial" w:cs="Arial" w:eastAsia="Arial" w:hAnsi="Arial"/>
          <w:sz w:val="20"/>
          <w:szCs w:val="20"/>
          <w:color w:val="auto"/>
        </w:rPr>
        <w:t>Operating cash flows used for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47255" cy="153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255" cy="153670"/>
                    </a:xfrm>
                    <a:prstGeom prst="rect">
                      <a:avLst/>
                    </a:prstGeom>
                    <a:noFill/>
                  </pic:spPr>
                </pic:pic>
              </a:graphicData>
            </a:graphic>
          </wp:anchor>
        </w:drawing>
      </w:r>
    </w:p>
    <w:p>
      <w:pPr>
        <w:ind w:left="280"/>
        <w:spacing w:after="0"/>
        <w:rPr>
          <w:sz w:val="20"/>
          <w:szCs w:val="20"/>
          <w:color w:val="auto"/>
        </w:rPr>
      </w:pPr>
      <w:r>
        <w:rPr>
          <w:rFonts w:ascii="Arial" w:cs="Arial" w:eastAsia="Arial" w:hAnsi="Arial"/>
          <w:sz w:val="20"/>
          <w:szCs w:val="20"/>
          <w:color w:val="auto"/>
        </w:rPr>
        <w:t>Operating cash flows used for finance leases</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Financing cash flows used for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47255" cy="298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255" cy="29845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Right-of-use assets obtained in exchange for new</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operating lease liabilities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Right-of-use assets obtained in exchange for</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new finance lease liabilities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Lease disclosures for the full year December 31, 2018, as reported: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380" w:type="dxa"/>
            <w:vAlign w:val="bottom"/>
          </w:tcPr>
          <w:p>
            <w:pPr>
              <w:spacing w:after="0"/>
              <w:rPr>
                <w:sz w:val="21"/>
                <w:szCs w:val="21"/>
                <w:color w:val="auto"/>
              </w:rPr>
            </w:pPr>
          </w:p>
        </w:tc>
        <w:tc>
          <w:tcPr>
            <w:tcW w:w="2860" w:type="dxa"/>
            <w:vAlign w:val="bottom"/>
          </w:tcPr>
          <w:p>
            <w:pPr>
              <w:jc w:val="center"/>
              <w:ind w:right="422"/>
              <w:spacing w:after="0"/>
              <w:rPr>
                <w:sz w:val="20"/>
                <w:szCs w:val="20"/>
                <w:color w:val="auto"/>
              </w:rPr>
            </w:pPr>
            <w:r>
              <w:rPr>
                <w:rFonts w:ascii="Arial" w:cs="Arial" w:eastAsia="Arial" w:hAnsi="Arial"/>
                <w:sz w:val="20"/>
                <w:szCs w:val="20"/>
                <w:color w:val="auto"/>
                <w:w w:val="88"/>
              </w:rPr>
              <w:t>Three Months Ended</w:t>
            </w:r>
          </w:p>
        </w:tc>
      </w:tr>
      <w:tr>
        <w:trPr>
          <w:trHeight w:val="245"/>
        </w:trPr>
        <w:tc>
          <w:tcPr>
            <w:tcW w:w="3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jc w:val="center"/>
              <w:ind w:right="422"/>
              <w:spacing w:after="0"/>
              <w:rPr>
                <w:sz w:val="20"/>
                <w:szCs w:val="20"/>
                <w:color w:val="auto"/>
              </w:rPr>
            </w:pPr>
            <w:r>
              <w:rPr>
                <w:rFonts w:ascii="Arial" w:cs="Arial" w:eastAsia="Arial" w:hAnsi="Arial"/>
                <w:sz w:val="20"/>
                <w:szCs w:val="20"/>
                <w:color w:val="auto"/>
                <w:w w:val="90"/>
              </w:rPr>
              <w:t>March 31, 2019</w:t>
            </w:r>
          </w:p>
        </w:tc>
      </w:tr>
      <w:tr>
        <w:trPr>
          <w:trHeight w:val="243"/>
        </w:trPr>
        <w:tc>
          <w:tcPr>
            <w:tcW w:w="380" w:type="dxa"/>
            <w:vAlign w:val="bottom"/>
          </w:tcPr>
          <w:p>
            <w:pPr>
              <w:spacing w:after="0"/>
              <w:rPr>
                <w:sz w:val="21"/>
                <w:szCs w:val="21"/>
                <w:color w:val="auto"/>
              </w:rPr>
            </w:pPr>
          </w:p>
        </w:tc>
        <w:tc>
          <w:tcPr>
            <w:tcW w:w="2860" w:type="dxa"/>
            <w:vAlign w:val="bottom"/>
          </w:tcPr>
          <w:p>
            <w:pPr>
              <w:jc w:val="center"/>
              <w:ind w:right="402"/>
              <w:spacing w:after="0"/>
              <w:rPr>
                <w:sz w:val="20"/>
                <w:szCs w:val="20"/>
                <w:color w:val="auto"/>
              </w:rPr>
            </w:pPr>
            <w:r>
              <w:rPr>
                <w:rFonts w:ascii="Arial" w:cs="Arial" w:eastAsia="Arial" w:hAnsi="Arial"/>
                <w:sz w:val="20"/>
                <w:szCs w:val="20"/>
                <w:i w:val="1"/>
                <w:iCs w:val="1"/>
                <w:color w:val="auto"/>
                <w:w w:val="91"/>
              </w:rPr>
              <w:t>(Dollars in Thousands)</w:t>
            </w:r>
          </w:p>
        </w:tc>
      </w:tr>
      <w:tr>
        <w:trPr>
          <w:trHeight w:val="701"/>
        </w:trPr>
        <w:tc>
          <w:tcPr>
            <w:tcW w:w="380" w:type="dxa"/>
            <w:vAlign w:val="bottom"/>
          </w:tcPr>
          <w:p>
            <w:pPr>
              <w:jc w:val="right"/>
              <w:ind w:right="182"/>
              <w:spacing w:after="0"/>
              <w:rPr>
                <w:sz w:val="20"/>
                <w:szCs w:val="20"/>
                <w:color w:val="auto"/>
              </w:rPr>
            </w:pPr>
            <w:r>
              <w:rPr>
                <w:rFonts w:ascii="Arial" w:cs="Arial" w:eastAsia="Arial" w:hAnsi="Arial"/>
                <w:sz w:val="20"/>
                <w:szCs w:val="20"/>
                <w:color w:val="auto"/>
                <w:w w:val="71"/>
              </w:rPr>
              <w:t>$</w:t>
            </w:r>
          </w:p>
        </w:tc>
        <w:tc>
          <w:tcPr>
            <w:tcW w:w="2860" w:type="dxa"/>
            <w:vAlign w:val="bottom"/>
          </w:tcPr>
          <w:p>
            <w:pPr>
              <w:jc w:val="right"/>
              <w:ind w:right="42"/>
              <w:spacing w:after="0"/>
              <w:rPr>
                <w:sz w:val="20"/>
                <w:szCs w:val="20"/>
                <w:color w:val="auto"/>
              </w:rPr>
            </w:pPr>
            <w:r>
              <w:rPr>
                <w:rFonts w:ascii="Arial" w:cs="Arial" w:eastAsia="Arial" w:hAnsi="Arial"/>
                <w:sz w:val="20"/>
                <w:szCs w:val="20"/>
                <w:color w:val="auto"/>
              </w:rPr>
              <w:t>19,512</w:t>
            </w:r>
          </w:p>
        </w:tc>
      </w:tr>
      <w:tr>
        <w:trPr>
          <w:trHeight w:val="242"/>
        </w:trPr>
        <w:tc>
          <w:tcPr>
            <w:tcW w:w="380" w:type="dxa"/>
            <w:vAlign w:val="bottom"/>
          </w:tcPr>
          <w:p>
            <w:pPr>
              <w:jc w:val="right"/>
              <w:ind w:right="182"/>
              <w:spacing w:after="0"/>
              <w:rPr>
                <w:sz w:val="20"/>
                <w:szCs w:val="20"/>
                <w:color w:val="auto"/>
              </w:rPr>
            </w:pPr>
            <w:r>
              <w:rPr>
                <w:rFonts w:ascii="Arial" w:cs="Arial" w:eastAsia="Arial" w:hAnsi="Arial"/>
                <w:sz w:val="20"/>
                <w:szCs w:val="20"/>
                <w:color w:val="auto"/>
                <w:w w:val="71"/>
              </w:rPr>
              <w:t>$</w:t>
            </w:r>
          </w:p>
        </w:tc>
        <w:tc>
          <w:tcPr>
            <w:tcW w:w="2860" w:type="dxa"/>
            <w:vAlign w:val="bottom"/>
          </w:tcPr>
          <w:p>
            <w:pPr>
              <w:jc w:val="right"/>
              <w:ind w:right="42"/>
              <w:spacing w:after="0"/>
              <w:rPr>
                <w:sz w:val="20"/>
                <w:szCs w:val="20"/>
                <w:color w:val="auto"/>
              </w:rPr>
            </w:pPr>
            <w:r>
              <w:rPr>
                <w:rFonts w:ascii="Arial" w:cs="Arial" w:eastAsia="Arial" w:hAnsi="Arial"/>
                <w:sz w:val="20"/>
                <w:szCs w:val="20"/>
                <w:color w:val="auto"/>
              </w:rPr>
              <w:t>148</w:t>
            </w:r>
          </w:p>
        </w:tc>
      </w:tr>
      <w:tr>
        <w:trPr>
          <w:trHeight w:val="249"/>
        </w:trPr>
        <w:tc>
          <w:tcPr>
            <w:tcW w:w="380" w:type="dxa"/>
            <w:vAlign w:val="bottom"/>
          </w:tcPr>
          <w:p>
            <w:pPr>
              <w:jc w:val="right"/>
              <w:ind w:right="182"/>
              <w:spacing w:after="0"/>
              <w:rPr>
                <w:sz w:val="20"/>
                <w:szCs w:val="20"/>
                <w:color w:val="auto"/>
              </w:rPr>
            </w:pPr>
            <w:r>
              <w:rPr>
                <w:rFonts w:ascii="Arial" w:cs="Arial" w:eastAsia="Arial" w:hAnsi="Arial"/>
                <w:sz w:val="20"/>
                <w:szCs w:val="20"/>
                <w:color w:val="auto"/>
                <w:w w:val="71"/>
              </w:rPr>
              <w:t>$</w:t>
            </w:r>
          </w:p>
        </w:tc>
        <w:tc>
          <w:tcPr>
            <w:tcW w:w="2860" w:type="dxa"/>
            <w:vAlign w:val="bottom"/>
          </w:tcPr>
          <w:p>
            <w:pPr>
              <w:jc w:val="right"/>
              <w:ind w:right="42"/>
              <w:spacing w:after="0"/>
              <w:rPr>
                <w:sz w:val="20"/>
                <w:szCs w:val="20"/>
                <w:color w:val="auto"/>
              </w:rPr>
            </w:pPr>
            <w:r>
              <w:rPr>
                <w:rFonts w:ascii="Arial" w:cs="Arial" w:eastAsia="Arial" w:hAnsi="Arial"/>
                <w:sz w:val="20"/>
                <w:szCs w:val="20"/>
                <w:color w:val="auto"/>
              </w:rPr>
              <w:t>951</w:t>
            </w:r>
          </w:p>
        </w:tc>
      </w:tr>
      <w:tr>
        <w:trPr>
          <w:trHeight w:val="349"/>
        </w:trPr>
        <w:tc>
          <w:tcPr>
            <w:tcW w:w="380" w:type="dxa"/>
            <w:vAlign w:val="bottom"/>
          </w:tcPr>
          <w:p>
            <w:pPr>
              <w:jc w:val="right"/>
              <w:ind w:right="182"/>
              <w:spacing w:after="0"/>
              <w:rPr>
                <w:sz w:val="20"/>
                <w:szCs w:val="20"/>
                <w:color w:val="auto"/>
              </w:rPr>
            </w:pPr>
            <w:r>
              <w:rPr>
                <w:rFonts w:ascii="Arial" w:cs="Arial" w:eastAsia="Arial" w:hAnsi="Arial"/>
                <w:sz w:val="20"/>
                <w:szCs w:val="20"/>
                <w:color w:val="auto"/>
                <w:w w:val="71"/>
              </w:rPr>
              <w:t>$</w:t>
            </w:r>
          </w:p>
        </w:tc>
        <w:tc>
          <w:tcPr>
            <w:tcW w:w="2860" w:type="dxa"/>
            <w:vAlign w:val="bottom"/>
          </w:tcPr>
          <w:p>
            <w:pPr>
              <w:jc w:val="right"/>
              <w:ind w:right="42"/>
              <w:spacing w:after="0"/>
              <w:rPr>
                <w:sz w:val="20"/>
                <w:szCs w:val="20"/>
                <w:color w:val="auto"/>
              </w:rPr>
            </w:pPr>
            <w:r>
              <w:rPr>
                <w:rFonts w:ascii="Arial" w:cs="Arial" w:eastAsia="Arial" w:hAnsi="Arial"/>
                <w:sz w:val="20"/>
                <w:szCs w:val="20"/>
                <w:color w:val="auto"/>
              </w:rPr>
              <w:t>16,924</w:t>
            </w:r>
          </w:p>
        </w:tc>
      </w:tr>
      <w:tr>
        <w:trPr>
          <w:trHeight w:val="470"/>
        </w:trPr>
        <w:tc>
          <w:tcPr>
            <w:tcW w:w="380" w:type="dxa"/>
            <w:vAlign w:val="bottom"/>
          </w:tcPr>
          <w:p>
            <w:pPr>
              <w:jc w:val="right"/>
              <w:ind w:right="182"/>
              <w:spacing w:after="0"/>
              <w:rPr>
                <w:sz w:val="20"/>
                <w:szCs w:val="20"/>
                <w:color w:val="auto"/>
              </w:rPr>
            </w:pPr>
            <w:r>
              <w:rPr>
                <w:rFonts w:ascii="Arial" w:cs="Arial" w:eastAsia="Arial" w:hAnsi="Arial"/>
                <w:sz w:val="20"/>
                <w:szCs w:val="20"/>
                <w:color w:val="auto"/>
                <w:w w:val="71"/>
              </w:rPr>
              <w:t>$</w:t>
            </w:r>
          </w:p>
        </w:tc>
        <w:tc>
          <w:tcPr>
            <w:tcW w:w="2860" w:type="dxa"/>
            <w:vAlign w:val="bottom"/>
          </w:tcPr>
          <w:p>
            <w:pPr>
              <w:jc w:val="right"/>
              <w:ind w:right="42"/>
              <w:spacing w:after="0"/>
              <w:rPr>
                <w:sz w:val="20"/>
                <w:szCs w:val="20"/>
                <w:color w:val="auto"/>
              </w:rPr>
            </w:pPr>
            <w:r>
              <w:rPr>
                <w:rFonts w:ascii="Arial" w:cs="Arial" w:eastAsia="Arial" w:hAnsi="Arial"/>
                <w:sz w:val="20"/>
                <w:szCs w:val="20"/>
                <w:color w:val="auto"/>
              </w:rPr>
              <w:t>217</w:t>
            </w:r>
          </w:p>
        </w:tc>
      </w:tr>
    </w:tbl>
    <w:p>
      <w:pPr>
        <w:spacing w:after="0" w:line="609" w:lineRule="exact"/>
        <w:rPr>
          <w:sz w:val="20"/>
          <w:szCs w:val="20"/>
          <w:color w:val="auto"/>
        </w:rPr>
      </w:pPr>
    </w:p>
    <w:p>
      <w:pPr>
        <w:sectPr>
          <w:pgSz w:w="11900" w:h="16838" w:orient="portrait"/>
          <w:cols w:equalWidth="0" w:num="2">
            <w:col w:w="7460" w:space="720"/>
            <w:col w:w="3240"/>
          </w:cols>
          <w:pgMar w:left="240" w:top="122" w:right="239" w:bottom="1440" w:gutter="0" w:footer="0" w:header="0"/>
          <w:type w:val="continuous"/>
        </w:sectPr>
      </w:pPr>
    </w:p>
    <w:p>
      <w:pPr>
        <w:jc w:val="both"/>
        <w:ind w:left="380"/>
        <w:spacing w:after="0" w:line="244" w:lineRule="auto"/>
        <w:rPr>
          <w:sz w:val="20"/>
          <w:szCs w:val="20"/>
          <w:color w:val="auto"/>
        </w:rPr>
      </w:pPr>
      <w:r>
        <w:rPr>
          <w:rFonts w:ascii="Arial" w:cs="Arial" w:eastAsia="Arial" w:hAnsi="Arial"/>
          <w:sz w:val="20"/>
          <w:szCs w:val="20"/>
          <w:color w:val="auto"/>
        </w:rPr>
        <w:t>Total lease expense for operating leases was $122.5 million for the year ended December 31, 2018. Total royalties, principally for leased properties, were $52.5 million, for the year ended December 31, 2018. The Company also has capital lease obligations for machinery and equipment. Future minimum lease and royalty commitments for all noncancelable agreements and capital lease obligations as of December 31, 2018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20"/>
                <w:szCs w:val="20"/>
                <w:color w:val="auto"/>
              </w:rPr>
              <w:t>Capital</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20"/>
                <w:szCs w:val="20"/>
                <w:color w:val="auto"/>
                <w:w w:val="92"/>
              </w:rPr>
              <w:t>Royalty</w:t>
            </w:r>
          </w:p>
        </w:tc>
        <w:tc>
          <w:tcPr>
            <w:tcW w:w="0" w:type="dxa"/>
            <w:vAlign w:val="bottom"/>
          </w:tcPr>
          <w:p>
            <w:pPr>
              <w:spacing w:after="0"/>
              <w:rPr>
                <w:sz w:val="1"/>
                <w:szCs w:val="1"/>
                <w:color w:val="auto"/>
              </w:rPr>
            </w:pPr>
          </w:p>
        </w:tc>
      </w:tr>
      <w:tr>
        <w:trPr>
          <w:trHeight w:val="245"/>
        </w:trPr>
        <w:tc>
          <w:tcPr>
            <w:tcW w:w="48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20"/>
                <w:szCs w:val="20"/>
                <w:color w:val="auto"/>
              </w:rPr>
              <w:t>Leases</w:t>
            </w:r>
          </w:p>
        </w:tc>
        <w:tc>
          <w:tcPr>
            <w:tcW w:w="180" w:type="dxa"/>
            <w:vAlign w:val="bottom"/>
          </w:tcPr>
          <w:p>
            <w:pPr>
              <w:spacing w:after="0"/>
              <w:rPr>
                <w:sz w:val="21"/>
                <w:szCs w:val="21"/>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20"/>
                <w:szCs w:val="20"/>
                <w:color w:val="auto"/>
                <w:w w:val="86"/>
              </w:rPr>
              <w:t>Operating Leases</w:t>
            </w:r>
          </w:p>
        </w:tc>
        <w:tc>
          <w:tcPr>
            <w:tcW w:w="140" w:type="dxa"/>
            <w:vAlign w:val="bottom"/>
          </w:tcPr>
          <w:p>
            <w:pPr>
              <w:spacing w:after="0"/>
              <w:rPr>
                <w:sz w:val="21"/>
                <w:szCs w:val="21"/>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20"/>
                <w:szCs w:val="20"/>
                <w:color w:val="auto"/>
                <w:w w:val="89"/>
              </w:rPr>
              <w:t>Commitments</w:t>
            </w:r>
          </w:p>
        </w:tc>
        <w:tc>
          <w:tcPr>
            <w:tcW w:w="0" w:type="dxa"/>
            <w:vAlign w:val="bottom"/>
          </w:tcPr>
          <w:p>
            <w:pPr>
              <w:spacing w:after="0"/>
              <w:rPr>
                <w:sz w:val="1"/>
                <w:szCs w:val="1"/>
                <w:color w:val="auto"/>
              </w:rPr>
            </w:pPr>
          </w:p>
        </w:tc>
      </w:tr>
      <w:tr>
        <w:trPr>
          <w:trHeight w:val="235"/>
        </w:trPr>
        <w:tc>
          <w:tcPr>
            <w:tcW w:w="4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gridSpan w:val="5"/>
          </w:tcPr>
          <w:p>
            <w:pPr>
              <w:jc w:val="center"/>
              <w:ind w:right="80"/>
              <w:spacing w:after="0"/>
              <w:rPr>
                <w:sz w:val="20"/>
                <w:szCs w:val="20"/>
                <w:color w:val="auto"/>
              </w:rPr>
            </w:pPr>
            <w:r>
              <w:rPr>
                <w:rFonts w:ascii="Arial" w:cs="Arial" w:eastAsia="Arial" w:hAnsi="Arial"/>
                <w:sz w:val="20"/>
                <w:szCs w:val="20"/>
                <w:i w:val="1"/>
                <w:iCs w:val="1"/>
                <w:color w:val="auto"/>
                <w:w w:val="89"/>
              </w:rPr>
              <w:t>(Dollars in Thousands)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840" w:type="dxa"/>
            <w:vAlign w:val="bottom"/>
            <w:shd w:val="clear" w:color="auto" w:fill="CFF0FC"/>
          </w:tcPr>
          <w:p>
            <w:pPr>
              <w:spacing w:after="0"/>
              <w:rPr>
                <w:sz w:val="20"/>
                <w:szCs w:val="20"/>
                <w:color w:val="auto"/>
              </w:rPr>
            </w:pPr>
            <w:r>
              <w:rPr>
                <w:rFonts w:ascii="Arial" w:cs="Arial" w:eastAsia="Arial" w:hAnsi="Arial"/>
                <w:sz w:val="20"/>
                <w:szCs w:val="20"/>
                <w:color w:val="auto"/>
              </w:rPr>
              <w:t>2019</w:t>
            </w: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3,718</w:t>
            </w:r>
          </w:p>
        </w:tc>
        <w:tc>
          <w:tcPr>
            <w:tcW w:w="120" w:type="dxa"/>
            <w:vAlign w:val="bottom"/>
            <w:tcBorders>
              <w:right w:val="single" w:sz="8" w:color="CFF0FC"/>
            </w:tcBorders>
            <w:shd w:val="clear" w:color="auto" w:fill="CFF0FC"/>
          </w:tcPr>
          <w:p>
            <w:pPr>
              <w:spacing w:after="0"/>
              <w:rPr>
                <w:sz w:val="21"/>
                <w:szCs w:val="21"/>
                <w:color w:val="auto"/>
              </w:rPr>
            </w:pPr>
          </w:p>
        </w:tc>
        <w:tc>
          <w:tcPr>
            <w:tcW w:w="620" w:type="dxa"/>
            <w:vAlign w:val="bottom"/>
            <w:gridSpan w:val="2"/>
            <w:shd w:val="clear" w:color="auto" w:fill="CFF0FC"/>
          </w:tcPr>
          <w:p>
            <w:pPr>
              <w:jc w:val="right"/>
              <w:ind w:right="262"/>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105,955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14,614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40" w:type="dxa"/>
            <w:vAlign w:val="bottom"/>
          </w:tcPr>
          <w:p>
            <w:pPr>
              <w:spacing w:after="0"/>
              <w:rPr>
                <w:sz w:val="20"/>
                <w:szCs w:val="20"/>
                <w:color w:val="auto"/>
              </w:rPr>
            </w:pPr>
            <w:r>
              <w:rPr>
                <w:rFonts w:ascii="Arial" w:cs="Arial" w:eastAsia="Arial" w:hAnsi="Arial"/>
                <w:sz w:val="20"/>
                <w:szCs w:val="20"/>
                <w:color w:val="auto"/>
              </w:rPr>
              <w:t>2020</w:t>
            </w: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2,695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70,478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11,364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40" w:type="dxa"/>
            <w:vAlign w:val="bottom"/>
            <w:shd w:val="clear" w:color="auto" w:fill="CFF0FC"/>
          </w:tcPr>
          <w:p>
            <w:pPr>
              <w:spacing w:after="0"/>
              <w:rPr>
                <w:sz w:val="20"/>
                <w:szCs w:val="20"/>
                <w:color w:val="auto"/>
              </w:rPr>
            </w:pPr>
            <w:r>
              <w:rPr>
                <w:rFonts w:ascii="Arial" w:cs="Arial" w:eastAsia="Arial" w:hAnsi="Arial"/>
                <w:sz w:val="20"/>
                <w:szCs w:val="20"/>
                <w:color w:val="auto"/>
              </w:rPr>
              <w:t>2021</w:t>
            </w:r>
          </w:p>
        </w:tc>
        <w:tc>
          <w:tcPr>
            <w:tcW w:w="1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1,735</w:t>
            </w: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60,382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10,335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40" w:type="dxa"/>
            <w:vAlign w:val="bottom"/>
          </w:tcPr>
          <w:p>
            <w:pPr>
              <w:spacing w:after="0"/>
              <w:rPr>
                <w:sz w:val="20"/>
                <w:szCs w:val="20"/>
                <w:color w:val="auto"/>
              </w:rPr>
            </w:pPr>
            <w:r>
              <w:rPr>
                <w:rFonts w:ascii="Arial" w:cs="Arial" w:eastAsia="Arial" w:hAnsi="Arial"/>
                <w:sz w:val="20"/>
                <w:szCs w:val="20"/>
                <w:color w:val="auto"/>
              </w:rPr>
              <w:t>2022</w:t>
            </w: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57,531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9,545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40" w:type="dxa"/>
            <w:vAlign w:val="bottom"/>
            <w:shd w:val="clear" w:color="auto" w:fill="CFF0FC"/>
          </w:tcPr>
          <w:p>
            <w:pPr>
              <w:spacing w:after="0"/>
              <w:rPr>
                <w:sz w:val="20"/>
                <w:szCs w:val="20"/>
                <w:color w:val="auto"/>
              </w:rPr>
            </w:pPr>
            <w:r>
              <w:rPr>
                <w:rFonts w:ascii="Arial" w:cs="Arial" w:eastAsia="Arial" w:hAnsi="Arial"/>
                <w:sz w:val="20"/>
                <w:szCs w:val="20"/>
                <w:color w:val="auto"/>
              </w:rPr>
              <w:t>2023</w:t>
            </w:r>
          </w:p>
        </w:tc>
        <w:tc>
          <w:tcPr>
            <w:tcW w:w="1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713</w:t>
            </w: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56,511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8,109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Thereafter</w:t>
            </w:r>
          </w:p>
        </w:tc>
        <w:tc>
          <w:tcPr>
            <w:tcW w:w="15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3,893</w:t>
            </w: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318,147</w:t>
            </w:r>
          </w:p>
        </w:tc>
        <w:tc>
          <w:tcPr>
            <w:tcW w:w="1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65,981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840" w:type="dxa"/>
            <w:vAlign w:val="bottom"/>
            <w:shd w:val="clear" w:color="auto" w:fill="CFF0FC"/>
          </w:tcPr>
          <w:p>
            <w:pPr>
              <w:spacing w:after="0"/>
              <w:rPr>
                <w:sz w:val="20"/>
                <w:szCs w:val="20"/>
                <w:color w:val="auto"/>
              </w:rPr>
            </w:pPr>
            <w:r>
              <w:rPr>
                <w:rFonts w:ascii="Arial" w:cs="Arial" w:eastAsia="Arial" w:hAnsi="Arial"/>
                <w:sz w:val="20"/>
                <w:szCs w:val="20"/>
                <w:color w:val="auto"/>
              </w:rPr>
              <w:t>Total</w:t>
            </w:r>
          </w:p>
        </w:tc>
        <w:tc>
          <w:tcPr>
            <w:tcW w:w="15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13,758</w:t>
            </w:r>
          </w:p>
        </w:tc>
        <w:tc>
          <w:tcPr>
            <w:tcW w:w="120" w:type="dxa"/>
            <w:vAlign w:val="bottom"/>
            <w:tcBorders>
              <w:right w:val="single" w:sz="8" w:color="CFF0FC"/>
            </w:tcBorders>
            <w:shd w:val="clear" w:color="auto" w:fill="CFF0FC"/>
          </w:tcPr>
          <w:p>
            <w:pPr>
              <w:spacing w:after="0"/>
              <w:rPr>
                <w:sz w:val="20"/>
                <w:szCs w:val="20"/>
                <w:color w:val="auto"/>
              </w:rPr>
            </w:pPr>
          </w:p>
        </w:tc>
        <w:tc>
          <w:tcPr>
            <w:tcW w:w="620" w:type="dxa"/>
            <w:vAlign w:val="bottom"/>
            <w:gridSpan w:val="2"/>
            <w:shd w:val="clear" w:color="auto" w:fill="CFF0FC"/>
          </w:tcPr>
          <w:p>
            <w:pPr>
              <w:jc w:val="right"/>
              <w:ind w:right="262"/>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669,004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119,948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20"/>
                <w:szCs w:val="20"/>
                <w:color w:val="auto"/>
              </w:rPr>
              <w:t>Less: imputed interest</w:t>
            </w:r>
          </w:p>
        </w:tc>
        <w:tc>
          <w:tcPr>
            <w:tcW w:w="15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CFF0FC"/>
            </w:tcBorders>
            <w:gridSpan w:val="2"/>
            <w:vMerge w:val="restart"/>
          </w:tcPr>
          <w:p>
            <w:pPr>
              <w:jc w:val="right"/>
              <w:ind w:right="40"/>
              <w:spacing w:after="0"/>
              <w:rPr>
                <w:sz w:val="20"/>
                <w:szCs w:val="20"/>
                <w:color w:val="auto"/>
              </w:rPr>
            </w:pPr>
            <w:r>
              <w:rPr>
                <w:rFonts w:ascii="Arial" w:cs="Arial" w:eastAsia="Arial" w:hAnsi="Arial"/>
                <w:sz w:val="20"/>
                <w:szCs w:val="20"/>
                <w:color w:val="auto"/>
              </w:rPr>
              <w:t>(2,879)</w:t>
            </w:r>
          </w:p>
        </w:tc>
        <w:tc>
          <w:tcPr>
            <w:tcW w:w="1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Present value of minimum lease payments</w:t>
            </w:r>
          </w:p>
        </w:tc>
        <w:tc>
          <w:tcPr>
            <w:tcW w:w="150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10,879</w:t>
            </w:r>
          </w:p>
        </w:tc>
        <w:tc>
          <w:tcPr>
            <w:tcW w:w="120" w:type="dxa"/>
            <w:vAlign w:val="bottom"/>
            <w:tcBorders>
              <w:top w:val="single" w:sz="8" w:color="CFF0FC"/>
              <w:right w:val="single" w:sz="8" w:color="CFF0FC"/>
            </w:tcBorders>
            <w:shd w:val="clear" w:color="auto" w:fill="CFF0FC"/>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840" w:type="dxa"/>
            <w:vAlign w:val="bottom"/>
          </w:tcPr>
          <w:p>
            <w:pPr>
              <w:spacing w:after="0"/>
              <w:rPr>
                <w:sz w:val="20"/>
                <w:szCs w:val="20"/>
                <w:color w:val="auto"/>
              </w:rPr>
            </w:pPr>
            <w:r>
              <w:rPr>
                <w:rFonts w:ascii="Arial" w:cs="Arial" w:eastAsia="Arial" w:hAnsi="Arial"/>
                <w:sz w:val="20"/>
                <w:szCs w:val="20"/>
                <w:color w:val="auto"/>
              </w:rPr>
              <w:t>Less: current capital lease obligations</w:t>
            </w: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20"/>
                <w:szCs w:val="20"/>
                <w:color w:val="auto"/>
              </w:rPr>
              <w:t>(3,249)</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8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Long-term capital lease obligations</w:t>
            </w:r>
          </w:p>
        </w:tc>
        <w:tc>
          <w:tcPr>
            <w:tcW w:w="1760" w:type="dxa"/>
            <w:vAlign w:val="bottom"/>
            <w:tcBorders>
              <w:top w:val="single" w:sz="8" w:color="auto"/>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7,630</w:t>
            </w:r>
          </w:p>
        </w:tc>
        <w:tc>
          <w:tcPr>
            <w:tcW w:w="120" w:type="dxa"/>
            <w:vAlign w:val="bottom"/>
            <w:tcBorders>
              <w:top w:val="single" w:sz="8" w:color="CFF0FC"/>
              <w:bottom w:val="single" w:sz="8" w:color="CFF0FC"/>
              <w:right w:val="single" w:sz="8" w:color="CFF0FC"/>
            </w:tcBorders>
            <w:shd w:val="clear" w:color="auto" w:fill="CFF0FC"/>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460" w:type="dxa"/>
            <w:vAlign w:val="bottom"/>
          </w:tcPr>
          <w:p>
            <w:pPr>
              <w:spacing w:after="0"/>
              <w:rPr>
                <w:sz w:val="20"/>
                <w:szCs w:val="20"/>
                <w:color w:val="auto"/>
              </w:rPr>
            </w:pPr>
            <w:r>
              <w:rPr>
                <w:rFonts w:ascii="Arial" w:cs="Arial" w:eastAsia="Arial" w:hAnsi="Arial"/>
                <w:sz w:val="20"/>
                <w:szCs w:val="20"/>
                <w:b w:val="1"/>
                <w:bCs w:val="1"/>
                <w:color w:val="auto"/>
              </w:rPr>
              <w:t>12. Supplemental Cash Flow Information</w:t>
            </w: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36"/>
        </w:trPr>
        <w:tc>
          <w:tcPr>
            <w:tcW w:w="6460" w:type="dxa"/>
            <w:vAlign w:val="bottom"/>
          </w:tcPr>
          <w:p>
            <w:pPr>
              <w:ind w:left="380"/>
              <w:spacing w:after="0"/>
              <w:rPr>
                <w:sz w:val="20"/>
                <w:szCs w:val="20"/>
                <w:color w:val="auto"/>
              </w:rPr>
            </w:pPr>
            <w:r>
              <w:rPr>
                <w:rFonts w:ascii="Arial" w:cs="Arial" w:eastAsia="Arial" w:hAnsi="Arial"/>
                <w:sz w:val="20"/>
                <w:szCs w:val="20"/>
                <w:color w:val="auto"/>
              </w:rPr>
              <w:t>Noncash investing and financing activities are as follows: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5"/>
        </w:trPr>
        <w:tc>
          <w:tcPr>
            <w:tcW w:w="6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20"/>
                <w:szCs w:val="20"/>
                <w:color w:val="auto"/>
              </w:rPr>
              <w:t>March 31,</w:t>
            </w: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5"/>
        </w:trPr>
        <w:tc>
          <w:tcPr>
            <w:tcW w:w="6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02"/>
              <w:spacing w:after="0"/>
              <w:rPr>
                <w:sz w:val="20"/>
                <w:szCs w:val="20"/>
                <w:color w:val="auto"/>
              </w:rPr>
            </w:pPr>
            <w:r>
              <w:rPr>
                <w:rFonts w:ascii="Arial" w:cs="Arial" w:eastAsia="Arial" w:hAnsi="Arial"/>
                <w:sz w:val="20"/>
                <w:szCs w:val="20"/>
                <w:color w:val="auto"/>
              </w:rPr>
              <w:t>2019</w:t>
            </w:r>
          </w:p>
        </w:tc>
        <w:tc>
          <w:tcPr>
            <w:tcW w:w="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22"/>
              <w:spacing w:after="0"/>
              <w:rPr>
                <w:sz w:val="20"/>
                <w:szCs w:val="20"/>
                <w:color w:val="auto"/>
              </w:rPr>
            </w:pPr>
            <w:r>
              <w:rPr>
                <w:rFonts w:ascii="Arial" w:cs="Arial" w:eastAsia="Arial" w:hAnsi="Arial"/>
                <w:sz w:val="20"/>
                <w:szCs w:val="20"/>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6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20" w:type="dxa"/>
            <w:vAlign w:val="bottom"/>
            <w:gridSpan w:val="3"/>
          </w:tcPr>
          <w:p>
            <w:pPr>
              <w:jc w:val="right"/>
              <w:ind w:right="902"/>
              <w:spacing w:after="0"/>
              <w:rPr>
                <w:sz w:val="20"/>
                <w:szCs w:val="20"/>
                <w:color w:val="auto"/>
              </w:rPr>
            </w:pPr>
            <w:r>
              <w:rPr>
                <w:rFonts w:ascii="Arial" w:cs="Arial" w:eastAsia="Arial" w:hAnsi="Arial"/>
                <w:sz w:val="20"/>
                <w:szCs w:val="20"/>
                <w:i w:val="1"/>
                <w:iCs w:val="1"/>
                <w:color w:val="auto"/>
              </w:rPr>
              <w:t>(Dollars in Thousands)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6460" w:type="dxa"/>
            <w:vAlign w:val="bottom"/>
            <w:shd w:val="clear" w:color="auto" w:fill="CFF0FC"/>
          </w:tcPr>
          <w:p>
            <w:pPr>
              <w:spacing w:after="0"/>
              <w:rPr>
                <w:sz w:val="20"/>
                <w:szCs w:val="20"/>
                <w:color w:val="auto"/>
              </w:rPr>
            </w:pPr>
            <w:r>
              <w:rPr>
                <w:rFonts w:ascii="Arial" w:cs="Arial" w:eastAsia="Arial" w:hAnsi="Arial"/>
                <w:sz w:val="20"/>
                <w:szCs w:val="20"/>
                <w:color w:val="auto"/>
              </w:rPr>
              <w:t>Noncash investing and financing activities:</w:t>
            </w: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6460" w:type="dxa"/>
            <w:vAlign w:val="bottom"/>
          </w:tcPr>
          <w:p>
            <w:pPr>
              <w:ind w:left="260"/>
              <w:spacing w:after="0"/>
              <w:rPr>
                <w:sz w:val="20"/>
                <w:szCs w:val="20"/>
                <w:color w:val="auto"/>
              </w:rPr>
            </w:pPr>
            <w:r>
              <w:rPr>
                <w:rFonts w:ascii="Arial" w:cs="Arial" w:eastAsia="Arial" w:hAnsi="Arial"/>
                <w:sz w:val="20"/>
                <w:szCs w:val="20"/>
                <w:color w:val="auto"/>
              </w:rPr>
              <w:t>Accrued liabilities for purchases of property, plant and equipment</w:t>
            </w:r>
          </w:p>
        </w:tc>
        <w:tc>
          <w:tcPr>
            <w:tcW w:w="1320" w:type="dxa"/>
            <w:vAlign w:val="bottom"/>
            <w:gridSpan w:val="3"/>
          </w:tcPr>
          <w:p>
            <w:pPr>
              <w:jc w:val="right"/>
              <w:ind w:right="220"/>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42"/>
              <w:spacing w:after="0"/>
              <w:rPr>
                <w:sz w:val="20"/>
                <w:szCs w:val="20"/>
                <w:color w:val="auto"/>
              </w:rPr>
            </w:pPr>
            <w:r>
              <w:rPr>
                <w:rFonts w:ascii="Arial" w:cs="Arial" w:eastAsia="Arial" w:hAnsi="Arial"/>
                <w:sz w:val="20"/>
                <w:szCs w:val="20"/>
                <w:color w:val="auto"/>
              </w:rPr>
              <w:t>20,629</w:t>
            </w:r>
          </w:p>
        </w:tc>
        <w:tc>
          <w:tcPr>
            <w:tcW w:w="660" w:type="dxa"/>
            <w:vAlign w:val="bottom"/>
          </w:tcPr>
          <w:p>
            <w:pPr>
              <w:jc w:val="right"/>
              <w:ind w:right="302"/>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35,639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64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Acquisition of assets through swap</w:t>
            </w:r>
          </w:p>
        </w:tc>
        <w:tc>
          <w:tcPr>
            <w:tcW w:w="1320" w:type="dxa"/>
            <w:vAlign w:val="bottom"/>
            <w:gridSpan w:val="3"/>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1,114</w:t>
            </w:r>
          </w:p>
        </w:tc>
        <w:tc>
          <w:tcPr>
            <w:tcW w:w="660" w:type="dxa"/>
            <w:vAlign w:val="bottom"/>
            <w:shd w:val="clear" w:color="auto" w:fill="CFF0FC"/>
          </w:tcPr>
          <w:p>
            <w:pPr>
              <w:jc w:val="right"/>
              <w:ind w:right="302"/>
              <w:spacing w:after="0"/>
              <w:rPr>
                <w:sz w:val="20"/>
                <w:szCs w:val="20"/>
                <w:color w:val="auto"/>
              </w:rPr>
            </w:pPr>
            <w:r>
              <w:rPr>
                <w:rFonts w:ascii="Arial" w:cs="Arial" w:eastAsia="Arial" w:hAnsi="Arial"/>
                <w:sz w:val="20"/>
                <w:szCs w:val="20"/>
                <w:color w:val="auto"/>
              </w:rPr>
              <w:t>$</w:t>
            </w:r>
          </w:p>
        </w:tc>
        <w:tc>
          <w:tcPr>
            <w:tcW w:w="1440" w:type="dxa"/>
            <w:vAlign w:val="bottom"/>
            <w:gridSpan w:val="3"/>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r>
      <w:tr>
        <w:trPr>
          <w:trHeight w:val="225"/>
        </w:trPr>
        <w:tc>
          <w:tcPr>
            <w:tcW w:w="6460" w:type="dxa"/>
            <w:vAlign w:val="bottom"/>
          </w:tcPr>
          <w:p>
            <w:pPr>
              <w:ind w:left="260"/>
              <w:spacing w:after="0" w:line="225" w:lineRule="exact"/>
              <w:rPr>
                <w:sz w:val="20"/>
                <w:szCs w:val="20"/>
                <w:color w:val="auto"/>
              </w:rPr>
            </w:pPr>
            <w:r>
              <w:rPr>
                <w:rFonts w:ascii="Arial" w:cs="Arial" w:eastAsia="Arial" w:hAnsi="Arial"/>
                <w:sz w:val="20"/>
                <w:szCs w:val="20"/>
                <w:color w:val="auto"/>
              </w:rPr>
              <w:t>Note receivable issued in connection with sale of property,</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6460" w:type="dxa"/>
            <w:vAlign w:val="bottom"/>
          </w:tcPr>
          <w:p>
            <w:pPr>
              <w:ind w:left="400"/>
              <w:spacing w:after="0"/>
              <w:rPr>
                <w:sz w:val="20"/>
                <w:szCs w:val="20"/>
                <w:color w:val="auto"/>
              </w:rPr>
            </w:pPr>
            <w:r>
              <w:rPr>
                <w:rFonts w:ascii="Arial" w:cs="Arial" w:eastAsia="Arial" w:hAnsi="Arial"/>
                <w:sz w:val="20"/>
                <w:szCs w:val="20"/>
                <w:color w:val="auto"/>
              </w:rPr>
              <w:t>plant and equipment</w:t>
            </w:r>
          </w:p>
        </w:tc>
        <w:tc>
          <w:tcPr>
            <w:tcW w:w="1320" w:type="dxa"/>
            <w:vAlign w:val="bottom"/>
            <w:gridSpan w:val="3"/>
          </w:tcPr>
          <w:p>
            <w:pPr>
              <w:jc w:val="right"/>
              <w:ind w:right="220"/>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42"/>
              <w:spacing w:after="0"/>
              <w:rPr>
                <w:sz w:val="20"/>
                <w:szCs w:val="20"/>
                <w:color w:val="auto"/>
              </w:rPr>
            </w:pPr>
            <w:r>
              <w:rPr>
                <w:rFonts w:ascii="Arial" w:cs="Arial" w:eastAsia="Arial" w:hAnsi="Arial"/>
                <w:sz w:val="20"/>
                <w:szCs w:val="20"/>
                <w:color w:val="auto"/>
              </w:rPr>
              <w:t>1,272</w:t>
            </w:r>
          </w:p>
        </w:tc>
        <w:tc>
          <w:tcPr>
            <w:tcW w:w="660" w:type="dxa"/>
            <w:vAlign w:val="bottom"/>
          </w:tcPr>
          <w:p>
            <w:pPr>
              <w:jc w:val="right"/>
              <w:ind w:right="302"/>
              <w:spacing w:after="0"/>
              <w:rPr>
                <w:sz w:val="20"/>
                <w:szCs w:val="20"/>
                <w:color w:val="auto"/>
              </w:rPr>
            </w:pPr>
            <w:r>
              <w:rPr>
                <w:rFonts w:ascii="Arial" w:cs="Arial" w:eastAsia="Arial" w:hAnsi="Arial"/>
                <w:sz w:val="20"/>
                <w:szCs w:val="20"/>
                <w:color w:val="auto"/>
              </w:rPr>
              <w:t>$</w:t>
            </w:r>
          </w:p>
        </w:tc>
        <w:tc>
          <w:tcPr>
            <w:tcW w:w="1440" w:type="dxa"/>
            <w:vAlign w:val="bottom"/>
            <w:gridSpan w:val="3"/>
          </w:tcPr>
          <w:p>
            <w:pPr>
              <w:jc w:val="right"/>
              <w:ind w:right="140"/>
              <w:spacing w:after="0"/>
              <w:rPr>
                <w:sz w:val="20"/>
                <w:szCs w:val="20"/>
                <w:color w:val="auto"/>
              </w:rPr>
            </w:pPr>
            <w:r>
              <w:rPr>
                <w:rFonts w:ascii="Arial" w:cs="Arial" w:eastAsia="Arial" w:hAnsi="Arial"/>
                <w:sz w:val="20"/>
                <w:szCs w:val="20"/>
                <w:color w:val="auto"/>
              </w:rPr>
              <w:t>—</w:t>
            </w:r>
          </w:p>
        </w:tc>
      </w:tr>
      <w:tr>
        <w:trPr>
          <w:trHeight w:val="242"/>
        </w:trPr>
        <w:tc>
          <w:tcPr>
            <w:tcW w:w="64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Acquisition of assets through capital lease</w:t>
            </w:r>
          </w:p>
        </w:tc>
        <w:tc>
          <w:tcPr>
            <w:tcW w:w="1320" w:type="dxa"/>
            <w:vAlign w:val="bottom"/>
            <w:gridSpan w:val="3"/>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660" w:type="dxa"/>
            <w:vAlign w:val="bottom"/>
            <w:shd w:val="clear" w:color="auto" w:fill="CFF0FC"/>
          </w:tcPr>
          <w:p>
            <w:pPr>
              <w:jc w:val="right"/>
              <w:ind w:right="302"/>
              <w:spacing w:after="0"/>
              <w:rPr>
                <w:sz w:val="20"/>
                <w:szCs w:val="20"/>
                <w:color w:val="auto"/>
              </w:rPr>
            </w:pPr>
            <w:r>
              <w:rPr>
                <w:rFonts w:ascii="Arial" w:cs="Arial" w:eastAsia="Arial" w:hAnsi="Arial"/>
                <w:sz w:val="20"/>
                <w:szCs w:val="20"/>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192</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461"/>
        </w:trPr>
        <w:tc>
          <w:tcPr>
            <w:tcW w:w="6460" w:type="dxa"/>
            <w:vAlign w:val="bottom"/>
          </w:tcPr>
          <w:p>
            <w:pPr>
              <w:ind w:left="380"/>
              <w:spacing w:after="0"/>
              <w:rPr>
                <w:sz w:val="20"/>
                <w:szCs w:val="20"/>
                <w:color w:val="auto"/>
              </w:rPr>
            </w:pPr>
            <w:r>
              <w:rPr>
                <w:rFonts w:ascii="Arial" w:cs="Arial" w:eastAsia="Arial" w:hAnsi="Arial"/>
                <w:sz w:val="20"/>
                <w:szCs w:val="20"/>
                <w:color w:val="auto"/>
              </w:rPr>
              <w:t>Supplemental disclosures of cash flow information are as follows: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5"/>
        </w:trPr>
        <w:tc>
          <w:tcPr>
            <w:tcW w:w="6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center"/>
              <w:ind w:left="762"/>
              <w:spacing w:after="0"/>
              <w:rPr>
                <w:sz w:val="20"/>
                <w:szCs w:val="20"/>
                <w:color w:val="auto"/>
              </w:rPr>
            </w:pPr>
            <w:r>
              <w:rPr>
                <w:rFonts w:ascii="Arial" w:cs="Arial" w:eastAsia="Arial" w:hAnsi="Arial"/>
                <w:sz w:val="20"/>
                <w:szCs w:val="20"/>
                <w:color w:val="auto"/>
                <w:w w:val="92"/>
              </w:rPr>
              <w:t>March 31,</w:t>
            </w: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5"/>
        </w:trPr>
        <w:tc>
          <w:tcPr>
            <w:tcW w:w="6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842"/>
              <w:spacing w:after="0"/>
              <w:rPr>
                <w:sz w:val="20"/>
                <w:szCs w:val="20"/>
                <w:color w:val="auto"/>
              </w:rPr>
            </w:pPr>
            <w:r>
              <w:rPr>
                <w:rFonts w:ascii="Arial" w:cs="Arial" w:eastAsia="Arial" w:hAnsi="Arial"/>
                <w:sz w:val="20"/>
                <w:szCs w:val="20"/>
                <w:color w:val="auto"/>
              </w:rPr>
              <w:t>2019</w:t>
            </w:r>
          </w:p>
        </w:tc>
        <w:tc>
          <w:tcPr>
            <w:tcW w:w="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22"/>
              <w:spacing w:after="0"/>
              <w:rPr>
                <w:sz w:val="20"/>
                <w:szCs w:val="20"/>
                <w:color w:val="auto"/>
              </w:rPr>
            </w:pPr>
            <w:r>
              <w:rPr>
                <w:rFonts w:ascii="Arial" w:cs="Arial" w:eastAsia="Arial" w:hAnsi="Arial"/>
                <w:sz w:val="20"/>
                <w:szCs w:val="20"/>
                <w:color w:val="auto"/>
              </w:rPr>
              <w:t>2018</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6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40" w:type="dxa"/>
            <w:vAlign w:val="bottom"/>
            <w:gridSpan w:val="4"/>
          </w:tcPr>
          <w:p>
            <w:pPr>
              <w:jc w:val="center"/>
              <w:ind w:right="460"/>
              <w:spacing w:after="0"/>
              <w:rPr>
                <w:sz w:val="20"/>
                <w:szCs w:val="20"/>
                <w:color w:val="auto"/>
              </w:rPr>
            </w:pPr>
            <w:r>
              <w:rPr>
                <w:rFonts w:ascii="Arial" w:cs="Arial" w:eastAsia="Arial" w:hAnsi="Arial"/>
                <w:sz w:val="20"/>
                <w:szCs w:val="20"/>
                <w:i w:val="1"/>
                <w:iCs w:val="1"/>
                <w:color w:val="auto"/>
                <w:w w:val="91"/>
              </w:rPr>
              <w:t>(Dollars in Thousands)</w:t>
            </w:r>
          </w:p>
        </w:tc>
        <w:tc>
          <w:tcPr>
            <w:tcW w:w="100" w:type="dxa"/>
            <w:vAlign w:val="bottom"/>
          </w:tcPr>
          <w:p>
            <w:pPr>
              <w:spacing w:after="0"/>
              <w:rPr>
                <w:sz w:val="20"/>
                <w:szCs w:val="20"/>
                <w:color w:val="auto"/>
              </w:rPr>
            </w:pPr>
          </w:p>
        </w:tc>
      </w:tr>
      <w:tr>
        <w:trPr>
          <w:trHeight w:val="242"/>
        </w:trPr>
        <w:tc>
          <w:tcPr>
            <w:tcW w:w="6460" w:type="dxa"/>
            <w:vAlign w:val="bottom"/>
            <w:shd w:val="clear" w:color="auto" w:fill="CFF0FC"/>
          </w:tcPr>
          <w:p>
            <w:pPr>
              <w:spacing w:after="0"/>
              <w:rPr>
                <w:sz w:val="20"/>
                <w:szCs w:val="20"/>
                <w:color w:val="auto"/>
              </w:rPr>
            </w:pPr>
            <w:r>
              <w:rPr>
                <w:rFonts w:ascii="Arial" w:cs="Arial" w:eastAsia="Arial" w:hAnsi="Arial"/>
                <w:sz w:val="20"/>
                <w:szCs w:val="20"/>
                <w:color w:val="auto"/>
              </w:rPr>
              <w:t>Cash paid for interest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17,750</w:t>
            </w:r>
          </w:p>
        </w:tc>
        <w:tc>
          <w:tcPr>
            <w:tcW w:w="660" w:type="dxa"/>
            <w:vAlign w:val="bottom"/>
            <w:shd w:val="clear" w:color="auto" w:fill="CFF0FC"/>
          </w:tcPr>
          <w:p>
            <w:pPr>
              <w:jc w:val="right"/>
              <w:ind w:right="322"/>
              <w:spacing w:after="0"/>
              <w:rPr>
                <w:sz w:val="20"/>
                <w:szCs w:val="20"/>
                <w:color w:val="auto"/>
              </w:rPr>
            </w:pPr>
            <w:r>
              <w:rPr>
                <w:rFonts w:ascii="Arial" w:cs="Arial" w:eastAsia="Arial" w:hAnsi="Arial"/>
                <w:sz w:val="20"/>
                <w:szCs w:val="20"/>
                <w:color w:val="auto"/>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12,458</w:t>
            </w:r>
          </w:p>
        </w:tc>
        <w:tc>
          <w:tcPr>
            <w:tcW w:w="100" w:type="dxa"/>
            <w:vAlign w:val="bottom"/>
            <w:shd w:val="clear" w:color="auto" w:fill="CFF0FC"/>
          </w:tcPr>
          <w:p>
            <w:pPr>
              <w:spacing w:after="0"/>
              <w:rPr>
                <w:sz w:val="21"/>
                <w:szCs w:val="21"/>
                <w:color w:val="auto"/>
              </w:rPr>
            </w:pPr>
          </w:p>
        </w:tc>
      </w:tr>
      <w:tr>
        <w:trPr>
          <w:trHeight w:val="249"/>
        </w:trPr>
        <w:tc>
          <w:tcPr>
            <w:tcW w:w="6460" w:type="dxa"/>
            <w:vAlign w:val="bottom"/>
          </w:tcPr>
          <w:p>
            <w:pPr>
              <w:spacing w:after="0"/>
              <w:rPr>
                <w:sz w:val="20"/>
                <w:szCs w:val="20"/>
                <w:color w:val="auto"/>
              </w:rPr>
            </w:pPr>
            <w:r>
              <w:rPr>
                <w:rFonts w:ascii="Arial" w:cs="Arial" w:eastAsia="Arial" w:hAnsi="Arial"/>
                <w:sz w:val="20"/>
                <w:szCs w:val="20"/>
                <w:color w:val="auto"/>
              </w:rPr>
              <w:t>Cash paid for (refund of) income taxes</w:t>
            </w: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1540" w:type="dxa"/>
            <w:vAlign w:val="bottom"/>
          </w:tcPr>
          <w:p>
            <w:pPr>
              <w:jc w:val="right"/>
              <w:ind w:right="162"/>
              <w:spacing w:after="0"/>
              <w:rPr>
                <w:sz w:val="20"/>
                <w:szCs w:val="20"/>
                <w:color w:val="auto"/>
              </w:rPr>
            </w:pPr>
            <w:r>
              <w:rPr>
                <w:rFonts w:ascii="Arial" w:cs="Arial" w:eastAsia="Arial" w:hAnsi="Arial"/>
                <w:sz w:val="20"/>
                <w:szCs w:val="20"/>
                <w:color w:val="auto"/>
              </w:rPr>
              <w:t>3,905</w:t>
            </w:r>
          </w:p>
        </w:tc>
        <w:tc>
          <w:tcPr>
            <w:tcW w:w="660" w:type="dxa"/>
            <w:vAlign w:val="bottom"/>
          </w:tcPr>
          <w:p>
            <w:pPr>
              <w:jc w:val="right"/>
              <w:ind w:right="322"/>
              <w:spacing w:after="0"/>
              <w:rPr>
                <w:sz w:val="20"/>
                <w:szCs w:val="20"/>
                <w:color w:val="auto"/>
              </w:rPr>
            </w:pPr>
            <w:r>
              <w:rPr>
                <w:rFonts w:ascii="Arial" w:cs="Arial" w:eastAsia="Arial" w:hAnsi="Arial"/>
                <w:sz w:val="20"/>
                <w:szCs w:val="20"/>
                <w:color w:val="auto"/>
              </w:rPr>
              <w:t>$</w:t>
            </w:r>
          </w:p>
        </w:tc>
        <w:tc>
          <w:tcPr>
            <w:tcW w:w="1440" w:type="dxa"/>
            <w:vAlign w:val="bottom"/>
            <w:gridSpan w:val="3"/>
          </w:tcPr>
          <w:p>
            <w:pPr>
              <w:jc w:val="right"/>
              <w:ind w:right="40"/>
              <w:spacing w:after="0"/>
              <w:rPr>
                <w:sz w:val="20"/>
                <w:szCs w:val="20"/>
                <w:color w:val="auto"/>
              </w:rPr>
            </w:pPr>
            <w:r>
              <w:rPr>
                <w:rFonts w:ascii="Arial" w:cs="Arial" w:eastAsia="Arial" w:hAnsi="Arial"/>
                <w:sz w:val="20"/>
                <w:szCs w:val="20"/>
                <w:color w:val="auto"/>
              </w:rPr>
              <w:t>(7,527)</w:t>
            </w:r>
          </w:p>
        </w:tc>
      </w:tr>
    </w:tbl>
    <w:p>
      <w:pPr>
        <w:spacing w:after="0" w:line="200" w:lineRule="exact"/>
        <w:rPr>
          <w:sz w:val="20"/>
          <w:szCs w:val="20"/>
          <w:color w:val="auto"/>
        </w:rPr>
      </w:pPr>
    </w:p>
    <w:p>
      <w:pPr>
        <w:spacing w:after="0" w:line="239" w:lineRule="exact"/>
        <w:rPr>
          <w:sz w:val="20"/>
          <w:szCs w:val="20"/>
          <w:color w:val="auto"/>
        </w:rPr>
      </w:pPr>
    </w:p>
    <w:p>
      <w:pPr>
        <w:ind w:left="380" w:hanging="373"/>
        <w:spacing w:after="0"/>
        <w:tabs>
          <w:tab w:leader="none" w:pos="38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Bluegrass Acquisition</w:t>
      </w:r>
    </w:p>
    <w:p>
      <w:pPr>
        <w:spacing w:after="0" w:line="57" w:lineRule="exact"/>
        <w:rPr>
          <w:rFonts w:ascii="Arial" w:cs="Arial" w:eastAsia="Arial" w:hAnsi="Arial"/>
          <w:sz w:val="20"/>
          <w:szCs w:val="20"/>
          <w:b w:val="1"/>
          <w:bCs w:val="1"/>
          <w:color w:val="auto"/>
        </w:rPr>
      </w:pPr>
    </w:p>
    <w:p>
      <w:pPr>
        <w:jc w:val="both"/>
        <w:ind w:left="380"/>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In April 2018, the Company acquired Bluegrass, the largest privately-held, pure-play aggregates company in the United States for $1.62 billion. These operations complement the Company’s existing southeastern footprint in its Mid-America and Southeast Groups and provide new growth platforms within Maryland and Kentucky.</w:t>
      </w:r>
    </w:p>
    <w:p>
      <w:pPr>
        <w:spacing w:after="0" w:line="79" w:lineRule="exact"/>
        <w:rPr>
          <w:rFonts w:ascii="Arial" w:cs="Arial" w:eastAsia="Arial" w:hAnsi="Arial"/>
          <w:sz w:val="20"/>
          <w:szCs w:val="20"/>
          <w:b w:val="1"/>
          <w:bCs w:val="1"/>
          <w:color w:val="auto"/>
        </w:rPr>
      </w:pPr>
    </w:p>
    <w:p>
      <w:pPr>
        <w:jc w:val="both"/>
        <w:ind w:left="380"/>
        <w:spacing w:after="0" w:line="293" w:lineRule="auto"/>
        <w:rPr>
          <w:rFonts w:ascii="Arial" w:cs="Arial" w:eastAsia="Arial" w:hAnsi="Arial"/>
          <w:sz w:val="20"/>
          <w:szCs w:val="20"/>
          <w:b w:val="1"/>
          <w:bCs w:val="1"/>
          <w:color w:val="auto"/>
        </w:rPr>
      </w:pPr>
      <w:r>
        <w:rPr>
          <w:rFonts w:ascii="Arial" w:cs="Arial" w:eastAsia="Arial" w:hAnsi="Arial"/>
          <w:sz w:val="17"/>
          <w:szCs w:val="17"/>
          <w:color w:val="auto"/>
        </w:rPr>
        <w:t>The Company determined fair values of the assets acquired and liabilities assumed. Although initial accounting for the business combination has been recorded, these amounts are subject to change during the measurement period which extends no longer than one year from the consummation date based on additional reviews, such as completion of deferred tax estimates based on the determination of the historic tax basis in assets acquired. Specific accounts subject to ongoing purchase accounting adjustments include goodwill and deferred income tax liabilities, net. Therefore, the measurement period remains open as of March 31, 2019. The following is a summary of the preliminary estimated fair values of the assets acquired and the liabilities assumed (dollars 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360" w:type="dxa"/>
            <w:vAlign w:val="bottom"/>
            <w:gridSpan w:val="2"/>
          </w:tcPr>
          <w:p>
            <w:pPr>
              <w:spacing w:after="0"/>
              <w:rPr>
                <w:sz w:val="20"/>
                <w:szCs w:val="20"/>
                <w:color w:val="auto"/>
              </w:rPr>
            </w:pPr>
            <w:r>
              <w:rPr>
                <w:rFonts w:ascii="Arial" w:cs="Arial" w:eastAsia="Arial" w:hAnsi="Arial"/>
                <w:sz w:val="20"/>
                <w:szCs w:val="20"/>
                <w:color w:val="auto"/>
              </w:rPr>
              <w:t>Assets:</w:t>
            </w:r>
          </w:p>
        </w:tc>
        <w:tc>
          <w:tcPr>
            <w:tcW w:w="1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Cash</w:t>
            </w:r>
          </w:p>
        </w:tc>
        <w:tc>
          <w:tcPr>
            <w:tcW w:w="1120" w:type="dxa"/>
            <w:vAlign w:val="bottom"/>
            <w:shd w:val="clear" w:color="auto" w:fill="CFF0FC"/>
          </w:tcPr>
          <w:p>
            <w:pPr>
              <w:jc w:val="right"/>
              <w:ind w:right="922"/>
              <w:spacing w:after="0"/>
              <w:rPr>
                <w:sz w:val="20"/>
                <w:szCs w:val="20"/>
                <w:color w:val="auto"/>
              </w:rPr>
            </w:pPr>
            <w:r>
              <w:rPr>
                <w:rFonts w:ascii="Arial" w:cs="Arial" w:eastAsia="Arial" w:hAnsi="Arial"/>
                <w:sz w:val="20"/>
                <w:szCs w:val="20"/>
                <w:color w:val="auto"/>
                <w:w w:val="71"/>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tcPr>
          <w:p>
            <w:pPr>
              <w:ind w:left="240"/>
              <w:spacing w:after="0"/>
              <w:rPr>
                <w:sz w:val="20"/>
                <w:szCs w:val="20"/>
                <w:color w:val="auto"/>
              </w:rPr>
            </w:pPr>
            <w:r>
              <w:rPr>
                <w:rFonts w:ascii="Arial" w:cs="Arial" w:eastAsia="Arial" w:hAnsi="Arial"/>
                <w:sz w:val="20"/>
                <w:szCs w:val="20"/>
                <w:color w:val="auto"/>
              </w:rPr>
              <w:t>Receivables</w:t>
            </w:r>
          </w:p>
        </w:tc>
        <w:tc>
          <w:tcPr>
            <w:tcW w:w="1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25,479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Inventory</w:t>
            </w:r>
          </w:p>
        </w:tc>
        <w:tc>
          <w:tcPr>
            <w:tcW w:w="112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46,635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tcPr>
          <w:p>
            <w:pPr>
              <w:ind w:left="240"/>
              <w:spacing w:after="0"/>
              <w:rPr>
                <w:sz w:val="20"/>
                <w:szCs w:val="20"/>
                <w:color w:val="auto"/>
              </w:rPr>
            </w:pPr>
            <w:r>
              <w:rPr>
                <w:rFonts w:ascii="Arial" w:cs="Arial" w:eastAsia="Arial" w:hAnsi="Arial"/>
                <w:sz w:val="20"/>
                <w:szCs w:val="20"/>
                <w:color w:val="auto"/>
              </w:rPr>
              <w:t>Other current assets</w:t>
            </w:r>
          </w:p>
        </w:tc>
        <w:tc>
          <w:tcPr>
            <w:tcW w:w="1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1,029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Property, plant and equipment</w:t>
            </w:r>
          </w:p>
        </w:tc>
        <w:tc>
          <w:tcPr>
            <w:tcW w:w="112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1,519,289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tcPr>
          <w:p>
            <w:pPr>
              <w:ind w:left="240"/>
              <w:spacing w:after="0"/>
              <w:rPr>
                <w:sz w:val="20"/>
                <w:szCs w:val="20"/>
                <w:color w:val="auto"/>
              </w:rPr>
            </w:pPr>
            <w:r>
              <w:rPr>
                <w:rFonts w:ascii="Arial" w:cs="Arial" w:eastAsia="Arial" w:hAnsi="Arial"/>
                <w:sz w:val="20"/>
                <w:szCs w:val="20"/>
                <w:color w:val="auto"/>
              </w:rPr>
              <w:t>Intangible assets, other than goodwill</w:t>
            </w:r>
          </w:p>
        </w:tc>
        <w:tc>
          <w:tcPr>
            <w:tcW w:w="1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20,150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Goodwill</w:t>
            </w:r>
          </w:p>
        </w:tc>
        <w:tc>
          <w:tcPr>
            <w:tcW w:w="112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242,981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360" w:type="dxa"/>
            <w:vAlign w:val="bottom"/>
            <w:gridSpan w:val="2"/>
          </w:tcPr>
          <w:p>
            <w:pPr>
              <w:spacing w:after="0"/>
              <w:rPr>
                <w:sz w:val="20"/>
                <w:szCs w:val="20"/>
                <w:color w:val="auto"/>
              </w:rPr>
            </w:pPr>
            <w:r>
              <w:rPr>
                <w:rFonts w:ascii="Arial" w:cs="Arial" w:eastAsia="Arial" w:hAnsi="Arial"/>
                <w:sz w:val="20"/>
                <w:szCs w:val="20"/>
                <w:color w:val="auto"/>
              </w:rPr>
              <w:t>Total assets</w:t>
            </w:r>
          </w:p>
        </w:tc>
        <w:tc>
          <w:tcPr>
            <w:tcW w:w="1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1,856,722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8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340" w:type="dxa"/>
            <w:vAlign w:val="bottom"/>
          </w:tcPr>
          <w:p>
            <w:pPr>
              <w:spacing w:after="0"/>
              <w:rPr>
                <w:sz w:val="20"/>
                <w:szCs w:val="20"/>
                <w:color w:val="auto"/>
              </w:rPr>
            </w:pPr>
            <w:r>
              <w:rPr>
                <w:rFonts w:ascii="Arial" w:cs="Arial" w:eastAsia="Arial" w:hAnsi="Arial"/>
                <w:sz w:val="20"/>
                <w:szCs w:val="20"/>
                <w:color w:val="auto"/>
              </w:rPr>
              <w:t>Liabilities:</w:t>
            </w:r>
          </w:p>
        </w:tc>
        <w:tc>
          <w:tcPr>
            <w:tcW w:w="1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Accounts payable and accrued expenses</w:t>
            </w:r>
          </w:p>
        </w:tc>
        <w:tc>
          <w:tcPr>
            <w:tcW w:w="112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17,978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tcPr>
          <w:p>
            <w:pPr>
              <w:ind w:left="240"/>
              <w:spacing w:after="0"/>
              <w:rPr>
                <w:sz w:val="20"/>
                <w:szCs w:val="20"/>
                <w:color w:val="auto"/>
              </w:rPr>
            </w:pPr>
            <w:r>
              <w:rPr>
                <w:rFonts w:ascii="Arial" w:cs="Arial" w:eastAsia="Arial" w:hAnsi="Arial"/>
                <w:sz w:val="20"/>
                <w:szCs w:val="20"/>
                <w:color w:val="auto"/>
              </w:rPr>
              <w:t>Deferred income tax liabilities, net</w:t>
            </w:r>
          </w:p>
        </w:tc>
        <w:tc>
          <w:tcPr>
            <w:tcW w:w="1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212,386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Noncontrolling interest</w:t>
            </w:r>
          </w:p>
        </w:tc>
        <w:tc>
          <w:tcPr>
            <w:tcW w:w="112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9,001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360" w:type="dxa"/>
            <w:vAlign w:val="bottom"/>
            <w:gridSpan w:val="2"/>
          </w:tcPr>
          <w:p>
            <w:pPr>
              <w:spacing w:after="0"/>
              <w:rPr>
                <w:sz w:val="20"/>
                <w:szCs w:val="20"/>
                <w:color w:val="auto"/>
              </w:rPr>
            </w:pPr>
            <w:r>
              <w:rPr>
                <w:rFonts w:ascii="Arial" w:cs="Arial" w:eastAsia="Arial" w:hAnsi="Arial"/>
                <w:sz w:val="20"/>
                <w:szCs w:val="20"/>
                <w:color w:val="auto"/>
              </w:rPr>
              <w:t>Total liabilities</w:t>
            </w:r>
          </w:p>
        </w:tc>
        <w:tc>
          <w:tcPr>
            <w:tcW w:w="1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239,365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8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340" w:type="dxa"/>
            <w:vAlign w:val="bottom"/>
          </w:tcPr>
          <w:p>
            <w:pPr>
              <w:spacing w:after="0"/>
              <w:rPr>
                <w:sz w:val="20"/>
                <w:szCs w:val="20"/>
                <w:color w:val="auto"/>
              </w:rPr>
            </w:pPr>
            <w:r>
              <w:rPr>
                <w:rFonts w:ascii="Arial" w:cs="Arial" w:eastAsia="Arial" w:hAnsi="Arial"/>
                <w:sz w:val="20"/>
                <w:szCs w:val="20"/>
                <w:color w:val="auto"/>
              </w:rPr>
              <w:t>Total consideration</w:t>
            </w:r>
          </w:p>
        </w:tc>
        <w:tc>
          <w:tcPr>
            <w:tcW w:w="1120" w:type="dxa"/>
            <w:vAlign w:val="bottom"/>
            <w:tcBorders>
              <w:bottom w:val="single" w:sz="8" w:color="auto"/>
            </w:tcBorders>
          </w:tcPr>
          <w:p>
            <w:pPr>
              <w:jc w:val="right"/>
              <w:ind w:right="922"/>
              <w:spacing w:after="0"/>
              <w:rPr>
                <w:sz w:val="20"/>
                <w:szCs w:val="20"/>
                <w:color w:val="auto"/>
              </w:rPr>
            </w:pPr>
            <w:r>
              <w:rPr>
                <w:rFonts w:ascii="Arial" w:cs="Arial" w:eastAsia="Arial" w:hAnsi="Arial"/>
                <w:sz w:val="20"/>
                <w:szCs w:val="20"/>
                <w:color w:val="auto"/>
                <w:w w:val="71"/>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1,617,357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380"/>
        <w:spacing w:after="0" w:line="291" w:lineRule="auto"/>
        <w:rPr>
          <w:sz w:val="20"/>
          <w:szCs w:val="20"/>
          <w:color w:val="auto"/>
        </w:rPr>
      </w:pPr>
      <w:r>
        <w:rPr>
          <w:rFonts w:ascii="Arial" w:cs="Arial" w:eastAsia="Arial" w:hAnsi="Arial"/>
          <w:sz w:val="17"/>
          <w:szCs w:val="17"/>
          <w:color w:val="auto"/>
        </w:rPr>
        <w:t>The unaudited pro forma financial information summarizes the combined results of operations for the Company and Bluegrass as though the companies were combined as of January 1, 2017. The pro forma earnings does not reflect any cost savings or associated costs to achieve such savings from operating efficiencies or synergies that result from the combination. Consistent with the assumed acquisition date of January 1, 2017, expenses related to the acquisition would be reflected in the pro forma results for the year ended December 31, 2017. The pro forma financial information does not purport to project the future financial position or operating results of the combined company. The pro forma financial information as presented below is for informational purposes only and is not indicative of the results of operations that would have been achieved if the acquisition had taken place at the beginning of 2017.</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presents pro forma results for the quarter ended March 31, 2018:</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000" w:type="dxa"/>
            <w:vAlign w:val="bottom"/>
          </w:tcPr>
          <w:p>
            <w:pPr>
              <w:spacing w:after="0"/>
              <w:rPr>
                <w:sz w:val="20"/>
                <w:szCs w:val="20"/>
                <w:color w:val="auto"/>
              </w:rPr>
            </w:pPr>
            <w:r>
              <w:rPr>
                <w:rFonts w:ascii="Arial" w:cs="Arial" w:eastAsia="Arial" w:hAnsi="Arial"/>
                <w:sz w:val="20"/>
                <w:szCs w:val="20"/>
                <w:i w:val="1"/>
                <w:iCs w:val="1"/>
                <w:color w:val="auto"/>
              </w:rPr>
              <w:t>(Dollars in Thousands, except per share data)</w:t>
            </w:r>
          </w:p>
        </w:tc>
        <w:tc>
          <w:tcPr>
            <w:tcW w:w="356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5"/>
        </w:trPr>
        <w:tc>
          <w:tcPr>
            <w:tcW w:w="6000" w:type="dxa"/>
            <w:vAlign w:val="bottom"/>
          </w:tcPr>
          <w:p>
            <w:pPr>
              <w:spacing w:after="0"/>
              <w:rPr>
                <w:sz w:val="20"/>
                <w:szCs w:val="20"/>
                <w:color w:val="auto"/>
              </w:rPr>
            </w:pPr>
            <w:r>
              <w:rPr>
                <w:rFonts w:ascii="Arial" w:cs="Arial" w:eastAsia="Arial" w:hAnsi="Arial"/>
                <w:sz w:val="20"/>
                <w:szCs w:val="20"/>
                <w:color w:val="auto"/>
              </w:rPr>
              <w:t>Total revenues</w:t>
            </w:r>
          </w:p>
        </w:tc>
        <w:tc>
          <w:tcPr>
            <w:tcW w:w="3560" w:type="dxa"/>
            <w:vAlign w:val="bottom"/>
          </w:tcPr>
          <w:p>
            <w:pPr>
              <w:jc w:val="right"/>
              <w:ind w:right="1002"/>
              <w:spacing w:after="0"/>
              <w:rPr>
                <w:sz w:val="20"/>
                <w:szCs w:val="20"/>
                <w:color w:val="auto"/>
              </w:rPr>
            </w:pPr>
            <w:r>
              <w:rPr>
                <w:rFonts w:ascii="Arial" w:cs="Arial" w:eastAsia="Arial" w:hAnsi="Arial"/>
                <w:sz w:val="20"/>
                <w:szCs w:val="20"/>
                <w:color w:val="auto"/>
              </w:rPr>
              <w:t>$</w:t>
            </w:r>
          </w:p>
        </w:tc>
        <w:tc>
          <w:tcPr>
            <w:tcW w:w="1860" w:type="dxa"/>
            <w:vAlign w:val="bottom"/>
          </w:tcPr>
          <w:p>
            <w:pPr>
              <w:jc w:val="right"/>
              <w:ind w:right="42"/>
              <w:spacing w:after="0"/>
              <w:rPr>
                <w:sz w:val="20"/>
                <w:szCs w:val="20"/>
                <w:color w:val="auto"/>
              </w:rPr>
            </w:pPr>
            <w:r>
              <w:rPr>
                <w:rFonts w:ascii="Arial" w:cs="Arial" w:eastAsia="Arial" w:hAnsi="Arial"/>
                <w:sz w:val="20"/>
                <w:szCs w:val="20"/>
                <w:color w:val="auto"/>
              </w:rPr>
              <w:t>840,909</w:t>
            </w:r>
          </w:p>
        </w:tc>
      </w:tr>
      <w:tr>
        <w:trPr>
          <w:trHeight w:val="242"/>
        </w:trPr>
        <w:tc>
          <w:tcPr>
            <w:tcW w:w="6000" w:type="dxa"/>
            <w:vAlign w:val="bottom"/>
            <w:shd w:val="clear" w:color="auto" w:fill="CDF0FC"/>
          </w:tcPr>
          <w:p>
            <w:pPr>
              <w:spacing w:after="0"/>
              <w:rPr>
                <w:sz w:val="20"/>
                <w:szCs w:val="20"/>
                <w:color w:val="auto"/>
              </w:rPr>
            </w:pPr>
            <w:r>
              <w:rPr>
                <w:rFonts w:ascii="Arial" w:cs="Arial" w:eastAsia="Arial" w:hAnsi="Arial"/>
                <w:sz w:val="20"/>
                <w:szCs w:val="20"/>
                <w:color w:val="auto"/>
              </w:rPr>
              <w:t>Net earnings attributable to Martin Marietta</w:t>
            </w:r>
          </w:p>
        </w:tc>
        <w:tc>
          <w:tcPr>
            <w:tcW w:w="3560" w:type="dxa"/>
            <w:vAlign w:val="bottom"/>
            <w:shd w:val="clear" w:color="auto" w:fill="CDF0FC"/>
          </w:tcPr>
          <w:p>
            <w:pPr>
              <w:jc w:val="right"/>
              <w:ind w:right="1002"/>
              <w:spacing w:after="0"/>
              <w:rPr>
                <w:sz w:val="20"/>
                <w:szCs w:val="20"/>
                <w:color w:val="auto"/>
              </w:rPr>
            </w:pPr>
            <w:r>
              <w:rPr>
                <w:rFonts w:ascii="Arial" w:cs="Arial" w:eastAsia="Arial" w:hAnsi="Arial"/>
                <w:sz w:val="20"/>
                <w:szCs w:val="20"/>
                <w:color w:val="auto"/>
              </w:rPr>
              <w:t>$</w:t>
            </w:r>
          </w:p>
        </w:tc>
        <w:tc>
          <w:tcPr>
            <w:tcW w:w="1860" w:type="dxa"/>
            <w:vAlign w:val="bottom"/>
            <w:shd w:val="clear" w:color="auto" w:fill="CDF0FC"/>
          </w:tcPr>
          <w:p>
            <w:pPr>
              <w:jc w:val="right"/>
              <w:ind w:right="42"/>
              <w:spacing w:after="0"/>
              <w:rPr>
                <w:sz w:val="20"/>
                <w:szCs w:val="20"/>
                <w:color w:val="auto"/>
              </w:rPr>
            </w:pPr>
            <w:r>
              <w:rPr>
                <w:rFonts w:ascii="Arial" w:cs="Arial" w:eastAsia="Arial" w:hAnsi="Arial"/>
                <w:sz w:val="20"/>
                <w:szCs w:val="20"/>
                <w:color w:val="auto"/>
              </w:rPr>
              <w:t>2,988</w:t>
            </w:r>
          </w:p>
        </w:tc>
      </w:tr>
      <w:tr>
        <w:trPr>
          <w:trHeight w:val="249"/>
        </w:trPr>
        <w:tc>
          <w:tcPr>
            <w:tcW w:w="6000" w:type="dxa"/>
            <w:vAlign w:val="bottom"/>
          </w:tcPr>
          <w:p>
            <w:pPr>
              <w:spacing w:after="0"/>
              <w:rPr>
                <w:sz w:val="20"/>
                <w:szCs w:val="20"/>
                <w:color w:val="auto"/>
              </w:rPr>
            </w:pPr>
            <w:r>
              <w:rPr>
                <w:rFonts w:ascii="Arial" w:cs="Arial" w:eastAsia="Arial" w:hAnsi="Arial"/>
                <w:sz w:val="20"/>
                <w:szCs w:val="20"/>
                <w:color w:val="auto"/>
              </w:rPr>
              <w:t>Diluted EPS</w:t>
            </w:r>
          </w:p>
        </w:tc>
        <w:tc>
          <w:tcPr>
            <w:tcW w:w="3560" w:type="dxa"/>
            <w:vAlign w:val="bottom"/>
          </w:tcPr>
          <w:p>
            <w:pPr>
              <w:jc w:val="right"/>
              <w:ind w:right="1002"/>
              <w:spacing w:after="0"/>
              <w:rPr>
                <w:sz w:val="20"/>
                <w:szCs w:val="20"/>
                <w:color w:val="auto"/>
              </w:rPr>
            </w:pPr>
            <w:r>
              <w:rPr>
                <w:rFonts w:ascii="Arial" w:cs="Arial" w:eastAsia="Arial" w:hAnsi="Arial"/>
                <w:sz w:val="20"/>
                <w:szCs w:val="20"/>
                <w:color w:val="auto"/>
              </w:rPr>
              <w:t>$</w:t>
            </w:r>
          </w:p>
        </w:tc>
        <w:tc>
          <w:tcPr>
            <w:tcW w:w="1860" w:type="dxa"/>
            <w:vAlign w:val="bottom"/>
          </w:tcPr>
          <w:p>
            <w:pPr>
              <w:jc w:val="right"/>
              <w:ind w:right="42"/>
              <w:spacing w:after="0"/>
              <w:rPr>
                <w:sz w:val="20"/>
                <w:szCs w:val="20"/>
                <w:color w:val="auto"/>
              </w:rPr>
            </w:pPr>
            <w:r>
              <w:rPr>
                <w:rFonts w:ascii="Arial" w:cs="Arial" w:eastAsia="Arial" w:hAnsi="Arial"/>
                <w:sz w:val="20"/>
                <w:szCs w:val="20"/>
                <w:color w:val="auto"/>
              </w:rPr>
              <w:t>0.05</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2019</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0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Martin Marietta Materials, Inc. (the Company or Martin Marietta) is a natural resource-based building materials company. The Company supplies aggregates (crushed stone, sand and gravel) through its network of more than 300 quarries, mines and distribution yards to its customers in 31 states, Canada, the Bahamas and the Caribbean Islands. In the western United States, Martin Marietta also provides cement and downstream products, namely, ready mixed concrete, asphalt and paving services,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conducts its Building Materials business through three reportable business segments: Mid-America Group, Southeast Group and West Group.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1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86"/>
              </w:rPr>
              <w:t>Reportable Segments</w:t>
            </w:r>
          </w:p>
        </w:tc>
        <w:tc>
          <w:tcPr>
            <w:tcW w:w="30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93"/>
              </w:rPr>
              <w:t>Mid-America Group</w:t>
            </w:r>
          </w:p>
        </w:tc>
        <w:tc>
          <w:tcPr>
            <w:tcW w:w="27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87"/>
              </w:rPr>
              <w:t>Southeast Group</w:t>
            </w: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5"/>
        </w:trPr>
        <w:tc>
          <w:tcPr>
            <w:tcW w:w="20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20"/>
                <w:szCs w:val="20"/>
                <w:color w:val="auto"/>
                <w:w w:val="90"/>
              </w:rPr>
              <w:t>Operating Locations</w:t>
            </w:r>
          </w:p>
        </w:tc>
        <w:tc>
          <w:tcPr>
            <w:tcW w:w="120" w:type="dxa"/>
            <w:vAlign w:val="bottom"/>
          </w:tcPr>
          <w:p>
            <w:pPr>
              <w:spacing w:after="0"/>
              <w:rPr>
                <w:sz w:val="17"/>
                <w:szCs w:val="17"/>
                <w:color w:val="auto"/>
              </w:rPr>
            </w:pPr>
          </w:p>
        </w:tc>
        <w:tc>
          <w:tcPr>
            <w:tcW w:w="29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20"/>
                <w:szCs w:val="20"/>
                <w:color w:val="auto"/>
                <w:w w:val="89"/>
              </w:rPr>
              <w:t>Indiana, Iowa, northern Kansas,</w:t>
            </w:r>
          </w:p>
        </w:tc>
        <w:tc>
          <w:tcPr>
            <w:tcW w:w="120" w:type="dxa"/>
            <w:vAlign w:val="bottom"/>
          </w:tcPr>
          <w:p>
            <w:pPr>
              <w:spacing w:after="0"/>
              <w:rPr>
                <w:sz w:val="17"/>
                <w:szCs w:val="17"/>
                <w:color w:val="auto"/>
              </w:rPr>
            </w:pPr>
          </w:p>
        </w:tc>
        <w:tc>
          <w:tcPr>
            <w:tcW w:w="26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20"/>
                <w:szCs w:val="20"/>
                <w:color w:val="auto"/>
                <w:w w:val="90"/>
              </w:rPr>
              <w:t>Alabama, Florida, Georgia,</w:t>
            </w:r>
          </w:p>
        </w:tc>
        <w:tc>
          <w:tcPr>
            <w:tcW w:w="120" w:type="dxa"/>
            <w:vAlign w:val="bottom"/>
          </w:tcPr>
          <w:p>
            <w:pPr>
              <w:spacing w:after="0"/>
              <w:rPr>
                <w:sz w:val="17"/>
                <w:szCs w:val="17"/>
                <w:color w:val="auto"/>
              </w:rPr>
            </w:pPr>
          </w:p>
        </w:tc>
        <w:tc>
          <w:tcPr>
            <w:tcW w:w="34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20"/>
                <w:szCs w:val="20"/>
                <w:color w:val="auto"/>
                <w:w w:val="88"/>
              </w:rPr>
              <w:t>Arkansas, Colorado, southern Kansas,</w:t>
            </w:r>
          </w:p>
        </w:tc>
      </w:tr>
      <w:tr>
        <w:trPr>
          <w:trHeight w:val="228"/>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2"/>
          </w:tcPr>
          <w:p>
            <w:pPr>
              <w:jc w:val="center"/>
              <w:ind w:right="120"/>
              <w:spacing w:after="0" w:line="229" w:lineRule="exact"/>
              <w:rPr>
                <w:sz w:val="20"/>
                <w:szCs w:val="20"/>
                <w:color w:val="auto"/>
              </w:rPr>
            </w:pPr>
            <w:r>
              <w:rPr>
                <w:rFonts w:ascii="Arial" w:cs="Arial" w:eastAsia="Arial" w:hAnsi="Arial"/>
                <w:sz w:val="20"/>
                <w:szCs w:val="20"/>
                <w:color w:val="auto"/>
                <w:w w:val="91"/>
              </w:rPr>
              <w:t>Kentucky, Maryland, Minnesota,</w:t>
            </w:r>
          </w:p>
        </w:tc>
        <w:tc>
          <w:tcPr>
            <w:tcW w:w="2760" w:type="dxa"/>
            <w:vAlign w:val="bottom"/>
            <w:gridSpan w:val="2"/>
          </w:tcPr>
          <w:p>
            <w:pPr>
              <w:jc w:val="center"/>
              <w:ind w:right="120"/>
              <w:spacing w:after="0" w:line="229" w:lineRule="exact"/>
              <w:rPr>
                <w:sz w:val="20"/>
                <w:szCs w:val="20"/>
                <w:color w:val="auto"/>
              </w:rPr>
            </w:pPr>
            <w:r>
              <w:rPr>
                <w:rFonts w:ascii="Arial" w:cs="Arial" w:eastAsia="Arial" w:hAnsi="Arial"/>
                <w:sz w:val="20"/>
                <w:szCs w:val="20"/>
                <w:color w:val="auto"/>
                <w:w w:val="85"/>
              </w:rPr>
              <w:t>Tennessee, Nova Scotia and the</w:t>
            </w:r>
          </w:p>
        </w:tc>
        <w:tc>
          <w:tcPr>
            <w:tcW w:w="3460" w:type="dxa"/>
            <w:vAlign w:val="bottom"/>
          </w:tcPr>
          <w:p>
            <w:pPr>
              <w:jc w:val="center"/>
              <w:spacing w:after="0" w:line="229" w:lineRule="exact"/>
              <w:rPr>
                <w:sz w:val="20"/>
                <w:szCs w:val="20"/>
                <w:color w:val="auto"/>
              </w:rPr>
            </w:pPr>
            <w:r>
              <w:rPr>
                <w:rFonts w:ascii="Arial" w:cs="Arial" w:eastAsia="Arial" w:hAnsi="Arial"/>
                <w:sz w:val="20"/>
                <w:szCs w:val="20"/>
                <w:color w:val="auto"/>
                <w:w w:val="87"/>
              </w:rPr>
              <w:t>Louisiana, western Nebraska, Nevada,</w:t>
            </w:r>
          </w:p>
        </w:tc>
      </w:tr>
      <w:tr>
        <w:trPr>
          <w:trHeight w:val="228"/>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2"/>
          </w:tcPr>
          <w:p>
            <w:pPr>
              <w:jc w:val="center"/>
              <w:ind w:right="100"/>
              <w:spacing w:after="0" w:line="229" w:lineRule="exact"/>
              <w:rPr>
                <w:sz w:val="20"/>
                <w:szCs w:val="20"/>
                <w:color w:val="auto"/>
              </w:rPr>
            </w:pPr>
            <w:r>
              <w:rPr>
                <w:rFonts w:ascii="Arial" w:cs="Arial" w:eastAsia="Arial" w:hAnsi="Arial"/>
                <w:sz w:val="20"/>
                <w:szCs w:val="20"/>
                <w:color w:val="auto"/>
                <w:w w:val="88"/>
              </w:rPr>
              <w:t>Missouri, eastern Nebraska, North</w:t>
            </w:r>
          </w:p>
        </w:tc>
        <w:tc>
          <w:tcPr>
            <w:tcW w:w="2760" w:type="dxa"/>
            <w:vAlign w:val="bottom"/>
            <w:gridSpan w:val="2"/>
          </w:tcPr>
          <w:p>
            <w:pPr>
              <w:jc w:val="center"/>
              <w:ind w:right="120"/>
              <w:spacing w:after="0" w:line="229" w:lineRule="exact"/>
              <w:rPr>
                <w:sz w:val="20"/>
                <w:szCs w:val="20"/>
                <w:color w:val="auto"/>
              </w:rPr>
            </w:pPr>
            <w:r>
              <w:rPr>
                <w:rFonts w:ascii="Arial" w:cs="Arial" w:eastAsia="Arial" w:hAnsi="Arial"/>
                <w:sz w:val="20"/>
                <w:szCs w:val="20"/>
                <w:color w:val="auto"/>
                <w:w w:val="85"/>
              </w:rPr>
              <w:t>Bahamas</w:t>
            </w:r>
          </w:p>
        </w:tc>
        <w:tc>
          <w:tcPr>
            <w:tcW w:w="3460" w:type="dxa"/>
            <w:vAlign w:val="bottom"/>
          </w:tcPr>
          <w:p>
            <w:pPr>
              <w:jc w:val="center"/>
              <w:spacing w:after="0" w:line="229" w:lineRule="exact"/>
              <w:rPr>
                <w:sz w:val="20"/>
                <w:szCs w:val="20"/>
                <w:color w:val="auto"/>
              </w:rPr>
            </w:pPr>
            <w:r>
              <w:rPr>
                <w:rFonts w:ascii="Arial" w:cs="Arial" w:eastAsia="Arial" w:hAnsi="Arial"/>
                <w:sz w:val="20"/>
                <w:szCs w:val="20"/>
                <w:color w:val="auto"/>
                <w:w w:val="89"/>
              </w:rPr>
              <w:t>Oklahoma, Texas, Utah and Wyoming</w:t>
            </w:r>
          </w:p>
        </w:tc>
      </w:tr>
      <w:tr>
        <w:trPr>
          <w:trHeight w:val="228"/>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2"/>
          </w:tcPr>
          <w:p>
            <w:pPr>
              <w:jc w:val="center"/>
              <w:ind w:right="120"/>
              <w:spacing w:after="0" w:line="229" w:lineRule="exact"/>
              <w:rPr>
                <w:sz w:val="20"/>
                <w:szCs w:val="20"/>
                <w:color w:val="auto"/>
              </w:rPr>
            </w:pPr>
            <w:r>
              <w:rPr>
                <w:rFonts w:ascii="Arial" w:cs="Arial" w:eastAsia="Arial" w:hAnsi="Arial"/>
                <w:sz w:val="20"/>
                <w:szCs w:val="20"/>
                <w:color w:val="auto"/>
                <w:w w:val="89"/>
              </w:rPr>
              <w:t>Carolina, Ohio, Pennsylvania, South</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28"/>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2"/>
          </w:tcPr>
          <w:p>
            <w:pPr>
              <w:jc w:val="center"/>
              <w:ind w:right="100"/>
              <w:spacing w:after="0" w:line="229" w:lineRule="exact"/>
              <w:rPr>
                <w:sz w:val="20"/>
                <w:szCs w:val="20"/>
                <w:color w:val="auto"/>
              </w:rPr>
            </w:pPr>
            <w:r>
              <w:rPr>
                <w:rFonts w:ascii="Arial" w:cs="Arial" w:eastAsia="Arial" w:hAnsi="Arial"/>
                <w:sz w:val="20"/>
                <w:szCs w:val="20"/>
                <w:color w:val="auto"/>
                <w:w w:val="90"/>
              </w:rPr>
              <w:t>Carolina, Virginia, Washington and</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49"/>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8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West Virginia</w:t>
            </w: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tcPr>
          <w:p>
            <w:pPr>
              <w:spacing w:after="0"/>
              <w:rPr>
                <w:sz w:val="21"/>
                <w:szCs w:val="21"/>
                <w:color w:val="auto"/>
              </w:rPr>
            </w:pPr>
          </w:p>
        </w:tc>
      </w:tr>
      <w:tr>
        <w:trPr>
          <w:trHeight w:val="435"/>
        </w:trPr>
        <w:tc>
          <w:tcPr>
            <w:tcW w:w="212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Product Lines</w:t>
            </w:r>
          </w:p>
        </w:tc>
        <w:tc>
          <w:tcPr>
            <w:tcW w:w="308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Aggregates</w:t>
            </w:r>
          </w:p>
        </w:tc>
        <w:tc>
          <w:tcPr>
            <w:tcW w:w="2760" w:type="dxa"/>
            <w:vAlign w:val="bottom"/>
            <w:gridSpan w:val="2"/>
          </w:tcPr>
          <w:p>
            <w:pPr>
              <w:jc w:val="center"/>
              <w:ind w:right="120"/>
              <w:spacing w:after="0"/>
              <w:rPr>
                <w:sz w:val="20"/>
                <w:szCs w:val="20"/>
                <w:color w:val="auto"/>
              </w:rPr>
            </w:pPr>
            <w:r>
              <w:rPr>
                <w:rFonts w:ascii="Arial" w:cs="Arial" w:eastAsia="Arial" w:hAnsi="Arial"/>
                <w:sz w:val="20"/>
                <w:szCs w:val="20"/>
                <w:color w:val="auto"/>
                <w:w w:val="85"/>
              </w:rPr>
              <w:t>Aggregates</w:t>
            </w:r>
          </w:p>
        </w:tc>
        <w:tc>
          <w:tcPr>
            <w:tcW w:w="3460" w:type="dxa"/>
            <w:vAlign w:val="bottom"/>
          </w:tcPr>
          <w:p>
            <w:pPr>
              <w:jc w:val="center"/>
              <w:spacing w:after="0"/>
              <w:rPr>
                <w:sz w:val="20"/>
                <w:szCs w:val="20"/>
                <w:color w:val="auto"/>
              </w:rPr>
            </w:pPr>
            <w:r>
              <w:rPr>
                <w:rFonts w:ascii="Arial" w:cs="Arial" w:eastAsia="Arial" w:hAnsi="Arial"/>
                <w:sz w:val="20"/>
                <w:szCs w:val="20"/>
                <w:color w:val="auto"/>
                <w:w w:val="89"/>
              </w:rPr>
              <w:t>Aggregates, Cement, Ready Mixed</w:t>
            </w:r>
          </w:p>
        </w:tc>
      </w:tr>
      <w:tr>
        <w:trPr>
          <w:trHeight w:val="249"/>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tcPr>
          <w:p>
            <w:pPr>
              <w:jc w:val="center"/>
              <w:spacing w:after="0"/>
              <w:rPr>
                <w:sz w:val="20"/>
                <w:szCs w:val="20"/>
                <w:color w:val="auto"/>
              </w:rPr>
            </w:pPr>
            <w:r>
              <w:rPr>
                <w:rFonts w:ascii="Arial" w:cs="Arial" w:eastAsia="Arial" w:hAnsi="Arial"/>
                <w:sz w:val="20"/>
                <w:szCs w:val="20"/>
                <w:color w:val="auto"/>
                <w:w w:val="88"/>
              </w:rPr>
              <w:t>Concrete, Asphalt and Paving</w:t>
            </w:r>
          </w:p>
        </w:tc>
      </w:tr>
      <w:tr>
        <w:trPr>
          <w:trHeight w:val="435"/>
        </w:trPr>
        <w:tc>
          <w:tcPr>
            <w:tcW w:w="2120" w:type="dxa"/>
            <w:vAlign w:val="bottom"/>
            <w:gridSpan w:val="2"/>
          </w:tcPr>
          <w:p>
            <w:pPr>
              <w:jc w:val="center"/>
              <w:ind w:right="120"/>
              <w:spacing w:after="0"/>
              <w:rPr>
                <w:sz w:val="20"/>
                <w:szCs w:val="20"/>
                <w:color w:val="auto"/>
              </w:rPr>
            </w:pPr>
            <w:r>
              <w:rPr>
                <w:rFonts w:ascii="Arial" w:cs="Arial" w:eastAsia="Arial" w:hAnsi="Arial"/>
                <w:sz w:val="20"/>
                <w:szCs w:val="20"/>
                <w:color w:val="auto"/>
                <w:w w:val="87"/>
              </w:rPr>
              <w:t>Plant Types</w:t>
            </w:r>
          </w:p>
        </w:tc>
        <w:tc>
          <w:tcPr>
            <w:tcW w:w="308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Quarries, Mines and Distribution</w:t>
            </w:r>
          </w:p>
        </w:tc>
        <w:tc>
          <w:tcPr>
            <w:tcW w:w="276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Quarries, Mines and Distribution</w:t>
            </w:r>
          </w:p>
        </w:tc>
        <w:tc>
          <w:tcPr>
            <w:tcW w:w="3460" w:type="dxa"/>
            <w:vAlign w:val="bottom"/>
          </w:tcPr>
          <w:p>
            <w:pPr>
              <w:jc w:val="center"/>
              <w:spacing w:after="0"/>
              <w:rPr>
                <w:sz w:val="20"/>
                <w:szCs w:val="20"/>
                <w:color w:val="auto"/>
              </w:rPr>
            </w:pPr>
            <w:r>
              <w:rPr>
                <w:rFonts w:ascii="Arial" w:cs="Arial" w:eastAsia="Arial" w:hAnsi="Arial"/>
                <w:sz w:val="20"/>
                <w:szCs w:val="20"/>
                <w:color w:val="auto"/>
                <w:w w:val="88"/>
              </w:rPr>
              <w:t>Quarries, Mines, Plants and</w:t>
            </w:r>
          </w:p>
        </w:tc>
      </w:tr>
      <w:tr>
        <w:trPr>
          <w:trHeight w:val="249"/>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80" w:type="dxa"/>
            <w:vAlign w:val="bottom"/>
            <w:gridSpan w:val="2"/>
          </w:tcPr>
          <w:p>
            <w:pPr>
              <w:jc w:val="center"/>
              <w:ind w:right="120"/>
              <w:spacing w:after="0"/>
              <w:rPr>
                <w:sz w:val="20"/>
                <w:szCs w:val="20"/>
                <w:color w:val="auto"/>
              </w:rPr>
            </w:pPr>
            <w:r>
              <w:rPr>
                <w:rFonts w:ascii="Arial" w:cs="Arial" w:eastAsia="Arial" w:hAnsi="Arial"/>
                <w:sz w:val="20"/>
                <w:szCs w:val="20"/>
                <w:color w:val="auto"/>
                <w:w w:val="92"/>
              </w:rPr>
              <w:t>Facilities</w:t>
            </w:r>
          </w:p>
        </w:tc>
        <w:tc>
          <w:tcPr>
            <w:tcW w:w="2760" w:type="dxa"/>
            <w:vAlign w:val="bottom"/>
            <w:gridSpan w:val="2"/>
          </w:tcPr>
          <w:p>
            <w:pPr>
              <w:jc w:val="center"/>
              <w:ind w:right="120"/>
              <w:spacing w:after="0"/>
              <w:rPr>
                <w:sz w:val="20"/>
                <w:szCs w:val="20"/>
                <w:color w:val="auto"/>
              </w:rPr>
            </w:pPr>
            <w:r>
              <w:rPr>
                <w:rFonts w:ascii="Arial" w:cs="Arial" w:eastAsia="Arial" w:hAnsi="Arial"/>
                <w:sz w:val="20"/>
                <w:szCs w:val="20"/>
                <w:color w:val="auto"/>
                <w:w w:val="92"/>
              </w:rPr>
              <w:t>Facilities</w:t>
            </w:r>
          </w:p>
        </w:tc>
        <w:tc>
          <w:tcPr>
            <w:tcW w:w="3460" w:type="dxa"/>
            <w:vAlign w:val="bottom"/>
          </w:tcPr>
          <w:p>
            <w:pPr>
              <w:jc w:val="center"/>
              <w:spacing w:after="0"/>
              <w:rPr>
                <w:sz w:val="20"/>
                <w:szCs w:val="20"/>
                <w:color w:val="auto"/>
              </w:rPr>
            </w:pPr>
            <w:r>
              <w:rPr>
                <w:rFonts w:ascii="Arial" w:cs="Arial" w:eastAsia="Arial" w:hAnsi="Arial"/>
                <w:sz w:val="20"/>
                <w:szCs w:val="20"/>
                <w:color w:val="auto"/>
                <w:w w:val="93"/>
              </w:rPr>
              <w:t>Distribution Facilities</w:t>
            </w:r>
          </w:p>
        </w:tc>
      </w:tr>
      <w:tr>
        <w:trPr>
          <w:trHeight w:val="449"/>
        </w:trPr>
        <w:tc>
          <w:tcPr>
            <w:tcW w:w="2120" w:type="dxa"/>
            <w:vAlign w:val="bottom"/>
            <w:gridSpan w:val="2"/>
          </w:tcPr>
          <w:p>
            <w:pPr>
              <w:jc w:val="center"/>
              <w:ind w:right="20"/>
              <w:spacing w:after="0"/>
              <w:rPr>
                <w:sz w:val="20"/>
                <w:szCs w:val="20"/>
                <w:color w:val="auto"/>
              </w:rPr>
            </w:pPr>
            <w:r>
              <w:rPr>
                <w:rFonts w:ascii="Arial" w:cs="Arial" w:eastAsia="Arial" w:hAnsi="Arial"/>
                <w:sz w:val="20"/>
                <w:szCs w:val="20"/>
                <w:color w:val="auto"/>
                <w:w w:val="89"/>
              </w:rPr>
              <w:t>Modes of</w:t>
            </w:r>
          </w:p>
        </w:tc>
        <w:tc>
          <w:tcPr>
            <w:tcW w:w="3080" w:type="dxa"/>
            <w:vAlign w:val="bottom"/>
            <w:gridSpan w:val="2"/>
          </w:tcPr>
          <w:p>
            <w:pPr>
              <w:jc w:val="center"/>
              <w:ind w:right="100"/>
              <w:spacing w:after="0"/>
              <w:rPr>
                <w:sz w:val="20"/>
                <w:szCs w:val="20"/>
                <w:color w:val="auto"/>
              </w:rPr>
            </w:pPr>
            <w:r>
              <w:rPr>
                <w:rFonts w:ascii="Arial" w:cs="Arial" w:eastAsia="Arial" w:hAnsi="Arial"/>
                <w:sz w:val="20"/>
                <w:szCs w:val="20"/>
                <w:color w:val="auto"/>
                <w:w w:val="90"/>
              </w:rPr>
              <w:t>Truck and Railcar</w:t>
            </w:r>
          </w:p>
        </w:tc>
        <w:tc>
          <w:tcPr>
            <w:tcW w:w="276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Truck, Railcar and Ship</w:t>
            </w:r>
          </w:p>
        </w:tc>
        <w:tc>
          <w:tcPr>
            <w:tcW w:w="3460" w:type="dxa"/>
            <w:vAlign w:val="bottom"/>
          </w:tcPr>
          <w:p>
            <w:pPr>
              <w:jc w:val="center"/>
              <w:spacing w:after="0"/>
              <w:rPr>
                <w:sz w:val="20"/>
                <w:szCs w:val="20"/>
                <w:color w:val="auto"/>
              </w:rPr>
            </w:pPr>
            <w:r>
              <w:rPr>
                <w:rFonts w:ascii="Arial" w:cs="Arial" w:eastAsia="Arial" w:hAnsi="Arial"/>
                <w:sz w:val="20"/>
                <w:szCs w:val="20"/>
                <w:color w:val="auto"/>
                <w:w w:val="90"/>
              </w:rPr>
              <w:t>Truck and Railcar</w:t>
            </w:r>
          </w:p>
        </w:tc>
      </w:tr>
      <w:tr>
        <w:trPr>
          <w:trHeight w:val="249"/>
        </w:trPr>
        <w:tc>
          <w:tcPr>
            <w:tcW w:w="2120" w:type="dxa"/>
            <w:vAlign w:val="bottom"/>
            <w:gridSpan w:val="2"/>
          </w:tcPr>
          <w:p>
            <w:pPr>
              <w:jc w:val="center"/>
              <w:ind w:right="20"/>
              <w:spacing w:after="0"/>
              <w:rPr>
                <w:sz w:val="20"/>
                <w:szCs w:val="20"/>
                <w:color w:val="auto"/>
              </w:rPr>
            </w:pPr>
            <w:r>
              <w:rPr>
                <w:rFonts w:ascii="Arial" w:cs="Arial" w:eastAsia="Arial" w:hAnsi="Arial"/>
                <w:sz w:val="20"/>
                <w:szCs w:val="20"/>
                <w:color w:val="auto"/>
                <w:w w:val="88"/>
              </w:rPr>
              <w:t>Transportation</w:t>
            </w:r>
          </w:p>
        </w:tc>
        <w:tc>
          <w:tcPr>
            <w:tcW w:w="2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tcPr>
          <w:p>
            <w:pPr>
              <w:spacing w:after="0"/>
              <w:rPr>
                <w:sz w:val="21"/>
                <w:szCs w:val="21"/>
                <w:color w:val="auto"/>
              </w:rPr>
            </w:pPr>
          </w:p>
        </w:tc>
      </w:tr>
    </w:tbl>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also has a Magnesia Specialties business that produces magnesia-based chemicals products used in industrial, agricultural and environmental applications and dolomitic lime sold primarily to customers in the steel and mining industry.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outlined its critical accounting policies in its Annual Report on Form 10-K for the year ended December 31, 2018. There were no changes to the Company’s critical accounting policies during the three months ended March 31, 2019.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First Quarter Ended March 31, 2019</w:t>
      </w:r>
    </w:p>
    <w:p>
      <w:pPr>
        <w:jc w:val="center"/>
        <w:spacing w:after="0"/>
        <w:rPr>
          <w:sz w:val="20"/>
          <w:szCs w:val="20"/>
          <w:color w:val="auto"/>
        </w:rPr>
      </w:pPr>
      <w:r>
        <w:rPr>
          <w:rFonts w:ascii="Arial" w:cs="Arial" w:eastAsia="Arial" w:hAnsi="Arial"/>
          <w:sz w:val="20"/>
          <w:szCs w:val="20"/>
          <w:color w:val="auto"/>
        </w:rPr>
        <w:t>(Continued)</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Building Materials business is significantly affected by weather patterns and seasonal changes. Production and shipment levels for aggregates, cement, ready mixed concrete and asphalt and paving materials correlate with general construction activity levels, most of which occur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production, shipments and profitability in all markets served by the Company. Due to the potentially significant impact of weather on the Company’s operations, current period and year-to-date results are not indicative of expected performance for other interim periods or the full year.</w:t>
      </w:r>
    </w:p>
    <w:p>
      <w:pPr>
        <w:spacing w:after="0" w:line="74"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Earnings before interest, income taxes, depreciation and amortization (EBITDA) is a widely accepted financial indicator of a company’s ability to service and/or incur indebtedness. EBITDA is not defined by generally accepted accounting principles and, as such, should not be construed as an alternative to net earnings, operating earnings or operating cash flow. However, the Company’s management believes that EBITDA may provide additional information with respect to the Company’s performance or ability to meet its future debt service, capital expenditures or working capital requirements. Because EBITDA excludes some, but not all, items that affect net earnings and may vary among companies, EBITDA as presented by the Company may not be comparable to similarly titled measures of other companies.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net earnings attributable to Martin Marietta Materials, Inc. to consolidated EBITDA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20" w:type="dxa"/>
            <w:vAlign w:val="bottom"/>
            <w:gridSpan w:val="3"/>
          </w:tcPr>
          <w:p>
            <w:pPr>
              <w:jc w:val="center"/>
              <w:ind w:right="342"/>
              <w:spacing w:after="0"/>
              <w:rPr>
                <w:sz w:val="20"/>
                <w:szCs w:val="20"/>
                <w:color w:val="auto"/>
              </w:rPr>
            </w:pPr>
            <w:r>
              <w:rPr>
                <w:rFonts w:ascii="Arial" w:cs="Arial" w:eastAsia="Arial" w:hAnsi="Arial"/>
                <w:sz w:val="20"/>
                <w:szCs w:val="20"/>
                <w:color w:val="auto"/>
                <w:w w:val="88"/>
              </w:rPr>
              <w:t>Three Months Ended</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5"/>
        </w:trPr>
        <w:tc>
          <w:tcPr>
            <w:tcW w:w="728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center"/>
              <w:ind w:right="322"/>
              <w:spacing w:after="0"/>
              <w:rPr>
                <w:sz w:val="20"/>
                <w:szCs w:val="20"/>
                <w:color w:val="auto"/>
              </w:rPr>
            </w:pPr>
            <w:r>
              <w:rPr>
                <w:rFonts w:ascii="Arial" w:cs="Arial" w:eastAsia="Arial" w:hAnsi="Arial"/>
                <w:sz w:val="20"/>
                <w:szCs w:val="20"/>
                <w:color w:val="auto"/>
                <w:w w:val="89"/>
              </w:rPr>
              <w:t>March 31,</w:t>
            </w:r>
          </w:p>
        </w:tc>
        <w:tc>
          <w:tcPr>
            <w:tcW w:w="7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5"/>
        </w:trPr>
        <w:tc>
          <w:tcPr>
            <w:tcW w:w="72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5"/>
        </w:trPr>
        <w:tc>
          <w:tcPr>
            <w:tcW w:w="7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20" w:type="dxa"/>
            <w:vAlign w:val="bottom"/>
            <w:gridSpan w:val="3"/>
          </w:tcPr>
          <w:p>
            <w:pPr>
              <w:jc w:val="center"/>
              <w:ind w:right="322"/>
              <w:spacing w:after="0"/>
              <w:rPr>
                <w:sz w:val="20"/>
                <w:szCs w:val="20"/>
                <w:color w:val="auto"/>
              </w:rPr>
            </w:pPr>
            <w:r>
              <w:rPr>
                <w:rFonts w:ascii="Arial" w:cs="Arial" w:eastAsia="Arial" w:hAnsi="Arial"/>
                <w:sz w:val="20"/>
                <w:szCs w:val="20"/>
                <w:i w:val="1"/>
                <w:iCs w:val="1"/>
                <w:color w:val="auto"/>
                <w:w w:val="92"/>
              </w:rPr>
              <w:t>(Dollars in thousands)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2"/>
        </w:trPr>
        <w:tc>
          <w:tcPr>
            <w:tcW w:w="728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1100" w:type="dxa"/>
            <w:vAlign w:val="bottom"/>
            <w:shd w:val="clear" w:color="auto" w:fill="CFF0FC"/>
          </w:tcPr>
          <w:p>
            <w:pPr>
              <w:jc w:val="right"/>
              <w:ind w:right="902"/>
              <w:spacing w:after="0"/>
              <w:rPr>
                <w:sz w:val="20"/>
                <w:szCs w:val="20"/>
                <w:color w:val="auto"/>
              </w:rPr>
            </w:pPr>
            <w:r>
              <w:rPr>
                <w:rFonts w:ascii="Arial" w:cs="Arial" w:eastAsia="Arial" w:hAnsi="Arial"/>
                <w:sz w:val="20"/>
                <w:szCs w:val="2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42,853</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962"/>
              <w:spacing w:after="0"/>
              <w:rPr>
                <w:sz w:val="20"/>
                <w:szCs w:val="20"/>
                <w:color w:val="auto"/>
              </w:rPr>
            </w:pPr>
            <w:r>
              <w:rPr>
                <w:rFonts w:ascii="Arial" w:cs="Arial" w:eastAsia="Arial" w:hAnsi="Arial"/>
                <w:sz w:val="20"/>
                <w:szCs w:val="2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10,023</w:t>
            </w:r>
          </w:p>
        </w:tc>
        <w:tc>
          <w:tcPr>
            <w:tcW w:w="120" w:type="dxa"/>
            <w:vAlign w:val="bottom"/>
            <w:shd w:val="clear" w:color="auto" w:fill="CFF0FC"/>
          </w:tcPr>
          <w:p>
            <w:pPr>
              <w:spacing w:after="0"/>
              <w:rPr>
                <w:sz w:val="21"/>
                <w:szCs w:val="21"/>
                <w:color w:val="auto"/>
              </w:rPr>
            </w:pPr>
          </w:p>
        </w:tc>
      </w:tr>
      <w:tr>
        <w:trPr>
          <w:trHeight w:val="242"/>
        </w:trPr>
        <w:tc>
          <w:tcPr>
            <w:tcW w:w="7280" w:type="dxa"/>
            <w:vAlign w:val="bottom"/>
          </w:tcPr>
          <w:p>
            <w:pPr>
              <w:spacing w:after="0"/>
              <w:rPr>
                <w:sz w:val="20"/>
                <w:szCs w:val="20"/>
                <w:color w:val="auto"/>
              </w:rPr>
            </w:pPr>
            <w:r>
              <w:rPr>
                <w:rFonts w:ascii="Arial" w:cs="Arial" w:eastAsia="Arial" w:hAnsi="Arial"/>
                <w:sz w:val="20"/>
                <w:szCs w:val="20"/>
                <w:color w:val="auto"/>
              </w:rPr>
              <w:t>Add back:</w:t>
            </w: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2"/>
        </w:trPr>
        <w:tc>
          <w:tcPr>
            <w:tcW w:w="72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w:t>
            </w:r>
          </w:p>
        </w:tc>
        <w:tc>
          <w:tcPr>
            <w:tcW w:w="1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32,846</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35,087</w:t>
            </w:r>
          </w:p>
        </w:tc>
        <w:tc>
          <w:tcPr>
            <w:tcW w:w="120" w:type="dxa"/>
            <w:vAlign w:val="bottom"/>
            <w:shd w:val="clear" w:color="auto" w:fill="CFF0FC"/>
          </w:tcPr>
          <w:p>
            <w:pPr>
              <w:spacing w:after="0"/>
              <w:rPr>
                <w:sz w:val="21"/>
                <w:szCs w:val="21"/>
                <w:color w:val="auto"/>
              </w:rPr>
            </w:pPr>
          </w:p>
        </w:tc>
      </w:tr>
      <w:tr>
        <w:trPr>
          <w:trHeight w:val="242"/>
        </w:trPr>
        <w:tc>
          <w:tcPr>
            <w:tcW w:w="7280" w:type="dxa"/>
            <w:vAlign w:val="bottom"/>
          </w:tcPr>
          <w:p>
            <w:pPr>
              <w:ind w:left="260"/>
              <w:spacing w:after="0"/>
              <w:rPr>
                <w:sz w:val="20"/>
                <w:szCs w:val="20"/>
                <w:color w:val="auto"/>
              </w:rPr>
            </w:pPr>
            <w:r>
              <w:rPr>
                <w:rFonts w:ascii="Arial" w:cs="Arial" w:eastAsia="Arial" w:hAnsi="Arial"/>
                <w:sz w:val="20"/>
                <w:szCs w:val="20"/>
                <w:color w:val="auto"/>
              </w:rPr>
              <w:t>Income tax (benefit) expense for controlling interests</w:t>
            </w:r>
          </w:p>
        </w:tc>
        <w:tc>
          <w:tcPr>
            <w:tcW w:w="110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20"/>
                <w:szCs w:val="20"/>
                <w:color w:val="auto"/>
              </w:rPr>
              <w:t>(5,001)</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2,438</w:t>
            </w:r>
          </w:p>
        </w:tc>
        <w:tc>
          <w:tcPr>
            <w:tcW w:w="120" w:type="dxa"/>
            <w:vAlign w:val="bottom"/>
          </w:tcPr>
          <w:p>
            <w:pPr>
              <w:spacing w:after="0"/>
              <w:rPr>
                <w:sz w:val="21"/>
                <w:szCs w:val="21"/>
                <w:color w:val="auto"/>
              </w:rPr>
            </w:pPr>
          </w:p>
        </w:tc>
      </w:tr>
      <w:tr>
        <w:trPr>
          <w:trHeight w:val="242"/>
        </w:trPr>
        <w:tc>
          <w:tcPr>
            <w:tcW w:w="72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11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88,187</w:t>
            </w:r>
          </w:p>
        </w:tc>
        <w:tc>
          <w:tcPr>
            <w:tcW w:w="320" w:type="dxa"/>
            <w:vAlign w:val="bottom"/>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75,714</w:t>
            </w:r>
          </w:p>
        </w:tc>
        <w:tc>
          <w:tcPr>
            <w:tcW w:w="120" w:type="dxa"/>
            <w:vAlign w:val="bottom"/>
            <w:shd w:val="clear" w:color="auto" w:fill="CFF0FC"/>
          </w:tcPr>
          <w:p>
            <w:pPr>
              <w:spacing w:after="0"/>
              <w:rPr>
                <w:sz w:val="21"/>
                <w:szCs w:val="21"/>
                <w:color w:val="auto"/>
              </w:rPr>
            </w:pPr>
          </w:p>
        </w:tc>
      </w:tr>
      <w:tr>
        <w:trPr>
          <w:trHeight w:val="235"/>
        </w:trPr>
        <w:tc>
          <w:tcPr>
            <w:tcW w:w="7280" w:type="dxa"/>
            <w:vAlign w:val="bottom"/>
          </w:tcPr>
          <w:p>
            <w:pPr>
              <w:spacing w:after="0"/>
              <w:rPr>
                <w:sz w:val="20"/>
                <w:szCs w:val="20"/>
                <w:color w:val="auto"/>
              </w:rPr>
            </w:pPr>
            <w:r>
              <w:rPr>
                <w:rFonts w:ascii="Arial" w:cs="Arial" w:eastAsia="Arial" w:hAnsi="Arial"/>
                <w:sz w:val="20"/>
                <w:szCs w:val="20"/>
                <w:color w:val="auto"/>
              </w:rPr>
              <w:t>Consolidated EBITDA</w:t>
            </w:r>
          </w:p>
        </w:tc>
        <w:tc>
          <w:tcPr>
            <w:tcW w:w="1100" w:type="dxa"/>
            <w:vAlign w:val="bottom"/>
            <w:tcBorders>
              <w:bottom w:val="single" w:sz="8" w:color="auto"/>
            </w:tcBorders>
          </w:tcPr>
          <w:p>
            <w:pPr>
              <w:jc w:val="right"/>
              <w:ind w:right="902"/>
              <w:spacing w:after="0"/>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158,885</w:t>
            </w:r>
          </w:p>
        </w:tc>
        <w:tc>
          <w:tcPr>
            <w:tcW w:w="320" w:type="dxa"/>
            <w:vAlign w:val="bottom"/>
          </w:tcPr>
          <w:p>
            <w:pPr>
              <w:spacing w:after="0"/>
              <w:rPr>
                <w:sz w:val="20"/>
                <w:szCs w:val="20"/>
                <w:color w:val="auto"/>
              </w:rPr>
            </w:pPr>
          </w:p>
        </w:tc>
        <w:tc>
          <w:tcPr>
            <w:tcW w:w="1160" w:type="dxa"/>
            <w:vAlign w:val="bottom"/>
            <w:tcBorders>
              <w:bottom w:val="single" w:sz="8" w:color="auto"/>
            </w:tcBorders>
          </w:tcPr>
          <w:p>
            <w:pPr>
              <w:jc w:val="right"/>
              <w:ind w:right="962"/>
              <w:spacing w:after="0"/>
              <w:rPr>
                <w:sz w:val="20"/>
                <w:szCs w:val="20"/>
                <w:color w:val="auto"/>
              </w:rPr>
            </w:pPr>
            <w:r>
              <w:rPr>
                <w:rFonts w:ascii="Arial" w:cs="Arial" w:eastAsia="Arial" w:hAnsi="Arial"/>
                <w:sz w:val="20"/>
                <w:szCs w:val="2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1"/>
              </w:rPr>
              <w:t>123,262</w:t>
            </w:r>
          </w:p>
        </w:tc>
        <w:tc>
          <w:tcPr>
            <w:tcW w:w="120" w:type="dxa"/>
            <w:vAlign w:val="bottom"/>
          </w:tcPr>
          <w:p>
            <w:pPr>
              <w:spacing w:after="0"/>
              <w:rPr>
                <w:sz w:val="20"/>
                <w:szCs w:val="20"/>
                <w:color w:val="auto"/>
              </w:rPr>
            </w:pPr>
          </w:p>
        </w:tc>
      </w:tr>
      <w:tr>
        <w:trPr>
          <w:trHeight w:val="20"/>
        </w:trPr>
        <w:tc>
          <w:tcPr>
            <w:tcW w:w="7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Significant items for the quarter ended March 31, 2019 (unless noted, all comparisons are versus the prior-year quarter):</w:t>
      </w:r>
    </w:p>
    <w:p>
      <w:pPr>
        <w:spacing w:after="0" w:line="106" w:lineRule="exact"/>
        <w:rPr>
          <w:sz w:val="20"/>
          <w:szCs w:val="20"/>
          <w:color w:val="auto"/>
        </w:rPr>
      </w:pPr>
    </w:p>
    <w:p>
      <w:pPr>
        <w:ind w:left="760" w:hanging="377"/>
        <w:spacing w:after="0"/>
        <w:tabs>
          <w:tab w:leader="none" w:pos="76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Consolidated total revenues of $939.0 million compared with $802.0 million, an increase of 17%</w:t>
      </w:r>
    </w:p>
    <w:p>
      <w:pPr>
        <w:spacing w:after="0" w:line="14" w:lineRule="exact"/>
        <w:rPr>
          <w:rFonts w:ascii="Arial" w:cs="Arial" w:eastAsia="Arial" w:hAnsi="Arial"/>
          <w:sz w:val="20"/>
          <w:szCs w:val="20"/>
          <w:color w:val="007DC6"/>
        </w:rPr>
      </w:pPr>
    </w:p>
    <w:p>
      <w:pPr>
        <w:ind w:left="760" w:hanging="377"/>
        <w:spacing w:after="0" w:line="238" w:lineRule="auto"/>
        <w:tabs>
          <w:tab w:leader="none" w:pos="76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$809.1 million compared with $688.4 million and Magnesia Specialties products revenue of $69.2 million compared with $64.9 million</w:t>
      </w:r>
    </w:p>
    <w:p>
      <w:pPr>
        <w:ind w:left="760" w:hanging="377"/>
        <w:spacing w:after="0" w:line="238" w:lineRule="auto"/>
        <w:tabs>
          <w:tab w:leader="none" w:pos="76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Consolidated gross profit of $142.9 million compared with $110.4 million, an increase of 30%</w:t>
      </w:r>
    </w:p>
    <w:p>
      <w:pPr>
        <w:ind w:left="760" w:hanging="377"/>
        <w:spacing w:after="0" w:line="238" w:lineRule="auto"/>
        <w:tabs>
          <w:tab w:leader="none" w:pos="76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Consolidated earnings from operations of $69.2 million compared with $39.1 million, an increase of 77%</w:t>
      </w:r>
    </w:p>
    <w:p>
      <w:pPr>
        <w:ind w:left="760" w:hanging="377"/>
        <w:spacing w:after="0" w:line="238" w:lineRule="auto"/>
        <w:tabs>
          <w:tab w:leader="none" w:pos="76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$42.9 million compared with $10.0 million</w:t>
      </w:r>
    </w:p>
    <w:p>
      <w:pPr>
        <w:ind w:left="760" w:hanging="377"/>
        <w:spacing w:after="0" w:line="238" w:lineRule="auto"/>
        <w:tabs>
          <w:tab w:leader="none" w:pos="76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EBITDA of $158.9 million compared with $123.3 million, an increase of 29%</w:t>
      </w:r>
    </w:p>
    <w:p>
      <w:pPr>
        <w:ind w:left="760" w:hanging="377"/>
        <w:spacing w:after="0"/>
        <w:tabs>
          <w:tab w:leader="none" w:pos="76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Earnings per diluted share of $0.68 compared with $0.16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First Quarter Ended March 31, 2019</w:t>
      </w: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The following table presents total revenues, gross profit (loss), selling, general and administrative (SG&amp;A) expenses and earnings (loss) from operations data for the Company and its reportable segments by product line for the three months ended March 31, 2019 and 2018. In each case, the data is stated as a percentage of revenues of the Company or the relevant segment or product line, as the case may be.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20"/>
                <w:szCs w:val="20"/>
                <w:color w:val="auto"/>
                <w:w w:val="94"/>
              </w:rPr>
              <w:t>Three Months Ended March 31,</w:t>
            </w: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5"/>
        </w:trPr>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2019</w:t>
            </w:r>
          </w:p>
        </w:tc>
        <w:tc>
          <w:tcPr>
            <w:tcW w:w="1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2018</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w w:val="88"/>
              </w:rPr>
              <w:t>% of Revenues</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w w:val="88"/>
              </w:rPr>
              <w:t>% of Revenues</w:t>
            </w:r>
          </w:p>
        </w:tc>
        <w:tc>
          <w:tcPr>
            <w:tcW w:w="100" w:type="dxa"/>
            <w:vAlign w:val="bottom"/>
          </w:tcPr>
          <w:p>
            <w:pPr>
              <w:spacing w:after="0"/>
              <w:rPr>
                <w:sz w:val="20"/>
                <w:szCs w:val="20"/>
                <w:color w:val="auto"/>
              </w:rPr>
            </w:pPr>
          </w:p>
        </w:tc>
      </w:tr>
      <w:tr>
        <w:trPr>
          <w:trHeight w:val="235"/>
        </w:trPr>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gridSpan w:val="5"/>
          </w:tcPr>
          <w:p>
            <w:pPr>
              <w:jc w:val="right"/>
              <w:ind w:right="940"/>
              <w:spacing w:after="0"/>
              <w:rPr>
                <w:sz w:val="20"/>
                <w:szCs w:val="20"/>
                <w:color w:val="auto"/>
              </w:rPr>
            </w:pPr>
            <w:r>
              <w:rPr>
                <w:rFonts w:ascii="Arial" w:cs="Arial" w:eastAsia="Arial" w:hAnsi="Arial"/>
                <w:sz w:val="20"/>
                <w:szCs w:val="20"/>
                <w:i w:val="1"/>
                <w:iCs w:val="1"/>
                <w:color w:val="auto"/>
              </w:rPr>
              <w:t>(Dollars 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49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 revenues: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49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4980" w:type="dxa"/>
            <w:vAlign w:val="bottom"/>
          </w:tcPr>
          <w:p>
            <w:pPr>
              <w:ind w:left="380"/>
              <w:spacing w:after="0"/>
              <w:rPr>
                <w:sz w:val="20"/>
                <w:szCs w:val="20"/>
                <w:color w:val="auto"/>
              </w:rPr>
            </w:pPr>
            <w:r>
              <w:rPr>
                <w:rFonts w:ascii="Arial" w:cs="Arial" w:eastAsia="Arial" w:hAnsi="Arial"/>
                <w:sz w:val="20"/>
                <w:szCs w:val="20"/>
                <w:color w:val="auto"/>
              </w:rPr>
              <w:t>Mid-America Group</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49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230,308</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480" w:type="dxa"/>
            <w:vAlign w:val="bottom"/>
            <w:gridSpan w:val="2"/>
            <w:shd w:val="clear" w:color="auto" w:fill="CFF0FC"/>
          </w:tcPr>
          <w:p>
            <w:pPr>
              <w:jc w:val="right"/>
              <w:ind w:right="22"/>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167,890</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4980" w:type="dxa"/>
            <w:vAlign w:val="bottom"/>
          </w:tcPr>
          <w:p>
            <w:pPr>
              <w:ind w:left="38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49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115,312</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77,563</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4980" w:type="dxa"/>
            <w:vAlign w:val="bottom"/>
          </w:tcPr>
          <w:p>
            <w:pPr>
              <w:ind w:left="380"/>
              <w:spacing w:after="0"/>
              <w:rPr>
                <w:sz w:val="20"/>
                <w:szCs w:val="20"/>
                <w:color w:val="auto"/>
              </w:rPr>
            </w:pPr>
            <w:r>
              <w:rPr>
                <w:rFonts w:ascii="Arial" w:cs="Arial" w:eastAsia="Arial" w:hAnsi="Arial"/>
                <w:sz w:val="20"/>
                <w:szCs w:val="20"/>
                <w:color w:val="auto"/>
              </w:rPr>
              <w:t>West Group</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49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195,853</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179,563</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4980" w:type="dxa"/>
            <w:vAlign w:val="bottom"/>
          </w:tcPr>
          <w:p>
            <w:pPr>
              <w:ind w:left="620"/>
              <w:spacing w:after="0"/>
              <w:rPr>
                <w:sz w:val="20"/>
                <w:szCs w:val="20"/>
                <w:color w:val="auto"/>
              </w:rPr>
            </w:pPr>
            <w:r>
              <w:rPr>
                <w:rFonts w:ascii="Arial" w:cs="Arial" w:eastAsia="Arial" w:hAnsi="Arial"/>
                <w:sz w:val="20"/>
                <w:szCs w:val="20"/>
                <w:color w:val="auto"/>
              </w:rPr>
              <w:t>Cement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99,017</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89,183</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2"/>
        </w:trPr>
        <w:tc>
          <w:tcPr>
            <w:tcW w:w="49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Ready mixed concrete</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211,156</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218,537</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2"/>
        </w:trPr>
        <w:tc>
          <w:tcPr>
            <w:tcW w:w="4980" w:type="dxa"/>
            <w:vAlign w:val="bottom"/>
          </w:tcPr>
          <w:p>
            <w:pPr>
              <w:ind w:left="620"/>
              <w:spacing w:after="0"/>
              <w:rPr>
                <w:sz w:val="20"/>
                <w:szCs w:val="20"/>
                <w:color w:val="auto"/>
              </w:rPr>
            </w:pPr>
            <w:r>
              <w:rPr>
                <w:rFonts w:ascii="Arial" w:cs="Arial" w:eastAsia="Arial" w:hAnsi="Arial"/>
                <w:sz w:val="20"/>
                <w:szCs w:val="20"/>
                <w:color w:val="auto"/>
              </w:rPr>
              <w:t>Asphalt and paving</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15,846</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16,365</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2"/>
        </w:trPr>
        <w:tc>
          <w:tcPr>
            <w:tcW w:w="4980" w:type="dxa"/>
            <w:vAlign w:val="bottom"/>
            <w:shd w:val="clear" w:color="auto" w:fill="CFF0FC"/>
          </w:tcPr>
          <w:p>
            <w:pPr>
              <w:ind w:left="380"/>
              <w:spacing w:after="0"/>
              <w:rPr>
                <w:sz w:val="20"/>
                <w:szCs w:val="20"/>
                <w:color w:val="auto"/>
              </w:rPr>
            </w:pPr>
            <w:r>
              <w:rPr>
                <w:rFonts w:ascii="Arial" w:cs="Arial" w:eastAsia="Arial" w:hAnsi="Arial"/>
                <w:sz w:val="20"/>
                <w:szCs w:val="20"/>
                <w:color w:val="auto"/>
              </w:rPr>
              <w:t>Less: Interproduct revenues</w:t>
            </w: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(58,361)</w:t>
            </w: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(60,665)</w:t>
            </w: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498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809,131</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688,436</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r>
      <w:tr>
        <w:trPr>
          <w:trHeight w:val="242"/>
        </w:trPr>
        <w:tc>
          <w:tcPr>
            <w:tcW w:w="49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55,750</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44,306</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49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864,881</w:t>
            </w:r>
          </w:p>
        </w:tc>
        <w:tc>
          <w:tcPr>
            <w:tcW w:w="36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732,742</w:t>
            </w: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tcPr>
          <w:p>
            <w:pPr>
              <w:spacing w:after="0"/>
              <w:rPr>
                <w:sz w:val="20"/>
                <w:szCs w:val="20"/>
                <w:color w:val="auto"/>
              </w:rPr>
            </w:pPr>
          </w:p>
        </w:tc>
      </w:tr>
      <w:tr>
        <w:trPr>
          <w:trHeight w:val="235"/>
        </w:trPr>
        <w:tc>
          <w:tcPr>
            <w:tcW w:w="498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 Business: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2"/>
        </w:trPr>
        <w:tc>
          <w:tcPr>
            <w:tcW w:w="4980" w:type="dxa"/>
            <w:vAlign w:val="bottom"/>
          </w:tcPr>
          <w:p>
            <w:pPr>
              <w:ind w:left="140"/>
              <w:spacing w:after="0"/>
              <w:rPr>
                <w:sz w:val="20"/>
                <w:szCs w:val="20"/>
                <w:color w:val="auto"/>
              </w:rPr>
            </w:pPr>
            <w:r>
              <w:rPr>
                <w:rFonts w:ascii="Arial" w:cs="Arial" w:eastAsia="Arial" w:hAnsi="Arial"/>
                <w:sz w:val="20"/>
                <w:szCs w:val="20"/>
                <w:color w:val="auto"/>
              </w:rPr>
              <w:t>Products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69,174</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64,869</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2"/>
        </w:trPr>
        <w:tc>
          <w:tcPr>
            <w:tcW w:w="49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4,900</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4,393</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49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Magnesia Specialties Business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74,074</w:t>
            </w:r>
          </w:p>
        </w:tc>
        <w:tc>
          <w:tcPr>
            <w:tcW w:w="36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69,262</w:t>
            </w: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tcPr>
          <w:p>
            <w:pPr>
              <w:spacing w:after="0"/>
              <w:rPr>
                <w:sz w:val="20"/>
                <w:szCs w:val="20"/>
                <w:color w:val="auto"/>
              </w:rPr>
            </w:pPr>
          </w:p>
        </w:tc>
      </w:tr>
      <w:tr>
        <w:trPr>
          <w:trHeight w:val="235"/>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938,955</w:t>
            </w:r>
          </w:p>
        </w:tc>
        <w:tc>
          <w:tcPr>
            <w:tcW w:w="36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802,004</w:t>
            </w:r>
          </w:p>
        </w:tc>
        <w:tc>
          <w:tcPr>
            <w:tcW w:w="3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28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First Quarter Ended March 31, 2019</w:t>
      </w:r>
    </w:p>
    <w:p>
      <w:pPr>
        <w:jc w:val="center"/>
        <w:spacing w:after="0"/>
        <w:rPr>
          <w:sz w:val="20"/>
          <w:szCs w:val="20"/>
          <w:color w:val="auto"/>
        </w:rPr>
      </w:pPr>
      <w:r>
        <w:rPr>
          <w:rFonts w:ascii="Arial" w:cs="Arial" w:eastAsia="Arial" w:hAnsi="Arial"/>
          <w:sz w:val="20"/>
          <w:szCs w:val="20"/>
          <w:color w:val="auto"/>
        </w:rPr>
        <w:t>(Continued)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20"/>
                <w:szCs w:val="20"/>
                <w:color w:val="auto"/>
                <w:w w:val="94"/>
              </w:rPr>
              <w:t>Three Months Ended March 31,</w:t>
            </w: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2019</w:t>
            </w:r>
          </w:p>
        </w:tc>
        <w:tc>
          <w:tcPr>
            <w:tcW w:w="1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2018</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w w:val="88"/>
              </w:rPr>
              <w:t>% of Revenues</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w w:val="88"/>
              </w:rPr>
              <w:t>% of Revenues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vMerge w:val="restart"/>
          </w:tcPr>
          <w:p>
            <w:pPr>
              <w:spacing w:after="0"/>
              <w:rPr>
                <w:sz w:val="20"/>
                <w:szCs w:val="20"/>
                <w:color w:val="auto"/>
              </w:rPr>
            </w:pPr>
            <w:r>
              <w:rPr>
                <w:rFonts w:ascii="Arial" w:cs="Arial" w:eastAsia="Arial" w:hAnsi="Arial"/>
                <w:sz w:val="20"/>
                <w:szCs w:val="20"/>
                <w:b w:val="1"/>
                <w:bCs w:val="1"/>
                <w:color w:val="auto"/>
              </w:rPr>
              <w:t>Gross profit (loss):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80" w:type="dxa"/>
            <w:vAlign w:val="bottom"/>
            <w:gridSpan w:val="6"/>
          </w:tcPr>
          <w:p>
            <w:pPr>
              <w:jc w:val="right"/>
              <w:ind w:right="940"/>
              <w:spacing w:after="0"/>
              <w:rPr>
                <w:sz w:val="20"/>
                <w:szCs w:val="20"/>
                <w:color w:val="auto"/>
              </w:rPr>
            </w:pPr>
            <w:r>
              <w:rPr>
                <w:rFonts w:ascii="Arial" w:cs="Arial" w:eastAsia="Arial" w:hAnsi="Arial"/>
                <w:sz w:val="20"/>
                <w:szCs w:val="20"/>
                <w:i w:val="1"/>
                <w:iCs w:val="1"/>
                <w:color w:val="auto"/>
              </w:rPr>
              <w:t>(Dollars in Thousands)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98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shd w:val="clear" w:color="auto" w:fill="CFF0FC"/>
          </w:tcPr>
          <w:p>
            <w:pPr>
              <w:ind w:left="380"/>
              <w:spacing w:after="0"/>
              <w:rPr>
                <w:sz w:val="20"/>
                <w:szCs w:val="20"/>
                <w:color w:val="auto"/>
              </w:rPr>
            </w:pPr>
            <w:r>
              <w:rPr>
                <w:rFonts w:ascii="Arial" w:cs="Arial" w:eastAsia="Arial" w:hAnsi="Arial"/>
                <w:sz w:val="20"/>
                <w:szCs w:val="20"/>
                <w:color w:val="auto"/>
              </w:rPr>
              <w:t>Mid-America Group</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ind w:left="620"/>
              <w:spacing w:after="0"/>
              <w:rPr>
                <w:sz w:val="20"/>
                <w:szCs w:val="20"/>
                <w:color w:val="auto"/>
              </w:rPr>
            </w:pPr>
            <w:r>
              <w:rPr>
                <w:rFonts w:ascii="Arial" w:cs="Arial" w:eastAsia="Arial" w:hAnsi="Arial"/>
                <w:sz w:val="20"/>
                <w:szCs w:val="20"/>
                <w:color w:val="auto"/>
              </w:rPr>
              <w:t>Aggregates</w:t>
            </w:r>
          </w:p>
        </w:tc>
        <w:tc>
          <w:tcPr>
            <w:tcW w:w="240" w:type="dxa"/>
            <w:vAlign w:val="bottom"/>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45,254</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19.6</w:t>
            </w:r>
          </w:p>
        </w:tc>
        <w:tc>
          <w:tcPr>
            <w:tcW w:w="160" w:type="dxa"/>
            <w:vAlign w:val="bottom"/>
          </w:tcPr>
          <w:p>
            <w:pPr>
              <w:spacing w:after="0"/>
              <w:rPr>
                <w:sz w:val="21"/>
                <w:szCs w:val="21"/>
                <w:color w:val="auto"/>
              </w:rPr>
            </w:pP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18,379</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shd w:val="clear" w:color="auto" w:fill="CFF0FC"/>
          </w:tcPr>
          <w:p>
            <w:pPr>
              <w:ind w:left="380"/>
              <w:spacing w:after="0"/>
              <w:rPr>
                <w:sz w:val="20"/>
                <w:szCs w:val="20"/>
                <w:color w:val="auto"/>
              </w:rPr>
            </w:pPr>
            <w:r>
              <w:rPr>
                <w:rFonts w:ascii="Arial" w:cs="Arial" w:eastAsia="Arial" w:hAnsi="Arial"/>
                <w:sz w:val="20"/>
                <w:szCs w:val="20"/>
                <w:color w:val="auto"/>
              </w:rPr>
              <w:t>Southeast Group</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ind w:left="620"/>
              <w:spacing w:after="0"/>
              <w:rPr>
                <w:sz w:val="20"/>
                <w:szCs w:val="20"/>
                <w:color w:val="auto"/>
              </w:rPr>
            </w:pPr>
            <w:r>
              <w:rPr>
                <w:rFonts w:ascii="Arial" w:cs="Arial" w:eastAsia="Arial" w:hAnsi="Arial"/>
                <w:sz w:val="20"/>
                <w:szCs w:val="20"/>
                <w:color w:val="auto"/>
              </w:rPr>
              <w:t>Aggregates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26,562</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23.0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6,573</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shd w:val="clear" w:color="auto" w:fill="CFF0FC"/>
          </w:tcPr>
          <w:p>
            <w:pPr>
              <w:ind w:left="380"/>
              <w:spacing w:after="0"/>
              <w:rPr>
                <w:sz w:val="20"/>
                <w:szCs w:val="20"/>
                <w:color w:val="auto"/>
              </w:rPr>
            </w:pPr>
            <w:r>
              <w:rPr>
                <w:rFonts w:ascii="Arial" w:cs="Arial" w:eastAsia="Arial" w:hAnsi="Arial"/>
                <w:sz w:val="20"/>
                <w:szCs w:val="20"/>
                <w:color w:val="auto"/>
              </w:rPr>
              <w:t>West Group</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ind w:left="620"/>
              <w:spacing w:after="0"/>
              <w:rPr>
                <w:sz w:val="20"/>
                <w:szCs w:val="20"/>
                <w:color w:val="auto"/>
              </w:rPr>
            </w:pPr>
            <w:r>
              <w:rPr>
                <w:rFonts w:ascii="Arial" w:cs="Arial" w:eastAsia="Arial" w:hAnsi="Arial"/>
                <w:sz w:val="20"/>
                <w:szCs w:val="20"/>
                <w:color w:val="auto"/>
              </w:rPr>
              <w:t>Aggregates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25,746</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13.1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28,050</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Cement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13,779</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13.9</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23,734</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ind w:left="620"/>
              <w:spacing w:after="0"/>
              <w:rPr>
                <w:sz w:val="20"/>
                <w:szCs w:val="20"/>
                <w:color w:val="auto"/>
              </w:rPr>
            </w:pPr>
            <w:r>
              <w:rPr>
                <w:rFonts w:ascii="Arial" w:cs="Arial" w:eastAsia="Arial" w:hAnsi="Arial"/>
                <w:sz w:val="20"/>
                <w:szCs w:val="20"/>
                <w:color w:val="auto"/>
              </w:rPr>
              <w:t>Ready mixed concrete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14,492</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6.9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15,641</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Asphalt and paving</w:t>
            </w: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(7,829)</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(49.4)</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(7,639)</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(46.7)</w:t>
            </w:r>
          </w:p>
        </w:tc>
        <w:tc>
          <w:tcPr>
            <w:tcW w:w="0" w:type="dxa"/>
            <w:vAlign w:val="bottom"/>
          </w:tcPr>
          <w:p>
            <w:pPr>
              <w:spacing w:after="0"/>
              <w:rPr>
                <w:sz w:val="1"/>
                <w:szCs w:val="1"/>
                <w:color w:val="auto"/>
              </w:rPr>
            </w:pPr>
          </w:p>
        </w:tc>
      </w:tr>
      <w:tr>
        <w:trPr>
          <w:trHeight w:val="235"/>
        </w:trPr>
        <w:tc>
          <w:tcPr>
            <w:tcW w:w="498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118,004</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14.6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84,738</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9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(165)</w:t>
            </w: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(119)</w:t>
            </w: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9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117,839</w:t>
            </w:r>
          </w:p>
        </w:tc>
        <w:tc>
          <w:tcPr>
            <w:tcW w:w="36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13.6</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84,619</w:t>
            </w: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11.5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98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 Business: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980" w:type="dxa"/>
            <w:vAlign w:val="bottom"/>
          </w:tcPr>
          <w:p>
            <w:pPr>
              <w:ind w:left="140"/>
              <w:spacing w:after="0"/>
              <w:rPr>
                <w:sz w:val="20"/>
                <w:szCs w:val="20"/>
                <w:color w:val="auto"/>
              </w:rPr>
            </w:pPr>
            <w:r>
              <w:rPr>
                <w:rFonts w:ascii="Arial" w:cs="Arial" w:eastAsia="Arial" w:hAnsi="Arial"/>
                <w:sz w:val="20"/>
                <w:szCs w:val="20"/>
                <w:color w:val="auto"/>
              </w:rPr>
              <w:t>Products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26,607</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38.5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25,063</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(1,065)</w:t>
            </w: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(1,174)</w:t>
            </w: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9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Magnesia Specialties Business</w:t>
            </w: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25,542</w:t>
            </w:r>
          </w:p>
        </w:tc>
        <w:tc>
          <w:tcPr>
            <w:tcW w:w="36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34.5</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23,889</w:t>
            </w: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34.5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98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(474)</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1,884</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9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142,907</w:t>
            </w:r>
          </w:p>
        </w:tc>
        <w:tc>
          <w:tcPr>
            <w:tcW w:w="360" w:type="dxa"/>
            <w:vAlign w:val="bottom"/>
            <w:tcBorders>
              <w:bottom w:val="single" w:sz="8" w:color="CFF0FC"/>
            </w:tcBorders>
          </w:tcPr>
          <w:p>
            <w:pPr>
              <w:spacing w:after="0"/>
              <w:rPr>
                <w:sz w:val="23"/>
                <w:szCs w:val="23"/>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15.2</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110,392</w:t>
            </w:r>
          </w:p>
        </w:tc>
        <w:tc>
          <w:tcPr>
            <w:tcW w:w="320" w:type="dxa"/>
            <w:vAlign w:val="bottom"/>
            <w:tcBorders>
              <w:bottom w:val="single" w:sz="8" w:color="CFF0FC"/>
            </w:tcBorders>
          </w:tcPr>
          <w:p>
            <w:pPr>
              <w:spacing w:after="0"/>
              <w:rPr>
                <w:sz w:val="23"/>
                <w:szCs w:val="23"/>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13.8</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First Quarter Ended March 31, 2019</w:t>
      </w:r>
    </w:p>
    <w:p>
      <w:pPr>
        <w:jc w:val="center"/>
        <w:spacing w:after="0"/>
        <w:rPr>
          <w:sz w:val="20"/>
          <w:szCs w:val="20"/>
          <w:color w:val="auto"/>
        </w:rPr>
      </w:pPr>
      <w:r>
        <w:rPr>
          <w:rFonts w:ascii="Arial" w:cs="Arial" w:eastAsia="Arial" w:hAnsi="Arial"/>
          <w:sz w:val="20"/>
          <w:szCs w:val="20"/>
          <w:color w:val="auto"/>
        </w:rPr>
        <w:t>(Continued)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20"/>
                <w:szCs w:val="20"/>
                <w:color w:val="auto"/>
                <w:w w:val="91"/>
              </w:rPr>
              <w:t>Three Months Ended March 31,</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2019</w:t>
            </w: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2018</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center"/>
              <w:ind w:left="42"/>
              <w:spacing w:after="0" w:line="218" w:lineRule="exact"/>
              <w:rPr>
                <w:sz w:val="20"/>
                <w:szCs w:val="20"/>
                <w:color w:val="auto"/>
              </w:rPr>
            </w:pPr>
            <w:r>
              <w:rPr>
                <w:rFonts w:ascii="Arial" w:cs="Arial" w:eastAsia="Arial" w:hAnsi="Arial"/>
                <w:sz w:val="20"/>
                <w:szCs w:val="20"/>
                <w:color w:val="auto"/>
                <w:w w:val="94"/>
              </w:rPr>
              <w:t>% of</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center"/>
              <w:ind w:right="122"/>
              <w:spacing w:after="0" w:line="218" w:lineRule="exact"/>
              <w:rPr>
                <w:sz w:val="20"/>
                <w:szCs w:val="20"/>
                <w:color w:val="auto"/>
              </w:rPr>
            </w:pPr>
            <w:r>
              <w:rPr>
                <w:rFonts w:ascii="Arial" w:cs="Arial" w:eastAsia="Arial" w:hAnsi="Arial"/>
                <w:sz w:val="20"/>
                <w:szCs w:val="20"/>
                <w:color w:val="auto"/>
                <w:w w:val="94"/>
              </w:rPr>
              <w:t>%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20"/>
                <w:szCs w:val="20"/>
                <w:color w:val="auto"/>
              </w:rPr>
              <w:t>Amount</w:t>
            </w:r>
          </w:p>
        </w:tc>
        <w:tc>
          <w:tcPr>
            <w:tcW w:w="960" w:type="dxa"/>
            <w:vAlign w:val="bottom"/>
          </w:tcPr>
          <w:p>
            <w:pPr>
              <w:jc w:val="center"/>
              <w:ind w:left="22"/>
              <w:spacing w:after="0"/>
              <w:rPr>
                <w:sz w:val="20"/>
                <w:szCs w:val="20"/>
                <w:color w:val="auto"/>
              </w:rPr>
            </w:pPr>
            <w:r>
              <w:rPr>
                <w:rFonts w:ascii="Arial" w:cs="Arial" w:eastAsia="Arial" w:hAnsi="Arial"/>
                <w:sz w:val="20"/>
                <w:szCs w:val="20"/>
                <w:color w:val="auto"/>
                <w:w w:val="84"/>
              </w:rPr>
              <w:t>Revenues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20"/>
                <w:szCs w:val="20"/>
                <w:color w:val="auto"/>
              </w:rPr>
              <w:t>Amount</w:t>
            </w:r>
          </w:p>
        </w:tc>
        <w:tc>
          <w:tcPr>
            <w:tcW w:w="1300" w:type="dxa"/>
            <w:vAlign w:val="bottom"/>
            <w:gridSpan w:val="2"/>
          </w:tcPr>
          <w:p>
            <w:pPr>
              <w:jc w:val="center"/>
              <w:ind w:right="300"/>
              <w:spacing w:after="0"/>
              <w:rPr>
                <w:sz w:val="20"/>
                <w:szCs w:val="20"/>
                <w:color w:val="auto"/>
              </w:rPr>
            </w:pPr>
            <w:r>
              <w:rPr>
                <w:rFonts w:ascii="Arial" w:cs="Arial" w:eastAsia="Arial" w:hAnsi="Arial"/>
                <w:sz w:val="20"/>
                <w:szCs w:val="20"/>
                <w:color w:val="auto"/>
                <w:w w:val="84"/>
              </w:rPr>
              <w:t>Revenues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3320" w:type="dxa"/>
            <w:vAlign w:val="bottom"/>
            <w:tcBorders>
              <w:top w:val="single" w:sz="8" w:color="auto"/>
            </w:tcBorders>
            <w:gridSpan w:val="7"/>
            <w:shd w:val="clear" w:color="auto" w:fill="CFF0FC"/>
          </w:tcPr>
          <w:p>
            <w:pPr>
              <w:jc w:val="right"/>
              <w:ind w:right="1060"/>
              <w:spacing w:after="0"/>
              <w:rPr>
                <w:sz w:val="20"/>
                <w:szCs w:val="20"/>
                <w:color w:val="auto"/>
              </w:rPr>
            </w:pPr>
            <w:r>
              <w:rPr>
                <w:rFonts w:ascii="Arial" w:cs="Arial" w:eastAsia="Arial" w:hAnsi="Arial"/>
                <w:sz w:val="20"/>
                <w:szCs w:val="20"/>
                <w:i w:val="1"/>
                <w:iCs w:val="1"/>
                <w:color w:val="auto"/>
              </w:rPr>
              <w:t>(Dollars in Thousands)</w:t>
            </w: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tcPr>
          <w:p>
            <w:pPr>
              <w:ind w:left="240"/>
              <w:spacing w:after="0"/>
              <w:rPr>
                <w:sz w:val="20"/>
                <w:szCs w:val="20"/>
                <w:color w:val="auto"/>
              </w:rPr>
            </w:pPr>
            <w:r>
              <w:rPr>
                <w:rFonts w:ascii="Arial" w:cs="Arial" w:eastAsia="Arial" w:hAnsi="Arial"/>
                <w:sz w:val="20"/>
                <w:szCs w:val="20"/>
                <w:color w:val="auto"/>
              </w:rPr>
              <w:t>Mid-America Group</w:t>
            </w:r>
          </w:p>
        </w:tc>
        <w:tc>
          <w:tcPr>
            <w:tcW w:w="240" w:type="dxa"/>
            <w:vAlign w:val="bottom"/>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15,593</w:t>
            </w: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jc w:val="right"/>
              <w:ind w:right="43"/>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13,130</w:t>
            </w: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Southeast Group</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5,377</w:t>
            </w: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4,416</w:t>
            </w: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West Group</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29,278</w:t>
            </w:r>
          </w:p>
        </w:tc>
        <w:tc>
          <w:tcPr>
            <w:tcW w:w="44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26,132</w:t>
            </w:r>
          </w:p>
        </w:tc>
        <w:tc>
          <w:tcPr>
            <w:tcW w:w="44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50,248</w:t>
            </w:r>
          </w:p>
        </w:tc>
        <w:tc>
          <w:tcPr>
            <w:tcW w:w="4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43,678</w:t>
            </w:r>
          </w:p>
        </w:tc>
        <w:tc>
          <w:tcPr>
            <w:tcW w:w="4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2,865</w:t>
            </w: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2,602</w:t>
            </w: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25,179</w:t>
            </w: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23,841</w:t>
            </w: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980" w:type="dxa"/>
            <w:vAlign w:val="bottom"/>
            <w:gridSpan w:val="2"/>
          </w:tcPr>
          <w:p>
            <w:pPr>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78,292</w:t>
            </w: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w w:val="86"/>
              </w:rPr>
              <w:t>8.3</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70,121</w:t>
            </w:r>
          </w:p>
        </w:tc>
        <w:tc>
          <w:tcPr>
            <w:tcW w:w="4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20"/>
                <w:szCs w:val="20"/>
                <w:b w:val="1"/>
                <w:bCs w:val="1"/>
                <w:color w:val="auto"/>
              </w:rPr>
              <w:t>Earnings (Loss) from operations: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tcPr>
          <w:p>
            <w:pPr>
              <w:ind w:left="240"/>
              <w:spacing w:after="0"/>
              <w:rPr>
                <w:sz w:val="20"/>
                <w:szCs w:val="20"/>
                <w:color w:val="auto"/>
              </w:rPr>
            </w:pPr>
            <w:r>
              <w:rPr>
                <w:rFonts w:ascii="Arial" w:cs="Arial" w:eastAsia="Arial" w:hAnsi="Arial"/>
                <w:sz w:val="20"/>
                <w:szCs w:val="20"/>
                <w:color w:val="auto"/>
              </w:rPr>
              <w:t>Mid-America Group</w:t>
            </w:r>
          </w:p>
        </w:tc>
        <w:tc>
          <w:tcPr>
            <w:tcW w:w="240" w:type="dxa"/>
            <w:vAlign w:val="bottom"/>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30,955</w:t>
            </w: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jc w:val="right"/>
              <w:ind w:right="43"/>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6,167</w:t>
            </w: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Southeast Group</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21,134</w:t>
            </w: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2,041</w:t>
            </w: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West Group</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19,936</w:t>
            </w:r>
          </w:p>
        </w:tc>
        <w:tc>
          <w:tcPr>
            <w:tcW w:w="44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34,951</w:t>
            </w:r>
          </w:p>
        </w:tc>
        <w:tc>
          <w:tcPr>
            <w:tcW w:w="44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72,025</w:t>
            </w:r>
          </w:p>
        </w:tc>
        <w:tc>
          <w:tcPr>
            <w:tcW w:w="4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43,159</w:t>
            </w:r>
          </w:p>
        </w:tc>
        <w:tc>
          <w:tcPr>
            <w:tcW w:w="4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22,642</w:t>
            </w: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21,237</w:t>
            </w: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2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380"/>
              <w:spacing w:after="0"/>
              <w:rPr>
                <w:sz w:val="20"/>
                <w:szCs w:val="20"/>
                <w:color w:val="auto"/>
              </w:rPr>
            </w:pPr>
            <w:r>
              <w:rPr>
                <w:rFonts w:ascii="Arial" w:cs="Arial" w:eastAsia="Arial" w:hAnsi="Arial"/>
                <w:sz w:val="20"/>
                <w:szCs w:val="20"/>
                <w:color w:val="auto"/>
              </w:rPr>
              <w:t>(25,446)</w:t>
            </w: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80"/>
              <w:spacing w:after="0"/>
              <w:rPr>
                <w:sz w:val="20"/>
                <w:szCs w:val="20"/>
                <w:color w:val="auto"/>
              </w:rPr>
            </w:pPr>
            <w:r>
              <w:rPr>
                <w:rFonts w:ascii="Arial" w:cs="Arial" w:eastAsia="Arial" w:hAnsi="Arial"/>
                <w:sz w:val="20"/>
                <w:szCs w:val="20"/>
                <w:color w:val="auto"/>
              </w:rPr>
              <w:t>(25,315)</w:t>
            </w: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980" w:type="dxa"/>
            <w:vAlign w:val="bottom"/>
            <w:gridSpan w:val="2"/>
          </w:tcPr>
          <w:p>
            <w:pPr>
              <w:spacing w:after="0"/>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69,221</w:t>
            </w: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w w:val="86"/>
              </w:rPr>
              <w:t>7.4</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39,081</w:t>
            </w: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First Quarter Ended March 31, 2019</w:t>
      </w:r>
    </w:p>
    <w:p>
      <w:pPr>
        <w:jc w:val="center"/>
        <w:spacing w:after="0"/>
        <w:rPr>
          <w:sz w:val="20"/>
          <w:szCs w:val="20"/>
          <w:color w:val="auto"/>
        </w:rPr>
      </w:pPr>
      <w:r>
        <w:rPr>
          <w:rFonts w:ascii="Arial" w:cs="Arial" w:eastAsia="Arial" w:hAnsi="Arial"/>
          <w:sz w:val="20"/>
          <w:szCs w:val="20"/>
          <w:color w:val="auto"/>
        </w:rPr>
        <w:t>(Continued)</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aggregates products volume and pricing variance data and shipments data by segment:</w:t>
      </w:r>
    </w:p>
    <w:p>
      <w:pPr>
        <w:spacing w:after="0" w:line="79" w:lineRule="exact"/>
        <w:rPr>
          <w:sz w:val="20"/>
          <w:szCs w:val="20"/>
          <w:color w:val="auto"/>
        </w:rPr>
      </w:pPr>
    </w:p>
    <w:p>
      <w:pPr>
        <w:jc w:val="center"/>
        <w:ind w:left="6900"/>
        <w:spacing w:after="0"/>
        <w:rPr>
          <w:sz w:val="20"/>
          <w:szCs w:val="20"/>
          <w:color w:val="auto"/>
        </w:rPr>
      </w:pPr>
      <w:r>
        <w:rPr>
          <w:rFonts w:ascii="Arial" w:cs="Arial" w:eastAsia="Arial" w:hAnsi="Arial"/>
          <w:sz w:val="20"/>
          <w:szCs w:val="20"/>
          <w:color w:val="auto"/>
        </w:rPr>
        <w:t>Three Months Ended</w:t>
      </w:r>
    </w:p>
    <w:p>
      <w:pPr>
        <w:spacing w:after="0" w:line="19" w:lineRule="exact"/>
        <w:rPr>
          <w:sz w:val="20"/>
          <w:szCs w:val="20"/>
          <w:color w:val="auto"/>
        </w:rPr>
      </w:pPr>
    </w:p>
    <w:p>
      <w:pPr>
        <w:jc w:val="center"/>
        <w:ind w:left="6900"/>
        <w:spacing w:after="0"/>
        <w:rPr>
          <w:sz w:val="20"/>
          <w:szCs w:val="20"/>
          <w:color w:val="auto"/>
        </w:rPr>
      </w:pPr>
      <w:r>
        <w:rPr>
          <w:rFonts w:ascii="Arial" w:cs="Arial" w:eastAsia="Arial" w:hAnsi="Arial"/>
          <w:sz w:val="20"/>
          <w:szCs w:val="20"/>
          <w:color w:val="auto"/>
        </w:rPr>
        <w:t>March 31, 2019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0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Volume</w:t>
            </w:r>
          </w:p>
        </w:tc>
        <w:tc>
          <w:tcPr>
            <w:tcW w:w="5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CFF0FC"/>
            </w:tcBorders>
          </w:tcPr>
          <w:p>
            <w:pPr>
              <w:spacing w:after="0"/>
              <w:rPr>
                <w:sz w:val="20"/>
                <w:szCs w:val="20"/>
                <w:color w:val="auto"/>
              </w:rPr>
            </w:pPr>
          </w:p>
        </w:tc>
        <w:tc>
          <w:tcPr>
            <w:tcW w:w="260" w:type="dxa"/>
            <w:vAlign w:val="bottom"/>
            <w:tcBorders>
              <w:top w:val="single" w:sz="8" w:color="auto"/>
              <w:bottom w:val="single" w:sz="8" w:color="CFF0FC"/>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Pricing</w:t>
            </w:r>
          </w:p>
        </w:tc>
        <w:tc>
          <w:tcPr>
            <w:tcW w:w="58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5"/>
        </w:trPr>
        <w:tc>
          <w:tcPr>
            <w:tcW w:w="7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2"/>
        </w:trPr>
        <w:tc>
          <w:tcPr>
            <w:tcW w:w="8380" w:type="dxa"/>
            <w:vAlign w:val="bottom"/>
            <w:gridSpan w:val="3"/>
          </w:tcPr>
          <w:p>
            <w:pPr>
              <w:spacing w:after="0"/>
              <w:rPr>
                <w:sz w:val="20"/>
                <w:szCs w:val="20"/>
                <w:color w:val="auto"/>
              </w:rPr>
            </w:pPr>
            <w:r>
              <w:rPr>
                <w:rFonts w:ascii="Arial" w:cs="Arial" w:eastAsia="Arial" w:hAnsi="Arial"/>
                <w:sz w:val="20"/>
                <w:szCs w:val="20"/>
                <w:color w:val="auto"/>
              </w:rPr>
              <w:t>Heritage Operations:</w:t>
            </w:r>
            <w:r>
              <w:rPr>
                <w:rFonts w:ascii="Arial" w:cs="Arial" w:eastAsia="Arial" w:hAnsi="Arial"/>
                <w:sz w:val="16"/>
                <w:szCs w:val="16"/>
                <w:color w:val="auto"/>
              </w:rPr>
              <w:t>(2)</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838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980" w:type="dxa"/>
            <w:vAlign w:val="bottom"/>
            <w:gridSpan w:val="3"/>
            <w:shd w:val="clear" w:color="auto" w:fill="CFF0FC"/>
          </w:tcPr>
          <w:p>
            <w:pPr>
              <w:jc w:val="right"/>
              <w:ind w:right="240"/>
              <w:spacing w:after="0"/>
              <w:rPr>
                <w:sz w:val="20"/>
                <w:szCs w:val="20"/>
                <w:color w:val="auto"/>
              </w:rPr>
            </w:pPr>
            <w:r>
              <w:rPr>
                <w:rFonts w:ascii="Arial" w:cs="Arial" w:eastAsia="Arial" w:hAnsi="Arial"/>
                <w:sz w:val="20"/>
                <w:szCs w:val="20"/>
                <w:color w:val="auto"/>
              </w:rPr>
              <w:t>18.4%</w:t>
            </w: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3.1%</w:t>
            </w:r>
          </w:p>
        </w:tc>
      </w:tr>
      <w:tr>
        <w:trPr>
          <w:trHeight w:val="242"/>
        </w:trPr>
        <w:tc>
          <w:tcPr>
            <w:tcW w:w="8380" w:type="dxa"/>
            <w:vAlign w:val="bottom"/>
            <w:gridSpan w:val="3"/>
          </w:tcPr>
          <w:p>
            <w:pPr>
              <w:ind w:left="260"/>
              <w:spacing w:after="0"/>
              <w:rPr>
                <w:sz w:val="20"/>
                <w:szCs w:val="20"/>
                <w:color w:val="auto"/>
              </w:rPr>
            </w:pPr>
            <w:r>
              <w:rPr>
                <w:rFonts w:ascii="Arial" w:cs="Arial" w:eastAsia="Arial" w:hAnsi="Arial"/>
                <w:sz w:val="20"/>
                <w:szCs w:val="20"/>
                <w:color w:val="auto"/>
              </w:rPr>
              <w:t>Southeast Group</w:t>
            </w:r>
          </w:p>
        </w:tc>
        <w:tc>
          <w:tcPr>
            <w:tcW w:w="980" w:type="dxa"/>
            <w:vAlign w:val="bottom"/>
            <w:gridSpan w:val="3"/>
          </w:tcPr>
          <w:p>
            <w:pPr>
              <w:jc w:val="right"/>
              <w:ind w:right="240"/>
              <w:spacing w:after="0"/>
              <w:rPr>
                <w:sz w:val="20"/>
                <w:szCs w:val="20"/>
                <w:color w:val="auto"/>
              </w:rPr>
            </w:pPr>
            <w:r>
              <w:rPr>
                <w:rFonts w:ascii="Arial" w:cs="Arial" w:eastAsia="Arial" w:hAnsi="Arial"/>
                <w:sz w:val="20"/>
                <w:szCs w:val="20"/>
                <w:color w:val="auto"/>
              </w:rPr>
              <w:t>16.7%</w:t>
            </w: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20"/>
                <w:szCs w:val="20"/>
                <w:color w:val="auto"/>
              </w:rPr>
              <w:t>6.2%</w:t>
            </w:r>
          </w:p>
        </w:tc>
      </w:tr>
      <w:tr>
        <w:trPr>
          <w:trHeight w:val="242"/>
        </w:trPr>
        <w:tc>
          <w:tcPr>
            <w:tcW w:w="838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980" w:type="dxa"/>
            <w:vAlign w:val="bottom"/>
            <w:gridSpan w:val="3"/>
            <w:shd w:val="clear" w:color="auto" w:fill="CFF0FC"/>
          </w:tcPr>
          <w:p>
            <w:pPr>
              <w:jc w:val="right"/>
              <w:ind w:right="240"/>
              <w:spacing w:after="0"/>
              <w:rPr>
                <w:sz w:val="20"/>
                <w:szCs w:val="20"/>
                <w:color w:val="auto"/>
              </w:rPr>
            </w:pPr>
            <w:r>
              <w:rPr>
                <w:rFonts w:ascii="Arial" w:cs="Arial" w:eastAsia="Arial" w:hAnsi="Arial"/>
                <w:sz w:val="20"/>
                <w:szCs w:val="20"/>
                <w:color w:val="auto"/>
              </w:rPr>
              <w:t>6.3%</w:t>
            </w: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2.7%</w:t>
            </w:r>
          </w:p>
        </w:tc>
      </w:tr>
      <w:tr>
        <w:trPr>
          <w:trHeight w:val="242"/>
        </w:trPr>
        <w:tc>
          <w:tcPr>
            <w:tcW w:w="8380" w:type="dxa"/>
            <w:vAlign w:val="bottom"/>
            <w:gridSpan w:val="3"/>
          </w:tcPr>
          <w:p>
            <w:pPr>
              <w:spacing w:after="0"/>
              <w:rPr>
                <w:sz w:val="20"/>
                <w:szCs w:val="20"/>
                <w:color w:val="auto"/>
              </w:rPr>
            </w:pPr>
            <w:r>
              <w:rPr>
                <w:rFonts w:ascii="Arial" w:cs="Arial" w:eastAsia="Arial" w:hAnsi="Arial"/>
                <w:sz w:val="20"/>
                <w:szCs w:val="20"/>
                <w:color w:val="auto"/>
              </w:rPr>
              <w:t>Total Heritage Aggregates Operations</w:t>
            </w:r>
          </w:p>
        </w:tc>
        <w:tc>
          <w:tcPr>
            <w:tcW w:w="980" w:type="dxa"/>
            <w:vAlign w:val="bottom"/>
            <w:gridSpan w:val="3"/>
          </w:tcPr>
          <w:p>
            <w:pPr>
              <w:jc w:val="right"/>
              <w:ind w:right="240"/>
              <w:spacing w:after="0"/>
              <w:rPr>
                <w:sz w:val="20"/>
                <w:szCs w:val="20"/>
                <w:color w:val="auto"/>
              </w:rPr>
            </w:pPr>
            <w:r>
              <w:rPr>
                <w:rFonts w:ascii="Arial" w:cs="Arial" w:eastAsia="Arial" w:hAnsi="Arial"/>
                <w:sz w:val="20"/>
                <w:szCs w:val="20"/>
                <w:color w:val="auto"/>
              </w:rPr>
              <w:t>12.5%</w:t>
            </w: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20"/>
                <w:szCs w:val="20"/>
                <w:color w:val="auto"/>
              </w:rPr>
              <w:t>4.0%</w:t>
            </w:r>
          </w:p>
        </w:tc>
      </w:tr>
      <w:tr>
        <w:trPr>
          <w:trHeight w:val="242"/>
        </w:trPr>
        <w:tc>
          <w:tcPr>
            <w:tcW w:w="838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(4)</w:t>
            </w:r>
          </w:p>
        </w:tc>
        <w:tc>
          <w:tcPr>
            <w:tcW w:w="980" w:type="dxa"/>
            <w:vAlign w:val="bottom"/>
            <w:gridSpan w:val="3"/>
            <w:shd w:val="clear" w:color="auto" w:fill="CFF0FC"/>
          </w:tcPr>
          <w:p>
            <w:pPr>
              <w:jc w:val="right"/>
              <w:ind w:right="240"/>
              <w:spacing w:after="0"/>
              <w:rPr>
                <w:sz w:val="20"/>
                <w:szCs w:val="20"/>
                <w:color w:val="auto"/>
              </w:rPr>
            </w:pPr>
            <w:r>
              <w:rPr>
                <w:rFonts w:ascii="Arial" w:cs="Arial" w:eastAsia="Arial" w:hAnsi="Arial"/>
                <w:sz w:val="20"/>
                <w:szCs w:val="20"/>
                <w:color w:val="auto"/>
              </w:rPr>
              <w:t>24.2%</w:t>
            </w: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2.3%</w:t>
            </w:r>
          </w:p>
        </w:tc>
      </w:tr>
      <w:tr>
        <w:trPr>
          <w:trHeight w:val="453"/>
        </w:trPr>
        <w:tc>
          <w:tcPr>
            <w:tcW w:w="7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80" w:type="dxa"/>
            <w:vAlign w:val="bottom"/>
            <w:gridSpan w:val="5"/>
          </w:tcPr>
          <w:p>
            <w:pPr>
              <w:jc w:val="center"/>
              <w:ind w:right="442"/>
              <w:spacing w:after="0"/>
              <w:rPr>
                <w:sz w:val="20"/>
                <w:szCs w:val="20"/>
                <w:color w:val="auto"/>
              </w:rPr>
            </w:pPr>
            <w:r>
              <w:rPr>
                <w:rFonts w:ascii="Arial" w:cs="Arial" w:eastAsia="Arial" w:hAnsi="Arial"/>
                <w:sz w:val="20"/>
                <w:szCs w:val="20"/>
                <w:color w:val="auto"/>
                <w:w w:val="88"/>
              </w:rPr>
              <w:t>Three Months Ended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7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5"/>
          </w:tcPr>
          <w:p>
            <w:pPr>
              <w:jc w:val="center"/>
              <w:ind w:right="422"/>
              <w:spacing w:after="0"/>
              <w:rPr>
                <w:sz w:val="20"/>
                <w:szCs w:val="20"/>
                <w:color w:val="auto"/>
              </w:rPr>
            </w:pPr>
            <w:r>
              <w:rPr>
                <w:rFonts w:ascii="Arial" w:cs="Arial" w:eastAsia="Arial" w:hAnsi="Arial"/>
                <w:sz w:val="20"/>
                <w:szCs w:val="20"/>
                <w:color w:val="auto"/>
                <w:w w:val="89"/>
              </w:rPr>
              <w:t>March 31,</w:t>
            </w: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5"/>
        </w:trPr>
        <w:tc>
          <w:tcPr>
            <w:tcW w:w="7220" w:type="dxa"/>
            <w:vAlign w:val="bottom"/>
            <w:gridSpan w:val="2"/>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2280" w:type="dxa"/>
            <w:vAlign w:val="bottom"/>
            <w:tcBorders>
              <w:bottom w:val="single" w:sz="8" w:color="auto"/>
            </w:tcBorders>
            <w:gridSpan w:val="5"/>
          </w:tcPr>
          <w:p>
            <w:pPr>
              <w:jc w:val="right"/>
              <w:ind w:right="2"/>
              <w:spacing w:after="0"/>
              <w:rPr>
                <w:sz w:val="20"/>
                <w:szCs w:val="20"/>
                <w:color w:val="auto"/>
              </w:rPr>
            </w:pPr>
            <w:r>
              <w:rPr>
                <w:rFonts w:ascii="Arial" w:cs="Arial" w:eastAsia="Arial" w:hAnsi="Arial"/>
                <w:sz w:val="20"/>
                <w:szCs w:val="20"/>
                <w:color w:val="auto"/>
              </w:rPr>
              <w:t>2018</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7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80" w:type="dxa"/>
            <w:vAlign w:val="bottom"/>
            <w:gridSpan w:val="5"/>
          </w:tcPr>
          <w:p>
            <w:pPr>
              <w:jc w:val="center"/>
              <w:ind w:right="422"/>
              <w:spacing w:after="0"/>
              <w:rPr>
                <w:sz w:val="20"/>
                <w:szCs w:val="20"/>
                <w:color w:val="auto"/>
              </w:rPr>
            </w:pPr>
            <w:r>
              <w:rPr>
                <w:rFonts w:ascii="Arial" w:cs="Arial" w:eastAsia="Arial" w:hAnsi="Arial"/>
                <w:sz w:val="20"/>
                <w:szCs w:val="20"/>
                <w:i w:val="1"/>
                <w:iCs w:val="1"/>
                <w:color w:val="auto"/>
                <w:w w:val="87"/>
              </w:rPr>
              <w:t>(Tons in Thousands)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8380" w:type="dxa"/>
            <w:vAlign w:val="bottom"/>
            <w:gridSpan w:val="3"/>
            <w:shd w:val="clear" w:color="auto" w:fill="CFF0FC"/>
          </w:tcPr>
          <w:p>
            <w:pPr>
              <w:spacing w:after="0"/>
              <w:rPr>
                <w:sz w:val="20"/>
                <w:szCs w:val="20"/>
                <w:color w:val="auto"/>
              </w:rPr>
            </w:pPr>
            <w:r>
              <w:rPr>
                <w:rFonts w:ascii="Arial" w:cs="Arial" w:eastAsia="Arial" w:hAnsi="Arial"/>
                <w:sz w:val="20"/>
                <w:szCs w:val="20"/>
                <w:b w:val="1"/>
                <w:bCs w:val="1"/>
                <w:color w:val="auto"/>
              </w:rPr>
              <w:t>Shipments</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8380" w:type="dxa"/>
            <w:vAlign w:val="bottom"/>
            <w:gridSpan w:val="3"/>
          </w:tcPr>
          <w:p>
            <w:pPr>
              <w:spacing w:after="0"/>
              <w:rPr>
                <w:sz w:val="20"/>
                <w:szCs w:val="20"/>
                <w:color w:val="auto"/>
              </w:rPr>
            </w:pPr>
            <w:r>
              <w:rPr>
                <w:rFonts w:ascii="Arial" w:cs="Arial" w:eastAsia="Arial" w:hAnsi="Arial"/>
                <w:sz w:val="20"/>
                <w:szCs w:val="20"/>
                <w:color w:val="auto"/>
              </w:rPr>
              <w:t>Heritage Operations:</w:t>
            </w:r>
            <w:r>
              <w:rPr>
                <w:rFonts w:ascii="Arial" w:cs="Arial" w:eastAsia="Arial" w:hAnsi="Arial"/>
                <w:sz w:val="16"/>
                <w:szCs w:val="16"/>
                <w:color w:val="auto"/>
              </w:rPr>
              <w:t>(2)</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838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13,585</w:t>
            </w:r>
          </w:p>
        </w:tc>
        <w:tc>
          <w:tcPr>
            <w:tcW w:w="2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11,473</w:t>
            </w:r>
          </w:p>
        </w:tc>
        <w:tc>
          <w:tcPr>
            <w:tcW w:w="100" w:type="dxa"/>
            <w:vAlign w:val="bottom"/>
            <w:shd w:val="clear" w:color="auto" w:fill="CFF0FC"/>
          </w:tcPr>
          <w:p>
            <w:pPr>
              <w:spacing w:after="0"/>
              <w:rPr>
                <w:sz w:val="21"/>
                <w:szCs w:val="21"/>
                <w:color w:val="auto"/>
              </w:rPr>
            </w:pPr>
          </w:p>
        </w:tc>
      </w:tr>
      <w:tr>
        <w:trPr>
          <w:trHeight w:val="242"/>
        </w:trPr>
        <w:tc>
          <w:tcPr>
            <w:tcW w:w="8380" w:type="dxa"/>
            <w:vAlign w:val="bottom"/>
            <w:gridSpan w:val="3"/>
          </w:tcPr>
          <w:p>
            <w:pPr>
              <w:ind w:left="260"/>
              <w:spacing w:after="0"/>
              <w:rPr>
                <w:sz w:val="20"/>
                <w:szCs w:val="20"/>
                <w:color w:val="auto"/>
              </w:rPr>
            </w:pPr>
            <w:r>
              <w:rPr>
                <w:rFonts w:ascii="Arial" w:cs="Arial" w:eastAsia="Arial" w:hAnsi="Arial"/>
                <w:sz w:val="20"/>
                <w:szCs w:val="20"/>
                <w:color w:val="auto"/>
              </w:rPr>
              <w:t xml:space="preserve">Southeast Group </w:t>
            </w:r>
            <w:r>
              <w:rPr>
                <w:rFonts w:ascii="Arial" w:cs="Arial" w:eastAsia="Arial" w:hAnsi="Arial"/>
                <w:sz w:val="16"/>
                <w:szCs w:val="16"/>
                <w:color w:val="auto"/>
              </w:rPr>
              <w:t>(3)</w:t>
            </w: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5,141</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20"/>
                <w:szCs w:val="20"/>
                <w:color w:val="auto"/>
              </w:rPr>
              <w:t>4,405</w:t>
            </w:r>
          </w:p>
        </w:tc>
        <w:tc>
          <w:tcPr>
            <w:tcW w:w="100" w:type="dxa"/>
            <w:vAlign w:val="bottom"/>
          </w:tcPr>
          <w:p>
            <w:pPr>
              <w:spacing w:after="0"/>
              <w:rPr>
                <w:sz w:val="21"/>
                <w:szCs w:val="21"/>
                <w:color w:val="auto"/>
              </w:rPr>
            </w:pPr>
          </w:p>
        </w:tc>
      </w:tr>
      <w:tr>
        <w:trPr>
          <w:trHeight w:val="242"/>
        </w:trPr>
        <w:tc>
          <w:tcPr>
            <w:tcW w:w="838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15,036</w:t>
            </w:r>
          </w:p>
        </w:tc>
        <w:tc>
          <w:tcPr>
            <w:tcW w:w="2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14,142</w:t>
            </w:r>
          </w:p>
        </w:tc>
        <w:tc>
          <w:tcPr>
            <w:tcW w:w="100" w:type="dxa"/>
            <w:vAlign w:val="bottom"/>
            <w:shd w:val="clear" w:color="auto" w:fill="CFF0FC"/>
          </w:tcPr>
          <w:p>
            <w:pPr>
              <w:spacing w:after="0"/>
              <w:rPr>
                <w:sz w:val="21"/>
                <w:szCs w:val="21"/>
                <w:color w:val="auto"/>
              </w:rPr>
            </w:pPr>
          </w:p>
        </w:tc>
      </w:tr>
      <w:tr>
        <w:trPr>
          <w:trHeight w:val="235"/>
        </w:trPr>
        <w:tc>
          <w:tcPr>
            <w:tcW w:w="7220" w:type="dxa"/>
            <w:vAlign w:val="bottom"/>
            <w:gridSpan w:val="2"/>
          </w:tcPr>
          <w:p>
            <w:pPr>
              <w:spacing w:after="0"/>
              <w:rPr>
                <w:sz w:val="20"/>
                <w:szCs w:val="20"/>
                <w:color w:val="auto"/>
              </w:rPr>
            </w:pPr>
            <w:r>
              <w:rPr>
                <w:rFonts w:ascii="Arial" w:cs="Arial" w:eastAsia="Arial" w:hAnsi="Arial"/>
                <w:sz w:val="20"/>
                <w:szCs w:val="20"/>
                <w:color w:val="auto"/>
              </w:rPr>
              <w:t>Heritage Aggregates Operations</w:t>
            </w:r>
          </w:p>
        </w:tc>
        <w:tc>
          <w:tcPr>
            <w:tcW w:w="1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33,762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30,020</w:t>
            </w:r>
          </w:p>
        </w:tc>
        <w:tc>
          <w:tcPr>
            <w:tcW w:w="100" w:type="dxa"/>
            <w:vAlign w:val="bottom"/>
          </w:tcPr>
          <w:p>
            <w:pPr>
              <w:spacing w:after="0"/>
              <w:rPr>
                <w:sz w:val="20"/>
                <w:szCs w:val="20"/>
                <w:color w:val="auto"/>
              </w:rPr>
            </w:pPr>
          </w:p>
        </w:tc>
      </w:tr>
      <w:tr>
        <w:trPr>
          <w:trHeight w:val="242"/>
        </w:trPr>
        <w:tc>
          <w:tcPr>
            <w:tcW w:w="838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Acquisitions</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3,524</w:t>
            </w:r>
          </w:p>
        </w:tc>
        <w:tc>
          <w:tcPr>
            <w:tcW w:w="2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35"/>
        </w:trPr>
        <w:tc>
          <w:tcPr>
            <w:tcW w:w="7220" w:type="dxa"/>
            <w:vAlign w:val="bottom"/>
            <w:gridSpan w:val="2"/>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(4)</w:t>
            </w:r>
          </w:p>
        </w:tc>
        <w:tc>
          <w:tcPr>
            <w:tcW w:w="1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37,286</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30,020</w:t>
            </w:r>
          </w:p>
        </w:tc>
        <w:tc>
          <w:tcPr>
            <w:tcW w:w="100" w:type="dxa"/>
            <w:vAlign w:val="bottom"/>
          </w:tcPr>
          <w:p>
            <w:pPr>
              <w:spacing w:after="0"/>
              <w:rPr>
                <w:sz w:val="20"/>
                <w:szCs w:val="20"/>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3" w:lineRule="exact"/>
        <w:rPr>
          <w:sz w:val="20"/>
          <w:szCs w:val="20"/>
          <w:color w:val="auto"/>
        </w:rPr>
      </w:pPr>
    </w:p>
    <w:p>
      <w:pPr>
        <w:ind w:left="240" w:hanging="227"/>
        <w:spacing w:after="0"/>
        <w:tabs>
          <w:tab w:leader="none" w:pos="240" w:val="left"/>
        </w:tabs>
        <w:numPr>
          <w:ilvl w:val="0"/>
          <w:numId w:val="13"/>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2" w:lineRule="exact"/>
        <w:rPr>
          <w:rFonts w:ascii="Arial" w:cs="Arial" w:eastAsia="Arial" w:hAnsi="Arial"/>
          <w:sz w:val="15"/>
          <w:szCs w:val="15"/>
          <w:i w:val="1"/>
          <w:iCs w:val="1"/>
          <w:color w:val="auto"/>
        </w:rPr>
      </w:pPr>
    </w:p>
    <w:p>
      <w:pPr>
        <w:ind w:left="220" w:hanging="213"/>
        <w:spacing w:after="0"/>
        <w:tabs>
          <w:tab w:leader="none" w:pos="220" w:val="left"/>
        </w:tabs>
        <w:numPr>
          <w:ilvl w:val="0"/>
          <w:numId w:val="13"/>
        </w:numPr>
        <w:rPr>
          <w:rFonts w:ascii="Arial" w:cs="Arial" w:eastAsia="Arial" w:hAnsi="Arial"/>
          <w:sz w:val="15"/>
          <w:szCs w:val="15"/>
          <w:i w:val="1"/>
          <w:iCs w:val="1"/>
          <w:color w:val="auto"/>
        </w:rPr>
      </w:pPr>
      <w:r>
        <w:rPr>
          <w:rFonts w:ascii="Arial" w:cs="Arial" w:eastAsia="Arial" w:hAnsi="Arial"/>
          <w:sz w:val="18"/>
          <w:szCs w:val="18"/>
          <w:i w:val="1"/>
          <w:iCs w:val="1"/>
          <w:color w:val="auto"/>
        </w:rPr>
        <w:t>Heritage aggregates operations exclude acquisitions that have not been included in prior-year operations for the comparable period.</w:t>
      </w:r>
    </w:p>
    <w:p>
      <w:pPr>
        <w:spacing w:after="0" w:line="7" w:lineRule="exact"/>
        <w:rPr>
          <w:rFonts w:ascii="Arial" w:cs="Arial" w:eastAsia="Arial" w:hAnsi="Arial"/>
          <w:sz w:val="15"/>
          <w:szCs w:val="15"/>
          <w:i w:val="1"/>
          <w:iCs w:val="1"/>
          <w:color w:val="auto"/>
        </w:rPr>
      </w:pPr>
    </w:p>
    <w:p>
      <w:pPr>
        <w:ind w:left="220" w:hanging="213"/>
        <w:spacing w:after="0"/>
        <w:tabs>
          <w:tab w:leader="none" w:pos="220" w:val="left"/>
        </w:tabs>
        <w:numPr>
          <w:ilvl w:val="0"/>
          <w:numId w:val="13"/>
        </w:numPr>
        <w:rPr>
          <w:rFonts w:ascii="Arial" w:cs="Arial" w:eastAsia="Arial" w:hAnsi="Arial"/>
          <w:sz w:val="15"/>
          <w:szCs w:val="15"/>
          <w:i w:val="1"/>
          <w:iCs w:val="1"/>
          <w:color w:val="auto"/>
        </w:rPr>
      </w:pPr>
      <w:r>
        <w:rPr>
          <w:rFonts w:ascii="Arial" w:cs="Arial" w:eastAsia="Arial" w:hAnsi="Arial"/>
          <w:sz w:val="18"/>
          <w:szCs w:val="18"/>
          <w:i w:val="1"/>
          <w:iCs w:val="1"/>
          <w:color w:val="auto"/>
        </w:rPr>
        <w:t>2018 shipments include the Forsyth, Georgia operation, which was divested in April 2018.</w:t>
      </w:r>
    </w:p>
    <w:p>
      <w:pPr>
        <w:spacing w:after="0" w:line="7" w:lineRule="exact"/>
        <w:rPr>
          <w:rFonts w:ascii="Arial" w:cs="Arial" w:eastAsia="Arial" w:hAnsi="Arial"/>
          <w:sz w:val="15"/>
          <w:szCs w:val="15"/>
          <w:i w:val="1"/>
          <w:iCs w:val="1"/>
          <w:color w:val="auto"/>
        </w:rPr>
      </w:pPr>
    </w:p>
    <w:p>
      <w:pPr>
        <w:ind w:left="220" w:hanging="213"/>
        <w:spacing w:after="0"/>
        <w:tabs>
          <w:tab w:leader="none" w:pos="220" w:val="left"/>
        </w:tabs>
        <w:numPr>
          <w:ilvl w:val="0"/>
          <w:numId w:val="13"/>
        </w:numPr>
        <w:rPr>
          <w:rFonts w:ascii="Arial" w:cs="Arial" w:eastAsia="Arial" w:hAnsi="Arial"/>
          <w:sz w:val="15"/>
          <w:szCs w:val="15"/>
          <w:i w:val="1"/>
          <w:iCs w:val="1"/>
          <w:color w:val="auto"/>
        </w:rPr>
      </w:pPr>
      <w:r>
        <w:rPr>
          <w:rFonts w:ascii="Arial" w:cs="Arial" w:eastAsia="Arial" w:hAnsi="Arial"/>
          <w:sz w:val="18"/>
          <w:szCs w:val="18"/>
          <w:i w:val="1"/>
          <w:iCs w:val="1"/>
          <w:color w:val="auto"/>
        </w:rPr>
        <w:t>Total aggregates operations include acquisitions from the date of acquisition and divestitures through the date of disposal.</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First-quarter operating results demonstrate the robust underlying demand that was masked in 2018 by weather, contractor capacity and logistics disruptions. While winter weather traditionally limits the ability of outdoor contractors to perform work, the Company experienced relatively better weather during the first three months of 2019. This allowed contractors to begin addressing backlogs with an earlier-than-normal start to the construction season. The notable exception was in the Company’s second-largest state by revenues, Colorado, which experienced one of its harshest winters on record, delaying the onset of meaningful construction activity.</w:t>
      </w:r>
    </w:p>
    <w:p>
      <w:pPr>
        <w:spacing w:after="0" w:line="7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Aggregates shipments to the infrastructure market increased 2% as modestly improved weather, particularly in the Southeast, allowed contractors to advance transportation-related projects earlier in the construction season. Following more than a decade of underinvestment, management remains confident that infrastructure demand is poised for meaningful growth. Funding provided by the Fixing America’s Surface Transportation Act (FAST Act), combined with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31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First Quarter Ended March 31, 2019</w:t>
      </w: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numerous state and local transportation initiatives, has resulted in an acceleration in lettings and contract awards in key states, including Texas, Colorado, North Carolina, Georgia and Florida. For the quarter, the infrastructure market represented 33% of aggregates shipments, which is below the Company’s most recent ten-year average of 46% but consistent with first-quarter historical trends.</w:t>
      </w:r>
    </w:p>
    <w:p>
      <w:pPr>
        <w:spacing w:after="0" w:line="2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Aggregates shipments to the nonresidential market increased 33%, driven by both commercial and heavy industrial construction activity. The Company continued to benefit from robust distribution center, warehouse, data center and wind turbine projects in key geographies, including Texas, the Carolinas, Georgia and Iowa. The nonresidential market represented 37% of first-quarter aggregates shipments.</w:t>
      </w:r>
    </w:p>
    <w:p>
      <w:pPr>
        <w:spacing w:after="0" w:line="2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Aggregates shipments to the residential market increased 8%, driven by weather-deferred homebuilding activity in the Carolinas, Georgia and Florida. Despite the recent slowdown in housing unit starts at the national level, the residential construction outlook across the Company’s geographic footprint remains positive for both single- and multi-family housing, driven by favorable demographics, job growth, land availability, steady interest rates and efficient permitting. On a national level, housing starts remain below the 50-year annual average of 1.5 million despite notable population gains. The residential market accounted for 23% of first-quarter aggregates shipments.</w:t>
      </w:r>
    </w:p>
    <w:p>
      <w:pPr>
        <w:spacing w:after="0" w:line="4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ChemRock/Rail market accounted for the remaining 7% of first-quarter aggregates shipments. Volumes to this sector decreased 9%, driven by reduced agricultural lime shipments from a depressed farm economy. Additionally, ballast shipments declined due to lower maintenance spending by western Class I railroads.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The average selling price by product line for the Building Materials business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20" w:type="dxa"/>
            <w:vAlign w:val="bottom"/>
            <w:gridSpan w:val="4"/>
          </w:tcPr>
          <w:p>
            <w:pPr>
              <w:ind w:left="160"/>
              <w:spacing w:after="0"/>
              <w:rPr>
                <w:sz w:val="20"/>
                <w:szCs w:val="20"/>
                <w:color w:val="auto"/>
              </w:rPr>
            </w:pPr>
            <w:r>
              <w:rPr>
                <w:rFonts w:ascii="Arial" w:cs="Arial" w:eastAsia="Arial" w:hAnsi="Arial"/>
                <w:sz w:val="20"/>
                <w:szCs w:val="20"/>
                <w:color w:val="auto"/>
              </w:rPr>
              <w:t>Three Months Ended</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5"/>
        </w:trPr>
        <w:tc>
          <w:tcPr>
            <w:tcW w:w="56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March 31,</w:t>
            </w:r>
          </w:p>
        </w:tc>
        <w:tc>
          <w:tcPr>
            <w:tcW w:w="6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r>
      <w:tr>
        <w:trPr>
          <w:trHeight w:val="235"/>
        </w:trPr>
        <w:tc>
          <w:tcPr>
            <w:tcW w:w="568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600" w:type="dxa"/>
            <w:vAlign w:val="bottom"/>
            <w:tcBorders>
              <w:bottom w:val="single" w:sz="8" w:color="auto"/>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 Change</w:t>
            </w:r>
          </w:p>
        </w:tc>
        <w:tc>
          <w:tcPr>
            <w:tcW w:w="260" w:type="dxa"/>
            <w:vAlign w:val="bottom"/>
            <w:tcBorders>
              <w:bottom w:val="single" w:sz="8" w:color="CFF0FC"/>
            </w:tcBorders>
          </w:tcPr>
          <w:p>
            <w:pPr>
              <w:spacing w:after="0"/>
              <w:rPr>
                <w:sz w:val="20"/>
                <w:szCs w:val="20"/>
                <w:color w:val="auto"/>
              </w:rPr>
            </w:pPr>
          </w:p>
        </w:tc>
      </w:tr>
      <w:tr>
        <w:trPr>
          <w:trHeight w:val="235"/>
        </w:trPr>
        <w:tc>
          <w:tcPr>
            <w:tcW w:w="5680" w:type="dxa"/>
            <w:vAlign w:val="bottom"/>
            <w:shd w:val="clear" w:color="auto" w:fill="CFF0FC"/>
          </w:tcPr>
          <w:p>
            <w:pPr>
              <w:spacing w:after="0"/>
              <w:rPr>
                <w:sz w:val="20"/>
                <w:szCs w:val="20"/>
                <w:color w:val="auto"/>
              </w:rPr>
            </w:pPr>
            <w:r>
              <w:rPr>
                <w:rFonts w:ascii="Arial" w:cs="Arial" w:eastAsia="Arial" w:hAnsi="Arial"/>
                <w:sz w:val="20"/>
                <w:szCs w:val="20"/>
                <w:color w:val="auto"/>
              </w:rPr>
              <w:t>Aggregates - heritage (per ton)</w:t>
            </w:r>
          </w:p>
        </w:tc>
        <w:tc>
          <w:tcPr>
            <w:tcW w:w="1120" w:type="dxa"/>
            <w:vAlign w:val="bottom"/>
            <w:shd w:val="clear" w:color="auto" w:fill="CFF0FC"/>
          </w:tcPr>
          <w:p>
            <w:pPr>
              <w:jc w:val="right"/>
              <w:ind w:right="92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14.61</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62"/>
              <w:spacing w:after="0"/>
              <w:rPr>
                <w:sz w:val="20"/>
                <w:szCs w:val="20"/>
                <w:color w:val="auto"/>
              </w:rPr>
            </w:pPr>
            <w:r>
              <w:rPr>
                <w:rFonts w:ascii="Arial" w:cs="Arial" w:eastAsia="Arial" w:hAnsi="Arial"/>
                <w:sz w:val="20"/>
                <w:szCs w:val="2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14.04</w:t>
            </w:r>
          </w:p>
        </w:tc>
        <w:tc>
          <w:tcPr>
            <w:tcW w:w="3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4.0%</w:t>
            </w:r>
          </w:p>
        </w:tc>
      </w:tr>
      <w:tr>
        <w:trPr>
          <w:trHeight w:val="242"/>
        </w:trPr>
        <w:tc>
          <w:tcPr>
            <w:tcW w:w="5680" w:type="dxa"/>
            <w:vAlign w:val="bottom"/>
          </w:tcPr>
          <w:p>
            <w:pPr>
              <w:spacing w:after="0"/>
              <w:rPr>
                <w:sz w:val="20"/>
                <w:szCs w:val="20"/>
                <w:color w:val="auto"/>
              </w:rPr>
            </w:pPr>
            <w:r>
              <w:rPr>
                <w:rFonts w:ascii="Arial" w:cs="Arial" w:eastAsia="Arial" w:hAnsi="Arial"/>
                <w:sz w:val="20"/>
                <w:szCs w:val="20"/>
                <w:color w:val="auto"/>
              </w:rPr>
              <w:t>Aggregates - acquisition (per ton)</w:t>
            </w:r>
          </w:p>
        </w:tc>
        <w:tc>
          <w:tcPr>
            <w:tcW w:w="1120" w:type="dxa"/>
            <w:vAlign w:val="bottom"/>
          </w:tcPr>
          <w:p>
            <w:pPr>
              <w:jc w:val="right"/>
              <w:ind w:right="922"/>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12.02</w:t>
            </w:r>
          </w:p>
        </w:tc>
        <w:tc>
          <w:tcPr>
            <w:tcW w:w="1460" w:type="dxa"/>
            <w:vAlign w:val="bottom"/>
            <w:gridSpan w:val="2"/>
          </w:tcPr>
          <w:p>
            <w:pPr>
              <w:jc w:val="right"/>
              <w:ind w:right="962"/>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2"/>
        </w:trPr>
        <w:tc>
          <w:tcPr>
            <w:tcW w:w="5680" w:type="dxa"/>
            <w:vAlign w:val="bottom"/>
            <w:shd w:val="clear" w:color="auto" w:fill="CFF0FC"/>
          </w:tcPr>
          <w:p>
            <w:pPr>
              <w:spacing w:after="0"/>
              <w:rPr>
                <w:sz w:val="20"/>
                <w:szCs w:val="20"/>
                <w:color w:val="auto"/>
              </w:rPr>
            </w:pPr>
            <w:r>
              <w:rPr>
                <w:rFonts w:ascii="Arial" w:cs="Arial" w:eastAsia="Arial" w:hAnsi="Arial"/>
                <w:sz w:val="20"/>
                <w:szCs w:val="20"/>
                <w:color w:val="auto"/>
              </w:rPr>
              <w:t>Cement (per ton)</w:t>
            </w:r>
          </w:p>
        </w:tc>
        <w:tc>
          <w:tcPr>
            <w:tcW w:w="1120" w:type="dxa"/>
            <w:vAlign w:val="bottom"/>
            <w:shd w:val="clear" w:color="auto" w:fill="CFF0FC"/>
          </w:tcPr>
          <w:p>
            <w:pPr>
              <w:jc w:val="right"/>
              <w:ind w:right="92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110.93</w:t>
            </w:r>
          </w:p>
        </w:tc>
        <w:tc>
          <w:tcPr>
            <w:tcW w:w="1460" w:type="dxa"/>
            <w:vAlign w:val="bottom"/>
            <w:gridSpan w:val="2"/>
            <w:shd w:val="clear" w:color="auto" w:fill="CFF0FC"/>
          </w:tcPr>
          <w:p>
            <w:pPr>
              <w:jc w:val="right"/>
              <w:ind w:right="962"/>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1"/>
              </w:rPr>
              <w:t>106.86</w:t>
            </w:r>
          </w:p>
        </w:tc>
        <w:tc>
          <w:tcPr>
            <w:tcW w:w="3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3.8%</w:t>
            </w:r>
          </w:p>
        </w:tc>
      </w:tr>
      <w:tr>
        <w:trPr>
          <w:trHeight w:val="242"/>
        </w:trPr>
        <w:tc>
          <w:tcPr>
            <w:tcW w:w="5680" w:type="dxa"/>
            <w:vAlign w:val="bottom"/>
          </w:tcPr>
          <w:p>
            <w:pPr>
              <w:spacing w:after="0"/>
              <w:rPr>
                <w:sz w:val="20"/>
                <w:szCs w:val="20"/>
                <w:color w:val="auto"/>
              </w:rPr>
            </w:pPr>
            <w:r>
              <w:rPr>
                <w:rFonts w:ascii="Arial" w:cs="Arial" w:eastAsia="Arial" w:hAnsi="Arial"/>
                <w:sz w:val="20"/>
                <w:szCs w:val="20"/>
                <w:color w:val="auto"/>
              </w:rPr>
              <w:t>Ready Mixed Concrete (per cubic yard)</w:t>
            </w:r>
          </w:p>
        </w:tc>
        <w:tc>
          <w:tcPr>
            <w:tcW w:w="1120" w:type="dxa"/>
            <w:vAlign w:val="bottom"/>
          </w:tcPr>
          <w:p>
            <w:pPr>
              <w:jc w:val="right"/>
              <w:ind w:right="922"/>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106.84</w:t>
            </w:r>
          </w:p>
        </w:tc>
        <w:tc>
          <w:tcPr>
            <w:tcW w:w="1460" w:type="dxa"/>
            <w:vAlign w:val="bottom"/>
            <w:gridSpan w:val="2"/>
          </w:tcPr>
          <w:p>
            <w:pPr>
              <w:jc w:val="right"/>
              <w:ind w:right="962"/>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1"/>
              </w:rPr>
              <w:t>106.34</w:t>
            </w:r>
          </w:p>
        </w:tc>
        <w:tc>
          <w:tcPr>
            <w:tcW w:w="36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20"/>
                <w:szCs w:val="20"/>
                <w:color w:val="auto"/>
              </w:rPr>
              <w:t>0.5%</w:t>
            </w:r>
          </w:p>
        </w:tc>
      </w:tr>
      <w:tr>
        <w:trPr>
          <w:trHeight w:val="242"/>
        </w:trPr>
        <w:tc>
          <w:tcPr>
            <w:tcW w:w="5680" w:type="dxa"/>
            <w:vAlign w:val="bottom"/>
            <w:shd w:val="clear" w:color="auto" w:fill="CFF0FC"/>
          </w:tcPr>
          <w:p>
            <w:pPr>
              <w:spacing w:after="0"/>
              <w:rPr>
                <w:sz w:val="20"/>
                <w:szCs w:val="20"/>
                <w:color w:val="auto"/>
              </w:rPr>
            </w:pPr>
            <w:r>
              <w:rPr>
                <w:rFonts w:ascii="Arial" w:cs="Arial" w:eastAsia="Arial" w:hAnsi="Arial"/>
                <w:sz w:val="20"/>
                <w:szCs w:val="20"/>
                <w:color w:val="auto"/>
              </w:rPr>
              <w:t>Asphalt (per ton)</w:t>
            </w:r>
          </w:p>
        </w:tc>
        <w:tc>
          <w:tcPr>
            <w:tcW w:w="1120" w:type="dxa"/>
            <w:vAlign w:val="bottom"/>
            <w:shd w:val="clear" w:color="auto" w:fill="CFF0FC"/>
          </w:tcPr>
          <w:p>
            <w:pPr>
              <w:jc w:val="right"/>
              <w:ind w:right="92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41.12</w:t>
            </w:r>
          </w:p>
        </w:tc>
        <w:tc>
          <w:tcPr>
            <w:tcW w:w="1460" w:type="dxa"/>
            <w:vAlign w:val="bottom"/>
            <w:gridSpan w:val="2"/>
            <w:shd w:val="clear" w:color="auto" w:fill="CFF0FC"/>
          </w:tcPr>
          <w:p>
            <w:pPr>
              <w:jc w:val="right"/>
              <w:ind w:right="962"/>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42.81</w:t>
            </w:r>
          </w:p>
        </w:tc>
        <w:tc>
          <w:tcPr>
            <w:tcW w:w="3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(3.9)%</w:t>
            </w:r>
          </w:p>
        </w:tc>
      </w:tr>
    </w:tbl>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First Quarter Ended March 31, 2019</w:t>
      </w: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for the Building Materials business by product line.</w:t>
      </w:r>
    </w:p>
    <w:p>
      <w:pPr>
        <w:spacing w:after="0" w:line="227" w:lineRule="exact"/>
        <w:rPr>
          <w:sz w:val="20"/>
          <w:szCs w:val="20"/>
          <w:color w:val="auto"/>
        </w:rPr>
      </w:pPr>
    </w:p>
    <w:p>
      <w:pPr>
        <w:jc w:val="center"/>
        <w:ind w:left="7720"/>
        <w:spacing w:after="0"/>
        <w:rPr>
          <w:sz w:val="20"/>
          <w:szCs w:val="20"/>
          <w:color w:val="auto"/>
        </w:rPr>
      </w:pPr>
      <w:r>
        <w:rPr>
          <w:rFonts w:ascii="Arial" w:cs="Arial" w:eastAsia="Arial" w:hAnsi="Arial"/>
          <w:sz w:val="20"/>
          <w:szCs w:val="20"/>
          <w:color w:val="auto"/>
        </w:rPr>
        <w:t>Three Months Ended</w:t>
      </w:r>
    </w:p>
    <w:p>
      <w:pPr>
        <w:spacing w:after="0" w:line="19" w:lineRule="exact"/>
        <w:rPr>
          <w:sz w:val="20"/>
          <w:szCs w:val="20"/>
          <w:color w:val="auto"/>
        </w:rPr>
      </w:pPr>
    </w:p>
    <w:p>
      <w:pPr>
        <w:jc w:val="center"/>
        <w:ind w:left="7720"/>
        <w:spacing w:after="0"/>
        <w:rPr>
          <w:sz w:val="20"/>
          <w:szCs w:val="20"/>
          <w:color w:val="auto"/>
        </w:rPr>
      </w:pPr>
      <w:r>
        <w:rPr>
          <w:rFonts w:ascii="Arial" w:cs="Arial" w:eastAsia="Arial" w:hAnsi="Arial"/>
          <w:sz w:val="20"/>
          <w:szCs w:val="20"/>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gridSpan w:val="2"/>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5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20"/>
                <w:szCs w:val="20"/>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860" w:type="dxa"/>
            <w:vAlign w:val="bottom"/>
            <w:gridSpan w:val="2"/>
          </w:tcPr>
          <w:p>
            <w:pPr>
              <w:spacing w:after="0"/>
              <w:rPr>
                <w:sz w:val="20"/>
                <w:szCs w:val="20"/>
                <w:color w:val="auto"/>
              </w:rPr>
            </w:pPr>
            <w:r>
              <w:rPr>
                <w:rFonts w:ascii="Arial" w:cs="Arial" w:eastAsia="Arial" w:hAnsi="Arial"/>
                <w:sz w:val="20"/>
                <w:szCs w:val="20"/>
                <w:b w:val="1"/>
                <w:bCs w:val="1"/>
                <w:color w:val="auto"/>
              </w:rPr>
              <w:t>Shipments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Aggregates (in thousands):</w:t>
            </w: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tcPr>
          <w:p>
            <w:pPr>
              <w:ind w:left="120"/>
              <w:spacing w:after="0"/>
              <w:rPr>
                <w:sz w:val="20"/>
                <w:szCs w:val="20"/>
                <w:color w:val="auto"/>
              </w:rPr>
            </w:pPr>
            <w:r>
              <w:rPr>
                <w:rFonts w:ascii="Arial" w:cs="Arial" w:eastAsia="Arial" w:hAnsi="Arial"/>
                <w:sz w:val="20"/>
                <w:szCs w:val="20"/>
                <w:color w:val="auto"/>
              </w:rPr>
              <w:t>Heritage:</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shd w:val="clear" w:color="auto" w:fill="CFF0FC"/>
          </w:tcPr>
          <w:p>
            <w:pPr>
              <w:ind w:left="360"/>
              <w:spacing w:after="0"/>
              <w:rPr>
                <w:sz w:val="20"/>
                <w:szCs w:val="20"/>
                <w:color w:val="auto"/>
              </w:rPr>
            </w:pPr>
            <w:r>
              <w:rPr>
                <w:rFonts w:ascii="Arial" w:cs="Arial" w:eastAsia="Arial" w:hAnsi="Arial"/>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31,732</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27,877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tcPr>
          <w:p>
            <w:pPr>
              <w:ind w:left="360"/>
              <w:spacing w:after="0"/>
              <w:rPr>
                <w:sz w:val="20"/>
                <w:szCs w:val="20"/>
                <w:color w:val="auto"/>
              </w:rPr>
            </w:pPr>
            <w:r>
              <w:rPr>
                <w:rFonts w:ascii="Arial" w:cs="Arial" w:eastAsia="Arial" w:hAnsi="Arial"/>
                <w:sz w:val="20"/>
                <w:szCs w:val="20"/>
                <w:color w:val="auto"/>
              </w:rPr>
              <w:t>Internal tons used in other product lines</w:t>
            </w:r>
          </w:p>
        </w:tc>
        <w:tc>
          <w:tcPr>
            <w:tcW w:w="580" w:type="dxa"/>
            <w:vAlign w:val="bottom"/>
          </w:tcPr>
          <w:p>
            <w:pPr>
              <w:jc w:val="right"/>
              <w:spacing w:after="0"/>
              <w:rPr>
                <w:sz w:val="20"/>
                <w:szCs w:val="20"/>
                <w:color w:val="auto"/>
              </w:rPr>
            </w:pPr>
            <w:r>
              <w:rPr>
                <w:rFonts w:ascii="Arial" w:cs="Arial" w:eastAsia="Arial" w:hAnsi="Arial"/>
                <w:sz w:val="20"/>
                <w:szCs w:val="20"/>
                <w:color w:val="auto"/>
              </w:rPr>
              <w:t>2,030</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2,143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Total heritage aggregates tons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33,762</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30,020</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120"/>
              <w:spacing w:after="0" w:line="222" w:lineRule="exact"/>
              <w:rPr>
                <w:sz w:val="20"/>
                <w:szCs w:val="20"/>
                <w:color w:val="auto"/>
              </w:rPr>
            </w:pPr>
            <w:r>
              <w:rPr>
                <w:rFonts w:ascii="Arial" w:cs="Arial" w:eastAsia="Arial" w:hAnsi="Arial"/>
                <w:sz w:val="20"/>
                <w:szCs w:val="20"/>
                <w:color w:val="auto"/>
              </w:rPr>
              <w:t>Acquisitions:</w:t>
            </w: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shd w:val="clear" w:color="auto" w:fill="CFF0FC"/>
          </w:tcPr>
          <w:p>
            <w:pPr>
              <w:ind w:left="360"/>
              <w:spacing w:after="0"/>
              <w:rPr>
                <w:sz w:val="20"/>
                <w:szCs w:val="20"/>
                <w:color w:val="auto"/>
              </w:rPr>
            </w:pPr>
            <w:r>
              <w:rPr>
                <w:rFonts w:ascii="Arial" w:cs="Arial" w:eastAsia="Arial" w:hAnsi="Arial"/>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3,524</w:t>
            </w:r>
          </w:p>
        </w:tc>
        <w:tc>
          <w:tcPr>
            <w:tcW w:w="2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tcPr>
          <w:p>
            <w:pPr>
              <w:ind w:left="360"/>
              <w:spacing w:after="0"/>
              <w:rPr>
                <w:sz w:val="20"/>
                <w:szCs w:val="20"/>
                <w:color w:val="auto"/>
              </w:rPr>
            </w:pPr>
            <w:r>
              <w:rPr>
                <w:rFonts w:ascii="Arial" w:cs="Arial" w:eastAsia="Arial" w:hAnsi="Arial"/>
                <w:sz w:val="20"/>
                <w:szCs w:val="20"/>
                <w:color w:val="auto"/>
              </w:rPr>
              <w:t>Internal tons used in other product lines</w:t>
            </w:r>
          </w:p>
        </w:tc>
        <w:tc>
          <w:tcPr>
            <w:tcW w:w="86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7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Total acquisition aggregates tons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3,524</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Cement (in thousands):</w:t>
            </w: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tcPr>
          <w:p>
            <w:pPr>
              <w:ind w:left="120"/>
              <w:spacing w:after="0"/>
              <w:rPr>
                <w:sz w:val="20"/>
                <w:szCs w:val="20"/>
                <w:color w:val="auto"/>
              </w:rPr>
            </w:pPr>
            <w:r>
              <w:rPr>
                <w:rFonts w:ascii="Arial" w:cs="Arial" w:eastAsia="Arial" w:hAnsi="Arial"/>
                <w:sz w:val="20"/>
                <w:szCs w:val="20"/>
                <w:color w:val="auto"/>
              </w:rPr>
              <w:t>Tons to external customers</w:t>
            </w:r>
          </w:p>
        </w:tc>
        <w:tc>
          <w:tcPr>
            <w:tcW w:w="580" w:type="dxa"/>
            <w:vAlign w:val="bottom"/>
          </w:tcPr>
          <w:p>
            <w:pPr>
              <w:jc w:val="right"/>
              <w:spacing w:after="0"/>
              <w:rPr>
                <w:sz w:val="20"/>
                <w:szCs w:val="20"/>
                <w:color w:val="auto"/>
              </w:rPr>
            </w:pPr>
            <w:r>
              <w:rPr>
                <w:rFonts w:ascii="Arial" w:cs="Arial" w:eastAsia="Arial" w:hAnsi="Arial"/>
                <w:sz w:val="20"/>
                <w:szCs w:val="20"/>
                <w:color w:val="auto"/>
              </w:rPr>
              <w:t>589</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527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shd w:val="clear" w:color="auto" w:fill="CFF0FC"/>
          </w:tcPr>
          <w:p>
            <w:pPr>
              <w:ind w:left="120"/>
              <w:spacing w:after="0"/>
              <w:rPr>
                <w:sz w:val="20"/>
                <w:szCs w:val="20"/>
                <w:color w:val="auto"/>
              </w:rPr>
            </w:pPr>
            <w:r>
              <w:rPr>
                <w:rFonts w:ascii="Arial" w:cs="Arial" w:eastAsia="Arial" w:hAnsi="Arial"/>
                <w:sz w:val="20"/>
                <w:szCs w:val="20"/>
                <w:color w:val="auto"/>
              </w:rPr>
              <w:t>Internal tons used in ready mixed concrete</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296</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860" w:type="dxa"/>
            <w:vAlign w:val="bottom"/>
            <w:gridSpan w:val="2"/>
          </w:tcPr>
          <w:p>
            <w:pPr>
              <w:spacing w:after="0"/>
              <w:rPr>
                <w:sz w:val="20"/>
                <w:szCs w:val="20"/>
                <w:color w:val="auto"/>
              </w:rPr>
            </w:pPr>
            <w:r>
              <w:rPr>
                <w:rFonts w:ascii="Arial" w:cs="Arial" w:eastAsia="Arial" w:hAnsi="Arial"/>
                <w:sz w:val="20"/>
                <w:szCs w:val="20"/>
                <w:color w:val="auto"/>
              </w:rPr>
              <w:t>Total cement tons</w:t>
            </w:r>
          </w:p>
        </w:tc>
        <w:tc>
          <w:tcPr>
            <w:tcW w:w="100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885</w:t>
            </w:r>
          </w:p>
        </w:tc>
        <w:tc>
          <w:tcPr>
            <w:tcW w:w="280" w:type="dxa"/>
            <w:vAlign w:val="bottom"/>
          </w:tcPr>
          <w:p>
            <w:pPr>
              <w:spacing w:after="0"/>
              <w:rPr>
                <w:sz w:val="23"/>
                <w:szCs w:val="23"/>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825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20" w:type="dxa"/>
            <w:vAlign w:val="bottom"/>
            <w:vMerge w:val="continue"/>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20"/>
                <w:szCs w:val="20"/>
                <w:color w:val="auto"/>
              </w:rPr>
              <w:t>Ready Mixed Concrete (in thousands of cubic yards)</w:t>
            </w:r>
          </w:p>
        </w:tc>
        <w:tc>
          <w:tcPr>
            <w:tcW w:w="580" w:type="dxa"/>
            <w:vAlign w:val="bottom"/>
          </w:tcPr>
          <w:p>
            <w:pPr>
              <w:jc w:val="right"/>
              <w:spacing w:after="0"/>
              <w:rPr>
                <w:sz w:val="20"/>
                <w:szCs w:val="20"/>
                <w:color w:val="auto"/>
              </w:rPr>
            </w:pPr>
            <w:r>
              <w:rPr>
                <w:rFonts w:ascii="Arial" w:cs="Arial" w:eastAsia="Arial" w:hAnsi="Arial"/>
                <w:sz w:val="20"/>
                <w:szCs w:val="20"/>
                <w:color w:val="auto"/>
              </w:rPr>
              <w:t>1,932</w:t>
            </w:r>
          </w:p>
        </w:tc>
        <w:tc>
          <w:tcPr>
            <w:tcW w:w="2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2,009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840" w:type="dxa"/>
            <w:vAlign w:val="bottom"/>
            <w:gridSpan w:val="2"/>
          </w:tcPr>
          <w:p>
            <w:pPr>
              <w:spacing w:after="0"/>
              <w:rPr>
                <w:sz w:val="20"/>
                <w:szCs w:val="20"/>
                <w:color w:val="auto"/>
              </w:rPr>
            </w:pPr>
            <w:r>
              <w:rPr>
                <w:rFonts w:ascii="Arial" w:cs="Arial" w:eastAsia="Arial" w:hAnsi="Arial"/>
                <w:sz w:val="20"/>
                <w:szCs w:val="20"/>
                <w:color w:val="auto"/>
              </w:rPr>
              <w:t>Asphalt (in thousands):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142</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gridSpan w:val="2"/>
          </w:tcPr>
          <w:p>
            <w:pPr>
              <w:ind w:left="240"/>
              <w:spacing w:after="0"/>
              <w:rPr>
                <w:sz w:val="20"/>
                <w:szCs w:val="20"/>
                <w:color w:val="auto"/>
              </w:rPr>
            </w:pPr>
            <w:r>
              <w:rPr>
                <w:rFonts w:ascii="Arial" w:cs="Arial" w:eastAsia="Arial" w:hAnsi="Arial"/>
                <w:sz w:val="20"/>
                <w:szCs w:val="20"/>
                <w:color w:val="auto"/>
              </w:rPr>
              <w:t>Internal tons used in paving business</w:t>
            </w:r>
          </w:p>
        </w:tc>
        <w:tc>
          <w:tcPr>
            <w:tcW w:w="580" w:type="dxa"/>
            <w:vAlign w:val="bottom"/>
          </w:tcPr>
          <w:p>
            <w:pPr>
              <w:jc w:val="right"/>
              <w:spacing w:after="0"/>
              <w:rPr>
                <w:sz w:val="20"/>
                <w:szCs w:val="20"/>
                <w:color w:val="auto"/>
              </w:rPr>
            </w:pPr>
            <w:r>
              <w:rPr>
                <w:rFonts w:ascii="Arial" w:cs="Arial" w:eastAsia="Arial" w:hAnsi="Arial"/>
                <w:sz w:val="20"/>
                <w:szCs w:val="20"/>
                <w:color w:val="auto"/>
              </w:rPr>
              <w:t>51</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76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asphalt tons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193</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192</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Cement shipments and pricing increased 7.3% and 3.8%, respectively, as these operations benefitted from solid underlying demand in Texas, a new Houston-area sales yard and enhanced product line. Extended maintenance outages, including the acceleration of maintenance activities originally planned for later in the year, and higher transportation costs contributed to the 1,270-basis-point reduction in product gross margin to 13.9%.</w:t>
      </w:r>
    </w:p>
    <w:p>
      <w:pPr>
        <w:spacing w:after="0" w:line="8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Ready mixed concrete shipments decreased 3.8%, driven by cold and wet winter weather in Colorado. Overall, ready mixed concrete prices improved 0.5% for the quarter, led by a 3.0% increase in Colorado. Restructuring initiatives implemented in 2018 have improved profitability for the Southwest ready mixed concrete business despite relatively flat shipments. Colorado asphalt shipments declined while pricing improved 3.9%.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First Quarter Ended March 31, 2019</w:t>
      </w: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Magnesia Specialties reported record first-quarter total products revenue of $69.2 million, an increase of 6.6%, compared with $64.9 million, attributable to continued benefit from strong domestic steel production and increased global demand for magnesia chemical products. Products gross profit was $26.6 million compared with $25.1 million. Product gross margin was relatively flat at 38.5% as pricing gains and production efficiencies were offset by higher costs for supplies and contract services. Earnings from operations were $22.6 million compared with $21.2 million.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9400" w:type="dxa"/>
            <w:vAlign w:val="bottom"/>
            <w:gridSpan w:val="2"/>
          </w:tcPr>
          <w:p>
            <w:pPr>
              <w:spacing w:after="0"/>
              <w:rPr>
                <w:sz w:val="20"/>
                <w:szCs w:val="20"/>
                <w:color w:val="auto"/>
              </w:rPr>
            </w:pPr>
            <w:r>
              <w:rPr>
                <w:rFonts w:ascii="Arial" w:cs="Arial" w:eastAsia="Arial" w:hAnsi="Arial"/>
                <w:sz w:val="20"/>
                <w:szCs w:val="20"/>
                <w:i w:val="1"/>
                <w:iCs w:val="1"/>
                <w:color w:val="auto"/>
              </w:rPr>
              <w:t>Gross Profit</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9400" w:type="dxa"/>
            <w:vAlign w:val="bottom"/>
            <w:gridSpan w:val="2"/>
          </w:tcPr>
          <w:p>
            <w:pPr>
              <w:spacing w:after="0"/>
              <w:rPr>
                <w:sz w:val="20"/>
                <w:szCs w:val="20"/>
                <w:color w:val="auto"/>
              </w:rPr>
            </w:pPr>
            <w:r>
              <w:rPr>
                <w:rFonts w:ascii="Arial" w:cs="Arial" w:eastAsia="Arial" w:hAnsi="Arial"/>
                <w:sz w:val="20"/>
                <w:szCs w:val="20"/>
                <w:color w:val="auto"/>
              </w:rPr>
              <w:t>The following presents a rollforward of consolidated gross profit (dollars in thousands):</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93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20"/>
                <w:szCs w:val="20"/>
                <w:color w:val="auto"/>
              </w:rPr>
              <w:t>Consolidated gross profit, quarter ended March 31, 2018</w:t>
            </w:r>
          </w:p>
        </w:tc>
        <w:tc>
          <w:tcPr>
            <w:tcW w:w="680" w:type="dxa"/>
            <w:vAlign w:val="bottom"/>
            <w:gridSpan w:val="2"/>
            <w:shd w:val="clear" w:color="auto" w:fill="CFF0FC"/>
          </w:tcPr>
          <w:p>
            <w:pPr>
              <w:jc w:val="right"/>
              <w:ind w:right="503"/>
              <w:spacing w:after="0"/>
              <w:rPr>
                <w:sz w:val="20"/>
                <w:szCs w:val="20"/>
                <w:color w:val="auto"/>
              </w:rPr>
            </w:pPr>
            <w:r>
              <w:rPr>
                <w:rFonts w:ascii="Arial" w:cs="Arial" w:eastAsia="Arial" w:hAnsi="Arial"/>
                <w:sz w:val="20"/>
                <w:szCs w:val="2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110,392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400" w:type="dxa"/>
            <w:vAlign w:val="bottom"/>
            <w:gridSpan w:val="2"/>
          </w:tcPr>
          <w:p>
            <w:pPr>
              <w:spacing w:after="0"/>
              <w:rPr>
                <w:sz w:val="20"/>
                <w:szCs w:val="20"/>
                <w:color w:val="auto"/>
              </w:rPr>
            </w:pPr>
            <w:r>
              <w:rPr>
                <w:rFonts w:ascii="Arial" w:cs="Arial" w:eastAsia="Arial" w:hAnsi="Arial"/>
                <w:sz w:val="20"/>
                <w:szCs w:val="20"/>
                <w:color w:val="auto"/>
              </w:rPr>
              <w:t>Aggregates products:</w:t>
            </w:r>
          </w:p>
        </w:tc>
        <w:tc>
          <w:tcPr>
            <w:tcW w:w="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Volume</w:t>
            </w:r>
          </w:p>
        </w:tc>
        <w:tc>
          <w:tcPr>
            <w:tcW w:w="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33,022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80" w:type="dxa"/>
            <w:vAlign w:val="bottom"/>
          </w:tcPr>
          <w:p>
            <w:pPr>
              <w:ind w:left="240"/>
              <w:spacing w:after="0"/>
              <w:rPr>
                <w:sz w:val="20"/>
                <w:szCs w:val="20"/>
                <w:color w:val="auto"/>
              </w:rPr>
            </w:pPr>
            <w:r>
              <w:rPr>
                <w:rFonts w:ascii="Arial" w:cs="Arial" w:eastAsia="Arial" w:hAnsi="Arial"/>
                <w:sz w:val="20"/>
                <w:szCs w:val="20"/>
                <w:color w:val="auto"/>
              </w:rPr>
              <w:t>Pricing</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11,935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 xml:space="preserve">Operational performance </w:t>
            </w:r>
            <w:r>
              <w:rPr>
                <w:rFonts w:ascii="Arial" w:cs="Arial" w:eastAsia="Arial" w:hAnsi="Arial"/>
                <w:sz w:val="16"/>
                <w:szCs w:val="16"/>
                <w:color w:val="auto"/>
              </w:rPr>
              <w:t>(1)</w:t>
            </w:r>
          </w:p>
        </w:tc>
        <w:tc>
          <w:tcPr>
            <w:tcW w:w="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(397)</w:t>
            </w:r>
          </w:p>
        </w:tc>
        <w:tc>
          <w:tcPr>
            <w:tcW w:w="0" w:type="dxa"/>
            <w:vAlign w:val="bottom"/>
          </w:tcPr>
          <w:p>
            <w:pPr>
              <w:spacing w:after="0"/>
              <w:rPr>
                <w:sz w:val="1"/>
                <w:szCs w:val="1"/>
                <w:color w:val="auto"/>
              </w:rPr>
            </w:pPr>
          </w:p>
        </w:tc>
      </w:tr>
      <w:tr>
        <w:trPr>
          <w:trHeight w:val="235"/>
        </w:trPr>
        <w:tc>
          <w:tcPr>
            <w:tcW w:w="9400" w:type="dxa"/>
            <w:vAlign w:val="bottom"/>
            <w:gridSpan w:val="2"/>
          </w:tcPr>
          <w:p>
            <w:pPr>
              <w:spacing w:after="0"/>
              <w:rPr>
                <w:sz w:val="20"/>
                <w:szCs w:val="20"/>
                <w:color w:val="auto"/>
              </w:rPr>
            </w:pPr>
            <w:r>
              <w:rPr>
                <w:rFonts w:ascii="Arial" w:cs="Arial" w:eastAsia="Arial" w:hAnsi="Arial"/>
                <w:sz w:val="20"/>
                <w:szCs w:val="20"/>
                <w:color w:val="auto"/>
              </w:rPr>
              <w:t>Change in aggregates products gross profit</w:t>
            </w:r>
          </w:p>
        </w:tc>
        <w:tc>
          <w:tcPr>
            <w:tcW w:w="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44,560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20"/>
                <w:szCs w:val="20"/>
                <w:color w:val="auto"/>
              </w:rPr>
              <w:t>Cement products and downstream products and services</w:t>
            </w:r>
          </w:p>
        </w:tc>
        <w:tc>
          <w:tcPr>
            <w:tcW w:w="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(11,294)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80" w:type="dxa"/>
            <w:vAlign w:val="bottom"/>
          </w:tcPr>
          <w:p>
            <w:pPr>
              <w:spacing w:after="0"/>
              <w:rPr>
                <w:sz w:val="20"/>
                <w:szCs w:val="20"/>
                <w:color w:val="auto"/>
              </w:rPr>
            </w:pPr>
            <w:r>
              <w:rPr>
                <w:rFonts w:ascii="Arial" w:cs="Arial" w:eastAsia="Arial" w:hAnsi="Arial"/>
                <w:sz w:val="20"/>
                <w:szCs w:val="20"/>
                <w:color w:val="auto"/>
              </w:rPr>
              <w:t>Magnesia Specialties products</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1,544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(2,358)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Freight</w:t>
            </w:r>
          </w:p>
        </w:tc>
        <w:tc>
          <w:tcPr>
            <w:tcW w:w="20" w:type="dxa"/>
            <w:vAlign w:val="bottom"/>
            <w:tcBorders>
              <w:bottom w:val="single" w:sz="8" w:color="CFF0FC"/>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20"/>
                <w:szCs w:val="20"/>
                <w:color w:val="auto"/>
              </w:rPr>
              <w:t>Change in consolidated gross profit</w:t>
            </w:r>
          </w:p>
        </w:tc>
        <w:tc>
          <w:tcPr>
            <w:tcW w:w="20" w:type="dxa"/>
            <w:vAlign w:val="bottom"/>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32,515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400" w:type="dxa"/>
            <w:vAlign w:val="bottom"/>
            <w:gridSpan w:val="2"/>
          </w:tcPr>
          <w:p>
            <w:pPr>
              <w:spacing w:after="0"/>
              <w:rPr>
                <w:sz w:val="20"/>
                <w:szCs w:val="20"/>
                <w:color w:val="auto"/>
              </w:rPr>
            </w:pPr>
            <w:r>
              <w:rPr>
                <w:rFonts w:ascii="Arial" w:cs="Arial" w:eastAsia="Arial" w:hAnsi="Arial"/>
                <w:sz w:val="20"/>
                <w:szCs w:val="20"/>
                <w:color w:val="auto"/>
              </w:rPr>
              <w:t>Consolidated gross profit, quarter ended March 31, 2019</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142,907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380" w:hanging="373"/>
        <w:spacing w:after="0"/>
        <w:tabs>
          <w:tab w:leader="none" w:pos="380" w:val="left"/>
        </w:tabs>
        <w:numPr>
          <w:ilvl w:val="0"/>
          <w:numId w:val="14"/>
        </w:numPr>
        <w:rPr>
          <w:rFonts w:ascii="Arial" w:cs="Arial" w:eastAsia="Arial" w:hAnsi="Arial"/>
          <w:sz w:val="15"/>
          <w:szCs w:val="15"/>
          <w:i w:val="1"/>
          <w:iCs w:val="1"/>
          <w:color w:val="auto"/>
        </w:rPr>
      </w:pPr>
      <w:r>
        <w:rPr>
          <w:rFonts w:ascii="Arial" w:cs="Arial" w:eastAsia="Arial" w:hAnsi="Arial"/>
          <w:sz w:val="15"/>
          <w:szCs w:val="15"/>
          <w:i w:val="1"/>
          <w:iCs w:val="1"/>
          <w:color w:val="auto"/>
        </w:rPr>
        <w:t>Inclusive of cost increases/decreases, product and geographic mix and other operating impacts</w:t>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Aggregates product gross margin increased 550 basis points to 18.0%, reflecting improved operating leverage from increased shipment and production levels. Extended cement maintenance outages, including the acceleration of maintenance activities originally planned for later in the year, and higher rail freight costs contributed to the 1,270-basis-point reduction in product gross margin to 13.9%.</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Consolidated SG&amp;A was 8.3% of total revenues compared with 8.7% in the prior-year quarter. Earnings from operations for the quarter were $69.2 million in 2019 compared with $39.1 million in 2018.</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Among other items, other operating income (expenses), net, includes gains and losses on the sale of assets; recoveries and writeoffs related to customer accounts receivable; rental, royalty and services income; accretion expense, depreciation expense and gains and losses related to asset retirement obligations. For the first quarter, consolidated other operating income (expenses), net, was income of $4.8 million in 2019 and expense of $0.5 million in 2018. The 2019 amount reflects the reversal of a $4.2 million purchase accounting accrual related to the Texas Industries, Inc. acquisition and higher gains on the sales of assets.</w:t>
      </w:r>
    </w:p>
    <w:p>
      <w:pPr>
        <w:spacing w:after="0" w:line="7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Other nonoperating income, net, includes interest income; pension and postretirement benefit cost, excluding service cost; foreign currency transaction gains and losses; equity in earnings or losses of nonconsolidated affiliates and other miscellaneous income. For the first quarter, other nonoperating income, net, was $1.6 million and $8.5 million in 2019 and 2018, respectively. The decrease in 2019 is primarily due to higher interest income in 2018.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First Quarter Ended March 31, 2019</w:t>
      </w:r>
    </w:p>
    <w:p>
      <w:pPr>
        <w:jc w:val="center"/>
        <w:spacing w:after="0"/>
        <w:rPr>
          <w:sz w:val="20"/>
          <w:szCs w:val="20"/>
          <w:color w:val="auto"/>
        </w:rPr>
      </w:pPr>
      <w:r>
        <w:rPr>
          <w:rFonts w:ascii="Arial" w:cs="Arial" w:eastAsia="Arial" w:hAnsi="Arial"/>
          <w:sz w:val="20"/>
          <w:szCs w:val="20"/>
          <w:color w:val="auto"/>
        </w:rPr>
        <w:t>(Continued)</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Benefit</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For the three months ended March 31, 2019, the effective income tax rate includes a $13.2 million discrete benefit from a change in the tax status of a subsidiary from a partnership to a corporation, contributing to an overall tax benefit of $5.0 million.</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Cash provided by operating activities for the three months ended March 31 was $117.9 million in 2019 compared with $105.0 million in 2018. Operating cash flow is primarily derived from consolidated net earnings before deducting depreciation, depletion and amortization, and the impact of changes in working capital. Depreciation, depletion and amortization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840" w:type="dxa"/>
            <w:vAlign w:val="bottom"/>
          </w:tcPr>
          <w:p>
            <w:pPr>
              <w:spacing w:after="0"/>
              <w:rPr>
                <w:sz w:val="21"/>
                <w:szCs w:val="21"/>
                <w:color w:val="auto"/>
              </w:rPr>
            </w:pPr>
          </w:p>
        </w:tc>
        <w:tc>
          <w:tcPr>
            <w:tcW w:w="2880" w:type="dxa"/>
            <w:vAlign w:val="bottom"/>
            <w:gridSpan w:val="4"/>
          </w:tcPr>
          <w:p>
            <w:pPr>
              <w:jc w:val="center"/>
              <w:ind w:left="482"/>
              <w:spacing w:after="0"/>
              <w:rPr>
                <w:sz w:val="20"/>
                <w:szCs w:val="20"/>
                <w:color w:val="auto"/>
              </w:rPr>
            </w:pPr>
            <w:r>
              <w:rPr>
                <w:rFonts w:ascii="Arial" w:cs="Arial" w:eastAsia="Arial" w:hAnsi="Arial"/>
                <w:sz w:val="20"/>
                <w:szCs w:val="20"/>
                <w:color w:val="auto"/>
                <w:w w:val="88"/>
              </w:rPr>
              <w:t>Three Months Ended</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5"/>
        </w:trPr>
        <w:tc>
          <w:tcPr>
            <w:tcW w:w="784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ind w:right="342"/>
              <w:spacing w:after="0"/>
              <w:rPr>
                <w:sz w:val="20"/>
                <w:szCs w:val="20"/>
                <w:color w:val="auto"/>
              </w:rPr>
            </w:pPr>
            <w:r>
              <w:rPr>
                <w:rFonts w:ascii="Arial" w:cs="Arial" w:eastAsia="Arial" w:hAnsi="Arial"/>
                <w:sz w:val="20"/>
                <w:szCs w:val="20"/>
                <w:color w:val="auto"/>
                <w:w w:val="92"/>
              </w:rPr>
              <w:t>March 31,</w:t>
            </w: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5"/>
        </w:trPr>
        <w:tc>
          <w:tcPr>
            <w:tcW w:w="78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5"/>
        </w:trPr>
        <w:tc>
          <w:tcPr>
            <w:tcW w:w="7840" w:type="dxa"/>
            <w:vAlign w:val="bottom"/>
          </w:tcPr>
          <w:p>
            <w:pPr>
              <w:spacing w:after="0"/>
              <w:rPr>
                <w:sz w:val="20"/>
                <w:szCs w:val="20"/>
                <w:color w:val="auto"/>
              </w:rPr>
            </w:pPr>
          </w:p>
        </w:tc>
        <w:tc>
          <w:tcPr>
            <w:tcW w:w="2880" w:type="dxa"/>
            <w:vAlign w:val="bottom"/>
            <w:gridSpan w:val="4"/>
          </w:tcPr>
          <w:p>
            <w:pPr>
              <w:jc w:val="center"/>
              <w:ind w:left="462"/>
              <w:spacing w:after="0"/>
              <w:rPr>
                <w:sz w:val="20"/>
                <w:szCs w:val="20"/>
                <w:color w:val="auto"/>
              </w:rPr>
            </w:pPr>
            <w:r>
              <w:rPr>
                <w:rFonts w:ascii="Arial" w:cs="Arial" w:eastAsia="Arial" w:hAnsi="Arial"/>
                <w:sz w:val="20"/>
                <w:szCs w:val="20"/>
                <w:i w:val="1"/>
                <w:iCs w:val="1"/>
                <w:color w:val="auto"/>
                <w:w w:val="91"/>
              </w:rPr>
              <w:t>(Dollars in Thousands)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2"/>
        </w:trPr>
        <w:tc>
          <w:tcPr>
            <w:tcW w:w="7840" w:type="dxa"/>
            <w:vAlign w:val="bottom"/>
            <w:shd w:val="clear" w:color="auto" w:fill="CFF0FC"/>
          </w:tcPr>
          <w:p>
            <w:pPr>
              <w:spacing w:after="0"/>
              <w:rPr>
                <w:sz w:val="20"/>
                <w:szCs w:val="20"/>
                <w:color w:val="auto"/>
              </w:rPr>
            </w:pPr>
            <w:r>
              <w:rPr>
                <w:rFonts w:ascii="Arial" w:cs="Arial" w:eastAsia="Arial" w:hAnsi="Arial"/>
                <w:sz w:val="20"/>
                <w:szCs w:val="20"/>
                <w:color w:val="auto"/>
              </w:rPr>
              <w:t>Depreciation</w:t>
            </w:r>
          </w:p>
        </w:tc>
        <w:tc>
          <w:tcPr>
            <w:tcW w:w="1020" w:type="dxa"/>
            <w:vAlign w:val="bottom"/>
            <w:shd w:val="clear" w:color="auto" w:fill="CFF0FC"/>
          </w:tcPr>
          <w:p>
            <w:pPr>
              <w:jc w:val="right"/>
              <w:ind w:right="822"/>
              <w:spacing w:after="0"/>
              <w:rPr>
                <w:sz w:val="20"/>
                <w:szCs w:val="20"/>
                <w:color w:val="auto"/>
              </w:rPr>
            </w:pPr>
            <w:r>
              <w:rPr>
                <w:rFonts w:ascii="Arial" w:cs="Arial" w:eastAsia="Arial" w:hAnsi="Arial"/>
                <w:sz w:val="20"/>
                <w:szCs w:val="2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78,069</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802"/>
              <w:spacing w:after="0"/>
              <w:rPr>
                <w:sz w:val="20"/>
                <w:szCs w:val="20"/>
                <w:color w:val="auto"/>
              </w:rPr>
            </w:pPr>
            <w:r>
              <w:rPr>
                <w:rFonts w:ascii="Arial" w:cs="Arial" w:eastAsia="Arial" w:hAnsi="Arial"/>
                <w:sz w:val="20"/>
                <w:szCs w:val="2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69,151</w:t>
            </w:r>
          </w:p>
        </w:tc>
        <w:tc>
          <w:tcPr>
            <w:tcW w:w="120" w:type="dxa"/>
            <w:vAlign w:val="bottom"/>
            <w:shd w:val="clear" w:color="auto" w:fill="CFF0FC"/>
          </w:tcPr>
          <w:p>
            <w:pPr>
              <w:spacing w:after="0"/>
              <w:rPr>
                <w:sz w:val="21"/>
                <w:szCs w:val="21"/>
                <w:color w:val="auto"/>
              </w:rPr>
            </w:pPr>
          </w:p>
        </w:tc>
      </w:tr>
      <w:tr>
        <w:trPr>
          <w:trHeight w:val="242"/>
        </w:trPr>
        <w:tc>
          <w:tcPr>
            <w:tcW w:w="7840" w:type="dxa"/>
            <w:vAlign w:val="bottom"/>
          </w:tcPr>
          <w:p>
            <w:pPr>
              <w:spacing w:after="0"/>
              <w:rPr>
                <w:sz w:val="20"/>
                <w:szCs w:val="20"/>
                <w:color w:val="auto"/>
              </w:rPr>
            </w:pPr>
            <w:r>
              <w:rPr>
                <w:rFonts w:ascii="Arial" w:cs="Arial" w:eastAsia="Arial" w:hAnsi="Arial"/>
                <w:sz w:val="20"/>
                <w:szCs w:val="20"/>
                <w:color w:val="auto"/>
              </w:rPr>
              <w:t>Depletion</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5,925</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3,141</w:t>
            </w:r>
          </w:p>
        </w:tc>
        <w:tc>
          <w:tcPr>
            <w:tcW w:w="120" w:type="dxa"/>
            <w:vAlign w:val="bottom"/>
          </w:tcPr>
          <w:p>
            <w:pPr>
              <w:spacing w:after="0"/>
              <w:rPr>
                <w:sz w:val="21"/>
                <w:szCs w:val="21"/>
                <w:color w:val="auto"/>
              </w:rPr>
            </w:pPr>
          </w:p>
        </w:tc>
      </w:tr>
      <w:tr>
        <w:trPr>
          <w:trHeight w:val="242"/>
        </w:trPr>
        <w:tc>
          <w:tcPr>
            <w:tcW w:w="7840" w:type="dxa"/>
            <w:vAlign w:val="bottom"/>
            <w:shd w:val="clear" w:color="auto" w:fill="CFF0FC"/>
          </w:tcPr>
          <w:p>
            <w:pPr>
              <w:spacing w:after="0"/>
              <w:rPr>
                <w:sz w:val="20"/>
                <w:szCs w:val="20"/>
                <w:color w:val="auto"/>
              </w:rPr>
            </w:pPr>
            <w:r>
              <w:rPr>
                <w:rFonts w:ascii="Arial" w:cs="Arial" w:eastAsia="Arial" w:hAnsi="Arial"/>
                <w:sz w:val="20"/>
                <w:szCs w:val="20"/>
                <w:color w:val="auto"/>
              </w:rPr>
              <w:t>Amortization</w:t>
            </w:r>
          </w:p>
        </w:tc>
        <w:tc>
          <w:tcPr>
            <w:tcW w:w="10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5,217</w:t>
            </w:r>
          </w:p>
        </w:tc>
        <w:tc>
          <w:tcPr>
            <w:tcW w:w="280" w:type="dxa"/>
            <w:vAlign w:val="bottom"/>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4,529</w:t>
            </w:r>
          </w:p>
        </w:tc>
        <w:tc>
          <w:tcPr>
            <w:tcW w:w="120" w:type="dxa"/>
            <w:vAlign w:val="bottom"/>
            <w:shd w:val="clear" w:color="auto" w:fill="CFF0FC"/>
          </w:tcPr>
          <w:p>
            <w:pPr>
              <w:spacing w:after="0"/>
              <w:rPr>
                <w:sz w:val="21"/>
                <w:szCs w:val="21"/>
                <w:color w:val="auto"/>
              </w:rPr>
            </w:pPr>
          </w:p>
        </w:tc>
      </w:tr>
      <w:tr>
        <w:trPr>
          <w:trHeight w:val="235"/>
        </w:trPr>
        <w:tc>
          <w:tcPr>
            <w:tcW w:w="7840" w:type="dxa"/>
            <w:vAlign w:val="bottom"/>
          </w:tcPr>
          <w:p>
            <w:pPr>
              <w:spacing w:after="0"/>
              <w:rPr>
                <w:sz w:val="20"/>
                <w:szCs w:val="20"/>
                <w:color w:val="auto"/>
              </w:rPr>
            </w:pPr>
          </w:p>
        </w:tc>
        <w:tc>
          <w:tcPr>
            <w:tcW w:w="1020" w:type="dxa"/>
            <w:vAlign w:val="bottom"/>
            <w:tcBorders>
              <w:bottom w:val="single" w:sz="8" w:color="auto"/>
            </w:tcBorders>
          </w:tcPr>
          <w:p>
            <w:pPr>
              <w:jc w:val="right"/>
              <w:ind w:right="822"/>
              <w:spacing w:after="0"/>
              <w:rPr>
                <w:sz w:val="20"/>
                <w:szCs w:val="20"/>
                <w:color w:val="auto"/>
              </w:rPr>
            </w:pPr>
            <w:r>
              <w:rPr>
                <w:rFonts w:ascii="Arial" w:cs="Arial" w:eastAsia="Arial" w:hAnsi="Arial"/>
                <w:sz w:val="20"/>
                <w:szCs w:val="2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89,211</w:t>
            </w:r>
          </w:p>
        </w:tc>
        <w:tc>
          <w:tcPr>
            <w:tcW w:w="280" w:type="dxa"/>
            <w:vAlign w:val="bottom"/>
          </w:tcPr>
          <w:p>
            <w:pPr>
              <w:spacing w:after="0"/>
              <w:rPr>
                <w:sz w:val="20"/>
                <w:szCs w:val="20"/>
                <w:color w:val="auto"/>
              </w:rPr>
            </w:pPr>
          </w:p>
        </w:tc>
        <w:tc>
          <w:tcPr>
            <w:tcW w:w="1000" w:type="dxa"/>
            <w:vAlign w:val="bottom"/>
            <w:tcBorders>
              <w:bottom w:val="single" w:sz="8" w:color="auto"/>
            </w:tcBorders>
          </w:tcPr>
          <w:p>
            <w:pPr>
              <w:jc w:val="right"/>
              <w:ind w:right="802"/>
              <w:spacing w:after="0"/>
              <w:rPr>
                <w:sz w:val="20"/>
                <w:szCs w:val="20"/>
                <w:color w:val="auto"/>
              </w:rPr>
            </w:pPr>
            <w:r>
              <w:rPr>
                <w:rFonts w:ascii="Arial" w:cs="Arial" w:eastAsia="Arial" w:hAnsi="Arial"/>
                <w:sz w:val="20"/>
                <w:szCs w:val="2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76,821</w:t>
            </w:r>
          </w:p>
        </w:tc>
        <w:tc>
          <w:tcPr>
            <w:tcW w:w="120" w:type="dxa"/>
            <w:vAlign w:val="bottom"/>
          </w:tcPr>
          <w:p>
            <w:pPr>
              <w:spacing w:after="0"/>
              <w:rPr>
                <w:sz w:val="20"/>
                <w:szCs w:val="20"/>
                <w:color w:val="auto"/>
              </w:rPr>
            </w:pPr>
          </w:p>
        </w:tc>
      </w:tr>
      <w:tr>
        <w:trPr>
          <w:trHeight w:val="20"/>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seasonal nature of construction activity impacts the Company’s quarterly operating cash flow when compared with the full year. Full-year 2018 net cash provided by operating activities was $705.1 million.</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During the three months ended March 31, 2019, the Company paid $130.1 million for capital investments. Full-year capital spending is expected to range from $350 million to $400 million.</w:t>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can repurchase its common stock through open-market purchases pursuant to authority granted by its Board of Directors or through private transactions at such prices and upon such terms as the Chief Executive Officer deems appropriate. The Company did not repurchase any shares of common stock during the first three months of 2019. At March 31, 2019, 14,147,751 shares of common stock were remaining under the Company’s repurchase authorization.</w:t>
      </w:r>
    </w:p>
    <w:p>
      <w:pPr>
        <w:spacing w:after="0" w:line="8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$700 million Revolving Facility requires the Company’s ratio of consolidated debt-to-consolidated EBITDA, as defined, for the trailing-twelve-month period (the Ratio) to not exceed 3.50x as of the end of any fiscal quarter, provided that the Company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$400 million Trade Receivable Facility, consolidated debt, including debt for which the Company is a co-borrower, may be reduced by the Company’s unrestricted cash and cash equivalents in excess of $50 million, such reduction not to exceed $200 million, for purposes of the covenant calculation.</w:t>
      </w:r>
    </w:p>
    <w:p>
      <w:pPr>
        <w:spacing w:after="0" w:line="8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Ratio is calculated as debt, including debt for which the Company is a co-borrower, divided by consolidated EBITDA, as defined by the Company’s Revolving Facility, for the trailing-twelve months. Consolidated EBITDA is generally defined as earnings before interest expense, income tax expense, and depreciation and amortization expense for continuing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35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First Quarter Ended March 31, 2019</w:t>
      </w: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operations. Additionally, stock-based compensation expense is added back and interest income is deducted in the calculation of consolidated EBITDA. During periods that include an acquisition, pre-acquisition adjusted EBITDA of the acquired company is added to consolidated EBITDA as if the acquisition occurred on the first day of the calculation period. Certain other nonrecurring items, if they occur, can affect the calculation of consolidated EBITDA.</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At March 31, 2019, the Company’s ratio of consolidated debt-to-consolidated EBITDA, as defined by the Company’s Revolving Facility, for the trailing-twelve months was 2.71 times and was calculated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940"/>
        <w:spacing w:after="0" w:line="256" w:lineRule="auto"/>
        <w:rPr>
          <w:sz w:val="20"/>
          <w:szCs w:val="20"/>
          <w:color w:val="auto"/>
        </w:rPr>
      </w:pPr>
      <w:r>
        <w:rPr>
          <w:rFonts w:ascii="Arial" w:cs="Arial" w:eastAsia="Arial" w:hAnsi="Arial"/>
          <w:sz w:val="20"/>
          <w:szCs w:val="20"/>
          <w:color w:val="auto"/>
        </w:rPr>
        <w:t>Earnings from continuing operations attributable to Martin Marietta Add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-308610</wp:posOffset>
            </wp:positionV>
            <wp:extent cx="7247255" cy="1536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7255" cy="153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-1905</wp:posOffset>
            </wp:positionV>
            <wp:extent cx="7247255" cy="1536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7255" cy="153670"/>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Income tax expense</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47255" cy="1536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7255" cy="153670"/>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Depreciation, depletion and amortization expense</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47255" cy="1536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7255" cy="153670"/>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Acquisition-related expenses, net</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Bluegrass EBITDA - Pre-Acquisition (April 1, 2018 - April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247255" cy="1536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7255" cy="153670"/>
                    </a:xfrm>
                    <a:prstGeom prst="rect">
                      <a:avLst/>
                    </a:prstGeom>
                    <a:noFill/>
                  </pic:spPr>
                </pic:pic>
              </a:graphicData>
            </a:graphic>
          </wp:anchor>
        </w:drawing>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Noncash portion of restructuring expenses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7247255" cy="1536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7255" cy="153670"/>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47255" cy="153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7255" cy="153670"/>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Gain on divestiture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Consolidated EBITDA, as defined by the Company’s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247255" cy="323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7255" cy="323850"/>
                    </a:xfrm>
                    <a:prstGeom prst="rect">
                      <a:avLst/>
                    </a:prstGeom>
                    <a:noFill/>
                  </pic:spPr>
                </pic:pic>
              </a:graphicData>
            </a:graphic>
          </wp:anchor>
        </w:drawing>
      </w:r>
    </w:p>
    <w:p>
      <w:pPr>
        <w:spacing w:after="0" w:line="66" w:lineRule="exact"/>
        <w:rPr>
          <w:sz w:val="20"/>
          <w:szCs w:val="20"/>
          <w:color w:val="auto"/>
        </w:rPr>
      </w:pPr>
    </w:p>
    <w:p>
      <w:pPr>
        <w:ind w:left="260" w:right="3040" w:hanging="245"/>
        <w:spacing w:after="0" w:line="258" w:lineRule="auto"/>
        <w:rPr>
          <w:sz w:val="20"/>
          <w:szCs w:val="20"/>
          <w:color w:val="auto"/>
        </w:rPr>
      </w:pPr>
      <w:r>
        <w:rPr>
          <w:rFonts w:ascii="Arial" w:cs="Arial" w:eastAsia="Arial" w:hAnsi="Arial"/>
          <w:sz w:val="20"/>
          <w:szCs w:val="20"/>
          <w:color w:val="auto"/>
        </w:rPr>
        <w:t>Consolidated net debt, as defined and including debt for which the Company is a co-borrower, at March 31, 2019</w:t>
      </w:r>
    </w:p>
    <w:p>
      <w:pPr>
        <w:spacing w:after="0" w:line="16" w:lineRule="exact"/>
        <w:rPr>
          <w:sz w:val="20"/>
          <w:szCs w:val="20"/>
          <w:color w:val="auto"/>
        </w:rPr>
      </w:pPr>
    </w:p>
    <w:p>
      <w:pPr>
        <w:ind w:left="260" w:right="2420" w:hanging="245"/>
        <w:spacing w:after="0" w:line="248" w:lineRule="auto"/>
        <w:rPr>
          <w:sz w:val="20"/>
          <w:szCs w:val="20"/>
          <w:color w:val="auto"/>
        </w:rPr>
      </w:pPr>
      <w:r>
        <w:rPr>
          <w:rFonts w:ascii="Arial" w:cs="Arial" w:eastAsia="Arial" w:hAnsi="Arial"/>
          <w:sz w:val="20"/>
          <w:szCs w:val="20"/>
          <w:color w:val="auto"/>
        </w:rPr>
        <w:t>Consolidated debt-to-consolidated EBITDA, as defined by the Company’s Revolving Facility, at March 31, 2019 for the trailing-twelve months EBITDA</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April 1, 2018 to</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1457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57960" cy="8255"/>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20"/>
          <w:szCs w:val="20"/>
          <w:i w:val="1"/>
          <w:iCs w:val="1"/>
          <w:color w:val="auto"/>
        </w:rPr>
        <w:t>(Dollars in thousands)</w:t>
      </w:r>
    </w:p>
    <w:p>
      <w:pPr>
        <w:spacing w:after="0" w:line="19" w:lineRule="exact"/>
        <w:rPr>
          <w:sz w:val="20"/>
          <w:szCs w:val="20"/>
          <w:color w:val="auto"/>
        </w:rPr>
      </w:pPr>
    </w:p>
    <w:p>
      <w:pPr>
        <w:spacing w:after="0"/>
        <w:tabs>
          <w:tab w:leader="none" w:pos="16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502,828</w:t>
      </w:r>
    </w:p>
    <w:p>
      <w:pPr>
        <w:spacing w:after="0" w:line="257" w:lineRule="exact"/>
        <w:rPr>
          <w:sz w:val="20"/>
          <w:szCs w:val="20"/>
          <w:color w:val="auto"/>
        </w:rPr>
      </w:pPr>
    </w:p>
    <w:p>
      <w:pPr>
        <w:jc w:val="right"/>
        <w:ind w:right="140"/>
        <w:spacing w:after="0"/>
        <w:rPr>
          <w:sz w:val="20"/>
          <w:szCs w:val="20"/>
          <w:color w:val="auto"/>
        </w:rPr>
      </w:pPr>
      <w:r>
        <w:rPr>
          <w:rFonts w:ascii="Arial" w:cs="Arial" w:eastAsia="Arial" w:hAnsi="Arial"/>
          <w:sz w:val="20"/>
          <w:szCs w:val="20"/>
          <w:color w:val="auto"/>
        </w:rPr>
        <w:t>98,197</w:t>
      </w:r>
    </w:p>
    <w:p>
      <w:pPr>
        <w:spacing w:after="0" w:line="19" w:lineRule="exact"/>
        <w:rPr>
          <w:sz w:val="20"/>
          <w:szCs w:val="20"/>
          <w:color w:val="auto"/>
        </w:rPr>
      </w:pPr>
    </w:p>
    <w:p>
      <w:pPr>
        <w:jc w:val="right"/>
        <w:ind w:right="140"/>
        <w:spacing w:after="0"/>
        <w:rPr>
          <w:sz w:val="20"/>
          <w:szCs w:val="20"/>
          <w:color w:val="auto"/>
        </w:rPr>
      </w:pPr>
      <w:r>
        <w:rPr>
          <w:rFonts w:ascii="Arial" w:cs="Arial" w:eastAsia="Arial" w:hAnsi="Arial"/>
          <w:sz w:val="20"/>
          <w:szCs w:val="20"/>
          <w:color w:val="auto"/>
        </w:rPr>
        <w:t>134,930</w:t>
      </w:r>
    </w:p>
    <w:p>
      <w:pPr>
        <w:spacing w:after="0" w:line="12" w:lineRule="exact"/>
        <w:rPr>
          <w:sz w:val="20"/>
          <w:szCs w:val="20"/>
          <w:color w:val="auto"/>
        </w:rPr>
      </w:pPr>
    </w:p>
    <w:p>
      <w:pPr>
        <w:jc w:val="right"/>
        <w:ind w:right="140"/>
        <w:spacing w:after="0"/>
        <w:rPr>
          <w:sz w:val="20"/>
          <w:szCs w:val="20"/>
          <w:color w:val="auto"/>
        </w:rPr>
      </w:pPr>
      <w:r>
        <w:rPr>
          <w:rFonts w:ascii="Arial" w:cs="Arial" w:eastAsia="Arial" w:hAnsi="Arial"/>
          <w:sz w:val="20"/>
          <w:szCs w:val="20"/>
          <w:color w:val="auto"/>
        </w:rPr>
        <w:t>352,336</w:t>
      </w:r>
    </w:p>
    <w:p>
      <w:pPr>
        <w:spacing w:after="0" w:line="12" w:lineRule="exact"/>
        <w:rPr>
          <w:sz w:val="20"/>
          <w:szCs w:val="20"/>
          <w:color w:val="auto"/>
        </w:rPr>
      </w:pPr>
    </w:p>
    <w:p>
      <w:pPr>
        <w:jc w:val="right"/>
        <w:ind w:right="140"/>
        <w:spacing w:after="0"/>
        <w:rPr>
          <w:sz w:val="20"/>
          <w:szCs w:val="20"/>
          <w:color w:val="auto"/>
        </w:rPr>
      </w:pPr>
      <w:r>
        <w:rPr>
          <w:rFonts w:ascii="Arial" w:cs="Arial" w:eastAsia="Arial" w:hAnsi="Arial"/>
          <w:sz w:val="20"/>
          <w:szCs w:val="20"/>
          <w:color w:val="auto"/>
        </w:rPr>
        <w:t>33,044</w:t>
      </w:r>
    </w:p>
    <w:p>
      <w:pPr>
        <w:spacing w:after="0" w:line="12" w:lineRule="exact"/>
        <w:rPr>
          <w:sz w:val="20"/>
          <w:szCs w:val="20"/>
          <w:color w:val="auto"/>
        </w:rPr>
      </w:pPr>
    </w:p>
    <w:p>
      <w:pPr>
        <w:jc w:val="right"/>
        <w:ind w:right="140"/>
        <w:spacing w:after="0"/>
        <w:rPr>
          <w:sz w:val="20"/>
          <w:szCs w:val="20"/>
          <w:color w:val="auto"/>
        </w:rPr>
      </w:pPr>
      <w:r>
        <w:rPr>
          <w:rFonts w:ascii="Arial" w:cs="Arial" w:eastAsia="Arial" w:hAnsi="Arial"/>
          <w:sz w:val="20"/>
          <w:szCs w:val="20"/>
          <w:color w:val="auto"/>
        </w:rPr>
        <w:t>46,218</w:t>
      </w:r>
    </w:p>
    <w:p>
      <w:pPr>
        <w:spacing w:after="0" w:line="12" w:lineRule="exact"/>
        <w:rPr>
          <w:sz w:val="20"/>
          <w:szCs w:val="20"/>
          <w:color w:val="auto"/>
        </w:rPr>
      </w:pPr>
    </w:p>
    <w:p>
      <w:pPr>
        <w:jc w:val="right"/>
        <w:ind w:right="140"/>
        <w:spacing w:after="0"/>
        <w:rPr>
          <w:sz w:val="20"/>
          <w:szCs w:val="20"/>
          <w:color w:val="auto"/>
        </w:rPr>
      </w:pPr>
      <w:r>
        <w:rPr>
          <w:rFonts w:ascii="Arial" w:cs="Arial" w:eastAsia="Arial" w:hAnsi="Arial"/>
          <w:sz w:val="20"/>
          <w:szCs w:val="20"/>
          <w:color w:val="auto"/>
        </w:rPr>
        <w:t>7,858</w:t>
      </w:r>
    </w:p>
    <w:p>
      <w:pPr>
        <w:spacing w:after="0" w:line="12" w:lineRule="exact"/>
        <w:rPr>
          <w:sz w:val="20"/>
          <w:szCs w:val="20"/>
          <w:color w:val="auto"/>
        </w:rPr>
      </w:pPr>
    </w:p>
    <w:p>
      <w:pPr>
        <w:jc w:val="right"/>
        <w:ind w:right="140"/>
        <w:spacing w:after="0"/>
        <w:rPr>
          <w:sz w:val="20"/>
          <w:szCs w:val="20"/>
          <w:color w:val="auto"/>
        </w:rPr>
      </w:pPr>
      <w:r>
        <w:rPr>
          <w:rFonts w:ascii="Arial" w:cs="Arial" w:eastAsia="Arial" w:hAnsi="Arial"/>
          <w:sz w:val="20"/>
          <w:szCs w:val="20"/>
          <w:color w:val="auto"/>
        </w:rPr>
        <w:t>16,970</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20"/>
                <w:szCs w:val="20"/>
                <w:color w:val="auto"/>
              </w:rPr>
              <w:t>(1,853)</w:t>
            </w:r>
          </w:p>
        </w:tc>
      </w:tr>
      <w:tr>
        <w:trPr>
          <w:trHeight w:val="245"/>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20"/>
                <w:szCs w:val="20"/>
                <w:color w:val="auto"/>
              </w:rPr>
              <w:t>(14,785)</w:t>
            </w:r>
          </w:p>
        </w:tc>
      </w:tr>
      <w:tr>
        <w:trPr>
          <w:trHeight w:val="235"/>
        </w:trPr>
        <w:tc>
          <w:tcPr>
            <w:tcW w:w="2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1,175,743</w:t>
            </w:r>
          </w:p>
        </w:tc>
        <w:tc>
          <w:tcPr>
            <w:tcW w:w="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0"/>
        </w:trPr>
        <w:tc>
          <w:tcPr>
            <w:tcW w:w="780" w:type="dxa"/>
            <w:vAlign w:val="bottom"/>
            <w:gridSpan w:val="2"/>
          </w:tcPr>
          <w:p>
            <w:pPr>
              <w:jc w:val="right"/>
              <w:ind w:right="603"/>
              <w:spacing w:after="0"/>
              <w:rPr>
                <w:sz w:val="20"/>
                <w:szCs w:val="20"/>
                <w:color w:val="auto"/>
              </w:rPr>
            </w:pPr>
            <w:r>
              <w:rPr>
                <w:rFonts w:ascii="Arial" w:cs="Arial" w:eastAsia="Arial" w:hAnsi="Arial"/>
                <w:sz w:val="20"/>
                <w:szCs w:val="20"/>
                <w:color w:val="auto"/>
                <w:w w:val="71"/>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3,185,353</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7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20"/>
                <w:szCs w:val="20"/>
                <w:color w:val="auto"/>
              </w:rPr>
              <w:t>2.71 times</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420"/>
          </w:cols>
          <w:pgMar w:left="240" w:top="121" w:right="239" w:bottom="1440" w:gutter="0" w:footer="0" w:header="0"/>
          <w:type w:val="continuous"/>
        </w:sectPr>
      </w:pPr>
    </w:p>
    <w:p>
      <w:pPr>
        <w:spacing w:after="0" w:line="2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Trade Receivable Facility contains a cross-default provision to the Company’s other debt agreements. In the event of a default on the Ratio, the lenders can terminate the Revolving Facility and Trade Receivable Facility and declare any outstanding balances as immediately due. Outstanding amounts on the Trade Receivable Facility have been classified as a current liability on the Company’s consolidated balance sheet.</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address near-term debt maturities, meet capital expenditures and discretionary investment needs, fund certain acquisition opportunities that may arise, allow the repurchase of shares of the Company’s common stock and allow for payment of dividends for the foreseeable future. Any future significant strategic acquisition for cash would likely require an appropriate balance of newly-issued equity with debt in order to maintain a composite investment-grade credit rating. At March 31, 2019, the Company had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36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First Quarter Ended March 31, 2019</w:t>
      </w: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p>
      <w:pPr>
        <w:jc w:val="both"/>
        <w:spacing w:after="0" w:line="346" w:lineRule="auto"/>
        <w:rPr>
          <w:sz w:val="20"/>
          <w:szCs w:val="20"/>
          <w:color w:val="auto"/>
        </w:rPr>
      </w:pPr>
      <w:r>
        <w:rPr>
          <w:rFonts w:ascii="Arial" w:cs="Arial" w:eastAsia="Arial" w:hAnsi="Arial"/>
          <w:sz w:val="17"/>
          <w:szCs w:val="17"/>
          <w:color w:val="auto"/>
        </w:rPr>
        <w:t>$667.7 million of unused borrowing capacity under its Revolving Facility and Trade Receivable Facility, subject to complying with the related leverage covenant. The Revolving Facility and Trade Receivable Facility expire on December 5, 2023 and September 25, 2019,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outlined the risks associated with its business in its Annual Report on Form 10-K for the year ended December 31, 2018. Management continues to evaluate its exposure to all operating risks on an ongoing basis.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OUTLOOK</w:t>
      </w:r>
    </w:p>
    <w:p>
      <w:pPr>
        <w:spacing w:after="0" w:line="10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remains confident in its previously announced full-year outlook. The Company’s geographic footprint has attractive underlying market fundamentals, including notable employment gains, population growth and superior state fiscal health – all attributes promoting steady and sustainable construction growth. Supported by robust underlying demand and third-party forecasts, the Company believes the current construction cycle will continue for the foreseeable future and expand further this year for each of the Company’s three primary construction end-use markets.</w:t>
      </w:r>
    </w:p>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Based on current trends and expectations, management has reaffirmed its full-year guidance. Aggregates shipments by end-use market compared with 2018 levels are as follows:</w:t>
      </w:r>
    </w:p>
    <w:p>
      <w:pPr>
        <w:spacing w:after="0" w:line="69" w:lineRule="exact"/>
        <w:rPr>
          <w:sz w:val="20"/>
          <w:szCs w:val="20"/>
          <w:color w:val="auto"/>
        </w:rPr>
      </w:pPr>
    </w:p>
    <w:p>
      <w:pPr>
        <w:ind w:left="760" w:hanging="377"/>
        <w:spacing w:after="0"/>
        <w:tabs>
          <w:tab w:leader="none" w:pos="7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Infrastructure shipments to increase in the high-single digits.</w:t>
      </w:r>
    </w:p>
    <w:p>
      <w:pPr>
        <w:spacing w:after="0" w:line="14" w:lineRule="exact"/>
        <w:rPr>
          <w:rFonts w:ascii="Arial" w:cs="Arial" w:eastAsia="Arial" w:hAnsi="Arial"/>
          <w:sz w:val="20"/>
          <w:szCs w:val="20"/>
          <w:color w:val="auto"/>
        </w:rPr>
      </w:pPr>
    </w:p>
    <w:p>
      <w:pPr>
        <w:ind w:left="760" w:hanging="377"/>
        <w:spacing w:after="0" w:line="238" w:lineRule="auto"/>
        <w:tabs>
          <w:tab w:leader="none" w:pos="7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Nonresidential shipments to increase in the mid- to high-single digits.</w:t>
      </w:r>
    </w:p>
    <w:p>
      <w:pPr>
        <w:ind w:left="760" w:hanging="377"/>
        <w:spacing w:after="0" w:line="238" w:lineRule="auto"/>
        <w:tabs>
          <w:tab w:leader="none" w:pos="7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Residential shipments to increase in the mid-single digits.</w:t>
      </w:r>
    </w:p>
    <w:p>
      <w:pPr>
        <w:ind w:left="760" w:hanging="377"/>
        <w:spacing w:after="0"/>
        <w:tabs>
          <w:tab w:leader="none" w:pos="7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ChemRock/Rail shipments to be up slightly.</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7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Investors are cautioned that all statements in this Form 10-Q that relate to the future involve risks and uncertainties, and are based on assumptions that the Company believes in good faith are reasonable but which may be materially different from actual results. These statements, which are forward-looking statements under the Private Securities Litigation Reform Act of 1995, give the investor the Company’s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Company’s outlook is subject to various risks and uncertainties, and is based on assumptions that the Company believes in good faith are reasonable but which may be materially different from actual results. Factors that the Company currently believes could cause actual results to differ materially from the forward-looking statements in this Form 10-Q (including the outlook) include, but are not limited to: the performance of the United States economy;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37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First Quarter Ended March 31, 2019</w:t>
      </w: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p>
      <w:pPr>
        <w:jc w:val="both"/>
        <w:spacing w:after="0" w:line="230" w:lineRule="exact"/>
        <w:rPr>
          <w:sz w:val="20"/>
          <w:szCs w:val="20"/>
          <w:color w:val="auto"/>
        </w:rPr>
      </w:pPr>
      <w:r>
        <w:rPr>
          <w:rFonts w:ascii="Arial" w:cs="Arial" w:eastAsia="Arial" w:hAnsi="Arial"/>
          <w:sz w:val="17"/>
          <w:szCs w:val="17"/>
          <w:color w:val="auto"/>
        </w:rPr>
        <w:t>shipment declines resulting from economic events beyond the Company’s control; a widespread decline in aggregates pricing, including a decline in aggregates volume negatively affecting aggregates price; the history of both cement and ready mixed concrete being subject to significant changes in supply, demand and price fluctuations; the termination, capping and/or reduction or suspension of the federal and/or state gasoline tax(es) or other revenue related to infrastructure construction; the level and timing of federal, state or local transportation or infrastructure projects funding, most particularly in Texas, Colorado, North Carolina, Georgia, Iowa and Maryland; the United States Congress’ inability to reach agreement among themselves or with the current Administration on policy issues that impact the federal budget; the ability of states and/or other entities to finance approved projects either with tax revenues or alternative financing structures; levels of construction spending in the markets the Company serves; a reduction in defense spending and the subsequent impact on construction activity on or near military bases; a decline in the commercial component of the nonresidential construction market, notably office and retail space; a decline in energy-related construction activity resulting from a sustained period of low global oil prices or changes in oil production patterns in response to this decline, particularly in Texas; a slowdown in residential construction recovery; unfavorable weather conditions, particularly Atlantic Ocean and Gulf Coast hurricane activity, the late start to spring or the early onset of winter and the impact of a drought or excessive rainfall in the markets served by the Company, any of which can significantly affect production schedules, volumes, product and/or geographic mix and profitability; the volatility of fuel costs, particularly diesel fuel, and the impact on the cost, or the availability generally, of other consumables, namely steel, explosives, tires and conveyor belts, and with respect to the Company’s Magnesia Specialties business, natural gas; continued increases in the cost of other repair and supply parts; construction labor shortages and/or supply</w:t>
      </w:r>
      <w:r>
        <w:rPr>
          <w:rFonts w:ascii="MS PGothic" w:cs="MS PGothic" w:eastAsia="MS PGothic" w:hAnsi="MS PGothic"/>
          <w:sz w:val="17"/>
          <w:szCs w:val="17"/>
          <w:color w:val="auto"/>
        </w:rPr>
        <w:t>‐</w:t>
      </w:r>
      <w:r>
        <w:rPr>
          <w:rFonts w:ascii="Arial" w:cs="Arial" w:eastAsia="Arial" w:hAnsi="Arial"/>
          <w:sz w:val="17"/>
          <w:szCs w:val="17"/>
          <w:color w:val="auto"/>
        </w:rPr>
        <w:t>chain challenges; unexpected equipment failures, unscheduled maintenance, industrial accident or other prolonged and/or significant disruption to production facilities; increasing governmental regulation, including environmental laws; transportation availability or a sustained reduction in capital investment by the railroads, notably the availability of railcars, locomotive power and the condition of rail infrastructure to move trains to supply the Company’s Texas, Colorado, Florida, North Carolina and the Gulf Coast markets, including the movement of essential dolomitic lime for magnesia chemicals to the Company’s plant in Manistee, Michigan and its customers; increased transportation costs, including increases from higher or fluctuating passed-through energy costs or fuel surcharges, and other costs to comply with tightening regulations, as well as higher volumes of rail and water shipments; availability of trucks and licensed drivers for transport of the Company’s materials; availability and cost of construction equipment in the United States; weakening in the steel industry markets served by the Company’s dolomitic lime products; a trade dispute with one or more nations impacting the U.S. economy, including the impact of tariffs on the steel industry; unplanned changes in costs or realignment of customers that introduce volatility to earnings, including that of the Magnesia Specialties business that is running at capacity; proper functioning of information technology and automated operating systems to manage or support operations; inflation and its effect on both production and interest costs; the concentration of customers in construction markets and the increased risk of potential losses on customer receivables; the impact of the level of demand in the Company’s end-use markets, production levels and management of production costs on the operating leverage and therefore profitability of the Company; the possibility that the expected synergies from acquisitions will not be realized or will not be realized within the expected time period, including achieving anticipated profitability to maintain compliance with the Company’s leverage ratio debt covenant; changes in tax laws, the interpretation of such laws and/or administrative practices that would increase the Company’s tax rate; violation of the Company’s debt covenant if price and/or volumes return to previous levels of instability; continued downward pressure on the Company’s common stock price and its impact on goodwill impairment evaluations; reduction of the Company’s credit rating to non-investment grade; and other risk factors listed from time to time found in the Company’s filings with the SEC.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38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8" w:lineRule="auto"/>
        <w:rPr>
          <w:sz w:val="20"/>
          <w:szCs w:val="20"/>
          <w:color w:val="auto"/>
        </w:rPr>
      </w:pPr>
      <w:r>
        <w:rPr>
          <w:rFonts w:ascii="Arial" w:cs="Arial" w:eastAsia="Arial" w:hAnsi="Arial"/>
          <w:sz w:val="20"/>
          <w:szCs w:val="20"/>
          <w:color w:val="auto"/>
        </w:rPr>
        <w:t>First Quarter Ended March 31, 2019</w:t>
      </w:r>
    </w:p>
    <w:p>
      <w:pPr>
        <w:jc w:val="center"/>
        <w:spacing w:after="0"/>
        <w:rPr>
          <w:sz w:val="20"/>
          <w:szCs w:val="20"/>
          <w:color w:val="auto"/>
        </w:rPr>
      </w:pPr>
      <w:r>
        <w:rPr>
          <w:rFonts w:ascii="Arial" w:cs="Arial" w:eastAsia="Arial" w:hAnsi="Arial"/>
          <w:sz w:val="20"/>
          <w:szCs w:val="20"/>
          <w:color w:val="auto"/>
        </w:rPr>
        <w:t>(Continued)</w:t>
      </w:r>
    </w:p>
    <w:p>
      <w:pPr>
        <w:spacing w:after="0" w:line="23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You should consider these forward-looking statements in light of risk factors discussed in the Company’s Annual Report on Form 10-K for the year ended December 31, 2018 and other periodic filings made with the SEC. All of the Company’s forward-looking statements should be considered in light of these factors. In addition, other risks and uncertainties not presently known to the Company or that the Company considers immaterial could affect the accuracy of its forward-looking statements, or adversely affect or be material to the Company. The Company assumes no obligation to update any such forward-looking statements.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Shareholders may obtain, without charge, a copy of Martin Marietta’s Annual Report on Form 10-K, as filed with the Securities and Exchange Commission for the fiscal year ended December 31, 2018, by writing to:</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Attn: Corporate Secretary</w:t>
      </w:r>
    </w:p>
    <w:p>
      <w:pPr>
        <w:ind w:left="260"/>
        <w:spacing w:after="0" w:line="238" w:lineRule="auto"/>
        <w:rPr>
          <w:sz w:val="20"/>
          <w:szCs w:val="20"/>
          <w:color w:val="auto"/>
        </w:rPr>
      </w:pPr>
      <w:r>
        <w:rPr>
          <w:rFonts w:ascii="Arial" w:cs="Arial" w:eastAsia="Arial" w:hAnsi="Arial"/>
          <w:sz w:val="20"/>
          <w:szCs w:val="20"/>
          <w:color w:val="auto"/>
        </w:rPr>
        <w:t>2710 Wycliff Road</w:t>
      </w:r>
    </w:p>
    <w:p>
      <w:pPr>
        <w:ind w:left="260"/>
        <w:spacing w:after="0"/>
        <w:rPr>
          <w:sz w:val="20"/>
          <w:szCs w:val="20"/>
          <w:color w:val="auto"/>
        </w:rPr>
      </w:pPr>
      <w:r>
        <w:rPr>
          <w:rFonts w:ascii="Arial" w:cs="Arial" w:eastAsia="Arial" w:hAnsi="Arial"/>
          <w:sz w:val="20"/>
          <w:szCs w:val="20"/>
          <w:color w:val="auto"/>
        </w:rPr>
        <w:t>Raleigh, North Carolina 27607-3033</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510-4776</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on the Company’s website is not incorporated into, or otherwise create a part of, this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106" w:lineRule="exact"/>
        <w:rPr>
          <w:sz w:val="20"/>
          <w:szCs w:val="20"/>
          <w:color w:val="auto"/>
        </w:rPr>
      </w:pPr>
    </w:p>
    <w:p>
      <w:pPr>
        <w:jc w:val="both"/>
        <w:ind w:right="20"/>
        <w:spacing w:after="0" w:line="346" w:lineRule="auto"/>
        <w:rPr>
          <w:sz w:val="20"/>
          <w:szCs w:val="20"/>
          <w:color w:val="auto"/>
        </w:rPr>
      </w:pPr>
      <w:r>
        <w:rPr>
          <w:rFonts w:ascii="Arial" w:cs="Arial" w:eastAsia="Arial" w:hAnsi="Arial"/>
          <w:sz w:val="17"/>
          <w:szCs w:val="17"/>
          <w:color w:val="auto"/>
        </w:rPr>
        <w:t>The Company’s operations are highly dependent upon the interest rate-sensitive construction and steelmaking industries. Consequently, these marketplaces could experience lower levels of economic activity in an environment of rising interest rates or escalating costs.</w:t>
      </w:r>
    </w:p>
    <w:p>
      <w:pPr>
        <w:jc w:val="both"/>
        <w:spacing w:after="0" w:line="302" w:lineRule="auto"/>
        <w:rPr>
          <w:sz w:val="20"/>
          <w:szCs w:val="20"/>
          <w:color w:val="auto"/>
        </w:rPr>
      </w:pPr>
      <w:r>
        <w:rPr>
          <w:rFonts w:ascii="Arial" w:cs="Arial" w:eastAsia="Arial" w:hAnsi="Arial"/>
          <w:sz w:val="17"/>
          <w:szCs w:val="17"/>
          <w:color w:val="auto"/>
        </w:rPr>
        <w:t>Management has considered the current economic environment and its potential impact to the Company’s business. Demand for aggregates products, particularly in the infrastructure construction market, is affected by federal and state budget and deficit issues. Further, delays or cancellations of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3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Demand in the residential construction market is affected by interest rates. The Federal Reserve did not change interest rates during the quarter ended March 31, 2019. The federal funds rate at March 31, 2019 was 2.4%. The residential construction market accounted for 22% of the Company’s aggregates product line shipments in 2018.</w:t>
      </w:r>
    </w:p>
    <w:p>
      <w:pPr>
        <w:spacing w:after="0" w:line="7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Aside from these inherent risks from within its operations, the Company’s earnings are also affected by changes in short-term interest rates. However, rising interest rates are not necessarily predictive of weaker operating results. Historically, the Company’s profitability increased during periods of rising interest rates. In essence, the Company’s underlying business generally serves as a natural hedge to rising interest rates.</w:t>
      </w:r>
    </w:p>
    <w:p>
      <w:pPr>
        <w:spacing w:after="0" w:line="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Variable-Rate Borrowing Facilities. </w:t>
      </w:r>
      <w:r>
        <w:rPr>
          <w:rFonts w:ascii="Arial" w:cs="Arial" w:eastAsia="Arial" w:hAnsi="Arial"/>
          <w:sz w:val="20"/>
          <w:szCs w:val="20"/>
          <w:color w:val="auto"/>
        </w:rPr>
        <w:t>At March 31, 2019, the Company had a $700 million Revolving Facility and a $400 million Trade</w:t>
      </w:r>
      <w:r>
        <w:rPr>
          <w:rFonts w:ascii="Arial" w:cs="Arial" w:eastAsia="Arial" w:hAnsi="Arial"/>
          <w:sz w:val="20"/>
          <w:szCs w:val="20"/>
          <w:i w:val="1"/>
          <w:iCs w:val="1"/>
          <w:color w:val="auto"/>
        </w:rPr>
        <w:t xml:space="preserve"> </w:t>
      </w:r>
      <w:r>
        <w:rPr>
          <w:rFonts w:ascii="Arial" w:cs="Arial" w:eastAsia="Arial" w:hAnsi="Arial"/>
          <w:sz w:val="20"/>
          <w:szCs w:val="20"/>
          <w:color w:val="auto"/>
        </w:rPr>
        <w:t>Receivable Facility. The Company also has $600 million variable-rate senior notes. Borrowings under these facilities bear interest at a variable interest rate. A hypothetical 100-basis-point increase in interest rates on borrowings of $1.03 billion, which was the collective outstanding balance at March 31, 2019, would increase interest expense by $10.3 million on an annual basis.</w:t>
      </w:r>
    </w:p>
    <w:p>
      <w:pPr>
        <w:spacing w:after="0" w:line="8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i w:val="1"/>
          <w:iCs w:val="1"/>
          <w:color w:val="auto"/>
        </w:rPr>
        <w:t xml:space="preserve">Pension Expense. </w:t>
      </w:r>
      <w:r>
        <w:rPr>
          <w:rFonts w:ascii="Arial" w:cs="Arial" w:eastAsia="Arial" w:hAnsi="Arial"/>
          <w:sz w:val="17"/>
          <w:szCs w:val="17"/>
          <w:color w:val="auto"/>
        </w:rPr>
        <w:t>The Company’s results of operations are affected by its pension expense. Assumptions that affect pension expense include the</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2018.</w:t>
      </w:r>
    </w:p>
    <w:p>
      <w:pPr>
        <w:spacing w:after="0" w:line="3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coal and liquid asphalt, represent significant production costs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The cement operations and Magnesia Specialties business have fixed price agreements covering 100% of its 2019 coal requirements. Energy costs for the three months ended March 31, 2019 increased approximately 6% over the prior-year period. A hypothetical 6% change in the Company’s energy prices for the full year 2019 as compared with 2018, assuming constant volumes, would change full year 2019 energy expense by $17.0 million.</w:t>
      </w:r>
    </w:p>
    <w:p>
      <w:pPr>
        <w:spacing w:after="0" w:line="8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 xml:space="preserve">Commodity Risk. </w:t>
      </w:r>
      <w:r>
        <w:rPr>
          <w:rFonts w:ascii="Arial" w:cs="Arial" w:eastAsia="Arial" w:hAnsi="Arial"/>
          <w:sz w:val="20"/>
          <w:szCs w:val="20"/>
          <w:color w:val="auto"/>
        </w:rPr>
        <w:t>Cement is a commodity and competition is based principally on price, which is highly sensitive to changes in supply and</w:t>
      </w:r>
      <w:r>
        <w:rPr>
          <w:rFonts w:ascii="Arial" w:cs="Arial" w:eastAsia="Arial" w:hAnsi="Arial"/>
          <w:sz w:val="20"/>
          <w:szCs w:val="20"/>
          <w:i w:val="1"/>
          <w:iCs w:val="1"/>
          <w:color w:val="auto"/>
        </w:rPr>
        <w:t xml:space="preserve"> </w:t>
      </w:r>
      <w:r>
        <w:rPr>
          <w:rFonts w:ascii="Arial" w:cs="Arial" w:eastAsia="Arial" w:hAnsi="Arial"/>
          <w:sz w:val="20"/>
          <w:szCs w:val="20"/>
          <w:color w:val="auto"/>
        </w:rPr>
        <w:t>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Company’s business, financial condition and results of operations. Assuming total revenues for cement for full-year 2019 of $420 million to $450 million, a hypothetical 10% change in sales price would impact net sales by $42.0 million to $45.0 million.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40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line="238" w:lineRule="auto"/>
        <w:rPr>
          <w:sz w:val="20"/>
          <w:szCs w:val="20"/>
          <w:color w:val="auto"/>
        </w:rPr>
      </w:pPr>
      <w:r>
        <w:rPr>
          <w:rFonts w:ascii="Arial" w:cs="Arial" w:eastAsia="Arial" w:hAnsi="Arial"/>
          <w:sz w:val="20"/>
          <w:szCs w:val="20"/>
          <w:color w:val="auto"/>
        </w:rPr>
        <w:t>For the Quarter Ended March 31, 2019</w:t>
      </w:r>
    </w:p>
    <w:p>
      <w:pPr>
        <w:jc w:val="center"/>
        <w:spacing w:after="0"/>
        <w:rPr>
          <w:sz w:val="20"/>
          <w:szCs w:val="20"/>
          <w:color w:val="auto"/>
        </w:rPr>
      </w:pPr>
      <w:r>
        <w:rPr>
          <w:rFonts w:ascii="Arial" w:cs="Arial" w:eastAsia="Arial" w:hAnsi="Arial"/>
          <w:sz w:val="20"/>
          <w:szCs w:val="20"/>
          <w:color w:val="auto"/>
        </w:rPr>
        <w:t>(Continued)</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10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Evaluation of Disclosure Controls and Procedures. </w:t>
      </w:r>
      <w:r>
        <w:rPr>
          <w:rFonts w:ascii="Arial" w:cs="Arial" w:eastAsia="Arial" w:hAnsi="Arial"/>
          <w:sz w:val="20"/>
          <w:szCs w:val="20"/>
          <w:color w:val="auto"/>
        </w:rPr>
        <w:t>As of March 31, 2019, an evaluation was performed under the supervision and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March 31, 2019.</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i w:val="1"/>
          <w:iCs w:val="1"/>
          <w:color w:val="auto"/>
        </w:rPr>
        <w:t xml:space="preserve">Changes in Internal Control Over Financial Reporting. </w:t>
      </w:r>
      <w:r>
        <w:rPr>
          <w:rFonts w:ascii="Arial" w:cs="Arial" w:eastAsia="Arial" w:hAnsi="Arial"/>
          <w:sz w:val="19"/>
          <w:szCs w:val="19"/>
          <w:color w:val="auto"/>
        </w:rPr>
        <w:t>Beginning January 1, 2019, the Company implemented Accounting Standard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Codification 842, </w:t>
      </w:r>
      <w:r>
        <w:rPr>
          <w:rFonts w:ascii="Arial" w:cs="Arial" w:eastAsia="Arial" w:hAnsi="Arial"/>
          <w:sz w:val="19"/>
          <w:szCs w:val="19"/>
          <w:i w:val="1"/>
          <w:iCs w:val="1"/>
          <w:color w:val="auto"/>
        </w:rPr>
        <w:t>Leases</w:t>
      </w:r>
      <w:r>
        <w:rPr>
          <w:rFonts w:ascii="Arial" w:cs="Arial" w:eastAsia="Arial" w:hAnsi="Arial"/>
          <w:sz w:val="19"/>
          <w:szCs w:val="19"/>
          <w:color w:val="auto"/>
        </w:rPr>
        <w:t xml:space="preserve"> (ASC 842). Although the adoption of the new accounting standard did not materially impact its Consolidated Statement of Earnings and Comprehensive Earnings or Consolidated Statement of Cash Flows for the three months ended March 31, 2019, the Company implemented changes to its internal controls related to the implementation of ASC 842. These changes included a comprehensive lease scoping analysis to identify and evaluate each of its leases and an implementation of a new lease accounting application to calculate values for its right-of-use assets and lease liabilities. There were no other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41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w:t>
      </w:r>
      <w:r>
        <w:rPr>
          <w:rFonts w:ascii="Arial" w:cs="Arial" w:eastAsia="Arial" w:hAnsi="Arial"/>
          <w:sz w:val="20"/>
          <w:szCs w:val="20"/>
          <w:color w:val="auto"/>
        </w:rPr>
        <w:t xml:space="preserve">. </w:t>
      </w:r>
      <w:r>
        <w:rPr>
          <w:rFonts w:ascii="Arial" w:cs="Arial" w:eastAsia="Arial" w:hAnsi="Arial"/>
          <w:sz w:val="20"/>
          <w:szCs w:val="20"/>
          <w:i w:val="1"/>
          <w:iCs w:val="1"/>
          <w:color w:val="auto"/>
        </w:rPr>
        <w:t>Item 3. Legal Proceedings</w:t>
      </w:r>
      <w:r>
        <w:rPr>
          <w:rFonts w:ascii="Arial" w:cs="Arial" w:eastAsia="Arial" w:hAnsi="Arial"/>
          <w:sz w:val="20"/>
          <w:szCs w:val="20"/>
          <w:color w:val="auto"/>
        </w:rPr>
        <w:t xml:space="preserve"> of the Martin Marietta Annual Report on Form 10-K for the year ended December 31, 2018.</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 Item 1A. Risk Factors and Forward-Looking Statements</w:t>
      </w:r>
      <w:r>
        <w:rPr>
          <w:rFonts w:ascii="Arial" w:cs="Arial" w:eastAsia="Arial" w:hAnsi="Arial"/>
          <w:sz w:val="20"/>
          <w:szCs w:val="20"/>
          <w:color w:val="auto"/>
        </w:rPr>
        <w:t xml:space="preserve"> of the Martin Marietta Annual Report on Form 10-K for the year ended December 31, 2018.</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r>
        <w:rPr>
          <w:rFonts w:ascii="Arial" w:cs="Arial" w:eastAsia="Arial" w:hAnsi="Arial"/>
          <w:sz w:val="20"/>
          <w:szCs w:val="20"/>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20" w:type="dxa"/>
            <w:vAlign w:val="bottom"/>
            <w:gridSpan w:val="2"/>
          </w:tcPr>
          <w:p>
            <w:pPr>
              <w:jc w:val="right"/>
              <w:spacing w:after="0"/>
              <w:rPr>
                <w:sz w:val="20"/>
                <w:szCs w:val="20"/>
                <w:color w:val="auto"/>
              </w:rPr>
            </w:pPr>
            <w:r>
              <w:rPr>
                <w:rFonts w:ascii="Arial" w:cs="Arial" w:eastAsia="Arial" w:hAnsi="Arial"/>
                <w:sz w:val="20"/>
                <w:szCs w:val="20"/>
                <w:color w:val="auto"/>
                <w:w w:val="98"/>
              </w:rPr>
              <w:t>Total Number of Shares</w:t>
            </w:r>
          </w:p>
        </w:tc>
        <w:tc>
          <w:tcPr>
            <w:tcW w:w="24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w w:val="92"/>
              </w:rPr>
              <w:t>Maximum Number of</w:t>
            </w:r>
          </w:p>
        </w:tc>
      </w:tr>
      <w:tr>
        <w:trPr>
          <w:trHeight w:val="242"/>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20"/>
                <w:szCs w:val="20"/>
                <w:color w:val="auto"/>
                <w:w w:val="85"/>
              </w:rPr>
              <w:t>Purchased as Part of</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Arial" w:cs="Arial" w:eastAsia="Arial" w:hAnsi="Arial"/>
                <w:sz w:val="20"/>
                <w:szCs w:val="20"/>
                <w:color w:val="auto"/>
                <w:w w:val="97"/>
              </w:rPr>
              <w:t>Shares that May Yet</w:t>
            </w:r>
          </w:p>
        </w:tc>
      </w:tr>
      <w:tr>
        <w:trPr>
          <w:trHeight w:val="242"/>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20"/>
                <w:szCs w:val="20"/>
                <w:color w:val="auto"/>
                <w:w w:val="90"/>
              </w:rPr>
              <w:t>Total Number of</w:t>
            </w:r>
          </w:p>
        </w:tc>
        <w:tc>
          <w:tcPr>
            <w:tcW w:w="1240" w:type="dxa"/>
            <w:vAlign w:val="bottom"/>
            <w:gridSpan w:val="2"/>
          </w:tcPr>
          <w:p>
            <w:pPr>
              <w:ind w:left="60"/>
              <w:spacing w:after="0"/>
              <w:rPr>
                <w:sz w:val="20"/>
                <w:szCs w:val="20"/>
                <w:color w:val="auto"/>
              </w:rPr>
            </w:pPr>
            <w:r>
              <w:rPr>
                <w:rFonts w:ascii="Arial" w:cs="Arial" w:eastAsia="Arial" w:hAnsi="Arial"/>
                <w:sz w:val="20"/>
                <w:szCs w:val="20"/>
                <w:color w:val="auto"/>
                <w:w w:val="92"/>
              </w:rPr>
              <w:t>Average Price</w:t>
            </w:r>
          </w:p>
        </w:tc>
        <w:tc>
          <w:tcPr>
            <w:tcW w:w="24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20"/>
                <w:szCs w:val="20"/>
                <w:color w:val="auto"/>
                <w:w w:val="91"/>
              </w:rPr>
              <w:t>Publicly Announced</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Arial" w:cs="Arial" w:eastAsia="Arial" w:hAnsi="Arial"/>
                <w:sz w:val="20"/>
                <w:szCs w:val="20"/>
                <w:color w:val="auto"/>
                <w:w w:val="95"/>
              </w:rPr>
              <w:t>be Purchased Under</w:t>
            </w:r>
          </w:p>
        </w:tc>
      </w:tr>
      <w:tr>
        <w:trPr>
          <w:trHeight w:val="245"/>
        </w:trPr>
        <w:tc>
          <w:tcPr>
            <w:tcW w:w="20" w:type="dxa"/>
            <w:vAlign w:val="bottom"/>
          </w:tcPr>
          <w:p>
            <w:pPr>
              <w:spacing w:after="0"/>
              <w:rPr>
                <w:sz w:val="21"/>
                <w:szCs w:val="21"/>
                <w:color w:val="auto"/>
              </w:rPr>
            </w:pPr>
          </w:p>
        </w:tc>
        <w:tc>
          <w:tcPr>
            <w:tcW w:w="4180" w:type="dxa"/>
            <w:vAlign w:val="bottom"/>
            <w:gridSpan w:val="2"/>
          </w:tcPr>
          <w:p>
            <w:pPr>
              <w:ind w:left="1760"/>
              <w:spacing w:after="0"/>
              <w:rPr>
                <w:sz w:val="20"/>
                <w:szCs w:val="20"/>
                <w:color w:val="auto"/>
              </w:rPr>
            </w:pPr>
            <w:r>
              <w:rPr>
                <w:rFonts w:ascii="Arial" w:cs="Arial" w:eastAsia="Arial" w:hAnsi="Arial"/>
                <w:sz w:val="20"/>
                <w:szCs w:val="20"/>
                <w:color w:val="auto"/>
              </w:rPr>
              <w:t>Period</w:t>
            </w:r>
          </w:p>
        </w:tc>
        <w:tc>
          <w:tcPr>
            <w:tcW w:w="1760" w:type="dxa"/>
            <w:vAlign w:val="bottom"/>
            <w:gridSpan w:val="2"/>
          </w:tcPr>
          <w:p>
            <w:pPr>
              <w:jc w:val="center"/>
              <w:ind w:right="260"/>
              <w:spacing w:after="0"/>
              <w:rPr>
                <w:sz w:val="20"/>
                <w:szCs w:val="20"/>
                <w:color w:val="auto"/>
              </w:rPr>
            </w:pPr>
            <w:r>
              <w:rPr>
                <w:rFonts w:ascii="Arial" w:cs="Arial" w:eastAsia="Arial" w:hAnsi="Arial"/>
                <w:sz w:val="20"/>
                <w:szCs w:val="20"/>
                <w:color w:val="auto"/>
                <w:w w:val="83"/>
              </w:rPr>
              <w:t>Shares Purchased</w:t>
            </w:r>
          </w:p>
        </w:tc>
        <w:tc>
          <w:tcPr>
            <w:tcW w:w="1240" w:type="dxa"/>
            <w:vAlign w:val="bottom"/>
            <w:gridSpan w:val="2"/>
          </w:tcPr>
          <w:p>
            <w:pPr>
              <w:ind w:left="40"/>
              <w:spacing w:after="0"/>
              <w:rPr>
                <w:sz w:val="20"/>
                <w:szCs w:val="20"/>
                <w:color w:val="auto"/>
              </w:rPr>
            </w:pPr>
            <w:r>
              <w:rPr>
                <w:rFonts w:ascii="Arial" w:cs="Arial" w:eastAsia="Arial" w:hAnsi="Arial"/>
                <w:sz w:val="20"/>
                <w:szCs w:val="20"/>
                <w:color w:val="auto"/>
                <w:w w:val="88"/>
              </w:rPr>
              <w:t>Paid per Share</w:t>
            </w:r>
          </w:p>
        </w:tc>
        <w:tc>
          <w:tcPr>
            <w:tcW w:w="24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20"/>
                <w:szCs w:val="20"/>
                <w:color w:val="auto"/>
                <w:w w:val="86"/>
              </w:rPr>
              <w:t>Plans or Programs</w:t>
            </w:r>
          </w:p>
        </w:tc>
        <w:tc>
          <w:tcPr>
            <w:tcW w:w="2100" w:type="dxa"/>
            <w:vAlign w:val="bottom"/>
            <w:gridSpan w:val="3"/>
          </w:tcPr>
          <w:p>
            <w:pPr>
              <w:jc w:val="right"/>
              <w:ind w:right="120"/>
              <w:spacing w:after="0"/>
              <w:rPr>
                <w:sz w:val="20"/>
                <w:szCs w:val="20"/>
                <w:color w:val="auto"/>
              </w:rPr>
            </w:pPr>
            <w:r>
              <w:rPr>
                <w:rFonts w:ascii="Arial" w:cs="Arial" w:eastAsia="Arial" w:hAnsi="Arial"/>
                <w:sz w:val="20"/>
                <w:szCs w:val="20"/>
                <w:color w:val="auto"/>
                <w:w w:val="98"/>
              </w:rPr>
              <w:t>the Plans or Programs</w:t>
            </w:r>
          </w:p>
        </w:tc>
      </w:tr>
      <w:tr>
        <w:trPr>
          <w:trHeight w:val="235"/>
        </w:trPr>
        <w:tc>
          <w:tcPr>
            <w:tcW w:w="20" w:type="dxa"/>
            <w:vAlign w:val="bottom"/>
          </w:tcPr>
          <w:p>
            <w:pPr>
              <w:spacing w:after="0"/>
              <w:rPr>
                <w:sz w:val="20"/>
                <w:szCs w:val="20"/>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January 1, 2019 - January 31, 2019</w:t>
            </w:r>
          </w:p>
        </w:tc>
        <w:tc>
          <w:tcPr>
            <w:tcW w:w="140" w:type="dxa"/>
            <w:vAlign w:val="bottom"/>
          </w:tcPr>
          <w:p>
            <w:pPr>
              <w:spacing w:after="0"/>
              <w:rPr>
                <w:sz w:val="20"/>
                <w:szCs w:val="20"/>
                <w:color w:val="auto"/>
              </w:rPr>
            </w:pPr>
          </w:p>
        </w:tc>
        <w:tc>
          <w:tcPr>
            <w:tcW w:w="1520" w:type="dxa"/>
            <w:vAlign w:val="bottom"/>
            <w:tcBorders>
              <w:top w:val="single" w:sz="8" w:color="auto"/>
            </w:tcBorders>
          </w:tcPr>
          <w:p>
            <w:pPr>
              <w:ind w:left="1320"/>
              <w:spacing w:after="0"/>
              <w:rPr>
                <w:sz w:val="20"/>
                <w:szCs w:val="20"/>
                <w:color w:val="auto"/>
              </w:rPr>
            </w:pPr>
            <w:r>
              <w:rPr>
                <w:rFonts w:ascii="Arial" w:cs="Arial" w:eastAsia="Arial" w:hAnsi="Arial"/>
                <w:sz w:val="20"/>
                <w:szCs w:val="20"/>
                <w:color w:val="auto"/>
                <w:w w:val="89"/>
              </w:rPr>
              <w:t>—</w:t>
            </w:r>
          </w:p>
        </w:tc>
        <w:tc>
          <w:tcPr>
            <w:tcW w:w="240" w:type="dxa"/>
            <w:vAlign w:val="bottom"/>
          </w:tcPr>
          <w:p>
            <w:pPr>
              <w:spacing w:after="0"/>
              <w:rPr>
                <w:sz w:val="20"/>
                <w:szCs w:val="20"/>
                <w:color w:val="auto"/>
              </w:rPr>
            </w:pPr>
          </w:p>
        </w:tc>
        <w:tc>
          <w:tcPr>
            <w:tcW w:w="560" w:type="dxa"/>
            <w:vAlign w:val="bottom"/>
            <w:tcBorders>
              <w:top w:val="single" w:sz="8" w:color="auto"/>
            </w:tcBorders>
          </w:tcPr>
          <w:p>
            <w:pPr>
              <w:jc w:val="right"/>
              <w:ind w:right="362"/>
              <w:spacing w:after="0"/>
              <w:rPr>
                <w:sz w:val="20"/>
                <w:szCs w:val="20"/>
                <w:color w:val="auto"/>
              </w:rPr>
            </w:pPr>
            <w:r>
              <w:rPr>
                <w:rFonts w:ascii="Arial" w:cs="Arial" w:eastAsia="Arial" w:hAnsi="Arial"/>
                <w:sz w:val="20"/>
                <w:szCs w:val="20"/>
                <w:color w:val="auto"/>
                <w:w w:val="71"/>
              </w:rPr>
              <w:t>$</w:t>
            </w:r>
          </w:p>
        </w:tc>
        <w:tc>
          <w:tcPr>
            <w:tcW w:w="680" w:type="dxa"/>
            <w:vAlign w:val="bottom"/>
            <w:tcBorders>
              <w:top w:val="single" w:sz="8" w:color="auto"/>
            </w:tcBorders>
          </w:tcPr>
          <w:p>
            <w:pPr>
              <w:ind w:left="460"/>
              <w:spacing w:after="0"/>
              <w:rPr>
                <w:sz w:val="20"/>
                <w:szCs w:val="20"/>
                <w:color w:val="auto"/>
              </w:rPr>
            </w:pPr>
            <w:r>
              <w:rPr>
                <w:rFonts w:ascii="Arial" w:cs="Arial" w:eastAsia="Arial" w:hAnsi="Arial"/>
                <w:sz w:val="20"/>
                <w:szCs w:val="20"/>
                <w:color w:val="auto"/>
                <w:w w:val="99"/>
              </w:rPr>
              <w:t>—</w:t>
            </w:r>
          </w:p>
        </w:tc>
        <w:tc>
          <w:tcPr>
            <w:tcW w:w="240" w:type="dxa"/>
            <w:vAlign w:val="bottom"/>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14,147,751</w:t>
            </w:r>
          </w:p>
        </w:tc>
        <w:tc>
          <w:tcPr>
            <w:tcW w:w="10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41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February 1, 2019 - February 28, 2019</w:t>
            </w:r>
          </w:p>
        </w:tc>
        <w:tc>
          <w:tcPr>
            <w:tcW w:w="1760" w:type="dxa"/>
            <w:vAlign w:val="bottom"/>
            <w:gridSpan w:val="2"/>
            <w:shd w:val="clear" w:color="auto" w:fill="CFF0FC"/>
          </w:tcPr>
          <w:p>
            <w:pPr>
              <w:ind w:left="1320"/>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362"/>
              <w:spacing w:after="0"/>
              <w:rPr>
                <w:sz w:val="20"/>
                <w:szCs w:val="20"/>
                <w:color w:val="auto"/>
              </w:rPr>
            </w:pPr>
            <w:r>
              <w:rPr>
                <w:rFonts w:ascii="Arial" w:cs="Arial" w:eastAsia="Arial" w:hAnsi="Arial"/>
                <w:sz w:val="20"/>
                <w:szCs w:val="20"/>
                <w:color w:val="auto"/>
                <w:w w:val="71"/>
              </w:rPr>
              <w:t>$</w:t>
            </w:r>
          </w:p>
        </w:tc>
        <w:tc>
          <w:tcPr>
            <w:tcW w:w="680" w:type="dxa"/>
            <w:vAlign w:val="bottom"/>
            <w:shd w:val="clear" w:color="auto" w:fill="CFF0FC"/>
          </w:tcPr>
          <w:p>
            <w:pPr>
              <w:ind w:left="460"/>
              <w:spacing w:after="0"/>
              <w:rPr>
                <w:sz w:val="20"/>
                <w:szCs w:val="20"/>
                <w:color w:val="auto"/>
              </w:rPr>
            </w:pPr>
            <w:r>
              <w:rPr>
                <w:rFonts w:ascii="Arial" w:cs="Arial" w:eastAsia="Arial" w:hAnsi="Arial"/>
                <w:sz w:val="20"/>
                <w:szCs w:val="20"/>
                <w:color w:val="auto"/>
                <w:w w:val="99"/>
              </w:rPr>
              <w:t>—</w:t>
            </w:r>
          </w:p>
        </w:tc>
        <w:tc>
          <w:tcPr>
            <w:tcW w:w="24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14,147,751</w:t>
            </w:r>
          </w:p>
        </w:tc>
        <w:tc>
          <w:tcPr>
            <w:tcW w:w="100" w:type="dxa"/>
            <w:vAlign w:val="bottom"/>
            <w:shd w:val="clear" w:color="auto" w:fill="CFF0FC"/>
          </w:tcPr>
          <w:p>
            <w:pPr>
              <w:spacing w:after="0"/>
              <w:rPr>
                <w:sz w:val="21"/>
                <w:szCs w:val="21"/>
                <w:color w:val="auto"/>
              </w:rPr>
            </w:pPr>
          </w:p>
        </w:tc>
      </w:tr>
      <w:tr>
        <w:trPr>
          <w:trHeight w:val="249"/>
        </w:trPr>
        <w:tc>
          <w:tcPr>
            <w:tcW w:w="20" w:type="dxa"/>
            <w:vAlign w:val="bottom"/>
          </w:tcPr>
          <w:p>
            <w:pPr>
              <w:spacing w:after="0"/>
              <w:rPr>
                <w:sz w:val="21"/>
                <w:szCs w:val="21"/>
                <w:color w:val="auto"/>
              </w:rPr>
            </w:pPr>
          </w:p>
        </w:tc>
        <w:tc>
          <w:tcPr>
            <w:tcW w:w="4180" w:type="dxa"/>
            <w:vAlign w:val="bottom"/>
            <w:gridSpan w:val="2"/>
          </w:tcPr>
          <w:p>
            <w:pPr>
              <w:spacing w:after="0"/>
              <w:rPr>
                <w:sz w:val="20"/>
                <w:szCs w:val="20"/>
                <w:color w:val="auto"/>
              </w:rPr>
            </w:pPr>
            <w:r>
              <w:rPr>
                <w:rFonts w:ascii="Arial" w:cs="Arial" w:eastAsia="Arial" w:hAnsi="Arial"/>
                <w:sz w:val="20"/>
                <w:szCs w:val="20"/>
                <w:color w:val="auto"/>
              </w:rPr>
              <w:t>March 1, 2019 - March 31, 2019</w:t>
            </w:r>
          </w:p>
        </w:tc>
        <w:tc>
          <w:tcPr>
            <w:tcW w:w="1760" w:type="dxa"/>
            <w:vAlign w:val="bottom"/>
            <w:gridSpan w:val="2"/>
          </w:tcPr>
          <w:p>
            <w:pPr>
              <w:ind w:left="1320"/>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362"/>
              <w:spacing w:after="0"/>
              <w:rPr>
                <w:sz w:val="20"/>
                <w:szCs w:val="20"/>
                <w:color w:val="auto"/>
              </w:rPr>
            </w:pPr>
            <w:r>
              <w:rPr>
                <w:rFonts w:ascii="Arial" w:cs="Arial" w:eastAsia="Arial" w:hAnsi="Arial"/>
                <w:sz w:val="20"/>
                <w:szCs w:val="20"/>
                <w:color w:val="auto"/>
                <w:w w:val="71"/>
              </w:rPr>
              <w:t>$</w:t>
            </w:r>
          </w:p>
        </w:tc>
        <w:tc>
          <w:tcPr>
            <w:tcW w:w="680" w:type="dxa"/>
            <w:vAlign w:val="bottom"/>
          </w:tcPr>
          <w:p>
            <w:pPr>
              <w:ind w:left="460"/>
              <w:spacing w:after="0"/>
              <w:rPr>
                <w:sz w:val="20"/>
                <w:szCs w:val="20"/>
                <w:color w:val="auto"/>
              </w:rPr>
            </w:pPr>
            <w:r>
              <w:rPr>
                <w:rFonts w:ascii="Arial" w:cs="Arial" w:eastAsia="Arial" w:hAnsi="Arial"/>
                <w:sz w:val="20"/>
                <w:szCs w:val="20"/>
                <w:color w:val="auto"/>
                <w:w w:val="99"/>
              </w:rPr>
              <w:t>—</w:t>
            </w:r>
          </w:p>
        </w:tc>
        <w:tc>
          <w:tcPr>
            <w:tcW w:w="2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2000" w:type="dxa"/>
            <w:vAlign w:val="bottom"/>
            <w:gridSpan w:val="2"/>
          </w:tcPr>
          <w:p>
            <w:pPr>
              <w:jc w:val="right"/>
              <w:spacing w:after="0"/>
              <w:rPr>
                <w:sz w:val="20"/>
                <w:szCs w:val="20"/>
                <w:color w:val="auto"/>
              </w:rPr>
            </w:pPr>
            <w:r>
              <w:rPr>
                <w:rFonts w:ascii="Arial" w:cs="Arial" w:eastAsia="Arial" w:hAnsi="Arial"/>
                <w:sz w:val="20"/>
                <w:szCs w:val="20"/>
                <w:color w:val="auto"/>
              </w:rPr>
              <w:t>14,147,751</w:t>
            </w:r>
          </w:p>
        </w:tc>
        <w:tc>
          <w:tcPr>
            <w:tcW w:w="100" w:type="dxa"/>
            <w:vAlign w:val="bottom"/>
          </w:tcPr>
          <w:p>
            <w:pPr>
              <w:spacing w:after="0"/>
              <w:rPr>
                <w:sz w:val="21"/>
                <w:szCs w:val="21"/>
                <w:color w:val="auto"/>
              </w:rPr>
            </w:pPr>
          </w:p>
        </w:tc>
      </w:tr>
    </w:tbl>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42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00" w:type="dxa"/>
            <w:vAlign w:val="bottom"/>
          </w:tcPr>
          <w:p>
            <w:pPr>
              <w:jc w:val="center"/>
              <w:ind w:right="1222"/>
              <w:spacing w:after="0"/>
              <w:rPr>
                <w:sz w:val="20"/>
                <w:szCs w:val="20"/>
                <w:color w:val="auto"/>
              </w:rPr>
            </w:pPr>
            <w:r>
              <w:rPr>
                <w:rFonts w:ascii="Arial" w:cs="Arial" w:eastAsia="Arial" w:hAnsi="Arial"/>
                <w:sz w:val="20"/>
                <w:szCs w:val="20"/>
                <w:color w:val="auto"/>
                <w:w w:val="96"/>
              </w:rPr>
              <w:t>MARTIN MARIETTA MATERIALS, INC. AND CONSOLIDATED SUBSIDIARIES</w:t>
            </w:r>
          </w:p>
        </w:tc>
      </w:tr>
      <w:tr>
        <w:trPr>
          <w:trHeight w:val="228"/>
        </w:trPr>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00" w:type="dxa"/>
            <w:vAlign w:val="bottom"/>
          </w:tcPr>
          <w:p>
            <w:pPr>
              <w:jc w:val="center"/>
              <w:ind w:right="1222"/>
              <w:spacing w:after="0" w:line="229" w:lineRule="exact"/>
              <w:rPr>
                <w:sz w:val="20"/>
                <w:szCs w:val="20"/>
                <w:color w:val="auto"/>
              </w:rPr>
            </w:pPr>
            <w:r>
              <w:rPr>
                <w:rFonts w:ascii="Arial" w:cs="Arial" w:eastAsia="Arial" w:hAnsi="Arial"/>
                <w:sz w:val="20"/>
                <w:szCs w:val="20"/>
                <w:color w:val="auto"/>
                <w:w w:val="93"/>
              </w:rPr>
              <w:t>FORM 10-Q</w:t>
            </w:r>
          </w:p>
        </w:tc>
      </w:tr>
      <w:tr>
        <w:trPr>
          <w:trHeight w:val="249"/>
        </w:trPr>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tcPr>
          <w:p>
            <w:pPr>
              <w:jc w:val="center"/>
              <w:ind w:right="1222"/>
              <w:spacing w:after="0"/>
              <w:rPr>
                <w:sz w:val="20"/>
                <w:szCs w:val="20"/>
                <w:color w:val="auto"/>
              </w:rPr>
            </w:pPr>
            <w:r>
              <w:rPr>
                <w:rFonts w:ascii="Arial" w:cs="Arial" w:eastAsia="Arial" w:hAnsi="Arial"/>
                <w:sz w:val="20"/>
                <w:szCs w:val="20"/>
                <w:color w:val="auto"/>
                <w:w w:val="88"/>
              </w:rPr>
              <w:t>For the Quarter Ended March 31, 2019</w:t>
            </w:r>
          </w:p>
        </w:tc>
      </w:tr>
      <w:tr>
        <w:trPr>
          <w:trHeight w:val="422"/>
        </w:trPr>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00" w:type="dxa"/>
            <w:vAlign w:val="bottom"/>
          </w:tcPr>
          <w:p>
            <w:pPr>
              <w:jc w:val="center"/>
              <w:ind w:right="1222"/>
              <w:spacing w:after="0"/>
              <w:rPr>
                <w:sz w:val="20"/>
                <w:szCs w:val="20"/>
                <w:color w:val="auto"/>
              </w:rPr>
            </w:pPr>
            <w:r>
              <w:rPr>
                <w:rFonts w:ascii="Arial" w:cs="Arial" w:eastAsia="Arial" w:hAnsi="Arial"/>
                <w:sz w:val="20"/>
                <w:szCs w:val="20"/>
                <w:color w:val="auto"/>
                <w:w w:val="94"/>
              </w:rPr>
              <w:t>PART II- OTHER INFORMATION</w:t>
            </w:r>
          </w:p>
        </w:tc>
      </w:tr>
      <w:tr>
        <w:trPr>
          <w:trHeight w:val="249"/>
        </w:trPr>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tcPr>
          <w:p>
            <w:pPr>
              <w:jc w:val="center"/>
              <w:ind w:right="1222"/>
              <w:spacing w:after="0"/>
              <w:rPr>
                <w:sz w:val="20"/>
                <w:szCs w:val="20"/>
                <w:color w:val="auto"/>
              </w:rPr>
            </w:pPr>
            <w:r>
              <w:rPr>
                <w:rFonts w:ascii="Arial" w:cs="Arial" w:eastAsia="Arial" w:hAnsi="Arial"/>
                <w:sz w:val="20"/>
                <w:szCs w:val="20"/>
                <w:color w:val="auto"/>
                <w:w w:val="89"/>
              </w:rPr>
              <w:t>(Continued)</w:t>
            </w:r>
          </w:p>
        </w:tc>
      </w:tr>
      <w:tr>
        <w:trPr>
          <w:trHeight w:val="331"/>
        </w:trPr>
        <w:tc>
          <w:tcPr>
            <w:tcW w:w="11420" w:type="dxa"/>
            <w:vAlign w:val="bottom"/>
            <w:gridSpan w:val="5"/>
          </w:tcPr>
          <w:p>
            <w:pPr>
              <w:spacing w:after="0"/>
              <w:rPr>
                <w:sz w:val="20"/>
                <w:szCs w:val="20"/>
                <w:color w:val="auto"/>
              </w:rPr>
            </w:pPr>
            <w:r>
              <w:rPr>
                <w:rFonts w:ascii="Arial" w:cs="Arial" w:eastAsia="Arial" w:hAnsi="Arial"/>
                <w:sz w:val="20"/>
                <w:szCs w:val="20"/>
                <w:color w:val="auto"/>
              </w:rPr>
              <w:t>Item 6. Exhibits.</w:t>
            </w:r>
          </w:p>
        </w:tc>
      </w:tr>
      <w:tr>
        <w:trPr>
          <w:trHeight w:val="477"/>
        </w:trPr>
        <w:tc>
          <w:tcPr>
            <w:tcW w:w="1180" w:type="dxa"/>
            <w:vAlign w:val="bottom"/>
            <w:tcBorders>
              <w:top w:val="single" w:sz="8" w:color="auto"/>
            </w:tcBorders>
            <w:gridSpan w:val="3"/>
          </w:tcPr>
          <w:p>
            <w:pPr>
              <w:ind w:left="80"/>
              <w:spacing w:after="0"/>
              <w:rPr>
                <w:sz w:val="20"/>
                <w:szCs w:val="20"/>
                <w:color w:val="auto"/>
              </w:rPr>
            </w:pPr>
            <w:r>
              <w:rPr>
                <w:rFonts w:ascii="Arial" w:cs="Arial" w:eastAsia="Arial" w:hAnsi="Arial"/>
                <w:sz w:val="20"/>
                <w:szCs w:val="20"/>
                <w:color w:val="auto"/>
              </w:rPr>
              <w:t>Exhibit No.</w:t>
            </w:r>
          </w:p>
        </w:tc>
        <w:tc>
          <w:tcPr>
            <w:tcW w:w="140" w:type="dxa"/>
            <w:vAlign w:val="bottom"/>
            <w:tcBorders>
              <w:top w:val="single" w:sz="8" w:color="auto"/>
            </w:tcBorders>
          </w:tcPr>
          <w:p>
            <w:pPr>
              <w:spacing w:after="0"/>
              <w:rPr>
                <w:sz w:val="24"/>
                <w:szCs w:val="24"/>
                <w:color w:val="auto"/>
              </w:rPr>
            </w:pPr>
          </w:p>
        </w:tc>
        <w:tc>
          <w:tcPr>
            <w:tcW w:w="10100" w:type="dxa"/>
            <w:vAlign w:val="bottom"/>
          </w:tcPr>
          <w:p>
            <w:pPr>
              <w:ind w:left="4560"/>
              <w:spacing w:after="0"/>
              <w:rPr>
                <w:sz w:val="20"/>
                <w:szCs w:val="20"/>
                <w:color w:val="auto"/>
              </w:rPr>
            </w:pPr>
            <w:r>
              <w:rPr>
                <w:rFonts w:ascii="Arial" w:cs="Arial" w:eastAsia="Arial" w:hAnsi="Arial"/>
                <w:sz w:val="20"/>
                <w:szCs w:val="20"/>
                <w:color w:val="auto"/>
              </w:rPr>
              <w:t>Document</w:t>
            </w:r>
          </w:p>
        </w:tc>
      </w:tr>
      <w:tr>
        <w:trPr>
          <w:trHeight w:val="302"/>
        </w:trPr>
        <w:tc>
          <w:tcPr>
            <w:tcW w:w="1060" w:type="dxa"/>
            <w:vAlign w:val="bottom"/>
            <w:tcBorders>
              <w:top w:val="single" w:sz="8" w:color="auto"/>
            </w:tcBorders>
            <w:gridSpan w:val="2"/>
          </w:tcPr>
          <w:p>
            <w:pPr>
              <w:spacing w:after="0"/>
              <w:rPr>
                <w:rFonts w:ascii="Arial" w:cs="Arial" w:eastAsia="Arial" w:hAnsi="Arial"/>
                <w:sz w:val="20"/>
                <w:szCs w:val="20"/>
                <w:color w:val="0000EE"/>
              </w:rPr>
            </w:pPr>
            <w:hyperlink w:anchor="page45">
              <w:r>
                <w:rPr>
                  <w:rFonts w:ascii="Arial" w:cs="Arial" w:eastAsia="Arial" w:hAnsi="Arial"/>
                  <w:sz w:val="20"/>
                  <w:szCs w:val="20"/>
                  <w:color w:val="0000EE"/>
                </w:rPr>
                <w:t>31.</w:t>
              </w:r>
              <w:r>
                <w:rPr>
                  <w:rFonts w:ascii="Arial" w:cs="Arial" w:eastAsia="Arial" w:hAnsi="Arial"/>
                  <w:sz w:val="20"/>
                  <w:szCs w:val="20"/>
                  <w:u w:val="single" w:color="auto"/>
                  <w:color w:val="0000EE"/>
                </w:rPr>
                <w:t>01</w:t>
              </w:r>
            </w:hyperlink>
          </w:p>
        </w:tc>
        <w:tc>
          <w:tcPr>
            <w:tcW w:w="120" w:type="dxa"/>
            <w:vAlign w:val="bottom"/>
          </w:tcPr>
          <w:p>
            <w:pPr>
              <w:spacing w:after="0"/>
              <w:rPr>
                <w:sz w:val="24"/>
                <w:szCs w:val="24"/>
                <w:color w:val="auto"/>
              </w:rPr>
            </w:pPr>
          </w:p>
        </w:tc>
        <w:tc>
          <w:tcPr>
            <w:tcW w:w="102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w w:val="94"/>
              </w:rPr>
              <w:t>Certification dated May 1, 2019 of Chief Executive Officer pursuant to Securities and Exchange Act of 1934 rule 13a-14 as</w:t>
            </w:r>
          </w:p>
        </w:tc>
      </w:tr>
      <w:tr>
        <w:trPr>
          <w:trHeight w:val="253"/>
        </w:trPr>
        <w:tc>
          <w:tcPr>
            <w:tcW w:w="460" w:type="dxa"/>
            <w:vAlign w:val="bottom"/>
            <w:tcBorders>
              <w:top w:val="single" w:sz="8" w:color="0000EE"/>
            </w:tcBorders>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05"/>
        </w:trPr>
        <w:tc>
          <w:tcPr>
            <w:tcW w:w="1060" w:type="dxa"/>
            <w:vAlign w:val="bottom"/>
            <w:gridSpan w:val="2"/>
          </w:tcPr>
          <w:p>
            <w:pPr>
              <w:spacing w:after="0"/>
              <w:rPr>
                <w:rFonts w:ascii="Arial" w:cs="Arial" w:eastAsia="Arial" w:hAnsi="Arial"/>
                <w:sz w:val="20"/>
                <w:szCs w:val="20"/>
                <w:color w:val="0000EE"/>
              </w:rPr>
            </w:pPr>
            <w:hyperlink w:anchor="page47">
              <w:r>
                <w:rPr>
                  <w:rFonts w:ascii="Arial" w:cs="Arial" w:eastAsia="Arial" w:hAnsi="Arial"/>
                  <w:sz w:val="20"/>
                  <w:szCs w:val="20"/>
                  <w:color w:val="0000EE"/>
                </w:rPr>
                <w:t>31.</w:t>
              </w:r>
              <w:r>
                <w:rPr>
                  <w:rFonts w:ascii="Arial" w:cs="Arial" w:eastAsia="Arial" w:hAnsi="Arial"/>
                  <w:sz w:val="20"/>
                  <w:szCs w:val="20"/>
                  <w:u w:val="single" w:color="auto"/>
                  <w:color w:val="0000EE"/>
                </w:rPr>
                <w:t>02</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5"/>
              </w:rPr>
              <w:t>Certification dated May 1, 2019 of Chief Financial Officer pursuant to Securities and Exchange Act of 1934 rule 13a-14 as</w:t>
            </w:r>
          </w:p>
        </w:tc>
      </w:tr>
      <w:tr>
        <w:trPr>
          <w:trHeight w:val="253"/>
        </w:trPr>
        <w:tc>
          <w:tcPr>
            <w:tcW w:w="460" w:type="dxa"/>
            <w:vAlign w:val="bottom"/>
            <w:tcBorders>
              <w:top w:val="single" w:sz="8" w:color="0000EE"/>
            </w:tcBorders>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05"/>
        </w:trPr>
        <w:tc>
          <w:tcPr>
            <w:tcW w:w="1060" w:type="dxa"/>
            <w:vAlign w:val="bottom"/>
            <w:gridSpan w:val="2"/>
          </w:tcPr>
          <w:p>
            <w:pPr>
              <w:spacing w:after="0"/>
              <w:rPr>
                <w:rFonts w:ascii="Arial" w:cs="Arial" w:eastAsia="Arial" w:hAnsi="Arial"/>
                <w:sz w:val="20"/>
                <w:szCs w:val="20"/>
                <w:color w:val="0000EE"/>
              </w:rPr>
            </w:pPr>
            <w:hyperlink w:anchor="page49">
              <w:r>
                <w:rPr>
                  <w:rFonts w:ascii="Arial" w:cs="Arial" w:eastAsia="Arial" w:hAnsi="Arial"/>
                  <w:sz w:val="20"/>
                  <w:szCs w:val="20"/>
                  <w:color w:val="0000EE"/>
                </w:rPr>
                <w:t>32.</w:t>
              </w:r>
              <w:r>
                <w:rPr>
                  <w:rFonts w:ascii="Arial" w:cs="Arial" w:eastAsia="Arial" w:hAnsi="Arial"/>
                  <w:sz w:val="20"/>
                  <w:szCs w:val="20"/>
                  <w:u w:val="single" w:color="auto"/>
                  <w:color w:val="0000EE"/>
                </w:rPr>
                <w:t>01</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89"/>
              </w:rPr>
              <w:t>Written Statement dated May 1, 2019 of Chief Executive Officer required by 18 U.S.C. 1350, as adopted pursuant to Section 906</w:t>
            </w:r>
          </w:p>
        </w:tc>
      </w:tr>
      <w:tr>
        <w:trPr>
          <w:trHeight w:val="253"/>
        </w:trPr>
        <w:tc>
          <w:tcPr>
            <w:tcW w:w="460" w:type="dxa"/>
            <w:vAlign w:val="bottom"/>
            <w:tcBorders>
              <w:top w:val="single" w:sz="8" w:color="0000EE"/>
            </w:tcBorders>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of the Sarbanes-Oxley Act of 2002</w:t>
            </w:r>
          </w:p>
        </w:tc>
      </w:tr>
      <w:tr>
        <w:trPr>
          <w:trHeight w:val="305"/>
        </w:trPr>
        <w:tc>
          <w:tcPr>
            <w:tcW w:w="1060" w:type="dxa"/>
            <w:vAlign w:val="bottom"/>
            <w:gridSpan w:val="2"/>
          </w:tcPr>
          <w:p>
            <w:pPr>
              <w:spacing w:after="0"/>
              <w:rPr>
                <w:rFonts w:ascii="Arial" w:cs="Arial" w:eastAsia="Arial" w:hAnsi="Arial"/>
                <w:sz w:val="20"/>
                <w:szCs w:val="20"/>
                <w:color w:val="0000EE"/>
              </w:rPr>
            </w:pPr>
            <w:hyperlink w:anchor="page50">
              <w:r>
                <w:rPr>
                  <w:rFonts w:ascii="Arial" w:cs="Arial" w:eastAsia="Arial" w:hAnsi="Arial"/>
                  <w:sz w:val="20"/>
                  <w:szCs w:val="20"/>
                  <w:color w:val="0000EE"/>
                </w:rPr>
                <w:t>32.</w:t>
              </w:r>
              <w:r>
                <w:rPr>
                  <w:rFonts w:ascii="Arial" w:cs="Arial" w:eastAsia="Arial" w:hAnsi="Arial"/>
                  <w:sz w:val="20"/>
                  <w:szCs w:val="20"/>
                  <w:u w:val="single" w:color="auto"/>
                  <w:color w:val="0000EE"/>
                </w:rPr>
                <w:t>02</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0"/>
              </w:rPr>
              <w:t>Written Statement dated May 1, 2019 of Chief Financial Officer required by 18 U.S.C. 1350, as adopted pursuant to Section 906</w:t>
            </w:r>
          </w:p>
        </w:tc>
      </w:tr>
      <w:tr>
        <w:trPr>
          <w:trHeight w:val="253"/>
        </w:trPr>
        <w:tc>
          <w:tcPr>
            <w:tcW w:w="460" w:type="dxa"/>
            <w:vAlign w:val="bottom"/>
            <w:tcBorders>
              <w:top w:val="single" w:sz="8" w:color="0000EE"/>
            </w:tcBorders>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of the Sarbanes-Oxley Act of 2002</w:t>
            </w:r>
          </w:p>
        </w:tc>
      </w:tr>
    </w:tbl>
    <w:p>
      <w:pPr>
        <w:spacing w:after="0" w:line="100" w:lineRule="exact"/>
        <w:rPr>
          <w:sz w:val="20"/>
          <w:szCs w:val="20"/>
          <w:color w:val="auto"/>
        </w:rPr>
      </w:pPr>
    </w:p>
    <w:p>
      <w:pPr>
        <w:ind w:left="1180" w:hanging="1173"/>
        <w:spacing w:after="0"/>
        <w:tabs>
          <w:tab w:leader="none" w:pos="1180" w:val="left"/>
        </w:tabs>
        <w:numPr>
          <w:ilvl w:val="0"/>
          <w:numId w:val="16"/>
        </w:numPr>
        <w:rPr>
          <w:rFonts w:ascii="Arial" w:cs="Arial" w:eastAsia="Arial" w:hAnsi="Arial"/>
          <w:sz w:val="20"/>
          <w:szCs w:val="20"/>
          <w:u w:val="single" w:color="auto"/>
          <w:color w:val="0000EE"/>
        </w:rPr>
      </w:pPr>
      <w:r>
        <w:rPr>
          <w:rFonts w:ascii="Arial" w:cs="Arial" w:eastAsia="Arial" w:hAnsi="Arial"/>
          <w:sz w:val="20"/>
          <w:szCs w:val="20"/>
          <w:color w:val="auto"/>
        </w:rPr>
        <w:t>Mine Safety Disclosures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20"/>
                <w:szCs w:val="20"/>
                <w:color w:val="auto"/>
              </w:rPr>
              <w:t>101.INS</w:t>
            </w:r>
          </w:p>
        </w:tc>
        <w:tc>
          <w:tcPr>
            <w:tcW w:w="10460" w:type="dxa"/>
            <w:vAlign w:val="bottom"/>
          </w:tcPr>
          <w:p>
            <w:pPr>
              <w:ind w:left="220"/>
              <w:spacing w:after="0"/>
              <w:rPr>
                <w:sz w:val="20"/>
                <w:szCs w:val="20"/>
                <w:color w:val="auto"/>
              </w:rPr>
            </w:pPr>
            <w:r>
              <w:rPr>
                <w:rFonts w:ascii="Arial" w:cs="Arial" w:eastAsia="Arial" w:hAnsi="Arial"/>
                <w:sz w:val="20"/>
                <w:szCs w:val="20"/>
                <w:color w:val="auto"/>
                <w:w w:val="93"/>
              </w:rPr>
              <w:t>XBRL Instance Document – The instance document does not appear in the Interactive Data File because its XBRL tags are</w:t>
            </w:r>
          </w:p>
        </w:tc>
      </w:tr>
      <w:tr>
        <w:trPr>
          <w:trHeight w:val="249"/>
        </w:trPr>
        <w:tc>
          <w:tcPr>
            <w:tcW w:w="960" w:type="dxa"/>
            <w:vAlign w:val="bottom"/>
          </w:tcPr>
          <w:p>
            <w:pPr>
              <w:spacing w:after="0"/>
              <w:rPr>
                <w:sz w:val="21"/>
                <w:szCs w:val="21"/>
                <w:color w:val="auto"/>
              </w:rPr>
            </w:pPr>
          </w:p>
        </w:tc>
        <w:tc>
          <w:tcPr>
            <w:tcW w:w="10460" w:type="dxa"/>
            <w:vAlign w:val="bottom"/>
          </w:tcPr>
          <w:p>
            <w:pPr>
              <w:ind w:left="220"/>
              <w:spacing w:after="0"/>
              <w:rPr>
                <w:sz w:val="20"/>
                <w:szCs w:val="20"/>
                <w:color w:val="auto"/>
              </w:rPr>
            </w:pPr>
            <w:r>
              <w:rPr>
                <w:rFonts w:ascii="Arial" w:cs="Arial" w:eastAsia="Arial" w:hAnsi="Arial"/>
                <w:sz w:val="20"/>
                <w:szCs w:val="20"/>
                <w:color w:val="auto"/>
              </w:rPr>
              <w:t>embedded within the Inline XBRL document.</w:t>
            </w:r>
          </w:p>
        </w:tc>
      </w:tr>
      <w:tr>
        <w:trPr>
          <w:trHeight w:val="349"/>
        </w:trPr>
        <w:tc>
          <w:tcPr>
            <w:tcW w:w="960" w:type="dxa"/>
            <w:vAlign w:val="bottom"/>
          </w:tcPr>
          <w:p>
            <w:pPr>
              <w:spacing w:after="0"/>
              <w:rPr>
                <w:sz w:val="20"/>
                <w:szCs w:val="20"/>
                <w:color w:val="auto"/>
              </w:rPr>
            </w:pPr>
            <w:r>
              <w:rPr>
                <w:rFonts w:ascii="Arial" w:cs="Arial" w:eastAsia="Arial" w:hAnsi="Arial"/>
                <w:sz w:val="20"/>
                <w:szCs w:val="20"/>
                <w:color w:val="auto"/>
              </w:rPr>
              <w:t>101.SCH</w:t>
            </w:r>
          </w:p>
        </w:tc>
        <w:tc>
          <w:tcPr>
            <w:tcW w:w="10460" w:type="dxa"/>
            <w:vAlign w:val="bottom"/>
          </w:tcPr>
          <w:p>
            <w:pPr>
              <w:ind w:left="220"/>
              <w:spacing w:after="0"/>
              <w:rPr>
                <w:sz w:val="20"/>
                <w:szCs w:val="20"/>
                <w:color w:val="auto"/>
              </w:rPr>
            </w:pPr>
            <w:r>
              <w:rPr>
                <w:rFonts w:ascii="Arial" w:cs="Arial" w:eastAsia="Arial" w:hAnsi="Arial"/>
                <w:sz w:val="20"/>
                <w:szCs w:val="20"/>
                <w:color w:val="auto"/>
              </w:rPr>
              <w:t>XBRL Taxonomy Extension Schema Document</w:t>
            </w:r>
          </w:p>
        </w:tc>
      </w:tr>
      <w:tr>
        <w:trPr>
          <w:trHeight w:val="349"/>
        </w:trPr>
        <w:tc>
          <w:tcPr>
            <w:tcW w:w="960" w:type="dxa"/>
            <w:vAlign w:val="bottom"/>
          </w:tcPr>
          <w:p>
            <w:pPr>
              <w:spacing w:after="0"/>
              <w:rPr>
                <w:sz w:val="20"/>
                <w:szCs w:val="20"/>
                <w:color w:val="auto"/>
              </w:rPr>
            </w:pPr>
            <w:r>
              <w:rPr>
                <w:rFonts w:ascii="Arial" w:cs="Arial" w:eastAsia="Arial" w:hAnsi="Arial"/>
                <w:sz w:val="20"/>
                <w:szCs w:val="20"/>
                <w:color w:val="auto"/>
              </w:rPr>
              <w:t>101.CAL</w:t>
            </w:r>
          </w:p>
        </w:tc>
        <w:tc>
          <w:tcPr>
            <w:tcW w:w="10460" w:type="dxa"/>
            <w:vAlign w:val="bottom"/>
          </w:tcPr>
          <w:p>
            <w:pPr>
              <w:ind w:left="220"/>
              <w:spacing w:after="0"/>
              <w:rPr>
                <w:sz w:val="20"/>
                <w:szCs w:val="20"/>
                <w:color w:val="auto"/>
              </w:rPr>
            </w:pPr>
            <w:r>
              <w:rPr>
                <w:rFonts w:ascii="Arial" w:cs="Arial" w:eastAsia="Arial" w:hAnsi="Arial"/>
                <w:sz w:val="20"/>
                <w:szCs w:val="20"/>
                <w:color w:val="auto"/>
              </w:rPr>
              <w:t>XBRL Taxonomy Extension Calculation Linkbase Document</w:t>
            </w:r>
          </w:p>
        </w:tc>
      </w:tr>
      <w:tr>
        <w:trPr>
          <w:trHeight w:val="349"/>
        </w:trPr>
        <w:tc>
          <w:tcPr>
            <w:tcW w:w="960" w:type="dxa"/>
            <w:vAlign w:val="bottom"/>
          </w:tcPr>
          <w:p>
            <w:pPr>
              <w:spacing w:after="0"/>
              <w:rPr>
                <w:sz w:val="20"/>
                <w:szCs w:val="20"/>
                <w:color w:val="auto"/>
              </w:rPr>
            </w:pPr>
            <w:r>
              <w:rPr>
                <w:rFonts w:ascii="Arial" w:cs="Arial" w:eastAsia="Arial" w:hAnsi="Arial"/>
                <w:sz w:val="20"/>
                <w:szCs w:val="20"/>
                <w:color w:val="auto"/>
              </w:rPr>
              <w:t>101.LAB</w:t>
            </w:r>
          </w:p>
        </w:tc>
        <w:tc>
          <w:tcPr>
            <w:tcW w:w="10460" w:type="dxa"/>
            <w:vAlign w:val="bottom"/>
          </w:tcPr>
          <w:p>
            <w:pPr>
              <w:ind w:left="220"/>
              <w:spacing w:after="0"/>
              <w:rPr>
                <w:sz w:val="20"/>
                <w:szCs w:val="20"/>
                <w:color w:val="auto"/>
              </w:rPr>
            </w:pPr>
            <w:r>
              <w:rPr>
                <w:rFonts w:ascii="Arial" w:cs="Arial" w:eastAsia="Arial" w:hAnsi="Arial"/>
                <w:sz w:val="20"/>
                <w:szCs w:val="20"/>
                <w:color w:val="auto"/>
              </w:rPr>
              <w:t>XBRL Taxonomy Extension Label Linkbase Document</w:t>
            </w:r>
          </w:p>
        </w:tc>
      </w:tr>
      <w:tr>
        <w:trPr>
          <w:trHeight w:val="349"/>
        </w:trPr>
        <w:tc>
          <w:tcPr>
            <w:tcW w:w="960" w:type="dxa"/>
            <w:vAlign w:val="bottom"/>
          </w:tcPr>
          <w:p>
            <w:pPr>
              <w:spacing w:after="0"/>
              <w:rPr>
                <w:sz w:val="20"/>
                <w:szCs w:val="20"/>
                <w:color w:val="auto"/>
              </w:rPr>
            </w:pPr>
            <w:r>
              <w:rPr>
                <w:rFonts w:ascii="Arial" w:cs="Arial" w:eastAsia="Arial" w:hAnsi="Arial"/>
                <w:sz w:val="20"/>
                <w:szCs w:val="20"/>
                <w:color w:val="auto"/>
              </w:rPr>
              <w:t>101.PRE</w:t>
            </w:r>
          </w:p>
        </w:tc>
        <w:tc>
          <w:tcPr>
            <w:tcW w:w="10460" w:type="dxa"/>
            <w:vAlign w:val="bottom"/>
          </w:tcPr>
          <w:p>
            <w:pPr>
              <w:ind w:left="220"/>
              <w:spacing w:after="0"/>
              <w:rPr>
                <w:sz w:val="20"/>
                <w:szCs w:val="20"/>
                <w:color w:val="auto"/>
              </w:rPr>
            </w:pPr>
            <w:r>
              <w:rPr>
                <w:rFonts w:ascii="Arial" w:cs="Arial" w:eastAsia="Arial" w:hAnsi="Arial"/>
                <w:sz w:val="20"/>
                <w:szCs w:val="20"/>
                <w:color w:val="auto"/>
              </w:rPr>
              <w:t>XBRL Taxonomy Extension Presentation Linkbase Document</w:t>
            </w:r>
          </w:p>
        </w:tc>
      </w:tr>
      <w:tr>
        <w:trPr>
          <w:trHeight w:val="349"/>
        </w:trPr>
        <w:tc>
          <w:tcPr>
            <w:tcW w:w="960" w:type="dxa"/>
            <w:vAlign w:val="bottom"/>
          </w:tcPr>
          <w:p>
            <w:pPr>
              <w:spacing w:after="0"/>
              <w:rPr>
                <w:sz w:val="20"/>
                <w:szCs w:val="20"/>
                <w:color w:val="auto"/>
              </w:rPr>
            </w:pPr>
            <w:r>
              <w:rPr>
                <w:rFonts w:ascii="Arial" w:cs="Arial" w:eastAsia="Arial" w:hAnsi="Arial"/>
                <w:sz w:val="20"/>
                <w:szCs w:val="20"/>
                <w:color w:val="auto"/>
              </w:rPr>
              <w:t>101.DEF</w:t>
            </w:r>
          </w:p>
        </w:tc>
        <w:tc>
          <w:tcPr>
            <w:tcW w:w="10460" w:type="dxa"/>
            <w:vAlign w:val="bottom"/>
          </w:tcPr>
          <w:p>
            <w:pPr>
              <w:ind w:left="220"/>
              <w:spacing w:after="0"/>
              <w:rPr>
                <w:sz w:val="20"/>
                <w:szCs w:val="20"/>
                <w:color w:val="auto"/>
              </w:rPr>
            </w:pPr>
            <w:r>
              <w:rPr>
                <w:rFonts w:ascii="Arial" w:cs="Arial" w:eastAsia="Arial" w:hAnsi="Arial"/>
                <w:sz w:val="20"/>
                <w:szCs w:val="20"/>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43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272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color w:val="auto"/>
        </w:rPr>
        <w:t>SIGNATURES</w:t>
      </w:r>
    </w:p>
    <w:p>
      <w:pPr>
        <w:spacing w:after="0" w:line="213"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20"/>
                <w:szCs w:val="20"/>
                <w:color w:val="auto"/>
              </w:rPr>
              <w:t>MARTIN MARIETTA MATERIALS, INC.</w:t>
            </w:r>
          </w:p>
        </w:tc>
      </w:tr>
      <w:tr>
        <w:trPr>
          <w:trHeight w:val="249"/>
        </w:trPr>
        <w:tc>
          <w:tcPr>
            <w:tcW w:w="33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4200" w:type="dxa"/>
            <w:vAlign w:val="bottom"/>
          </w:tcPr>
          <w:p>
            <w:pPr>
              <w:jc w:val="center"/>
              <w:ind w:right="2002"/>
              <w:spacing w:after="0"/>
              <w:rPr>
                <w:sz w:val="20"/>
                <w:szCs w:val="20"/>
                <w:color w:val="auto"/>
              </w:rPr>
            </w:pPr>
            <w:r>
              <w:rPr>
                <w:rFonts w:ascii="Arial" w:cs="Arial" w:eastAsia="Arial" w:hAnsi="Arial"/>
                <w:sz w:val="20"/>
                <w:szCs w:val="20"/>
                <w:color w:val="auto"/>
                <w:w w:val="89"/>
              </w:rPr>
              <w:t>(Registrant)</w:t>
            </w:r>
          </w:p>
        </w:tc>
      </w:tr>
      <w:tr>
        <w:trPr>
          <w:trHeight w:val="452"/>
        </w:trPr>
        <w:tc>
          <w:tcPr>
            <w:tcW w:w="3320" w:type="dxa"/>
            <w:vAlign w:val="bottom"/>
          </w:tcPr>
          <w:p>
            <w:pPr>
              <w:spacing w:after="0"/>
              <w:rPr>
                <w:sz w:val="20"/>
                <w:szCs w:val="20"/>
                <w:color w:val="auto"/>
              </w:rPr>
            </w:pPr>
            <w:r>
              <w:rPr>
                <w:rFonts w:ascii="Arial" w:cs="Arial" w:eastAsia="Arial" w:hAnsi="Arial"/>
                <w:sz w:val="20"/>
                <w:szCs w:val="20"/>
                <w:color w:val="auto"/>
              </w:rPr>
              <w:t>Date: May 1, 2019</w:t>
            </w:r>
          </w:p>
        </w:tc>
        <w:tc>
          <w:tcPr>
            <w:tcW w:w="8100" w:type="dxa"/>
            <w:vAlign w:val="bottom"/>
            <w:gridSpan w:val="2"/>
          </w:tcPr>
          <w:p>
            <w:pPr>
              <w:ind w:left="3500"/>
              <w:spacing w:after="0"/>
              <w:rPr>
                <w:sz w:val="20"/>
                <w:szCs w:val="20"/>
                <w:color w:val="auto"/>
              </w:rPr>
            </w:pPr>
            <w:r>
              <w:rPr>
                <w:rFonts w:ascii="Arial" w:cs="Arial" w:eastAsia="Arial" w:hAnsi="Arial"/>
                <w:sz w:val="20"/>
                <w:szCs w:val="20"/>
                <w:color w:val="auto"/>
              </w:rPr>
              <w:t>By: /s/ James A. J. Nickolas</w:t>
            </w:r>
          </w:p>
        </w:tc>
      </w:tr>
      <w:tr>
        <w:trPr>
          <w:trHeight w:val="205"/>
        </w:trPr>
        <w:tc>
          <w:tcPr>
            <w:tcW w:w="3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200" w:type="dxa"/>
            <w:vAlign w:val="bottom"/>
            <w:tcBorders>
              <w:top w:val="single" w:sz="8" w:color="auto"/>
            </w:tcBorders>
          </w:tcPr>
          <w:p>
            <w:pPr>
              <w:spacing w:after="0" w:line="205" w:lineRule="exact"/>
              <w:rPr>
                <w:sz w:val="20"/>
                <w:szCs w:val="20"/>
                <w:color w:val="auto"/>
              </w:rPr>
            </w:pPr>
            <w:r>
              <w:rPr>
                <w:rFonts w:ascii="Arial" w:cs="Arial" w:eastAsia="Arial" w:hAnsi="Arial"/>
                <w:sz w:val="20"/>
                <w:szCs w:val="20"/>
                <w:color w:val="auto"/>
              </w:rPr>
              <w:t>James A. J. Nickolas</w:t>
            </w:r>
          </w:p>
        </w:tc>
      </w:tr>
      <w:tr>
        <w:trPr>
          <w:trHeight w:val="228"/>
        </w:trPr>
        <w:tc>
          <w:tcPr>
            <w:tcW w:w="33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4200" w:type="dxa"/>
            <w:vAlign w:val="bottom"/>
          </w:tcPr>
          <w:p>
            <w:pPr>
              <w:spacing w:after="0" w:line="229" w:lineRule="exact"/>
              <w:rPr>
                <w:sz w:val="20"/>
                <w:szCs w:val="20"/>
                <w:color w:val="auto"/>
              </w:rPr>
            </w:pPr>
            <w:r>
              <w:rPr>
                <w:rFonts w:ascii="Arial" w:cs="Arial" w:eastAsia="Arial" w:hAnsi="Arial"/>
                <w:sz w:val="20"/>
                <w:szCs w:val="20"/>
                <w:color w:val="auto"/>
              </w:rPr>
              <w:t>Sr. Vice President and</w:t>
            </w:r>
          </w:p>
        </w:tc>
      </w:tr>
      <w:tr>
        <w:trPr>
          <w:trHeight w:val="249"/>
        </w:trPr>
        <w:tc>
          <w:tcPr>
            <w:tcW w:w="33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4200" w:type="dxa"/>
            <w:vAlign w:val="bottom"/>
          </w:tcPr>
          <w:p>
            <w:pPr>
              <w:jc w:val="center"/>
              <w:ind w:right="1982"/>
              <w:spacing w:after="0"/>
              <w:rPr>
                <w:sz w:val="20"/>
                <w:szCs w:val="20"/>
                <w:color w:val="auto"/>
              </w:rPr>
            </w:pPr>
            <w:r>
              <w:rPr>
                <w:rFonts w:ascii="Arial" w:cs="Arial" w:eastAsia="Arial" w:hAnsi="Arial"/>
                <w:sz w:val="20"/>
                <w:szCs w:val="20"/>
                <w:color w:val="auto"/>
                <w:w w:val="93"/>
              </w:rPr>
              <w:t>Chief Financial Officer</w:t>
            </w:r>
          </w:p>
        </w:tc>
      </w:tr>
      <w:tr>
        <w:trPr>
          <w:trHeight w:val="900"/>
        </w:trPr>
        <w:tc>
          <w:tcPr>
            <w:tcW w:w="3320" w:type="dxa"/>
            <w:vAlign w:val="bottom"/>
          </w:tcPr>
          <w:p>
            <w:pPr>
              <w:spacing w:after="0"/>
              <w:rPr>
                <w:sz w:val="24"/>
                <w:szCs w:val="24"/>
                <w:color w:val="auto"/>
              </w:rPr>
            </w:pPr>
          </w:p>
        </w:tc>
        <w:tc>
          <w:tcPr>
            <w:tcW w:w="8100" w:type="dxa"/>
            <w:vAlign w:val="bottom"/>
            <w:gridSpan w:val="2"/>
          </w:tcPr>
          <w:p>
            <w:pPr>
              <w:ind w:left="1860"/>
              <w:spacing w:after="0"/>
              <w:rPr>
                <w:sz w:val="20"/>
                <w:szCs w:val="20"/>
                <w:color w:val="auto"/>
              </w:rPr>
            </w:pPr>
            <w:r>
              <w:rPr>
                <w:rFonts w:ascii="Arial" w:cs="Arial" w:eastAsia="Arial" w:hAnsi="Arial"/>
                <w:sz w:val="20"/>
                <w:szCs w:val="20"/>
                <w:color w:val="auto"/>
              </w:rPr>
              <w:t>Page 44 of 44</w:t>
            </w:r>
          </w:p>
        </w:tc>
      </w:tr>
    </w:tbl>
    <w:p>
      <w:pPr>
        <w:sectPr>
          <w:pgSz w:w="11900" w:h="16838" w:orient="portrait"/>
          <w:cols w:equalWidth="0" w:num="1">
            <w:col w:w="11420"/>
          </w:cols>
          <w:pgMar w:left="240" w:top="35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82" w:lineRule="exact"/>
        <w:rPr>
          <w:sz w:val="20"/>
          <w:szCs w:val="20"/>
          <w:color w:val="auto"/>
        </w:rPr>
      </w:pPr>
    </w:p>
    <w:p>
      <w:pPr>
        <w:jc w:val="center"/>
        <w:spacing w:after="0" w:line="264"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27" w:lineRule="exact"/>
        <w:rPr>
          <w:sz w:val="20"/>
          <w:szCs w:val="20"/>
          <w:color w:val="auto"/>
        </w:rPr>
      </w:pPr>
    </w:p>
    <w:p>
      <w:pPr>
        <w:ind w:left="1300" w:hanging="420"/>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6" w:lineRule="exact"/>
        <w:rPr>
          <w:rFonts w:ascii="Arial" w:cs="Arial" w:eastAsia="Arial" w:hAnsi="Arial"/>
          <w:sz w:val="20"/>
          <w:szCs w:val="20"/>
          <w:color w:val="auto"/>
        </w:rPr>
      </w:pPr>
    </w:p>
    <w:p>
      <w:pPr>
        <w:jc w:val="both"/>
        <w:ind w:left="1300" w:hanging="420"/>
        <w:spacing w:after="0" w:line="248" w:lineRule="auto"/>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20"/>
          <w:szCs w:val="20"/>
          <w:color w:val="auto"/>
        </w:rPr>
      </w:pPr>
    </w:p>
    <w:p>
      <w:pPr>
        <w:jc w:val="both"/>
        <w:ind w:left="1300" w:hanging="420"/>
        <w:spacing w:after="0" w:line="248" w:lineRule="auto"/>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200" w:lineRule="exact"/>
        <w:rPr>
          <w:rFonts w:ascii="Arial" w:cs="Arial" w:eastAsia="Arial" w:hAnsi="Arial"/>
          <w:sz w:val="20"/>
          <w:szCs w:val="20"/>
          <w:color w:val="auto"/>
        </w:rPr>
      </w:pPr>
    </w:p>
    <w:p>
      <w:pPr>
        <w:jc w:val="both"/>
        <w:ind w:left="1300" w:hanging="420"/>
        <w:spacing w:after="0" w:line="248" w:lineRule="auto"/>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20"/>
          <w:szCs w:val="20"/>
          <w:color w:val="auto"/>
        </w:rPr>
      </w:pPr>
    </w:p>
    <w:p>
      <w:pPr>
        <w:jc w:val="both"/>
        <w:ind w:left="2180" w:hanging="427"/>
        <w:spacing w:after="0" w:line="244" w:lineRule="auto"/>
        <w:tabs>
          <w:tab w:leader="none" w:pos="21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20"/>
          <w:szCs w:val="20"/>
          <w:color w:val="auto"/>
        </w:rPr>
      </w:pPr>
    </w:p>
    <w:p>
      <w:pPr>
        <w:jc w:val="both"/>
        <w:ind w:left="2180" w:hanging="427"/>
        <w:spacing w:after="0" w:line="244" w:lineRule="auto"/>
        <w:tabs>
          <w:tab w:leader="none" w:pos="21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6" w:lineRule="exact"/>
        <w:rPr>
          <w:rFonts w:ascii="Arial" w:cs="Arial" w:eastAsia="Arial" w:hAnsi="Arial"/>
          <w:sz w:val="20"/>
          <w:szCs w:val="20"/>
          <w:color w:val="auto"/>
        </w:rPr>
      </w:pPr>
    </w:p>
    <w:p>
      <w:pPr>
        <w:jc w:val="both"/>
        <w:ind w:left="2180" w:hanging="427"/>
        <w:spacing w:after="0" w:line="248" w:lineRule="auto"/>
        <w:tabs>
          <w:tab w:leader="none" w:pos="21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20"/>
          <w:szCs w:val="20"/>
          <w:color w:val="auto"/>
        </w:rPr>
      </w:pPr>
    </w:p>
    <w:p>
      <w:pPr>
        <w:jc w:val="both"/>
        <w:ind w:left="2180" w:hanging="427"/>
        <w:spacing w:after="0" w:line="244" w:lineRule="auto"/>
        <w:tabs>
          <w:tab w:leader="none" w:pos="21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469900</wp:posOffset>
            </wp:positionV>
            <wp:extent cx="728980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815" w:right="239" w:bottom="1440" w:gutter="0" w:footer="0" w:header="0"/>
        </w:sectPr>
      </w:pPr>
    </w:p>
    <w:bookmarkStart w:id="45" w:name="page46"/>
    <w:bookmarkEnd w:id="45"/>
    <w:p>
      <w:pPr>
        <w:spacing w:after="0" w:line="39" w:lineRule="exact"/>
        <w:rPr>
          <w:sz w:val="20"/>
          <w:szCs w:val="20"/>
          <w:color w:val="auto"/>
        </w:rPr>
      </w:pPr>
    </w:p>
    <w:p>
      <w:pPr>
        <w:jc w:val="both"/>
        <w:ind w:left="1300" w:hanging="420"/>
        <w:spacing w:after="0" w:line="248" w:lineRule="auto"/>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20"/>
          <w:szCs w:val="20"/>
          <w:color w:val="auto"/>
        </w:rPr>
      </w:pPr>
    </w:p>
    <w:p>
      <w:pPr>
        <w:jc w:val="both"/>
        <w:ind w:left="2180" w:hanging="427"/>
        <w:spacing w:after="0" w:line="248" w:lineRule="auto"/>
        <w:tabs>
          <w:tab w:leader="none" w:pos="21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20"/>
          <w:szCs w:val="20"/>
          <w:color w:val="auto"/>
        </w:rPr>
      </w:pPr>
    </w:p>
    <w:p>
      <w:pPr>
        <w:ind w:left="2180" w:hanging="427"/>
        <w:spacing w:after="0" w:line="258" w:lineRule="auto"/>
        <w:tabs>
          <w:tab w:leader="none" w:pos="21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spacing w:after="0"/>
              <w:rPr>
                <w:sz w:val="20"/>
                <w:szCs w:val="20"/>
                <w:color w:val="auto"/>
              </w:rPr>
            </w:pPr>
            <w:r>
              <w:rPr>
                <w:rFonts w:ascii="Arial" w:cs="Arial" w:eastAsia="Arial" w:hAnsi="Arial"/>
                <w:sz w:val="20"/>
                <w:szCs w:val="20"/>
                <w:color w:val="auto"/>
              </w:rPr>
              <w:t>Date: May 1, 2019</w:t>
            </w:r>
          </w:p>
        </w:tc>
        <w:tc>
          <w:tcPr>
            <w:tcW w:w="7220" w:type="dxa"/>
            <w:vAlign w:val="bottom"/>
            <w:gridSpan w:val="2"/>
          </w:tcPr>
          <w:p>
            <w:pPr>
              <w:ind w:left="2660"/>
              <w:spacing w:after="0"/>
              <w:rPr>
                <w:sz w:val="20"/>
                <w:szCs w:val="20"/>
                <w:color w:val="auto"/>
              </w:rPr>
            </w:pPr>
            <w:r>
              <w:rPr>
                <w:rFonts w:ascii="Arial" w:cs="Arial" w:eastAsia="Arial" w:hAnsi="Arial"/>
                <w:sz w:val="20"/>
                <w:szCs w:val="20"/>
                <w:color w:val="auto"/>
              </w:rPr>
              <w:t>By:  /s/ C. Howard Nye</w:t>
            </w:r>
          </w:p>
        </w:tc>
      </w:tr>
      <w:tr>
        <w:trPr>
          <w:trHeight w:val="205"/>
        </w:trPr>
        <w:tc>
          <w:tcPr>
            <w:tcW w:w="42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100" w:type="dxa"/>
            <w:vAlign w:val="bottom"/>
            <w:tcBorders>
              <w:top w:val="single" w:sz="8" w:color="auto"/>
            </w:tcBorders>
          </w:tcPr>
          <w:p>
            <w:pPr>
              <w:spacing w:after="0" w:line="205" w:lineRule="exact"/>
              <w:rPr>
                <w:sz w:val="20"/>
                <w:szCs w:val="20"/>
                <w:color w:val="auto"/>
              </w:rPr>
            </w:pPr>
            <w:r>
              <w:rPr>
                <w:rFonts w:ascii="Arial" w:cs="Arial" w:eastAsia="Arial" w:hAnsi="Arial"/>
                <w:sz w:val="20"/>
                <w:szCs w:val="20"/>
                <w:color w:val="auto"/>
              </w:rPr>
              <w:t>C. Howard Nye</w:t>
            </w:r>
          </w:p>
        </w:tc>
      </w:tr>
      <w:tr>
        <w:trPr>
          <w:trHeight w:val="228"/>
        </w:trPr>
        <w:tc>
          <w:tcPr>
            <w:tcW w:w="42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100" w:type="dxa"/>
            <w:vAlign w:val="bottom"/>
          </w:tcPr>
          <w:p>
            <w:pPr>
              <w:spacing w:after="0" w:line="229" w:lineRule="exact"/>
              <w:rPr>
                <w:sz w:val="20"/>
                <w:szCs w:val="20"/>
                <w:color w:val="auto"/>
              </w:rPr>
            </w:pPr>
            <w:r>
              <w:rPr>
                <w:rFonts w:ascii="Arial" w:cs="Arial" w:eastAsia="Arial" w:hAnsi="Arial"/>
                <w:sz w:val="20"/>
                <w:szCs w:val="20"/>
                <w:color w:val="auto"/>
              </w:rPr>
              <w:t>Chairman, President and</w:t>
            </w:r>
          </w:p>
        </w:tc>
      </w:tr>
      <w:tr>
        <w:trPr>
          <w:trHeight w:val="249"/>
        </w:trPr>
        <w:tc>
          <w:tcPr>
            <w:tcW w:w="42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420"/>
          </w:cols>
          <w:pgMar w:left="240" w:top="144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82" w:lineRule="exact"/>
        <w:rPr>
          <w:sz w:val="20"/>
          <w:szCs w:val="20"/>
          <w:color w:val="auto"/>
        </w:rPr>
      </w:pPr>
    </w:p>
    <w:p>
      <w:pPr>
        <w:jc w:val="center"/>
        <w:spacing w:after="0" w:line="264"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James A. J. Nickolas, certify that:</w:t>
      </w:r>
    </w:p>
    <w:p>
      <w:pPr>
        <w:spacing w:after="0" w:line="227" w:lineRule="exact"/>
        <w:rPr>
          <w:sz w:val="20"/>
          <w:szCs w:val="20"/>
          <w:color w:val="auto"/>
        </w:rPr>
      </w:pPr>
    </w:p>
    <w:p>
      <w:pPr>
        <w:ind w:left="1300" w:hanging="420"/>
        <w:spacing w:after="0"/>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6" w:lineRule="exact"/>
        <w:rPr>
          <w:rFonts w:ascii="Arial" w:cs="Arial" w:eastAsia="Arial" w:hAnsi="Arial"/>
          <w:sz w:val="20"/>
          <w:szCs w:val="20"/>
          <w:color w:val="auto"/>
        </w:rPr>
      </w:pPr>
    </w:p>
    <w:p>
      <w:pPr>
        <w:jc w:val="both"/>
        <w:ind w:left="1300" w:hanging="420"/>
        <w:spacing w:after="0" w:line="248" w:lineRule="auto"/>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20"/>
          <w:szCs w:val="20"/>
          <w:color w:val="auto"/>
        </w:rPr>
      </w:pPr>
    </w:p>
    <w:p>
      <w:pPr>
        <w:jc w:val="both"/>
        <w:ind w:left="1300" w:hanging="420"/>
        <w:spacing w:after="0" w:line="248" w:lineRule="auto"/>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200" w:lineRule="exact"/>
        <w:rPr>
          <w:rFonts w:ascii="Arial" w:cs="Arial" w:eastAsia="Arial" w:hAnsi="Arial"/>
          <w:sz w:val="20"/>
          <w:szCs w:val="20"/>
          <w:color w:val="auto"/>
        </w:rPr>
      </w:pPr>
    </w:p>
    <w:p>
      <w:pPr>
        <w:jc w:val="both"/>
        <w:ind w:left="1300" w:hanging="420"/>
        <w:spacing w:after="0" w:line="248" w:lineRule="auto"/>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20"/>
          <w:szCs w:val="20"/>
          <w:color w:val="auto"/>
        </w:rPr>
      </w:pPr>
    </w:p>
    <w:p>
      <w:pPr>
        <w:jc w:val="both"/>
        <w:ind w:left="2180" w:hanging="427"/>
        <w:spacing w:after="0" w:line="244" w:lineRule="auto"/>
        <w:tabs>
          <w:tab w:leader="none" w:pos="2180" w:val="left"/>
        </w:tabs>
        <w:numPr>
          <w:ilvl w:val="1"/>
          <w:numId w:val="1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20"/>
          <w:szCs w:val="20"/>
          <w:color w:val="auto"/>
        </w:rPr>
      </w:pPr>
    </w:p>
    <w:p>
      <w:pPr>
        <w:jc w:val="both"/>
        <w:ind w:left="2180" w:hanging="427"/>
        <w:spacing w:after="0" w:line="244" w:lineRule="auto"/>
        <w:tabs>
          <w:tab w:leader="none" w:pos="2180" w:val="left"/>
        </w:tabs>
        <w:numPr>
          <w:ilvl w:val="1"/>
          <w:numId w:val="1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6" w:lineRule="exact"/>
        <w:rPr>
          <w:rFonts w:ascii="Arial" w:cs="Arial" w:eastAsia="Arial" w:hAnsi="Arial"/>
          <w:sz w:val="20"/>
          <w:szCs w:val="20"/>
          <w:color w:val="auto"/>
        </w:rPr>
      </w:pPr>
    </w:p>
    <w:p>
      <w:pPr>
        <w:jc w:val="both"/>
        <w:ind w:left="2180" w:hanging="427"/>
        <w:spacing w:after="0" w:line="248" w:lineRule="auto"/>
        <w:tabs>
          <w:tab w:leader="none" w:pos="2180" w:val="left"/>
        </w:tabs>
        <w:numPr>
          <w:ilvl w:val="1"/>
          <w:numId w:val="1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20"/>
          <w:szCs w:val="20"/>
          <w:color w:val="auto"/>
        </w:rPr>
      </w:pPr>
    </w:p>
    <w:p>
      <w:pPr>
        <w:jc w:val="both"/>
        <w:ind w:left="2180" w:hanging="427"/>
        <w:spacing w:after="0" w:line="244" w:lineRule="auto"/>
        <w:tabs>
          <w:tab w:leader="none" w:pos="2180" w:val="left"/>
        </w:tabs>
        <w:numPr>
          <w:ilvl w:val="1"/>
          <w:numId w:val="1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478155</wp:posOffset>
            </wp:positionV>
            <wp:extent cx="728980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815" w:right="239" w:bottom="1440" w:gutter="0" w:footer="0" w:header="0"/>
        </w:sectPr>
      </w:pPr>
    </w:p>
    <w:bookmarkStart w:id="47" w:name="page48"/>
    <w:bookmarkEnd w:id="47"/>
    <w:p>
      <w:pPr>
        <w:spacing w:after="0" w:line="39" w:lineRule="exact"/>
        <w:rPr>
          <w:sz w:val="20"/>
          <w:szCs w:val="20"/>
          <w:color w:val="auto"/>
        </w:rPr>
      </w:pPr>
    </w:p>
    <w:p>
      <w:pPr>
        <w:jc w:val="both"/>
        <w:ind w:left="1300" w:hanging="420"/>
        <w:spacing w:after="0" w:line="248" w:lineRule="auto"/>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20"/>
          <w:szCs w:val="20"/>
          <w:color w:val="auto"/>
        </w:rPr>
      </w:pPr>
    </w:p>
    <w:p>
      <w:pPr>
        <w:jc w:val="both"/>
        <w:ind w:left="2180" w:hanging="427"/>
        <w:spacing w:after="0" w:line="248" w:lineRule="auto"/>
        <w:tabs>
          <w:tab w:leader="none" w:pos="21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20"/>
          <w:szCs w:val="20"/>
          <w:color w:val="auto"/>
        </w:rPr>
      </w:pPr>
    </w:p>
    <w:p>
      <w:pPr>
        <w:ind w:left="2180" w:hanging="427"/>
        <w:spacing w:after="0" w:line="258" w:lineRule="auto"/>
        <w:tabs>
          <w:tab w:leader="none" w:pos="21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60" w:type="dxa"/>
            <w:vAlign w:val="bottom"/>
          </w:tcPr>
          <w:p>
            <w:pPr>
              <w:spacing w:after="0"/>
              <w:rPr>
                <w:sz w:val="20"/>
                <w:szCs w:val="20"/>
                <w:color w:val="auto"/>
              </w:rPr>
            </w:pPr>
            <w:r>
              <w:rPr>
                <w:rFonts w:ascii="Arial" w:cs="Arial" w:eastAsia="Arial" w:hAnsi="Arial"/>
                <w:sz w:val="20"/>
                <w:szCs w:val="20"/>
                <w:color w:val="auto"/>
              </w:rPr>
              <w:t>Date: May 1, 2019</w:t>
            </w:r>
          </w:p>
        </w:tc>
        <w:tc>
          <w:tcPr>
            <w:tcW w:w="7260" w:type="dxa"/>
            <w:vAlign w:val="bottom"/>
            <w:gridSpan w:val="2"/>
          </w:tcPr>
          <w:p>
            <w:pPr>
              <w:ind w:left="2700"/>
              <w:spacing w:after="0"/>
              <w:rPr>
                <w:sz w:val="20"/>
                <w:szCs w:val="20"/>
                <w:color w:val="auto"/>
              </w:rPr>
            </w:pPr>
            <w:r>
              <w:rPr>
                <w:rFonts w:ascii="Arial" w:cs="Arial" w:eastAsia="Arial" w:hAnsi="Arial"/>
                <w:sz w:val="20"/>
                <w:szCs w:val="20"/>
                <w:color w:val="auto"/>
              </w:rPr>
              <w:t>By:  /s/ James A. J. Nickolas</w:t>
            </w:r>
          </w:p>
        </w:tc>
      </w:tr>
      <w:tr>
        <w:trPr>
          <w:trHeight w:val="205"/>
        </w:trPr>
        <w:tc>
          <w:tcPr>
            <w:tcW w:w="41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120" w:type="dxa"/>
            <w:vAlign w:val="bottom"/>
            <w:tcBorders>
              <w:top w:val="single" w:sz="8" w:color="auto"/>
            </w:tcBorders>
          </w:tcPr>
          <w:p>
            <w:pPr>
              <w:spacing w:after="0" w:line="205" w:lineRule="exact"/>
              <w:rPr>
                <w:sz w:val="20"/>
                <w:szCs w:val="20"/>
                <w:color w:val="auto"/>
              </w:rPr>
            </w:pPr>
            <w:r>
              <w:rPr>
                <w:rFonts w:ascii="Arial" w:cs="Arial" w:eastAsia="Arial" w:hAnsi="Arial"/>
                <w:sz w:val="20"/>
                <w:szCs w:val="20"/>
                <w:color w:val="auto"/>
              </w:rPr>
              <w:t>James A. J. Nickolas</w:t>
            </w:r>
          </w:p>
        </w:tc>
      </w:tr>
      <w:tr>
        <w:trPr>
          <w:trHeight w:val="228"/>
        </w:trPr>
        <w:tc>
          <w:tcPr>
            <w:tcW w:w="41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120" w:type="dxa"/>
            <w:vAlign w:val="bottom"/>
          </w:tcPr>
          <w:p>
            <w:pPr>
              <w:spacing w:after="0" w:line="229" w:lineRule="exact"/>
              <w:rPr>
                <w:sz w:val="20"/>
                <w:szCs w:val="20"/>
                <w:color w:val="auto"/>
              </w:rPr>
            </w:pPr>
            <w:r>
              <w:rPr>
                <w:rFonts w:ascii="Arial" w:cs="Arial" w:eastAsia="Arial" w:hAnsi="Arial"/>
                <w:sz w:val="20"/>
                <w:szCs w:val="20"/>
                <w:color w:val="auto"/>
              </w:rPr>
              <w:t>Sr. Vice President and</w:t>
            </w:r>
          </w:p>
        </w:tc>
      </w:tr>
      <w:tr>
        <w:trPr>
          <w:trHeight w:val="249"/>
        </w:trPr>
        <w:tc>
          <w:tcPr>
            <w:tcW w:w="416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120" w:type="dxa"/>
            <w:vAlign w:val="bottom"/>
          </w:tcPr>
          <w:p>
            <w:pPr>
              <w:ind w:left="14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420"/>
          </w:cols>
          <w:pgMar w:left="240" w:top="144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b w:val="1"/>
          <w:bCs w:val="1"/>
          <w:color w:val="auto"/>
        </w:rPr>
        <w:t>EXHIBIT 32.01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1"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0"/>
          <w:szCs w:val="20"/>
          <w:color w:val="auto"/>
        </w:rPr>
        <w:t>In connection with the Quarterly Report on Form 10-Q for the period ended March 31, 2019 (the “Report”) of Martin Marietta Materials, Inc. (the “Registrant”), as filed with the Securities and Exchange Commission on the date hereof, I, C. Howard Nye, the Chief Executive Officer of the Registrant, certify, to the best of my knowledge, that:</w:t>
      </w:r>
    </w:p>
    <w:p>
      <w:pPr>
        <w:spacing w:after="0" w:line="200" w:lineRule="exact"/>
        <w:rPr>
          <w:sz w:val="20"/>
          <w:szCs w:val="20"/>
          <w:color w:val="auto"/>
        </w:rPr>
      </w:pPr>
    </w:p>
    <w:p>
      <w:pPr>
        <w:ind w:left="1760" w:hanging="880"/>
        <w:spacing w:after="0" w:line="258" w:lineRule="auto"/>
        <w:tabs>
          <w:tab w:leader="none" w:pos="17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60" w:right="20" w:hanging="880"/>
        <w:spacing w:after="0" w:line="258" w:lineRule="auto"/>
        <w:tabs>
          <w:tab w:leader="none" w:pos="17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9525</wp:posOffset>
            </wp:positionV>
            <wp:extent cx="28987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C. Howard Nye</w:t>
      </w:r>
    </w:p>
    <w:p>
      <w:pPr>
        <w:spacing w:after="0" w:line="5"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Chairman, President and</w:t>
      </w:r>
    </w:p>
    <w:p>
      <w:pPr>
        <w:ind w:left="7000"/>
        <w:spacing w:after="0"/>
        <w:rPr>
          <w:sz w:val="20"/>
          <w:szCs w:val="20"/>
          <w:color w:val="auto"/>
        </w:rPr>
      </w:pPr>
      <w:r>
        <w:rPr>
          <w:rFonts w:ascii="Arial" w:cs="Arial" w:eastAsia="Arial" w:hAnsi="Arial"/>
          <w:sz w:val="20"/>
          <w:szCs w:val="20"/>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Dated: May 1, 2019</w:t>
      </w:r>
    </w:p>
    <w:p>
      <w:pPr>
        <w:spacing w:after="0" w:line="227"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b w:val="1"/>
          <w:bCs w:val="1"/>
          <w:color w:val="auto"/>
        </w:rPr>
        <w:t>EXHIBIT 32.02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1"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0"/>
          <w:szCs w:val="20"/>
          <w:color w:val="auto"/>
        </w:rPr>
        <w:t>In connection with the Quarterly Report on Form 10-Q for the period ended March 31, 2019 (the “Report”) of Martin Marietta Materials, Inc. (the “Registrant”), as filed with the Securities and Exchange Commission on the date hereof, I, James A. J. Nickolas, the Chief Financial Officer of the Registrant, certify, to the best of my knowledge, that:</w:t>
      </w:r>
    </w:p>
    <w:p>
      <w:pPr>
        <w:spacing w:after="0" w:line="200" w:lineRule="exact"/>
        <w:rPr>
          <w:sz w:val="20"/>
          <w:szCs w:val="20"/>
          <w:color w:val="auto"/>
        </w:rPr>
      </w:pPr>
    </w:p>
    <w:p>
      <w:pPr>
        <w:ind w:left="1760" w:hanging="880"/>
        <w:spacing w:after="0" w:line="258" w:lineRule="auto"/>
        <w:tabs>
          <w:tab w:leader="none" w:pos="1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60" w:right="20" w:hanging="880"/>
        <w:spacing w:after="0" w:line="258" w:lineRule="auto"/>
        <w:tabs>
          <w:tab w:leader="none" w:pos="1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9525</wp:posOffset>
            </wp:positionV>
            <wp:extent cx="28987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James A. J. Nickolas</w:t>
      </w:r>
    </w:p>
    <w:p>
      <w:pPr>
        <w:spacing w:after="0" w:line="5"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Sr. Vice President and</w:t>
      </w:r>
    </w:p>
    <w:p>
      <w:pPr>
        <w:ind w:left="7000"/>
        <w:spacing w:after="0"/>
        <w:rPr>
          <w:sz w:val="20"/>
          <w:szCs w:val="20"/>
          <w:color w:val="auto"/>
        </w:rPr>
      </w:pPr>
      <w:r>
        <w:rPr>
          <w:rFonts w:ascii="Arial" w:cs="Arial" w:eastAsia="Arial" w:hAnsi="Arial"/>
          <w:sz w:val="20"/>
          <w:szCs w:val="20"/>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Dated: May 1, 2019</w:t>
      </w:r>
    </w:p>
    <w:p>
      <w:pPr>
        <w:spacing w:after="0" w:line="227"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20"/>
          <w:szCs w:val="20"/>
          <w:b w:val="1"/>
          <w:bCs w:val="1"/>
          <w:color w:val="auto"/>
        </w:rPr>
        <w:t>EXHIBIT 95</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3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Corporation presents the following items regarding certain mining safety and health matters for the three months ended March 31, 2019:</w:t>
      </w:r>
    </w:p>
    <w:p>
      <w:pPr>
        <w:spacing w:after="0" w:line="261" w:lineRule="exact"/>
        <w:rPr>
          <w:sz w:val="20"/>
          <w:szCs w:val="20"/>
          <w:color w:val="auto"/>
        </w:rPr>
      </w:pPr>
    </w:p>
    <w:p>
      <w:pPr>
        <w:jc w:val="both"/>
        <w:ind w:left="440" w:hanging="433"/>
        <w:spacing w:after="0" w:line="242" w:lineRule="auto"/>
        <w:tabs>
          <w:tab w:leader="none" w:pos="440" w:val="left"/>
        </w:tabs>
        <w:numPr>
          <w:ilvl w:val="0"/>
          <w:numId w:val="23"/>
        </w:numPr>
        <w:rPr>
          <w:rFonts w:ascii="Arial" w:cs="Arial" w:eastAsia="Arial" w:hAnsi="Arial"/>
          <w:sz w:val="20"/>
          <w:szCs w:val="20"/>
          <w:b w:val="1"/>
          <w:bCs w:val="1"/>
          <w:color w:val="auto"/>
        </w:rPr>
      </w:pPr>
      <w:r>
        <w:rPr>
          <w:rFonts w:ascii="Arial" w:cs="Arial" w:eastAsia="Arial" w:hAnsi="Arial"/>
          <w:sz w:val="20"/>
          <w:szCs w:val="20"/>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spacing w:after="0" w:line="179" w:lineRule="exact"/>
        <w:rPr>
          <w:rFonts w:ascii="Arial" w:cs="Arial" w:eastAsia="Arial" w:hAnsi="Arial"/>
          <w:sz w:val="20"/>
          <w:szCs w:val="20"/>
          <w:b w:val="1"/>
          <w:bCs w:val="1"/>
          <w:color w:val="auto"/>
        </w:rPr>
      </w:pPr>
    </w:p>
    <w:p>
      <w:pPr>
        <w:jc w:val="both"/>
        <w:ind w:left="440" w:hanging="433"/>
        <w:spacing w:after="0" w:line="244" w:lineRule="auto"/>
        <w:tabs>
          <w:tab w:leader="none" w:pos="440" w:val="left"/>
        </w:tabs>
        <w:numPr>
          <w:ilvl w:val="0"/>
          <w:numId w:val="23"/>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206" w:lineRule="exact"/>
        <w:rPr>
          <w:rFonts w:ascii="Arial" w:cs="Arial" w:eastAsia="Arial" w:hAnsi="Arial"/>
          <w:sz w:val="20"/>
          <w:szCs w:val="20"/>
          <w:b w:val="1"/>
          <w:bCs w:val="1"/>
          <w:color w:val="auto"/>
        </w:rPr>
      </w:pPr>
    </w:p>
    <w:p>
      <w:pPr>
        <w:jc w:val="both"/>
        <w:ind w:left="440" w:hanging="433"/>
        <w:spacing w:after="0" w:line="248" w:lineRule="auto"/>
        <w:tabs>
          <w:tab w:leader="none" w:pos="440" w:val="left"/>
        </w:tabs>
        <w:numPr>
          <w:ilvl w:val="0"/>
          <w:numId w:val="23"/>
        </w:numPr>
        <w:rPr>
          <w:rFonts w:ascii="Arial" w:cs="Arial" w:eastAsia="Arial" w:hAnsi="Arial"/>
          <w:sz w:val="20"/>
          <w:szCs w:val="20"/>
          <w:b w:val="1"/>
          <w:bCs w:val="1"/>
          <w:color w:val="auto"/>
        </w:rPr>
      </w:pPr>
      <w:r>
        <w:rPr>
          <w:rFonts w:ascii="Arial" w:cs="Arial" w:eastAsia="Arial" w:hAnsi="Arial"/>
          <w:sz w:val="20"/>
          <w:szCs w:val="20"/>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457835</wp:posOffset>
            </wp:positionV>
            <wp:extent cx="728980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jc w:val="both"/>
        <w:ind w:left="433"/>
        <w:spacing w:after="0" w:line="248" w:lineRule="auto"/>
        <w:rPr>
          <w:sz w:val="20"/>
          <w:szCs w:val="20"/>
          <w:color w:val="auto"/>
        </w:rPr>
      </w:pPr>
      <w:r>
        <w:rPr>
          <w:rFonts w:ascii="Arial" w:cs="Arial" w:eastAsia="Arial" w:hAnsi="Arial"/>
          <w:sz w:val="20"/>
          <w:szCs w:val="20"/>
          <w:color w:val="auto"/>
        </w:rPr>
        <w:t>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201" w:lineRule="exact"/>
        <w:rPr>
          <w:sz w:val="20"/>
          <w:szCs w:val="20"/>
          <w:color w:val="auto"/>
        </w:rPr>
      </w:pPr>
    </w:p>
    <w:p>
      <w:pPr>
        <w:jc w:val="both"/>
        <w:ind w:left="433" w:hanging="433"/>
        <w:spacing w:after="0" w:line="302" w:lineRule="auto"/>
        <w:tabs>
          <w:tab w:leader="none" w:pos="433"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57" w:lineRule="exact"/>
        <w:rPr>
          <w:rFonts w:ascii="Arial" w:cs="Arial" w:eastAsia="Arial" w:hAnsi="Arial"/>
          <w:sz w:val="17"/>
          <w:szCs w:val="17"/>
          <w:b w:val="1"/>
          <w:bCs w:val="1"/>
          <w:color w:val="auto"/>
        </w:rPr>
      </w:pPr>
    </w:p>
    <w:p>
      <w:pPr>
        <w:jc w:val="both"/>
        <w:ind w:left="433" w:hanging="433"/>
        <w:spacing w:after="0" w:line="262" w:lineRule="auto"/>
        <w:tabs>
          <w:tab w:leader="none" w:pos="433" w:val="left"/>
        </w:tabs>
        <w:numPr>
          <w:ilvl w:val="0"/>
          <w:numId w:val="24"/>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87" w:lineRule="exact"/>
        <w:rPr>
          <w:rFonts w:ascii="Arial" w:cs="Arial" w:eastAsia="Arial" w:hAnsi="Arial"/>
          <w:sz w:val="19"/>
          <w:szCs w:val="19"/>
          <w:b w:val="1"/>
          <w:bCs w:val="1"/>
          <w:color w:val="auto"/>
        </w:rPr>
      </w:pPr>
    </w:p>
    <w:p>
      <w:pPr>
        <w:jc w:val="both"/>
        <w:ind w:left="433" w:hanging="433"/>
        <w:spacing w:after="0" w:line="262" w:lineRule="auto"/>
        <w:tabs>
          <w:tab w:leader="none" w:pos="433" w:val="left"/>
        </w:tabs>
        <w:numPr>
          <w:ilvl w:val="0"/>
          <w:numId w:val="24"/>
        </w:numPr>
        <w:rPr>
          <w:rFonts w:ascii="Arial" w:cs="Arial" w:eastAsia="Arial" w:hAnsi="Arial"/>
          <w:sz w:val="19"/>
          <w:szCs w:val="19"/>
          <w:b w:val="1"/>
          <w:bCs w:val="1"/>
          <w:color w:val="auto"/>
        </w:rPr>
      </w:pPr>
      <w:r>
        <w:rPr>
          <w:rFonts w:ascii="Arial" w:cs="Arial" w:eastAsia="Arial" w:hAnsi="Arial"/>
          <w:sz w:val="19"/>
          <w:szCs w:val="19"/>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87" w:lineRule="exact"/>
        <w:rPr>
          <w:rFonts w:ascii="Arial" w:cs="Arial" w:eastAsia="Arial" w:hAnsi="Arial"/>
          <w:sz w:val="19"/>
          <w:szCs w:val="19"/>
          <w:b w:val="1"/>
          <w:bCs w:val="1"/>
          <w:color w:val="auto"/>
        </w:rPr>
      </w:pPr>
    </w:p>
    <w:p>
      <w:pPr>
        <w:jc w:val="both"/>
        <w:ind w:left="433" w:hanging="433"/>
        <w:spacing w:after="0" w:line="313" w:lineRule="auto"/>
        <w:tabs>
          <w:tab w:leader="none" w:pos="433"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48" w:lineRule="exact"/>
        <w:rPr>
          <w:rFonts w:ascii="Arial" w:cs="Arial" w:eastAsia="Arial" w:hAnsi="Arial"/>
          <w:sz w:val="17"/>
          <w:szCs w:val="17"/>
          <w:b w:val="1"/>
          <w:bCs w:val="1"/>
          <w:color w:val="auto"/>
        </w:rPr>
      </w:pPr>
    </w:p>
    <w:p>
      <w:pPr>
        <w:jc w:val="both"/>
        <w:ind w:left="433" w:hanging="433"/>
        <w:spacing w:after="0" w:line="262" w:lineRule="auto"/>
        <w:tabs>
          <w:tab w:leader="none" w:pos="433" w:val="left"/>
        </w:tabs>
        <w:numPr>
          <w:ilvl w:val="0"/>
          <w:numId w:val="24"/>
        </w:numPr>
        <w:rPr>
          <w:rFonts w:ascii="Arial" w:cs="Arial" w:eastAsia="Arial" w:hAnsi="Arial"/>
          <w:sz w:val="19"/>
          <w:szCs w:val="19"/>
          <w:b w:val="1"/>
          <w:bCs w:val="1"/>
          <w:color w:val="auto"/>
        </w:rPr>
      </w:pPr>
      <w:r>
        <w:rPr>
          <w:rFonts w:ascii="Arial" w:cs="Arial" w:eastAsia="Arial" w:hAnsi="Arial"/>
          <w:sz w:val="19"/>
          <w:szCs w:val="19"/>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87" w:lineRule="exact"/>
        <w:rPr>
          <w:rFonts w:ascii="Arial" w:cs="Arial" w:eastAsia="Arial" w:hAnsi="Arial"/>
          <w:sz w:val="19"/>
          <w:szCs w:val="19"/>
          <w:b w:val="1"/>
          <w:bCs w:val="1"/>
          <w:color w:val="auto"/>
        </w:rPr>
      </w:pPr>
    </w:p>
    <w:p>
      <w:pPr>
        <w:ind w:left="433" w:hanging="433"/>
        <w:spacing w:after="0"/>
        <w:tabs>
          <w:tab w:leader="none" w:pos="433"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26" w:lineRule="exact"/>
        <w:rPr>
          <w:rFonts w:ascii="Arial" w:cs="Arial" w:eastAsia="Arial" w:hAnsi="Arial"/>
          <w:sz w:val="20"/>
          <w:szCs w:val="20"/>
          <w:b w:val="1"/>
          <w:bCs w:val="1"/>
          <w:color w:val="auto"/>
        </w:rPr>
      </w:pPr>
    </w:p>
    <w:p>
      <w:pPr>
        <w:ind w:left="433" w:hanging="433"/>
        <w:spacing w:after="0"/>
        <w:tabs>
          <w:tab w:leader="none" w:pos="433"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26" w:lineRule="exact"/>
        <w:rPr>
          <w:rFonts w:ascii="Arial" w:cs="Arial" w:eastAsia="Arial" w:hAnsi="Arial"/>
          <w:sz w:val="20"/>
          <w:szCs w:val="20"/>
          <w:b w:val="1"/>
          <w:bCs w:val="1"/>
          <w:color w:val="auto"/>
        </w:rPr>
      </w:pPr>
    </w:p>
    <w:p>
      <w:pPr>
        <w:ind w:left="433" w:hanging="433"/>
        <w:spacing w:after="0"/>
        <w:tabs>
          <w:tab w:leader="none" w:pos="433"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619125</wp:posOffset>
            </wp:positionV>
            <wp:extent cx="728980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13"/>
          </w:cols>
          <w:pgMar w:left="247" w:top="122" w:right="239" w:bottom="1440" w:gutter="0" w:footer="0" w:header="0"/>
        </w:sectPr>
      </w:pPr>
    </w:p>
    <w:bookmarkStart w:id="52" w:name="page53"/>
    <w:bookmarkEnd w:id="52"/>
    <w:p>
      <w:pPr>
        <w:jc w:val="both"/>
        <w:spacing w:after="0" w:line="289" w:lineRule="auto"/>
        <w:rPr>
          <w:sz w:val="20"/>
          <w:szCs w:val="20"/>
          <w:color w:val="auto"/>
        </w:rPr>
      </w:pPr>
      <w:r>
        <w:rPr>
          <w:rFonts w:ascii="Arial" w:cs="Arial" w:eastAsia="Arial" w:hAnsi="Arial"/>
          <w:sz w:val="17"/>
          <w:szCs w:val="17"/>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Corporation’s quarries and mines identified, as of March 31, 2019,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764540</wp:posOffset>
            </wp:positionV>
            <wp:extent cx="728980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51"/>
        </w:trPr>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20" w:type="dxa"/>
            <w:vAlign w:val="bottom"/>
            <w:gridSpan w:val="3"/>
          </w:tcPr>
          <w:p>
            <w:pPr>
              <w:ind w:left="600"/>
              <w:spacing w:after="0"/>
              <w:rPr>
                <w:sz w:val="20"/>
                <w:szCs w:val="20"/>
                <w:color w:val="auto"/>
              </w:rPr>
            </w:pPr>
            <w:r>
              <w:rPr>
                <w:rFonts w:ascii="Arial" w:cs="Arial" w:eastAsia="Arial" w:hAnsi="Arial"/>
                <w:sz w:val="20"/>
                <w:szCs w:val="20"/>
                <w:color w:val="auto"/>
                <w:w w:val="99"/>
              </w:rPr>
              <w:t>Appendix 1</w:t>
            </w:r>
          </w:p>
        </w:tc>
      </w:tr>
      <w:tr>
        <w:trPr>
          <w:trHeight w:val="443"/>
        </w:trPr>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20"/>
                <w:szCs w:val="20"/>
                <w:b w:val="1"/>
                <w:bCs w:val="1"/>
                <w:color w:val="auto"/>
                <w:w w:val="86"/>
              </w:rPr>
              <w:t>Received Received</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gridSpan w:val="2"/>
          </w:tcPr>
          <w:p>
            <w:pPr>
              <w:ind w:left="20"/>
              <w:spacing w:after="0" w:line="229" w:lineRule="exact"/>
              <w:rPr>
                <w:sz w:val="20"/>
                <w:szCs w:val="20"/>
                <w:color w:val="auto"/>
              </w:rPr>
            </w:pPr>
            <w:r>
              <w:rPr>
                <w:rFonts w:ascii="Arial" w:cs="Arial" w:eastAsia="Arial" w:hAnsi="Arial"/>
                <w:sz w:val="20"/>
                <w:szCs w:val="20"/>
                <w:b w:val="1"/>
                <w:bCs w:val="1"/>
                <w:color w:val="auto"/>
                <w:w w:val="88"/>
              </w:rPr>
              <w:t>Notice of Notice of</w:t>
            </w:r>
          </w:p>
        </w:tc>
        <w:tc>
          <w:tcPr>
            <w:tcW w:w="6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1"/>
              </w:rPr>
              <w:t>Legal</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1"/>
              </w:rPr>
              <w:t>Total</w:t>
            </w:r>
          </w:p>
        </w:tc>
        <w:tc>
          <w:tcPr>
            <w:tcW w:w="2280" w:type="dxa"/>
            <w:vAlign w:val="bottom"/>
            <w:gridSpan w:val="3"/>
          </w:tcPr>
          <w:p>
            <w:pPr>
              <w:jc w:val="center"/>
              <w:spacing w:after="0" w:line="229" w:lineRule="exact"/>
              <w:rPr>
                <w:sz w:val="20"/>
                <w:szCs w:val="20"/>
                <w:color w:val="auto"/>
              </w:rPr>
            </w:pPr>
            <w:r>
              <w:rPr>
                <w:rFonts w:ascii="Arial" w:cs="Arial" w:eastAsia="Arial" w:hAnsi="Arial"/>
                <w:sz w:val="20"/>
                <w:szCs w:val="20"/>
                <w:b w:val="1"/>
                <w:bCs w:val="1"/>
                <w:color w:val="auto"/>
                <w:w w:val="90"/>
              </w:rPr>
              <w:t>Pattern Potential Actions</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2"/>
              </w:rPr>
              <w:t>Section</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102"/>
              <w:spacing w:after="0" w:line="229" w:lineRule="exact"/>
              <w:rPr>
                <w:sz w:val="20"/>
                <w:szCs w:val="20"/>
                <w:color w:val="auto"/>
              </w:rPr>
            </w:pPr>
            <w:r>
              <w:rPr>
                <w:rFonts w:ascii="Arial" w:cs="Arial" w:eastAsia="Arial" w:hAnsi="Arial"/>
                <w:sz w:val="20"/>
                <w:szCs w:val="20"/>
                <w:b w:val="1"/>
                <w:bCs w:val="1"/>
                <w:color w:val="auto"/>
                <w:w w:val="91"/>
              </w:rPr>
              <w:t>Total</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2"/>
              </w:rPr>
              <w:t>Number</w:t>
            </w:r>
          </w:p>
        </w:tc>
        <w:tc>
          <w:tcPr>
            <w:tcW w:w="7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5"/>
              </w:rPr>
              <w:t>of</w:t>
            </w:r>
          </w:p>
        </w:tc>
        <w:tc>
          <w:tcPr>
            <w:tcW w:w="1500" w:type="dxa"/>
            <w:vAlign w:val="bottom"/>
            <w:gridSpan w:val="2"/>
          </w:tcPr>
          <w:p>
            <w:pPr>
              <w:ind w:left="100"/>
              <w:spacing w:after="0" w:line="229" w:lineRule="exact"/>
              <w:rPr>
                <w:sz w:val="20"/>
                <w:szCs w:val="20"/>
                <w:color w:val="auto"/>
              </w:rPr>
            </w:pPr>
            <w:r>
              <w:rPr>
                <w:rFonts w:ascii="Arial" w:cs="Arial" w:eastAsia="Arial" w:hAnsi="Arial"/>
                <w:sz w:val="20"/>
                <w:szCs w:val="20"/>
                <w:b w:val="1"/>
                <w:bCs w:val="1"/>
                <w:color w:val="auto"/>
                <w:w w:val="89"/>
              </w:rPr>
              <w:t>to have Pending</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1"/>
              </w:rPr>
              <w:t>Legal</w:t>
            </w:r>
          </w:p>
        </w:tc>
        <w:tc>
          <w:tcPr>
            <w:tcW w:w="800" w:type="dxa"/>
            <w:vAlign w:val="bottom"/>
            <w:gridSpan w:val="2"/>
          </w:tcPr>
          <w:p>
            <w:pPr>
              <w:jc w:val="center"/>
              <w:spacing w:after="0" w:line="229" w:lineRule="exact"/>
              <w:rPr>
                <w:sz w:val="20"/>
                <w:szCs w:val="20"/>
                <w:color w:val="auto"/>
              </w:rPr>
            </w:pPr>
            <w:r>
              <w:rPr>
                <w:rFonts w:ascii="Arial" w:cs="Arial" w:eastAsia="Arial" w:hAnsi="Arial"/>
                <w:sz w:val="20"/>
                <w:szCs w:val="20"/>
                <w:b w:val="1"/>
                <w:bCs w:val="1"/>
                <w:color w:val="auto"/>
                <w:w w:val="87"/>
              </w:rPr>
              <w:t>Legal</w:t>
            </w: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8"/>
              </w:rPr>
              <w:t>104(d)</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82"/>
              <w:spacing w:after="0" w:line="229" w:lineRule="exact"/>
              <w:rPr>
                <w:sz w:val="20"/>
                <w:szCs w:val="20"/>
                <w:color w:val="auto"/>
              </w:rPr>
            </w:pPr>
            <w:r>
              <w:rPr>
                <w:rFonts w:ascii="Arial" w:cs="Arial" w:eastAsia="Arial" w:hAnsi="Arial"/>
                <w:sz w:val="20"/>
                <w:szCs w:val="20"/>
                <w:b w:val="1"/>
                <w:bCs w:val="1"/>
                <w:color w:val="auto"/>
                <w:w w:val="95"/>
              </w:rPr>
              <w:t>Dollar</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4"/>
              </w:rPr>
              <w:t>of</w:t>
            </w:r>
          </w:p>
        </w:tc>
        <w:tc>
          <w:tcPr>
            <w:tcW w:w="1600" w:type="dxa"/>
            <w:vAlign w:val="bottom"/>
            <w:gridSpan w:val="2"/>
          </w:tcPr>
          <w:p>
            <w:pPr>
              <w:spacing w:after="0" w:line="229" w:lineRule="exact"/>
              <w:rPr>
                <w:sz w:val="20"/>
                <w:szCs w:val="20"/>
                <w:color w:val="auto"/>
              </w:rPr>
            </w:pPr>
            <w:r>
              <w:rPr>
                <w:rFonts w:ascii="Arial" w:cs="Arial" w:eastAsia="Arial" w:hAnsi="Arial"/>
                <w:sz w:val="20"/>
                <w:szCs w:val="20"/>
                <w:b w:val="1"/>
                <w:bCs w:val="1"/>
                <w:color w:val="auto"/>
                <w:w w:val="99"/>
              </w:rPr>
              <w:t>Violation Pattern</w:t>
            </w:r>
          </w:p>
        </w:tc>
        <w:tc>
          <w:tcPr>
            <w:tcW w:w="6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5"/>
              </w:rPr>
              <w:t>as of</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7"/>
              </w:rPr>
              <w:t>Actions</w:t>
            </w:r>
          </w:p>
        </w:tc>
        <w:tc>
          <w:tcPr>
            <w:tcW w:w="800" w:type="dxa"/>
            <w:vAlign w:val="bottom"/>
            <w:gridSpan w:val="2"/>
          </w:tcPr>
          <w:p>
            <w:pPr>
              <w:jc w:val="center"/>
              <w:spacing w:after="0" w:line="229" w:lineRule="exact"/>
              <w:rPr>
                <w:sz w:val="20"/>
                <w:szCs w:val="20"/>
                <w:color w:val="auto"/>
              </w:rPr>
            </w:pPr>
            <w:r>
              <w:rPr>
                <w:rFonts w:ascii="Arial" w:cs="Arial" w:eastAsia="Arial" w:hAnsi="Arial"/>
                <w:sz w:val="20"/>
                <w:szCs w:val="20"/>
                <w:b w:val="1"/>
                <w:bCs w:val="1"/>
                <w:color w:val="auto"/>
                <w:w w:val="84"/>
              </w:rPr>
              <w:t>Actions</w:t>
            </w: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0" w:type="dxa"/>
            <w:vAlign w:val="bottom"/>
            <w:gridSpan w:val="3"/>
          </w:tcPr>
          <w:p>
            <w:pPr>
              <w:ind w:left="80"/>
              <w:spacing w:after="0" w:line="229" w:lineRule="exact"/>
              <w:rPr>
                <w:sz w:val="20"/>
                <w:szCs w:val="20"/>
                <w:color w:val="auto"/>
              </w:rPr>
            </w:pPr>
            <w:r>
              <w:rPr>
                <w:rFonts w:ascii="Arial" w:cs="Arial" w:eastAsia="Arial" w:hAnsi="Arial"/>
                <w:sz w:val="20"/>
                <w:szCs w:val="20"/>
                <w:b w:val="1"/>
                <w:bCs w:val="1"/>
                <w:color w:val="auto"/>
                <w:w w:val="87"/>
              </w:rPr>
              <w:t>Section Section Citations</w:t>
            </w:r>
          </w:p>
        </w:tc>
        <w:tc>
          <w:tcPr>
            <w:tcW w:w="800" w:type="dxa"/>
            <w:vAlign w:val="bottom"/>
          </w:tcPr>
          <w:p>
            <w:pPr>
              <w:ind w:left="120"/>
              <w:spacing w:after="0" w:line="229" w:lineRule="exact"/>
              <w:rPr>
                <w:sz w:val="20"/>
                <w:szCs w:val="20"/>
                <w:color w:val="auto"/>
              </w:rPr>
            </w:pPr>
            <w:r>
              <w:rPr>
                <w:rFonts w:ascii="Arial" w:cs="Arial" w:eastAsia="Arial" w:hAnsi="Arial"/>
                <w:sz w:val="20"/>
                <w:szCs w:val="20"/>
                <w:b w:val="1"/>
                <w:bCs w:val="1"/>
                <w:color w:val="auto"/>
                <w:w w:val="91"/>
              </w:rPr>
              <w:t>Section</w:t>
            </w:r>
          </w:p>
        </w:tc>
        <w:tc>
          <w:tcPr>
            <w:tcW w:w="720" w:type="dxa"/>
            <w:vAlign w:val="bottom"/>
          </w:tcPr>
          <w:p>
            <w:pPr>
              <w:jc w:val="right"/>
              <w:spacing w:after="0" w:line="229" w:lineRule="exact"/>
              <w:rPr>
                <w:sz w:val="20"/>
                <w:szCs w:val="20"/>
                <w:color w:val="auto"/>
              </w:rPr>
            </w:pPr>
            <w:r>
              <w:rPr>
                <w:rFonts w:ascii="Arial" w:cs="Arial" w:eastAsia="Arial" w:hAnsi="Arial"/>
                <w:sz w:val="20"/>
                <w:szCs w:val="20"/>
                <w:b w:val="1"/>
                <w:bCs w:val="1"/>
                <w:color w:val="auto"/>
                <w:w w:val="91"/>
              </w:rPr>
              <w:t>Section</w:t>
            </w:r>
          </w:p>
        </w:tc>
        <w:tc>
          <w:tcPr>
            <w:tcW w:w="180" w:type="dxa"/>
            <w:vAlign w:val="bottom"/>
          </w:tcPr>
          <w:p>
            <w:pPr>
              <w:spacing w:after="0"/>
              <w:rPr>
                <w:sz w:val="19"/>
                <w:szCs w:val="19"/>
                <w:color w:val="auto"/>
              </w:rPr>
            </w:pPr>
          </w:p>
        </w:tc>
        <w:tc>
          <w:tcPr>
            <w:tcW w:w="920" w:type="dxa"/>
            <w:vAlign w:val="bottom"/>
          </w:tcPr>
          <w:p>
            <w:pPr>
              <w:jc w:val="center"/>
              <w:ind w:right="102"/>
              <w:spacing w:after="0" w:line="229" w:lineRule="exact"/>
              <w:rPr>
                <w:sz w:val="20"/>
                <w:szCs w:val="20"/>
                <w:color w:val="auto"/>
              </w:rPr>
            </w:pPr>
            <w:r>
              <w:rPr>
                <w:rFonts w:ascii="Arial" w:cs="Arial" w:eastAsia="Arial" w:hAnsi="Arial"/>
                <w:sz w:val="20"/>
                <w:szCs w:val="20"/>
                <w:b w:val="1"/>
                <w:bCs w:val="1"/>
                <w:color w:val="auto"/>
                <w:w w:val="87"/>
              </w:rPr>
              <w:t>Value of</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3"/>
              </w:rPr>
              <w:t>Mining</w:t>
            </w:r>
          </w:p>
        </w:tc>
        <w:tc>
          <w:tcPr>
            <w:tcW w:w="7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9"/>
              </w:rPr>
              <w:t>under</w:t>
            </w:r>
          </w:p>
        </w:tc>
        <w:tc>
          <w:tcPr>
            <w:tcW w:w="6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7"/>
              </w:rPr>
              <w:t>Last</w:t>
            </w:r>
          </w:p>
        </w:tc>
        <w:tc>
          <w:tcPr>
            <w:tcW w:w="1620" w:type="dxa"/>
            <w:vAlign w:val="bottom"/>
            <w:gridSpan w:val="3"/>
          </w:tcPr>
          <w:p>
            <w:pPr>
              <w:spacing w:after="0" w:line="229" w:lineRule="exact"/>
              <w:rPr>
                <w:sz w:val="20"/>
                <w:szCs w:val="20"/>
                <w:color w:val="auto"/>
              </w:rPr>
            </w:pPr>
            <w:r>
              <w:rPr>
                <w:rFonts w:ascii="Arial" w:cs="Arial" w:eastAsia="Arial" w:hAnsi="Arial"/>
                <w:sz w:val="20"/>
                <w:szCs w:val="20"/>
                <w:b w:val="1"/>
                <w:bCs w:val="1"/>
                <w:color w:val="auto"/>
                <w:w w:val="86"/>
              </w:rPr>
              <w:t>Instituted Resolved</w:t>
            </w:r>
          </w:p>
        </w:tc>
      </w:tr>
      <w:tr>
        <w:trPr>
          <w:trHeight w:val="228"/>
        </w:trPr>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gridSpan w:val="2"/>
          </w:tcPr>
          <w:p>
            <w:pPr>
              <w:ind w:left="20"/>
              <w:spacing w:after="0" w:line="229" w:lineRule="exact"/>
              <w:rPr>
                <w:sz w:val="20"/>
                <w:szCs w:val="20"/>
                <w:color w:val="auto"/>
              </w:rPr>
            </w:pPr>
            <w:r>
              <w:rPr>
                <w:rFonts w:ascii="Arial" w:cs="Arial" w:eastAsia="Arial" w:hAnsi="Arial"/>
                <w:sz w:val="20"/>
                <w:szCs w:val="20"/>
                <w:b w:val="1"/>
                <w:bCs w:val="1"/>
                <w:color w:val="auto"/>
                <w:w w:val="96"/>
              </w:rPr>
              <w:t>104 S&amp;S 104(b)</w:t>
            </w:r>
          </w:p>
        </w:tc>
        <w:tc>
          <w:tcPr>
            <w:tcW w:w="76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9"/>
              </w:rPr>
              <w:t>and</w:t>
            </w:r>
          </w:p>
        </w:tc>
        <w:tc>
          <w:tcPr>
            <w:tcW w:w="1520" w:type="dxa"/>
            <w:vAlign w:val="bottom"/>
            <w:gridSpan w:val="2"/>
          </w:tcPr>
          <w:p>
            <w:pPr>
              <w:jc w:val="right"/>
              <w:spacing w:after="0" w:line="229" w:lineRule="exact"/>
              <w:rPr>
                <w:sz w:val="20"/>
                <w:szCs w:val="20"/>
                <w:color w:val="auto"/>
              </w:rPr>
            </w:pPr>
            <w:r>
              <w:rPr>
                <w:rFonts w:ascii="Arial" w:cs="Arial" w:eastAsia="Arial" w:hAnsi="Arial"/>
                <w:sz w:val="20"/>
                <w:szCs w:val="20"/>
                <w:b w:val="1"/>
                <w:bCs w:val="1"/>
                <w:color w:val="auto"/>
                <w:w w:val="96"/>
              </w:rPr>
              <w:t>110(b)(2) 107(a)</w:t>
            </w:r>
          </w:p>
        </w:tc>
        <w:tc>
          <w:tcPr>
            <w:tcW w:w="180" w:type="dxa"/>
            <w:vAlign w:val="bottom"/>
          </w:tcPr>
          <w:p>
            <w:pPr>
              <w:spacing w:after="0"/>
              <w:rPr>
                <w:sz w:val="19"/>
                <w:szCs w:val="19"/>
                <w:color w:val="auto"/>
              </w:rPr>
            </w:pPr>
          </w:p>
        </w:tc>
        <w:tc>
          <w:tcPr>
            <w:tcW w:w="920" w:type="dxa"/>
            <w:vAlign w:val="bottom"/>
          </w:tcPr>
          <w:p>
            <w:pPr>
              <w:jc w:val="center"/>
              <w:ind w:right="102"/>
              <w:spacing w:after="0" w:line="229" w:lineRule="exact"/>
              <w:rPr>
                <w:sz w:val="20"/>
                <w:szCs w:val="20"/>
                <w:color w:val="auto"/>
              </w:rPr>
            </w:pPr>
            <w:r>
              <w:rPr>
                <w:rFonts w:ascii="Arial" w:cs="Arial" w:eastAsia="Arial" w:hAnsi="Arial"/>
                <w:sz w:val="20"/>
                <w:szCs w:val="20"/>
                <w:b w:val="1"/>
                <w:bCs w:val="1"/>
                <w:color w:val="auto"/>
              </w:rPr>
              <w:t>MSHA</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8"/>
              </w:rPr>
              <w:t>Related</w:t>
            </w:r>
          </w:p>
        </w:tc>
        <w:tc>
          <w:tcPr>
            <w:tcW w:w="7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5"/>
              </w:rPr>
              <w:t>Section</w:t>
            </w:r>
          </w:p>
        </w:tc>
        <w:tc>
          <w:tcPr>
            <w:tcW w:w="6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1"/>
              </w:rPr>
              <w:t>Day of</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3"/>
              </w:rPr>
              <w:t>During</w:t>
            </w:r>
          </w:p>
        </w:tc>
        <w:tc>
          <w:tcPr>
            <w:tcW w:w="800" w:type="dxa"/>
            <w:vAlign w:val="bottom"/>
            <w:gridSpan w:val="2"/>
          </w:tcPr>
          <w:p>
            <w:pPr>
              <w:jc w:val="center"/>
              <w:spacing w:after="0" w:line="229" w:lineRule="exact"/>
              <w:rPr>
                <w:sz w:val="20"/>
                <w:szCs w:val="20"/>
                <w:color w:val="auto"/>
              </w:rPr>
            </w:pPr>
            <w:r>
              <w:rPr>
                <w:rFonts w:ascii="Arial" w:cs="Arial" w:eastAsia="Arial" w:hAnsi="Arial"/>
                <w:sz w:val="20"/>
                <w:szCs w:val="20"/>
                <w:b w:val="1"/>
                <w:bCs w:val="1"/>
                <w:color w:val="auto"/>
                <w:w w:val="93"/>
              </w:rPr>
              <w:t>During</w:t>
            </w:r>
          </w:p>
        </w:tc>
      </w:tr>
      <w:tr>
        <w:trPr>
          <w:trHeight w:val="228"/>
        </w:trPr>
        <w:tc>
          <w:tcPr>
            <w:tcW w:w="1240" w:type="dxa"/>
            <w:vAlign w:val="bottom"/>
          </w:tcPr>
          <w:p>
            <w:pPr>
              <w:spacing w:after="0"/>
              <w:rPr>
                <w:sz w:val="19"/>
                <w:szCs w:val="19"/>
                <w:color w:val="auto"/>
              </w:rPr>
            </w:pPr>
          </w:p>
        </w:tc>
        <w:tc>
          <w:tcPr>
            <w:tcW w:w="2180" w:type="dxa"/>
            <w:vAlign w:val="bottom"/>
            <w:gridSpan w:val="3"/>
          </w:tcPr>
          <w:p>
            <w:pPr>
              <w:ind w:left="80"/>
              <w:spacing w:after="0" w:line="229" w:lineRule="exact"/>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1"/>
              </w:rPr>
              <w:t>Orders</w:t>
            </w:r>
          </w:p>
        </w:tc>
        <w:tc>
          <w:tcPr>
            <w:tcW w:w="1520" w:type="dxa"/>
            <w:vAlign w:val="bottom"/>
            <w:gridSpan w:val="2"/>
          </w:tcPr>
          <w:p>
            <w:pPr>
              <w:jc w:val="right"/>
              <w:spacing w:after="0" w:line="229" w:lineRule="exact"/>
              <w:rPr>
                <w:sz w:val="20"/>
                <w:szCs w:val="20"/>
                <w:color w:val="auto"/>
              </w:rPr>
            </w:pPr>
            <w:r>
              <w:rPr>
                <w:rFonts w:ascii="Arial" w:cs="Arial" w:eastAsia="Arial" w:hAnsi="Arial"/>
                <w:sz w:val="20"/>
                <w:szCs w:val="20"/>
                <w:b w:val="1"/>
                <w:bCs w:val="1"/>
                <w:color w:val="auto"/>
                <w:w w:val="87"/>
              </w:rPr>
              <w:t>Violations Orders</w:t>
            </w:r>
          </w:p>
        </w:tc>
        <w:tc>
          <w:tcPr>
            <w:tcW w:w="1920" w:type="dxa"/>
            <w:vAlign w:val="bottom"/>
            <w:gridSpan w:val="3"/>
          </w:tcPr>
          <w:p>
            <w:pPr>
              <w:ind w:left="40"/>
              <w:spacing w:after="0" w:line="229" w:lineRule="exact"/>
              <w:rPr>
                <w:sz w:val="20"/>
                <w:szCs w:val="20"/>
                <w:color w:val="auto"/>
              </w:rPr>
            </w:pPr>
            <w:r>
              <w:rPr>
                <w:rFonts w:ascii="Arial" w:cs="Arial" w:eastAsia="Arial" w:hAnsi="Arial"/>
                <w:sz w:val="20"/>
                <w:szCs w:val="20"/>
                <w:b w:val="1"/>
                <w:bCs w:val="1"/>
                <w:color w:val="auto"/>
                <w:w w:val="86"/>
              </w:rPr>
              <w:t>Assessment/ Fatalities</w:t>
            </w:r>
          </w:p>
        </w:tc>
        <w:tc>
          <w:tcPr>
            <w:tcW w:w="7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6"/>
              </w:rPr>
              <w:t>104(e)</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9"/>
              </w:rPr>
              <w:t>104(e)</w:t>
            </w:r>
          </w:p>
        </w:tc>
        <w:tc>
          <w:tcPr>
            <w:tcW w:w="68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9"/>
              </w:rPr>
              <w:t>Period</w:t>
            </w:r>
          </w:p>
        </w:tc>
        <w:tc>
          <w:tcPr>
            <w:tcW w:w="82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89"/>
              </w:rPr>
              <w:t>Period</w:t>
            </w:r>
          </w:p>
        </w:tc>
        <w:tc>
          <w:tcPr>
            <w:tcW w:w="800" w:type="dxa"/>
            <w:vAlign w:val="bottom"/>
            <w:gridSpan w:val="2"/>
          </w:tcPr>
          <w:p>
            <w:pPr>
              <w:jc w:val="center"/>
              <w:spacing w:after="0" w:line="229" w:lineRule="exact"/>
              <w:rPr>
                <w:sz w:val="20"/>
                <w:szCs w:val="20"/>
                <w:color w:val="auto"/>
              </w:rPr>
            </w:pPr>
            <w:r>
              <w:rPr>
                <w:rFonts w:ascii="Arial" w:cs="Arial" w:eastAsia="Arial" w:hAnsi="Arial"/>
                <w:sz w:val="20"/>
                <w:szCs w:val="20"/>
                <w:b w:val="1"/>
                <w:bCs w:val="1"/>
                <w:color w:val="auto"/>
                <w:w w:val="89"/>
              </w:rPr>
              <w:t>Period</w:t>
            </w:r>
          </w:p>
        </w:tc>
      </w:tr>
      <w:tr>
        <w:trPr>
          <w:trHeight w:val="251"/>
        </w:trPr>
        <w:tc>
          <w:tcPr>
            <w:tcW w:w="1240" w:type="dxa"/>
            <w:vAlign w:val="bottom"/>
          </w:tcPr>
          <w:p>
            <w:pPr>
              <w:ind w:left="260"/>
              <w:spacing w:after="0"/>
              <w:rPr>
                <w:sz w:val="20"/>
                <w:szCs w:val="20"/>
                <w:color w:val="auto"/>
              </w:rPr>
            </w:pPr>
            <w:r>
              <w:rPr>
                <w:rFonts w:ascii="Arial" w:cs="Arial" w:eastAsia="Arial" w:hAnsi="Arial"/>
                <w:sz w:val="20"/>
                <w:szCs w:val="20"/>
                <w:b w:val="1"/>
                <w:bCs w:val="1"/>
                <w:color w:val="auto"/>
              </w:rPr>
              <w:t>Location</w:t>
            </w:r>
          </w:p>
        </w:tc>
        <w:tc>
          <w:tcPr>
            <w:tcW w:w="740" w:type="dxa"/>
            <w:vAlign w:val="bottom"/>
          </w:tcPr>
          <w:p>
            <w:pPr>
              <w:jc w:val="right"/>
              <w:ind w:right="162"/>
              <w:spacing w:after="0"/>
              <w:rPr>
                <w:sz w:val="20"/>
                <w:szCs w:val="20"/>
                <w:color w:val="auto"/>
              </w:rPr>
            </w:pPr>
            <w:r>
              <w:rPr>
                <w:rFonts w:ascii="Arial" w:cs="Arial" w:eastAsia="Arial" w:hAnsi="Arial"/>
                <w:sz w:val="20"/>
                <w:szCs w:val="20"/>
                <w:b w:val="1"/>
                <w:bCs w:val="1"/>
                <w:color w:val="auto"/>
              </w:rPr>
              <w:t>ID</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1100" w:type="dxa"/>
            <w:vAlign w:val="bottom"/>
            <w:gridSpan w:val="2"/>
          </w:tcPr>
          <w:p>
            <w:pPr>
              <w:jc w:val="center"/>
              <w:spacing w:after="0"/>
              <w:rPr>
                <w:sz w:val="20"/>
                <w:szCs w:val="20"/>
                <w:color w:val="auto"/>
              </w:rPr>
            </w:pPr>
            <w:r>
              <w:rPr>
                <w:rFonts w:ascii="Arial" w:cs="Arial" w:eastAsia="Arial" w:hAnsi="Arial"/>
                <w:sz w:val="20"/>
                <w:szCs w:val="20"/>
                <w:b w:val="1"/>
                <w:bCs w:val="1"/>
                <w:color w:val="auto"/>
                <w:w w:val="85"/>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20" w:type="dxa"/>
            <w:vAlign w:val="bottom"/>
          </w:tcPr>
          <w:p>
            <w:pPr>
              <w:jc w:val="center"/>
              <w:ind w:left="2"/>
              <w:spacing w:after="0"/>
              <w:rPr>
                <w:sz w:val="20"/>
                <w:szCs w:val="20"/>
                <w:color w:val="auto"/>
              </w:rPr>
            </w:pPr>
            <w:r>
              <w:rPr>
                <w:rFonts w:ascii="Arial" w:cs="Arial" w:eastAsia="Arial" w:hAnsi="Arial"/>
                <w:sz w:val="20"/>
                <w:szCs w:val="20"/>
                <w:b w:val="1"/>
                <w:bCs w:val="1"/>
                <w:color w:val="auto"/>
                <w:w w:val="89"/>
              </w:rPr>
              <w:t>(#)</w:t>
            </w:r>
          </w:p>
        </w:tc>
        <w:tc>
          <w:tcPr>
            <w:tcW w:w="80" w:type="dxa"/>
            <w:vAlign w:val="bottom"/>
          </w:tcPr>
          <w:p>
            <w:pPr>
              <w:spacing w:after="0"/>
              <w:rPr>
                <w:sz w:val="21"/>
                <w:szCs w:val="21"/>
                <w:color w:val="auto"/>
              </w:rPr>
            </w:pPr>
          </w:p>
        </w:tc>
      </w:tr>
      <w:tr>
        <w:trPr>
          <w:trHeight w:val="242"/>
        </w:trPr>
        <w:tc>
          <w:tcPr>
            <w:tcW w:w="198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2"/>
              </w:rPr>
              <w:t>Amelia Quarry 4407372</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5"/>
        </w:trPr>
        <w:tc>
          <w:tcPr>
            <w:tcW w:w="1240" w:type="dxa"/>
            <w:vAlign w:val="bottom"/>
          </w:tcPr>
          <w:p>
            <w:pPr>
              <w:spacing w:after="0" w:line="225" w:lineRule="exact"/>
              <w:rPr>
                <w:sz w:val="20"/>
                <w:szCs w:val="20"/>
                <w:color w:val="auto"/>
              </w:rPr>
            </w:pPr>
            <w:r>
              <w:rPr>
                <w:rFonts w:ascii="Arial" w:cs="Arial" w:eastAsia="Arial" w:hAnsi="Arial"/>
                <w:sz w:val="20"/>
                <w:szCs w:val="20"/>
                <w:color w:val="auto"/>
              </w:rPr>
              <w:t>American</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20"/>
                <w:szCs w:val="20"/>
                <w:color w:val="auto"/>
              </w:rPr>
              <w:t>Stone</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3100189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121</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Anderson</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Creek 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4402963</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5"/>
        </w:trPr>
        <w:tc>
          <w:tcPr>
            <w:tcW w:w="1240" w:type="dxa"/>
            <w:vAlign w:val="bottom"/>
          </w:tcPr>
          <w:p>
            <w:pPr>
              <w:spacing w:after="0" w:line="225" w:lineRule="exact"/>
              <w:rPr>
                <w:sz w:val="20"/>
                <w:szCs w:val="20"/>
                <w:color w:val="auto"/>
              </w:rPr>
            </w:pPr>
            <w:r>
              <w:rPr>
                <w:rFonts w:ascii="Arial" w:cs="Arial" w:eastAsia="Arial" w:hAnsi="Arial"/>
                <w:sz w:val="20"/>
                <w:szCs w:val="20"/>
                <w:color w:val="auto"/>
              </w:rPr>
              <w:t>Arrowood</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3100059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Asheboro</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3100066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2"/>
        </w:trPr>
        <w:tc>
          <w:tcPr>
            <w:tcW w:w="1240" w:type="dxa"/>
            <w:vAlign w:val="bottom"/>
          </w:tcPr>
          <w:p>
            <w:pPr>
              <w:spacing w:after="0"/>
              <w:rPr>
                <w:sz w:val="20"/>
                <w:szCs w:val="20"/>
                <w:color w:val="auto"/>
              </w:rPr>
            </w:pPr>
            <w:r>
              <w:rPr>
                <w:rFonts w:ascii="Arial" w:cs="Arial" w:eastAsia="Arial" w:hAnsi="Arial"/>
                <w:sz w:val="20"/>
                <w:szCs w:val="20"/>
                <w:color w:val="auto"/>
                <w:w w:val="94"/>
              </w:rPr>
              <w:t>Bakers 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3100071</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Belgrade</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3100064</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2"/>
        </w:trPr>
        <w:tc>
          <w:tcPr>
            <w:tcW w:w="1980" w:type="dxa"/>
            <w:vAlign w:val="bottom"/>
            <w:gridSpan w:val="2"/>
          </w:tcPr>
          <w:p>
            <w:pPr>
              <w:spacing w:after="0"/>
              <w:rPr>
                <w:sz w:val="20"/>
                <w:szCs w:val="20"/>
                <w:color w:val="auto"/>
              </w:rPr>
            </w:pPr>
            <w:r>
              <w:rPr>
                <w:rFonts w:ascii="Arial" w:cs="Arial" w:eastAsia="Arial" w:hAnsi="Arial"/>
                <w:sz w:val="20"/>
                <w:szCs w:val="20"/>
                <w:color w:val="auto"/>
                <w:w w:val="89"/>
              </w:rPr>
              <w:t>Benson Quarry 3101979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Berkeley</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3800072</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242</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5"/>
        </w:trPr>
        <w:tc>
          <w:tcPr>
            <w:tcW w:w="1240" w:type="dxa"/>
            <w:vAlign w:val="bottom"/>
          </w:tcPr>
          <w:p>
            <w:pPr>
              <w:spacing w:after="0" w:line="225" w:lineRule="exact"/>
              <w:rPr>
                <w:sz w:val="20"/>
                <w:szCs w:val="20"/>
                <w:color w:val="auto"/>
              </w:rPr>
            </w:pPr>
            <w:r>
              <w:rPr>
                <w:rFonts w:ascii="Arial" w:cs="Arial" w:eastAsia="Arial" w:hAnsi="Arial"/>
                <w:sz w:val="20"/>
                <w:szCs w:val="20"/>
                <w:color w:val="auto"/>
                <w:w w:val="93"/>
              </w:rPr>
              <w:t>Bessemer City</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3101105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Black Ankle</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3102220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2"/>
        </w:trPr>
        <w:tc>
          <w:tcPr>
            <w:tcW w:w="1240" w:type="dxa"/>
            <w:vAlign w:val="bottom"/>
          </w:tcPr>
          <w:p>
            <w:pPr>
              <w:spacing w:after="0"/>
              <w:rPr>
                <w:sz w:val="20"/>
                <w:szCs w:val="20"/>
                <w:color w:val="auto"/>
              </w:rPr>
            </w:pPr>
            <w:r>
              <w:rPr>
                <w:rFonts w:ascii="Arial" w:cs="Arial" w:eastAsia="Arial" w:hAnsi="Arial"/>
                <w:sz w:val="20"/>
                <w:szCs w:val="20"/>
                <w:color w:val="auto"/>
                <w:w w:val="98"/>
              </w:rPr>
              <w:t>Bonds 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3101963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Boonesboro</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1800024</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5"/>
        </w:trPr>
        <w:tc>
          <w:tcPr>
            <w:tcW w:w="1240" w:type="dxa"/>
            <w:vAlign w:val="bottom"/>
          </w:tcPr>
          <w:p>
            <w:pPr>
              <w:spacing w:after="0" w:line="225" w:lineRule="exact"/>
              <w:rPr>
                <w:sz w:val="20"/>
                <w:szCs w:val="20"/>
                <w:color w:val="auto"/>
              </w:rPr>
            </w:pPr>
            <w:r>
              <w:rPr>
                <w:rFonts w:ascii="Arial" w:cs="Arial" w:eastAsia="Arial" w:hAnsi="Arial"/>
                <w:sz w:val="20"/>
                <w:szCs w:val="20"/>
                <w:color w:val="auto"/>
              </w:rPr>
              <w:t>Burlington</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3100042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Caldwell</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3101869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2"/>
        </w:trPr>
        <w:tc>
          <w:tcPr>
            <w:tcW w:w="1240" w:type="dxa"/>
            <w:vAlign w:val="bottom"/>
          </w:tcPr>
          <w:p>
            <w:pPr>
              <w:spacing w:after="0"/>
              <w:rPr>
                <w:sz w:val="20"/>
                <w:szCs w:val="20"/>
                <w:color w:val="auto"/>
              </w:rPr>
            </w:pPr>
            <w:r>
              <w:rPr>
                <w:rFonts w:ascii="Arial" w:cs="Arial" w:eastAsia="Arial" w:hAnsi="Arial"/>
                <w:sz w:val="20"/>
                <w:szCs w:val="20"/>
                <w:color w:val="auto"/>
                <w:w w:val="96"/>
              </w:rPr>
              <w:t>Calhoun Sand</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3800716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Castle Hayne</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3100063</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2"/>
        </w:trPr>
        <w:tc>
          <w:tcPr>
            <w:tcW w:w="1240" w:type="dxa"/>
            <w:vAlign w:val="bottom"/>
          </w:tcPr>
          <w:p>
            <w:pPr>
              <w:spacing w:after="0"/>
              <w:rPr>
                <w:sz w:val="20"/>
                <w:szCs w:val="20"/>
                <w:color w:val="auto"/>
              </w:rPr>
            </w:pPr>
            <w:r>
              <w:rPr>
                <w:rFonts w:ascii="Arial" w:cs="Arial" w:eastAsia="Arial" w:hAnsi="Arial"/>
                <w:sz w:val="20"/>
                <w:szCs w:val="20"/>
                <w:color w:val="auto"/>
              </w:rPr>
              <w:t>Cayce</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3800016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Central Rock</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3100050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5"/>
        </w:trPr>
        <w:tc>
          <w:tcPr>
            <w:tcW w:w="1240" w:type="dxa"/>
            <w:vAlign w:val="bottom"/>
          </w:tcPr>
          <w:p>
            <w:pPr>
              <w:spacing w:after="0" w:line="225" w:lineRule="exact"/>
              <w:rPr>
                <w:sz w:val="20"/>
                <w:szCs w:val="20"/>
                <w:color w:val="auto"/>
              </w:rPr>
            </w:pPr>
            <w:r>
              <w:rPr>
                <w:rFonts w:ascii="Arial" w:cs="Arial" w:eastAsia="Arial" w:hAnsi="Arial"/>
                <w:sz w:val="20"/>
                <w:szCs w:val="20"/>
                <w:color w:val="auto"/>
              </w:rPr>
              <w:t>Charlotte</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3100057</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Churchville</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1800012</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2"/>
        </w:trPr>
        <w:tc>
          <w:tcPr>
            <w:tcW w:w="1240" w:type="dxa"/>
            <w:vAlign w:val="bottom"/>
          </w:tcPr>
          <w:p>
            <w:pPr>
              <w:spacing w:after="0"/>
              <w:rPr>
                <w:sz w:val="20"/>
                <w:szCs w:val="20"/>
                <w:color w:val="auto"/>
              </w:rPr>
            </w:pPr>
            <w:r>
              <w:rPr>
                <w:rFonts w:ascii="Arial" w:cs="Arial" w:eastAsia="Arial" w:hAnsi="Arial"/>
                <w:sz w:val="20"/>
                <w:szCs w:val="20"/>
                <w:color w:val="auto"/>
                <w:w w:val="98"/>
              </w:rPr>
              <w:t>Clarks 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3102009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Cumberland</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3102237</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2"/>
        </w:trPr>
        <w:tc>
          <w:tcPr>
            <w:tcW w:w="1980" w:type="dxa"/>
            <w:vAlign w:val="bottom"/>
            <w:gridSpan w:val="2"/>
          </w:tcPr>
          <w:p>
            <w:pPr>
              <w:spacing w:after="0"/>
              <w:rPr>
                <w:sz w:val="20"/>
                <w:szCs w:val="20"/>
                <w:color w:val="auto"/>
              </w:rPr>
            </w:pPr>
            <w:r>
              <w:rPr>
                <w:rFonts w:ascii="Arial" w:cs="Arial" w:eastAsia="Arial" w:hAnsi="Arial"/>
                <w:sz w:val="20"/>
                <w:szCs w:val="20"/>
                <w:color w:val="auto"/>
                <w:w w:val="91"/>
              </w:rPr>
              <w:t>Denver Quarry 3101971</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242</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5"/>
        </w:trPr>
        <w:tc>
          <w:tcPr>
            <w:tcW w:w="124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Doswell</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5"/>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 VA</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4400045</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5"/>
        </w:trPr>
        <w:tc>
          <w:tcPr>
            <w:tcW w:w="1240" w:type="dxa"/>
            <w:vAlign w:val="bottom"/>
          </w:tcPr>
          <w:p>
            <w:pPr>
              <w:spacing w:after="0" w:line="225" w:lineRule="exact"/>
              <w:rPr>
                <w:sz w:val="20"/>
                <w:szCs w:val="20"/>
                <w:color w:val="auto"/>
              </w:rPr>
            </w:pPr>
            <w:r>
              <w:rPr>
                <w:rFonts w:ascii="Arial" w:cs="Arial" w:eastAsia="Arial" w:hAnsi="Arial"/>
                <w:sz w:val="20"/>
                <w:szCs w:val="20"/>
                <w:color w:val="auto"/>
                <w:w w:val="90"/>
              </w:rPr>
              <w:t>East Alamance</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3102021</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754"/>
        </w:trPr>
        <w:tc>
          <w:tcPr>
            <w:tcW w:w="1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520"/>
          </w:cols>
          <w:pgMar w:left="240" w:top="122" w:right="1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2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Edmund Sand</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3800662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0"/>
                <w:szCs w:val="20"/>
                <w:color w:val="auto"/>
              </w:rPr>
              <w:t>Fountain Quarry</w:t>
            </w:r>
          </w:p>
        </w:tc>
        <w:tc>
          <w:tcPr>
            <w:tcW w:w="980" w:type="dxa"/>
            <w:vAlign w:val="bottom"/>
          </w:tcPr>
          <w:p>
            <w:pPr>
              <w:jc w:val="right"/>
              <w:ind w:right="62"/>
              <w:spacing w:after="0"/>
              <w:rPr>
                <w:sz w:val="20"/>
                <w:szCs w:val="20"/>
                <w:color w:val="auto"/>
              </w:rPr>
            </w:pPr>
            <w:r>
              <w:rPr>
                <w:rFonts w:ascii="Arial" w:cs="Arial" w:eastAsia="Arial" w:hAnsi="Arial"/>
                <w:sz w:val="20"/>
                <w:szCs w:val="20"/>
                <w:color w:val="auto"/>
              </w:rPr>
              <w:t>3100065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Franklin Quarry</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3102130</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0"/>
                <w:szCs w:val="20"/>
                <w:color w:val="auto"/>
              </w:rPr>
              <w:t>Frederick Quarry</w:t>
            </w:r>
          </w:p>
        </w:tc>
        <w:tc>
          <w:tcPr>
            <w:tcW w:w="980" w:type="dxa"/>
            <w:vAlign w:val="bottom"/>
          </w:tcPr>
          <w:p>
            <w:pPr>
              <w:jc w:val="right"/>
              <w:ind w:right="62"/>
              <w:spacing w:after="0"/>
              <w:rPr>
                <w:sz w:val="20"/>
                <w:szCs w:val="20"/>
                <w:color w:val="auto"/>
              </w:rPr>
            </w:pPr>
            <w:r>
              <w:rPr>
                <w:rFonts w:ascii="Arial" w:cs="Arial" w:eastAsia="Arial" w:hAnsi="Arial"/>
                <w:sz w:val="20"/>
                <w:szCs w:val="20"/>
                <w:color w:val="auto"/>
              </w:rPr>
              <w:t>1800013</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Fuquay Quarry</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3102055</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0"/>
                <w:szCs w:val="20"/>
                <w:color w:val="auto"/>
              </w:rPr>
              <w:t>Garner Quarry</w:t>
            </w:r>
          </w:p>
        </w:tc>
        <w:tc>
          <w:tcPr>
            <w:tcW w:w="980" w:type="dxa"/>
            <w:vAlign w:val="bottom"/>
          </w:tcPr>
          <w:p>
            <w:pPr>
              <w:jc w:val="right"/>
              <w:ind w:right="62"/>
              <w:spacing w:after="0"/>
              <w:rPr>
                <w:sz w:val="20"/>
                <w:szCs w:val="20"/>
                <w:color w:val="auto"/>
              </w:rPr>
            </w:pPr>
            <w:r>
              <w:rPr>
                <w:rFonts w:ascii="Arial" w:cs="Arial" w:eastAsia="Arial" w:hAnsi="Arial"/>
                <w:sz w:val="20"/>
                <w:szCs w:val="20"/>
                <w:color w:val="auto"/>
              </w:rPr>
              <w:t>3100072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Georgetown II Quarry</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3800525</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121</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0"/>
                <w:szCs w:val="20"/>
                <w:color w:val="auto"/>
              </w:rPr>
              <w:t>Hickory Quarry</w:t>
            </w:r>
          </w:p>
        </w:tc>
        <w:tc>
          <w:tcPr>
            <w:tcW w:w="980" w:type="dxa"/>
            <w:vAlign w:val="bottom"/>
          </w:tcPr>
          <w:p>
            <w:pPr>
              <w:jc w:val="right"/>
              <w:ind w:right="62"/>
              <w:spacing w:after="0"/>
              <w:rPr>
                <w:sz w:val="20"/>
                <w:szCs w:val="20"/>
                <w:color w:val="auto"/>
              </w:rPr>
            </w:pPr>
            <w:r>
              <w:rPr>
                <w:rFonts w:ascii="Arial" w:cs="Arial" w:eastAsia="Arial" w:hAnsi="Arial"/>
                <w:sz w:val="20"/>
                <w:szCs w:val="20"/>
                <w:color w:val="auto"/>
              </w:rPr>
              <w:t>3100043</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Hicone</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3102088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0"/>
                <w:szCs w:val="20"/>
                <w:color w:val="auto"/>
              </w:rPr>
              <w:t>Jamestown Quarry</w:t>
            </w:r>
          </w:p>
        </w:tc>
        <w:tc>
          <w:tcPr>
            <w:tcW w:w="980" w:type="dxa"/>
            <w:vAlign w:val="bottom"/>
          </w:tcPr>
          <w:p>
            <w:pPr>
              <w:jc w:val="right"/>
              <w:ind w:right="62"/>
              <w:spacing w:after="0"/>
              <w:rPr>
                <w:sz w:val="20"/>
                <w:szCs w:val="20"/>
                <w:color w:val="auto"/>
              </w:rPr>
            </w:pPr>
            <w:r>
              <w:rPr>
                <w:rFonts w:ascii="Arial" w:cs="Arial" w:eastAsia="Arial" w:hAnsi="Arial"/>
                <w:sz w:val="20"/>
                <w:szCs w:val="20"/>
                <w:color w:val="auto"/>
              </w:rPr>
              <w:t>3100051</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Kannapolis Quarry</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3100070</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0"/>
                <w:szCs w:val="20"/>
                <w:color w:val="auto"/>
              </w:rPr>
              <w:t>Kent Sand &amp; Gravel</w:t>
            </w:r>
          </w:p>
        </w:tc>
        <w:tc>
          <w:tcPr>
            <w:tcW w:w="980" w:type="dxa"/>
            <w:vAlign w:val="bottom"/>
          </w:tcPr>
          <w:p>
            <w:pPr>
              <w:jc w:val="right"/>
              <w:ind w:right="62"/>
              <w:spacing w:after="0"/>
              <w:rPr>
                <w:sz w:val="20"/>
                <w:szCs w:val="20"/>
                <w:color w:val="auto"/>
              </w:rPr>
            </w:pPr>
            <w:r>
              <w:rPr>
                <w:rFonts w:ascii="Arial" w:cs="Arial" w:eastAsia="Arial" w:hAnsi="Arial"/>
                <w:sz w:val="20"/>
                <w:szCs w:val="20"/>
                <w:color w:val="auto"/>
              </w:rPr>
              <w:t>1800745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Kings Mountain Quarry</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3100047</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0"/>
                <w:szCs w:val="20"/>
                <w:color w:val="auto"/>
              </w:rPr>
              <w:t>Lemon Springs Quarry</w:t>
            </w:r>
          </w:p>
        </w:tc>
        <w:tc>
          <w:tcPr>
            <w:tcW w:w="980" w:type="dxa"/>
            <w:vAlign w:val="bottom"/>
          </w:tcPr>
          <w:p>
            <w:pPr>
              <w:jc w:val="right"/>
              <w:ind w:right="62"/>
              <w:spacing w:after="0"/>
              <w:rPr>
                <w:sz w:val="20"/>
                <w:szCs w:val="20"/>
                <w:color w:val="auto"/>
              </w:rPr>
            </w:pPr>
            <w:r>
              <w:rPr>
                <w:rFonts w:ascii="Arial" w:cs="Arial" w:eastAsia="Arial" w:hAnsi="Arial"/>
                <w:sz w:val="20"/>
                <w:szCs w:val="20"/>
                <w:color w:val="auto"/>
              </w:rPr>
              <w:t>3101104</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Loamy Sand Gravel</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3800721</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0"/>
                <w:szCs w:val="20"/>
                <w:color w:val="auto"/>
              </w:rPr>
              <w:t>Maiden Quarry</w:t>
            </w:r>
          </w:p>
        </w:tc>
        <w:tc>
          <w:tcPr>
            <w:tcW w:w="980" w:type="dxa"/>
            <w:vAlign w:val="bottom"/>
          </w:tcPr>
          <w:p>
            <w:pPr>
              <w:jc w:val="right"/>
              <w:ind w:right="62"/>
              <w:spacing w:after="0"/>
              <w:rPr>
                <w:sz w:val="20"/>
                <w:szCs w:val="20"/>
                <w:color w:val="auto"/>
              </w:rPr>
            </w:pPr>
            <w:r>
              <w:rPr>
                <w:rFonts w:ascii="Arial" w:cs="Arial" w:eastAsia="Arial" w:hAnsi="Arial"/>
                <w:sz w:val="20"/>
                <w:szCs w:val="20"/>
                <w:color w:val="auto"/>
              </w:rPr>
              <w:t>3102125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Mallard Creek Quarry</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3102006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0"/>
                <w:szCs w:val="20"/>
                <w:color w:val="auto"/>
              </w:rPr>
              <w:t>Matthews Quarry</w:t>
            </w:r>
          </w:p>
        </w:tc>
        <w:tc>
          <w:tcPr>
            <w:tcW w:w="980" w:type="dxa"/>
            <w:vAlign w:val="bottom"/>
          </w:tcPr>
          <w:p>
            <w:pPr>
              <w:jc w:val="right"/>
              <w:ind w:right="62"/>
              <w:spacing w:after="0"/>
              <w:rPr>
                <w:sz w:val="20"/>
                <w:szCs w:val="20"/>
                <w:color w:val="auto"/>
              </w:rPr>
            </w:pPr>
            <w:r>
              <w:rPr>
                <w:rFonts w:ascii="Arial" w:cs="Arial" w:eastAsia="Arial" w:hAnsi="Arial"/>
                <w:sz w:val="20"/>
                <w:szCs w:val="20"/>
                <w:color w:val="auto"/>
              </w:rPr>
              <w:t>3102084</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Medford Quarry</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1800035</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0"/>
                <w:szCs w:val="20"/>
                <w:color w:val="auto"/>
              </w:rPr>
              <w:t>Midlothian Quarry</w:t>
            </w:r>
          </w:p>
        </w:tc>
        <w:tc>
          <w:tcPr>
            <w:tcW w:w="980" w:type="dxa"/>
            <w:vAlign w:val="bottom"/>
          </w:tcPr>
          <w:p>
            <w:pPr>
              <w:jc w:val="right"/>
              <w:ind w:right="62"/>
              <w:spacing w:after="0"/>
              <w:rPr>
                <w:sz w:val="20"/>
                <w:szCs w:val="20"/>
                <w:color w:val="auto"/>
              </w:rPr>
            </w:pPr>
            <w:r>
              <w:rPr>
                <w:rFonts w:ascii="Arial" w:cs="Arial" w:eastAsia="Arial" w:hAnsi="Arial"/>
                <w:sz w:val="20"/>
                <w:szCs w:val="20"/>
                <w:color w:val="auto"/>
              </w:rPr>
              <w:t>4403767</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w w:val="95"/>
              </w:rPr>
              <w:t>Misc Greensboro District</w:t>
            </w:r>
          </w:p>
        </w:tc>
        <w:tc>
          <w:tcPr>
            <w:tcW w:w="980" w:type="dxa"/>
            <w:vAlign w:val="bottom"/>
            <w:shd w:val="clear" w:color="auto" w:fill="CFF0FC"/>
          </w:tcPr>
          <w:p>
            <w:pPr>
              <w:jc w:val="right"/>
              <w:ind w:right="242"/>
              <w:spacing w:after="0"/>
              <w:rPr>
                <w:sz w:val="20"/>
                <w:szCs w:val="20"/>
                <w:color w:val="auto"/>
              </w:rPr>
            </w:pPr>
            <w:r>
              <w:rPr>
                <w:rFonts w:ascii="Arial" w:cs="Arial" w:eastAsia="Arial" w:hAnsi="Arial"/>
                <w:sz w:val="20"/>
                <w:szCs w:val="20"/>
                <w:color w:val="auto"/>
              </w:rPr>
              <w:t>B8611</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0"/>
                <w:szCs w:val="20"/>
                <w:color w:val="auto"/>
              </w:rPr>
              <w:t>North Columbia</w:t>
            </w:r>
          </w:p>
        </w:tc>
        <w:tc>
          <w:tcPr>
            <w:tcW w:w="980" w:type="dxa"/>
            <w:vAlign w:val="bottom"/>
          </w:tcPr>
          <w:p>
            <w:pPr>
              <w:jc w:val="right"/>
              <w:ind w:right="62"/>
              <w:spacing w:after="0"/>
              <w:rPr>
                <w:sz w:val="20"/>
                <w:szCs w:val="20"/>
                <w:color w:val="auto"/>
              </w:rPr>
            </w:pPr>
            <w:r>
              <w:rPr>
                <w:rFonts w:ascii="Arial" w:cs="Arial" w:eastAsia="Arial" w:hAnsi="Arial"/>
                <w:sz w:val="20"/>
                <w:szCs w:val="20"/>
                <w:color w:val="auto"/>
              </w:rPr>
              <w:t>3800146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North East Quarry</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1800417</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0"/>
                <w:szCs w:val="20"/>
                <w:color w:val="auto"/>
              </w:rPr>
              <w:t>Old Charleston Sand</w:t>
            </w:r>
          </w:p>
        </w:tc>
        <w:tc>
          <w:tcPr>
            <w:tcW w:w="980" w:type="dxa"/>
            <w:vAlign w:val="bottom"/>
          </w:tcPr>
          <w:p>
            <w:pPr>
              <w:jc w:val="right"/>
              <w:ind w:right="62"/>
              <w:spacing w:after="0"/>
              <w:rPr>
                <w:sz w:val="20"/>
                <w:szCs w:val="20"/>
                <w:color w:val="auto"/>
              </w:rPr>
            </w:pPr>
            <w:r>
              <w:rPr>
                <w:rFonts w:ascii="Arial" w:cs="Arial" w:eastAsia="Arial" w:hAnsi="Arial"/>
                <w:sz w:val="20"/>
                <w:szCs w:val="20"/>
                <w:color w:val="auto"/>
              </w:rPr>
              <w:t>3800702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Onslow Quarry</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3102120</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0"/>
                <w:szCs w:val="20"/>
                <w:color w:val="auto"/>
              </w:rPr>
              <w:t>Pinesburg Quarry</w:t>
            </w:r>
          </w:p>
        </w:tc>
        <w:tc>
          <w:tcPr>
            <w:tcW w:w="980" w:type="dxa"/>
            <w:vAlign w:val="bottom"/>
          </w:tcPr>
          <w:p>
            <w:pPr>
              <w:jc w:val="right"/>
              <w:ind w:right="62"/>
              <w:spacing w:after="0"/>
              <w:rPr>
                <w:sz w:val="20"/>
                <w:szCs w:val="20"/>
                <w:color w:val="auto"/>
              </w:rPr>
            </w:pPr>
            <w:r>
              <w:rPr>
                <w:rFonts w:ascii="Arial" w:cs="Arial" w:eastAsia="Arial" w:hAnsi="Arial"/>
                <w:sz w:val="20"/>
                <w:szCs w:val="20"/>
                <w:color w:val="auto"/>
              </w:rPr>
              <w:t>1800021</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Pomona Quarry</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3100052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0"/>
                <w:szCs w:val="20"/>
                <w:color w:val="auto"/>
                <w:w w:val="99"/>
              </w:rPr>
              <w:t>Raleigh Durham Quarry</w:t>
            </w:r>
          </w:p>
        </w:tc>
        <w:tc>
          <w:tcPr>
            <w:tcW w:w="980" w:type="dxa"/>
            <w:vAlign w:val="bottom"/>
          </w:tcPr>
          <w:p>
            <w:pPr>
              <w:jc w:val="right"/>
              <w:ind w:right="62"/>
              <w:spacing w:after="0"/>
              <w:rPr>
                <w:sz w:val="20"/>
                <w:szCs w:val="20"/>
                <w:color w:val="auto"/>
              </w:rPr>
            </w:pPr>
            <w:r>
              <w:rPr>
                <w:rFonts w:ascii="Arial" w:cs="Arial" w:eastAsia="Arial" w:hAnsi="Arial"/>
                <w:sz w:val="20"/>
                <w:szCs w:val="20"/>
                <w:color w:val="auto"/>
              </w:rPr>
              <w:t>3101941</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Red Hill Quarry</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4400072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0"/>
                <w:szCs w:val="20"/>
                <w:color w:val="auto"/>
              </w:rPr>
              <w:t>Reidsville Quarry</w:t>
            </w:r>
          </w:p>
        </w:tc>
        <w:tc>
          <w:tcPr>
            <w:tcW w:w="980" w:type="dxa"/>
            <w:vAlign w:val="bottom"/>
          </w:tcPr>
          <w:p>
            <w:pPr>
              <w:jc w:val="right"/>
              <w:ind w:right="62"/>
              <w:spacing w:after="0"/>
              <w:rPr>
                <w:sz w:val="20"/>
                <w:szCs w:val="20"/>
                <w:color w:val="auto"/>
              </w:rPr>
            </w:pPr>
            <w:r>
              <w:rPr>
                <w:rFonts w:ascii="Arial" w:cs="Arial" w:eastAsia="Arial" w:hAnsi="Arial"/>
                <w:sz w:val="20"/>
                <w:szCs w:val="20"/>
                <w:color w:val="auto"/>
              </w:rPr>
              <w:t>3100068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Rock Hill Quarry</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3800026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0"/>
                <w:szCs w:val="20"/>
                <w:color w:val="auto"/>
              </w:rPr>
              <w:t>Rocky Point Quarry</w:t>
            </w:r>
          </w:p>
        </w:tc>
        <w:tc>
          <w:tcPr>
            <w:tcW w:w="980" w:type="dxa"/>
            <w:vAlign w:val="bottom"/>
          </w:tcPr>
          <w:p>
            <w:pPr>
              <w:jc w:val="right"/>
              <w:ind w:right="62"/>
              <w:spacing w:after="0"/>
              <w:rPr>
                <w:sz w:val="20"/>
                <w:szCs w:val="20"/>
                <w:color w:val="auto"/>
              </w:rPr>
            </w:pPr>
            <w:r>
              <w:rPr>
                <w:rFonts w:ascii="Arial" w:cs="Arial" w:eastAsia="Arial" w:hAnsi="Arial"/>
                <w:sz w:val="20"/>
                <w:szCs w:val="20"/>
                <w:color w:val="auto"/>
              </w:rPr>
              <w:t>3101956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Rocky River Quarry</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3102033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20"/>
                <w:szCs w:val="20"/>
                <w:color w:val="auto"/>
              </w:rPr>
              <w:t>Salem Stone</w:t>
            </w:r>
          </w:p>
        </w:tc>
        <w:tc>
          <w:tcPr>
            <w:tcW w:w="980" w:type="dxa"/>
            <w:vAlign w:val="bottom"/>
          </w:tcPr>
          <w:p>
            <w:pPr>
              <w:jc w:val="right"/>
              <w:ind w:right="62"/>
              <w:spacing w:after="0"/>
              <w:rPr>
                <w:sz w:val="20"/>
                <w:szCs w:val="20"/>
                <w:color w:val="auto"/>
              </w:rPr>
            </w:pPr>
            <w:r>
              <w:rPr>
                <w:rFonts w:ascii="Arial" w:cs="Arial" w:eastAsia="Arial" w:hAnsi="Arial"/>
                <w:sz w:val="20"/>
                <w:szCs w:val="20"/>
                <w:color w:val="auto"/>
              </w:rPr>
              <w:t>3102038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82"/>
              <w:spacing w:after="0"/>
              <w:rPr>
                <w:sz w:val="20"/>
                <w:szCs w:val="20"/>
                <w:color w:val="auto"/>
              </w:rPr>
            </w:pPr>
            <w:r>
              <w:rPr>
                <w:rFonts w:ascii="Arial" w:cs="Arial" w:eastAsia="Arial" w:hAnsi="Arial"/>
                <w:sz w:val="20"/>
                <w:szCs w:val="20"/>
                <w:color w:val="auto"/>
              </w:rPr>
              <w:t>121</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1"/>
        </w:trPr>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2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Statesville Quarry</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2"/>
              </w:rPr>
              <w:t>3100055</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Texas Quarry</w:t>
            </w:r>
          </w:p>
        </w:tc>
        <w:tc>
          <w:tcPr>
            <w:tcW w:w="900" w:type="dxa"/>
            <w:vAlign w:val="bottom"/>
          </w:tcPr>
          <w:p>
            <w:pPr>
              <w:jc w:val="right"/>
              <w:ind w:right="62"/>
              <w:spacing w:after="0"/>
              <w:rPr>
                <w:sz w:val="20"/>
                <w:szCs w:val="20"/>
                <w:color w:val="auto"/>
              </w:rPr>
            </w:pPr>
            <w:r>
              <w:rPr>
                <w:rFonts w:ascii="Arial" w:cs="Arial" w:eastAsia="Arial" w:hAnsi="Arial"/>
                <w:sz w:val="20"/>
                <w:szCs w:val="20"/>
                <w:color w:val="auto"/>
                <w:w w:val="92"/>
              </w:rPr>
              <w:t>1800009</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2</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w w:val="87"/>
              </w:rPr>
              <w:t>4,484</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2</w:t>
            </w:r>
          </w:p>
        </w:tc>
        <w:tc>
          <w:tcPr>
            <w:tcW w:w="420" w:type="dxa"/>
            <w:vAlign w:val="bottom"/>
          </w:tcPr>
          <w:p>
            <w:pPr>
              <w:jc w:val="right"/>
              <w:spacing w:after="0"/>
              <w:rPr>
                <w:sz w:val="20"/>
                <w:szCs w:val="20"/>
                <w:color w:val="auto"/>
              </w:rPr>
            </w:pPr>
            <w:r>
              <w:rPr>
                <w:rFonts w:ascii="Arial" w:cs="Arial" w:eastAsia="Arial" w:hAnsi="Arial"/>
                <w:sz w:val="20"/>
                <w:szCs w:val="20"/>
                <w:color w:val="auto"/>
              </w:rPr>
              <w:t>2</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Thomasville Quarry</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2"/>
              </w:rPr>
              <w:t>3101475</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Warfordsburg Quarry</w:t>
            </w:r>
          </w:p>
        </w:tc>
        <w:tc>
          <w:tcPr>
            <w:tcW w:w="900" w:type="dxa"/>
            <w:vAlign w:val="bottom"/>
          </w:tcPr>
          <w:p>
            <w:pPr>
              <w:jc w:val="right"/>
              <w:ind w:right="62"/>
              <w:spacing w:after="0"/>
              <w:rPr>
                <w:sz w:val="20"/>
                <w:szCs w:val="20"/>
                <w:color w:val="auto"/>
              </w:rPr>
            </w:pPr>
            <w:r>
              <w:rPr>
                <w:rFonts w:ascii="Arial" w:cs="Arial" w:eastAsia="Arial" w:hAnsi="Arial"/>
                <w:sz w:val="20"/>
                <w:szCs w:val="20"/>
                <w:color w:val="auto"/>
                <w:w w:val="92"/>
              </w:rPr>
              <w:t>3600168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Wilmington Sand</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2"/>
              </w:rPr>
              <w:t>3101308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Wilson Quarry</w:t>
            </w:r>
          </w:p>
        </w:tc>
        <w:tc>
          <w:tcPr>
            <w:tcW w:w="900" w:type="dxa"/>
            <w:vAlign w:val="bottom"/>
          </w:tcPr>
          <w:p>
            <w:pPr>
              <w:jc w:val="right"/>
              <w:ind w:right="62"/>
              <w:spacing w:after="0"/>
              <w:rPr>
                <w:sz w:val="20"/>
                <w:szCs w:val="20"/>
                <w:color w:val="auto"/>
              </w:rPr>
            </w:pPr>
            <w:r>
              <w:rPr>
                <w:rFonts w:ascii="Arial" w:cs="Arial" w:eastAsia="Arial" w:hAnsi="Arial"/>
                <w:sz w:val="20"/>
                <w:szCs w:val="20"/>
                <w:color w:val="auto"/>
                <w:w w:val="92"/>
              </w:rPr>
              <w:t>3102230</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Woodleaf Quarry</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2"/>
              </w:rPr>
              <w:t>3100069</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180" w:type="dxa"/>
            <w:vAlign w:val="bottom"/>
          </w:tcPr>
          <w:p>
            <w:pPr>
              <w:spacing w:after="0" w:line="225" w:lineRule="exact"/>
              <w:rPr>
                <w:sz w:val="20"/>
                <w:szCs w:val="20"/>
                <w:color w:val="auto"/>
              </w:rPr>
            </w:pPr>
            <w:r>
              <w:rPr>
                <w:rFonts w:ascii="Arial" w:cs="Arial" w:eastAsia="Arial" w:hAnsi="Arial"/>
                <w:sz w:val="20"/>
                <w:szCs w:val="20"/>
                <w:color w:val="auto"/>
              </w:rPr>
              <w:t>(45) North Indianapolis</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200" w:type="dxa"/>
            <w:vAlign w:val="bottom"/>
            <w:gridSpan w:val="2"/>
          </w:tcPr>
          <w:p>
            <w:pPr>
              <w:spacing w:after="0"/>
              <w:rPr>
                <w:sz w:val="20"/>
                <w:szCs w:val="20"/>
                <w:color w:val="auto"/>
              </w:rPr>
            </w:pPr>
            <w:r>
              <w:rPr>
                <w:rFonts w:ascii="Arial" w:cs="Arial" w:eastAsia="Arial" w:hAnsi="Arial"/>
                <w:sz w:val="20"/>
                <w:szCs w:val="20"/>
                <w:color w:val="auto"/>
              </w:rPr>
              <w:t>SURFACE</w:t>
            </w:r>
          </w:p>
        </w:tc>
        <w:tc>
          <w:tcPr>
            <w:tcW w:w="900" w:type="dxa"/>
            <w:vAlign w:val="bottom"/>
          </w:tcPr>
          <w:p>
            <w:pPr>
              <w:jc w:val="right"/>
              <w:ind w:right="62"/>
              <w:spacing w:after="0"/>
              <w:rPr>
                <w:sz w:val="20"/>
                <w:szCs w:val="20"/>
                <w:color w:val="auto"/>
              </w:rPr>
            </w:pPr>
            <w:r>
              <w:rPr>
                <w:rFonts w:ascii="Arial" w:cs="Arial" w:eastAsia="Arial" w:hAnsi="Arial"/>
                <w:sz w:val="20"/>
                <w:szCs w:val="20"/>
                <w:color w:val="auto"/>
                <w:w w:val="92"/>
              </w:rPr>
              <w:t>1200002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Apple Grove S G</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2"/>
              </w:rPr>
              <w:t>3301676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Belmont Sand</w:t>
            </w:r>
          </w:p>
        </w:tc>
        <w:tc>
          <w:tcPr>
            <w:tcW w:w="900" w:type="dxa"/>
            <w:vAlign w:val="bottom"/>
          </w:tcPr>
          <w:p>
            <w:pPr>
              <w:jc w:val="right"/>
              <w:ind w:right="62"/>
              <w:spacing w:after="0"/>
              <w:rPr>
                <w:sz w:val="20"/>
                <w:szCs w:val="20"/>
                <w:color w:val="auto"/>
              </w:rPr>
            </w:pPr>
            <w:r>
              <w:rPr>
                <w:rFonts w:ascii="Arial" w:cs="Arial" w:eastAsia="Arial" w:hAnsi="Arial"/>
                <w:sz w:val="20"/>
                <w:szCs w:val="20"/>
                <w:color w:val="auto"/>
                <w:w w:val="92"/>
              </w:rPr>
              <w:t>1201911</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18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Bowling Green North</w:t>
            </w:r>
          </w:p>
        </w:tc>
        <w:tc>
          <w:tcPr>
            <w:tcW w:w="9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2"/>
              </w:rPr>
              <w:t>1500065</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180" w:type="dxa"/>
            <w:vAlign w:val="bottom"/>
          </w:tcPr>
          <w:p>
            <w:pPr>
              <w:spacing w:after="0" w:line="225" w:lineRule="exact"/>
              <w:rPr>
                <w:sz w:val="20"/>
                <w:szCs w:val="20"/>
                <w:color w:val="auto"/>
              </w:rPr>
            </w:pPr>
            <w:r>
              <w:rPr>
                <w:rFonts w:ascii="Arial" w:cs="Arial" w:eastAsia="Arial" w:hAnsi="Arial"/>
                <w:sz w:val="20"/>
                <w:szCs w:val="20"/>
                <w:color w:val="auto"/>
              </w:rPr>
              <w:t>Bowling Green South</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20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00" w:type="dxa"/>
            <w:vAlign w:val="bottom"/>
          </w:tcPr>
          <w:p>
            <w:pPr>
              <w:jc w:val="right"/>
              <w:ind w:right="62"/>
              <w:spacing w:after="0"/>
              <w:rPr>
                <w:sz w:val="20"/>
                <w:szCs w:val="20"/>
                <w:color w:val="auto"/>
              </w:rPr>
            </w:pPr>
            <w:r>
              <w:rPr>
                <w:rFonts w:ascii="Arial" w:cs="Arial" w:eastAsia="Arial" w:hAnsi="Arial"/>
                <w:sz w:val="20"/>
                <w:szCs w:val="20"/>
                <w:color w:val="auto"/>
                <w:w w:val="92"/>
              </w:rPr>
              <w:t>1500025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Burning Springs Mine</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2"/>
              </w:rPr>
              <w:t>4608862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242</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Carmel Sand</w:t>
            </w:r>
          </w:p>
        </w:tc>
        <w:tc>
          <w:tcPr>
            <w:tcW w:w="900" w:type="dxa"/>
            <w:vAlign w:val="bottom"/>
          </w:tcPr>
          <w:p>
            <w:pPr>
              <w:jc w:val="right"/>
              <w:ind w:right="62"/>
              <w:spacing w:after="0"/>
              <w:rPr>
                <w:sz w:val="20"/>
                <w:szCs w:val="20"/>
                <w:color w:val="auto"/>
              </w:rPr>
            </w:pPr>
            <w:r>
              <w:rPr>
                <w:rFonts w:ascii="Arial" w:cs="Arial" w:eastAsia="Arial" w:hAnsi="Arial"/>
                <w:sz w:val="20"/>
                <w:szCs w:val="20"/>
                <w:color w:val="auto"/>
                <w:w w:val="92"/>
              </w:rPr>
              <w:t>1202124</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Cedarville Quarry</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2"/>
              </w:rPr>
              <w:t>3304072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Cloverdale Quarry</w:t>
            </w:r>
          </w:p>
        </w:tc>
        <w:tc>
          <w:tcPr>
            <w:tcW w:w="900" w:type="dxa"/>
            <w:vAlign w:val="bottom"/>
          </w:tcPr>
          <w:p>
            <w:pPr>
              <w:jc w:val="right"/>
              <w:ind w:right="62"/>
              <w:spacing w:after="0"/>
              <w:rPr>
                <w:sz w:val="20"/>
                <w:szCs w:val="20"/>
                <w:color w:val="auto"/>
              </w:rPr>
            </w:pPr>
            <w:r>
              <w:rPr>
                <w:rFonts w:ascii="Arial" w:cs="Arial" w:eastAsia="Arial" w:hAnsi="Arial"/>
                <w:sz w:val="20"/>
                <w:szCs w:val="20"/>
                <w:color w:val="auto"/>
                <w:w w:val="92"/>
              </w:rPr>
              <w:t>1201744</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Cumberland Quarry</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2"/>
              </w:rPr>
              <w:t>1500037</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E Town Sand Gravel</w:t>
            </w:r>
          </w:p>
        </w:tc>
        <w:tc>
          <w:tcPr>
            <w:tcW w:w="900" w:type="dxa"/>
            <w:vAlign w:val="bottom"/>
          </w:tcPr>
          <w:p>
            <w:pPr>
              <w:jc w:val="right"/>
              <w:ind w:right="62"/>
              <w:spacing w:after="0"/>
              <w:rPr>
                <w:sz w:val="20"/>
                <w:szCs w:val="20"/>
                <w:color w:val="auto"/>
              </w:rPr>
            </w:pPr>
            <w:r>
              <w:rPr>
                <w:rFonts w:ascii="Arial" w:cs="Arial" w:eastAsia="Arial" w:hAnsi="Arial"/>
                <w:sz w:val="20"/>
                <w:szCs w:val="20"/>
                <w:color w:val="auto"/>
                <w:w w:val="92"/>
              </w:rPr>
              <w:t>3304279</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Fairfield Quarry</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2"/>
              </w:rPr>
              <w:t>3301396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Franklin Gravel</w:t>
            </w:r>
          </w:p>
        </w:tc>
        <w:tc>
          <w:tcPr>
            <w:tcW w:w="900" w:type="dxa"/>
            <w:vAlign w:val="bottom"/>
          </w:tcPr>
          <w:p>
            <w:pPr>
              <w:jc w:val="right"/>
              <w:ind w:right="62"/>
              <w:spacing w:after="0"/>
              <w:rPr>
                <w:sz w:val="20"/>
                <w:szCs w:val="20"/>
                <w:color w:val="auto"/>
              </w:rPr>
            </w:pPr>
            <w:r>
              <w:rPr>
                <w:rFonts w:ascii="Arial" w:cs="Arial" w:eastAsia="Arial" w:hAnsi="Arial"/>
                <w:sz w:val="20"/>
                <w:szCs w:val="20"/>
                <w:color w:val="auto"/>
                <w:w w:val="92"/>
              </w:rPr>
              <w:t>3302940</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Harlan Quarry</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2"/>
              </w:rPr>
              <w:t>1500071</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Hartford Quarry</w:t>
            </w:r>
          </w:p>
        </w:tc>
        <w:tc>
          <w:tcPr>
            <w:tcW w:w="900" w:type="dxa"/>
            <w:vAlign w:val="bottom"/>
          </w:tcPr>
          <w:p>
            <w:pPr>
              <w:jc w:val="right"/>
              <w:ind w:right="62"/>
              <w:spacing w:after="0"/>
              <w:rPr>
                <w:sz w:val="20"/>
                <w:szCs w:val="20"/>
                <w:color w:val="auto"/>
              </w:rPr>
            </w:pPr>
            <w:r>
              <w:rPr>
                <w:rFonts w:ascii="Arial" w:cs="Arial" w:eastAsia="Arial" w:hAnsi="Arial"/>
                <w:sz w:val="20"/>
                <w:szCs w:val="20"/>
                <w:color w:val="auto"/>
                <w:w w:val="92"/>
              </w:rPr>
              <w:t>1500095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Kentucky Ave Mine</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2"/>
              </w:rPr>
              <w:t>1201762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3</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87"/>
              </w:rPr>
              <w:t>2,669</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Kokomo Mine</w:t>
            </w:r>
          </w:p>
        </w:tc>
        <w:tc>
          <w:tcPr>
            <w:tcW w:w="900" w:type="dxa"/>
            <w:vAlign w:val="bottom"/>
          </w:tcPr>
          <w:p>
            <w:pPr>
              <w:jc w:val="right"/>
              <w:ind w:right="62"/>
              <w:spacing w:after="0"/>
              <w:rPr>
                <w:sz w:val="20"/>
                <w:szCs w:val="20"/>
                <w:color w:val="auto"/>
              </w:rPr>
            </w:pPr>
            <w:r>
              <w:rPr>
                <w:rFonts w:ascii="Arial" w:cs="Arial" w:eastAsia="Arial" w:hAnsi="Arial"/>
                <w:sz w:val="20"/>
                <w:szCs w:val="20"/>
                <w:color w:val="auto"/>
                <w:w w:val="92"/>
              </w:rPr>
              <w:t>1202105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Kokomo Sand</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2"/>
              </w:rPr>
              <w:t>1202203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Kokomo Stone</w:t>
            </w:r>
          </w:p>
        </w:tc>
        <w:tc>
          <w:tcPr>
            <w:tcW w:w="900" w:type="dxa"/>
            <w:vAlign w:val="bottom"/>
          </w:tcPr>
          <w:p>
            <w:pPr>
              <w:jc w:val="right"/>
              <w:ind w:right="62"/>
              <w:spacing w:after="0"/>
              <w:rPr>
                <w:sz w:val="20"/>
                <w:szCs w:val="20"/>
                <w:color w:val="auto"/>
              </w:rPr>
            </w:pPr>
            <w:r>
              <w:rPr>
                <w:rFonts w:ascii="Arial" w:cs="Arial" w:eastAsia="Arial" w:hAnsi="Arial"/>
                <w:sz w:val="20"/>
                <w:szCs w:val="20"/>
                <w:color w:val="auto"/>
                <w:w w:val="92"/>
              </w:rPr>
              <w:t>1200142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Noblesville Sand</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2"/>
              </w:rPr>
              <w:t>1201994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Noblesville Stone</w:t>
            </w:r>
          </w:p>
        </w:tc>
        <w:tc>
          <w:tcPr>
            <w:tcW w:w="900" w:type="dxa"/>
            <w:vAlign w:val="bottom"/>
          </w:tcPr>
          <w:p>
            <w:pPr>
              <w:jc w:val="right"/>
              <w:ind w:right="62"/>
              <w:spacing w:after="0"/>
              <w:rPr>
                <w:sz w:val="20"/>
                <w:szCs w:val="20"/>
                <w:color w:val="auto"/>
              </w:rPr>
            </w:pPr>
            <w:r>
              <w:rPr>
                <w:rFonts w:ascii="Arial" w:cs="Arial" w:eastAsia="Arial" w:hAnsi="Arial"/>
                <w:sz w:val="20"/>
                <w:szCs w:val="20"/>
                <w:color w:val="auto"/>
                <w:w w:val="92"/>
              </w:rPr>
              <w:t>1202176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2"/>
              <w:spacing w:after="0"/>
              <w:rPr>
                <w:sz w:val="20"/>
                <w:szCs w:val="20"/>
                <w:color w:val="auto"/>
              </w:rPr>
            </w:pPr>
            <w:r>
              <w:rPr>
                <w:rFonts w:ascii="Arial" w:cs="Arial" w:eastAsia="Arial" w:hAnsi="Arial"/>
                <w:sz w:val="20"/>
                <w:szCs w:val="20"/>
                <w:color w:val="auto"/>
              </w:rPr>
              <w:t>574</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w w:val="94"/>
              </w:rPr>
              <w:t>North Indianapolis Quarry</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2"/>
              </w:rPr>
              <w:t>1201993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725</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Petersburg, Ky Gravel</w:t>
            </w:r>
          </w:p>
        </w:tc>
        <w:tc>
          <w:tcPr>
            <w:tcW w:w="900" w:type="dxa"/>
            <w:vAlign w:val="bottom"/>
          </w:tcPr>
          <w:p>
            <w:pPr>
              <w:jc w:val="right"/>
              <w:ind w:right="62"/>
              <w:spacing w:after="0"/>
              <w:rPr>
                <w:sz w:val="20"/>
                <w:szCs w:val="20"/>
                <w:color w:val="auto"/>
              </w:rPr>
            </w:pPr>
            <w:r>
              <w:rPr>
                <w:rFonts w:ascii="Arial" w:cs="Arial" w:eastAsia="Arial" w:hAnsi="Arial"/>
                <w:sz w:val="20"/>
                <w:szCs w:val="20"/>
                <w:color w:val="auto"/>
                <w:w w:val="92"/>
              </w:rPr>
              <w:t>1516895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Phillipsburg Quarry</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2"/>
              </w:rPr>
              <w:t>3300006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20"/>
                <w:szCs w:val="20"/>
                <w:color w:val="auto"/>
              </w:rPr>
              <w:t>Shamrock SG</w:t>
            </w:r>
          </w:p>
        </w:tc>
        <w:tc>
          <w:tcPr>
            <w:tcW w:w="900" w:type="dxa"/>
            <w:vAlign w:val="bottom"/>
          </w:tcPr>
          <w:p>
            <w:pPr>
              <w:jc w:val="right"/>
              <w:ind w:right="62"/>
              <w:spacing w:after="0"/>
              <w:rPr>
                <w:sz w:val="20"/>
                <w:szCs w:val="20"/>
                <w:color w:val="auto"/>
              </w:rPr>
            </w:pPr>
            <w:r>
              <w:rPr>
                <w:rFonts w:ascii="Arial" w:cs="Arial" w:eastAsia="Arial" w:hAnsi="Arial"/>
                <w:sz w:val="20"/>
                <w:szCs w:val="20"/>
                <w:color w:val="auto"/>
                <w:w w:val="92"/>
              </w:rPr>
              <w:t>3304011</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w w:val="91"/>
              </w:rPr>
              <w:t>Spring Valley Cook Rd SG</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92"/>
              </w:rPr>
              <w:t>3304534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9"/>
        </w:trPr>
        <w:tc>
          <w:tcPr>
            <w:tcW w:w="20" w:type="dxa"/>
            <w:vAlign w:val="bottom"/>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51"/>
        </w:trPr>
        <w:tc>
          <w:tcPr>
            <w:tcW w:w="2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r>
      <w:tr>
        <w:trPr>
          <w:trHeight w:val="466"/>
        </w:trPr>
        <w:tc>
          <w:tcPr>
            <w:tcW w:w="2160" w:type="dxa"/>
            <w:vAlign w:val="bottom"/>
          </w:tcPr>
          <w:p>
            <w:pPr>
              <w:spacing w:after="0"/>
              <w:rPr>
                <w:sz w:val="20"/>
                <w:szCs w:val="20"/>
                <w:color w:val="auto"/>
              </w:rPr>
            </w:pPr>
            <w:r>
              <w:rPr>
                <w:rFonts w:ascii="Arial" w:cs="Arial" w:eastAsia="Arial" w:hAnsi="Arial"/>
                <w:sz w:val="20"/>
                <w:szCs w:val="20"/>
                <w:color w:val="auto"/>
              </w:rPr>
              <w:t>Troy Gravel</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3301678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Waverly Sand</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1202038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Xenia Gravel</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3301393</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Appling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901083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Auburn Al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100006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Auburn, GA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900436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Augusta, GA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900065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Ball Ground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900955</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Calhoun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4003395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Chattanooga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4003159</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121</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Cumming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900460</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Douglasville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900024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Edgefield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3800738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Jefferson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901106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Junction City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901029</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Lithonia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900023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302</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Maylene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100634</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Morgan County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901126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Newton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900899</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O'Neal Plant  Co 19</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103076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Paulding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901107</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Perry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801083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Red Oak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900069</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Ruby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900074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Six Mile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901144</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w w:val="93"/>
              </w:rPr>
              <w:t>St. Marys Sand Company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901199</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Tyrone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900306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Vance Quarry  Co 19</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0103022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Warrenton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900580</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Alden Portable Plant #2</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1302033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Alden Portable Sand</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1302037</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Alden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1300228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20"/>
                <w:szCs w:val="20"/>
                <w:color w:val="auto"/>
              </w:rPr>
              <w:t>Ames Mine</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1300014</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82"/>
              <w:spacing w:after="0"/>
              <w:rPr>
                <w:sz w:val="20"/>
                <w:szCs w:val="20"/>
                <w:color w:val="auto"/>
              </w:rPr>
            </w:pPr>
            <w:r>
              <w:rPr>
                <w:rFonts w:ascii="Arial" w:cs="Arial" w:eastAsia="Arial" w:hAnsi="Arial"/>
                <w:sz w:val="20"/>
                <w:szCs w:val="20"/>
                <w:color w:val="auto"/>
              </w:rPr>
              <w:t>777</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2</w:t>
            </w:r>
          </w:p>
        </w:tc>
        <w:tc>
          <w:tcPr>
            <w:tcW w:w="420" w:type="dxa"/>
            <w:vAlign w:val="bottom"/>
          </w:tcPr>
          <w:p>
            <w:pPr>
              <w:jc w:val="right"/>
              <w:spacing w:after="0"/>
              <w:rPr>
                <w:sz w:val="20"/>
                <w:szCs w:val="20"/>
                <w:color w:val="auto"/>
              </w:rPr>
            </w:pPr>
            <w:r>
              <w:rPr>
                <w:rFonts w:ascii="Arial" w:cs="Arial" w:eastAsia="Arial" w:hAnsi="Arial"/>
                <w:sz w:val="20"/>
                <w:szCs w:val="20"/>
                <w:color w:val="auto"/>
              </w:rPr>
              <w:t>2</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Cedar Rapids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1300122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59"/>
        </w:trPr>
        <w:tc>
          <w:tcPr>
            <w:tcW w:w="2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51"/>
        </w:trPr>
        <w:tc>
          <w:tcPr>
            <w:tcW w:w="1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r>
      <w:tr>
        <w:trPr>
          <w:trHeight w:val="466"/>
        </w:trPr>
        <w:tc>
          <w:tcPr>
            <w:tcW w:w="2160" w:type="dxa"/>
            <w:vAlign w:val="bottom"/>
            <w:gridSpan w:val="2"/>
          </w:tcPr>
          <w:p>
            <w:pPr>
              <w:spacing w:after="0"/>
              <w:rPr>
                <w:sz w:val="20"/>
                <w:szCs w:val="20"/>
                <w:color w:val="auto"/>
              </w:rPr>
            </w:pPr>
            <w:r>
              <w:rPr>
                <w:rFonts w:ascii="Arial" w:cs="Arial" w:eastAsia="Arial" w:hAnsi="Arial"/>
                <w:sz w:val="20"/>
                <w:szCs w:val="20"/>
                <w:color w:val="auto"/>
              </w:rPr>
              <w:t>Des Moines Portable</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1300150</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2"/>
        </w:trPr>
        <w:tc>
          <w:tcPr>
            <w:tcW w:w="1260" w:type="dxa"/>
            <w:vAlign w:val="bottom"/>
            <w:shd w:val="clear" w:color="auto" w:fill="CFF0FC"/>
          </w:tcPr>
          <w:p>
            <w:pPr>
              <w:spacing w:after="0"/>
              <w:rPr>
                <w:sz w:val="20"/>
                <w:szCs w:val="20"/>
                <w:color w:val="auto"/>
              </w:rPr>
            </w:pPr>
            <w:r>
              <w:rPr>
                <w:rFonts w:ascii="Arial" w:cs="Arial" w:eastAsia="Arial" w:hAnsi="Arial"/>
                <w:sz w:val="20"/>
                <w:szCs w:val="20"/>
                <w:color w:val="auto"/>
                <w:w w:val="96"/>
              </w:rPr>
              <w:t>Dubois Quarry</w:t>
            </w:r>
          </w:p>
        </w:tc>
        <w:tc>
          <w:tcPr>
            <w:tcW w:w="9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2501046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tcPr>
          <w:p>
            <w:pPr>
              <w:spacing w:after="0"/>
              <w:rPr>
                <w:sz w:val="20"/>
                <w:szCs w:val="20"/>
                <w:color w:val="auto"/>
              </w:rPr>
            </w:pPr>
            <w:r>
              <w:rPr>
                <w:rFonts w:ascii="Arial" w:cs="Arial" w:eastAsia="Arial" w:hAnsi="Arial"/>
                <w:sz w:val="20"/>
                <w:szCs w:val="20"/>
                <w:color w:val="auto"/>
              </w:rPr>
              <w:t>Durham Mine</w:t>
            </w:r>
          </w:p>
        </w:tc>
        <w:tc>
          <w:tcPr>
            <w:tcW w:w="900" w:type="dxa"/>
            <w:vAlign w:val="bottom"/>
          </w:tcPr>
          <w:p>
            <w:pPr>
              <w:spacing w:after="0"/>
              <w:rPr>
                <w:sz w:val="21"/>
                <w:szCs w:val="21"/>
                <w:color w:val="auto"/>
              </w:rPr>
            </w:pP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1301225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82"/>
              <w:spacing w:after="0"/>
              <w:rPr>
                <w:sz w:val="20"/>
                <w:szCs w:val="20"/>
                <w:color w:val="auto"/>
              </w:rPr>
            </w:pPr>
            <w:r>
              <w:rPr>
                <w:rFonts w:ascii="Arial" w:cs="Arial" w:eastAsia="Arial" w:hAnsi="Arial"/>
                <w:sz w:val="20"/>
                <w:szCs w:val="20"/>
                <w:color w:val="auto"/>
              </w:rPr>
              <w:t>363</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Earlham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1302123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242</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Arial" w:cs="Arial" w:eastAsia="Arial" w:hAnsi="Arial"/>
                <w:sz w:val="20"/>
                <w:szCs w:val="20"/>
                <w:color w:val="auto"/>
              </w:rPr>
              <w:t>Ferguson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1300124</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Fort Calhoun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2500006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Arial" w:cs="Arial" w:eastAsia="Arial" w:hAnsi="Arial"/>
                <w:sz w:val="20"/>
                <w:szCs w:val="20"/>
                <w:color w:val="auto"/>
              </w:rPr>
              <w:t>Fort Calhoun UG</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2501300</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Fort Dodge Mine</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1300032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Arial" w:cs="Arial" w:eastAsia="Arial" w:hAnsi="Arial"/>
                <w:sz w:val="20"/>
                <w:szCs w:val="20"/>
                <w:color w:val="auto"/>
                <w:w w:val="96"/>
              </w:rPr>
              <w:t>Greenwood Quarry  New</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2300141</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shd w:val="clear" w:color="auto" w:fill="CFF0FC"/>
          </w:tcPr>
          <w:p>
            <w:pPr>
              <w:spacing w:after="0"/>
              <w:rPr>
                <w:sz w:val="20"/>
                <w:szCs w:val="20"/>
                <w:color w:val="auto"/>
              </w:rPr>
            </w:pPr>
            <w:r>
              <w:rPr>
                <w:rFonts w:ascii="Arial" w:cs="Arial" w:eastAsia="Arial" w:hAnsi="Arial"/>
                <w:sz w:val="20"/>
                <w:szCs w:val="20"/>
                <w:color w:val="auto"/>
                <w:w w:val="91"/>
              </w:rPr>
              <w:t>Iowa Grading 2</w:t>
            </w:r>
          </w:p>
        </w:tc>
        <w:tc>
          <w:tcPr>
            <w:tcW w:w="9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1302316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Arial" w:cs="Arial" w:eastAsia="Arial" w:hAnsi="Arial"/>
                <w:sz w:val="20"/>
                <w:szCs w:val="20"/>
                <w:color w:val="auto"/>
              </w:rPr>
              <w:t>Linn County Sand</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1302208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shd w:val="clear" w:color="auto" w:fill="CFF0FC"/>
          </w:tcPr>
          <w:p>
            <w:pPr>
              <w:spacing w:after="0"/>
              <w:rPr>
                <w:sz w:val="20"/>
                <w:szCs w:val="20"/>
                <w:color w:val="auto"/>
              </w:rPr>
            </w:pPr>
            <w:r>
              <w:rPr>
                <w:rFonts w:ascii="Arial" w:cs="Arial" w:eastAsia="Arial" w:hAnsi="Arial"/>
                <w:sz w:val="20"/>
                <w:szCs w:val="20"/>
                <w:color w:val="auto"/>
              </w:rPr>
              <w:t>Malcom Mine</w:t>
            </w:r>
          </w:p>
        </w:tc>
        <w:tc>
          <w:tcPr>
            <w:tcW w:w="9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1300112</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Arial" w:cs="Arial" w:eastAsia="Arial" w:hAnsi="Arial"/>
                <w:sz w:val="20"/>
                <w:szCs w:val="20"/>
                <w:color w:val="auto"/>
              </w:rPr>
              <w:t>Marshalltown Sand</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1300718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Midwest Division OH</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A2354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tcPr>
          <w:p>
            <w:pPr>
              <w:spacing w:after="0"/>
              <w:rPr>
                <w:sz w:val="20"/>
                <w:szCs w:val="20"/>
                <w:color w:val="auto"/>
              </w:rPr>
            </w:pPr>
            <w:r>
              <w:rPr>
                <w:rFonts w:ascii="Arial" w:cs="Arial" w:eastAsia="Arial" w:hAnsi="Arial"/>
                <w:sz w:val="20"/>
                <w:szCs w:val="20"/>
                <w:color w:val="auto"/>
              </w:rPr>
              <w:t>Moore Quarry</w:t>
            </w:r>
          </w:p>
        </w:tc>
        <w:tc>
          <w:tcPr>
            <w:tcW w:w="900" w:type="dxa"/>
            <w:vAlign w:val="bottom"/>
          </w:tcPr>
          <w:p>
            <w:pPr>
              <w:spacing w:after="0"/>
              <w:rPr>
                <w:sz w:val="21"/>
                <w:szCs w:val="21"/>
                <w:color w:val="auto"/>
              </w:rPr>
            </w:pP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1302188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82"/>
              <w:spacing w:after="0"/>
              <w:rPr>
                <w:sz w:val="20"/>
                <w:szCs w:val="20"/>
                <w:color w:val="auto"/>
              </w:rPr>
            </w:pPr>
            <w:r>
              <w:rPr>
                <w:rFonts w:ascii="Arial" w:cs="Arial" w:eastAsia="Arial" w:hAnsi="Arial"/>
                <w:sz w:val="20"/>
                <w:szCs w:val="20"/>
                <w:color w:val="auto"/>
              </w:rPr>
              <w:t>610</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New Harvey Sand</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1301778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Arial" w:cs="Arial" w:eastAsia="Arial" w:hAnsi="Arial"/>
                <w:sz w:val="20"/>
                <w:szCs w:val="20"/>
                <w:color w:val="auto"/>
              </w:rPr>
              <w:t>North Valley Sand</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2501271</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shd w:val="clear" w:color="auto" w:fill="CFF0FC"/>
          </w:tcPr>
          <w:p>
            <w:pPr>
              <w:spacing w:after="0"/>
              <w:rPr>
                <w:sz w:val="20"/>
                <w:szCs w:val="20"/>
                <w:color w:val="auto"/>
              </w:rPr>
            </w:pPr>
            <w:r>
              <w:rPr>
                <w:rFonts w:ascii="Arial" w:cs="Arial" w:eastAsia="Arial" w:hAnsi="Arial"/>
                <w:sz w:val="20"/>
                <w:szCs w:val="20"/>
                <w:color w:val="auto"/>
                <w:w w:val="95"/>
              </w:rPr>
              <w:t>Ottawa Quarry</w:t>
            </w:r>
          </w:p>
        </w:tc>
        <w:tc>
          <w:tcPr>
            <w:tcW w:w="900" w:type="dxa"/>
            <w:vAlign w:val="bottom"/>
            <w:shd w:val="clear" w:color="auto" w:fill="CFF0FC"/>
          </w:tcPr>
          <w:p>
            <w:pPr>
              <w:jc w:val="center"/>
              <w:ind w:right="302"/>
              <w:spacing w:after="0"/>
              <w:rPr>
                <w:sz w:val="20"/>
                <w:szCs w:val="20"/>
                <w:color w:val="auto"/>
              </w:rPr>
            </w:pPr>
            <w:r>
              <w:rPr>
                <w:rFonts w:ascii="Arial" w:cs="Arial" w:eastAsia="Arial" w:hAnsi="Arial"/>
                <w:sz w:val="20"/>
                <w:szCs w:val="20"/>
                <w:color w:val="auto"/>
                <w:w w:val="94"/>
              </w:rPr>
              <w:t>New</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1401590</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tcPr>
          <w:p>
            <w:pPr>
              <w:spacing w:after="0"/>
              <w:rPr>
                <w:sz w:val="20"/>
                <w:szCs w:val="20"/>
                <w:color w:val="auto"/>
              </w:rPr>
            </w:pPr>
            <w:r>
              <w:rPr>
                <w:rFonts w:ascii="Arial" w:cs="Arial" w:eastAsia="Arial" w:hAnsi="Arial"/>
                <w:sz w:val="20"/>
                <w:szCs w:val="20"/>
                <w:color w:val="auto"/>
                <w:w w:val="98"/>
              </w:rPr>
              <w:t>Pacific Quarry</w:t>
            </w:r>
          </w:p>
        </w:tc>
        <w:tc>
          <w:tcPr>
            <w:tcW w:w="900" w:type="dxa"/>
            <w:vAlign w:val="bottom"/>
          </w:tcPr>
          <w:p>
            <w:pPr>
              <w:spacing w:after="0"/>
              <w:rPr>
                <w:sz w:val="21"/>
                <w:szCs w:val="21"/>
                <w:color w:val="auto"/>
              </w:rPr>
            </w:pP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4500844</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shd w:val="clear" w:color="auto" w:fill="CFF0FC"/>
          </w:tcPr>
          <w:p>
            <w:pPr>
              <w:spacing w:after="0"/>
              <w:rPr>
                <w:sz w:val="20"/>
                <w:szCs w:val="20"/>
                <w:color w:val="auto"/>
              </w:rPr>
            </w:pPr>
            <w:r>
              <w:rPr>
                <w:rFonts w:ascii="Arial" w:cs="Arial" w:eastAsia="Arial" w:hAnsi="Arial"/>
                <w:sz w:val="20"/>
                <w:szCs w:val="20"/>
                <w:color w:val="auto"/>
                <w:w w:val="99"/>
              </w:rPr>
              <w:t>Parkville Mine</w:t>
            </w:r>
          </w:p>
        </w:tc>
        <w:tc>
          <w:tcPr>
            <w:tcW w:w="900" w:type="dxa"/>
            <w:vAlign w:val="bottom"/>
            <w:shd w:val="clear" w:color="auto" w:fill="CFF0FC"/>
          </w:tcPr>
          <w:p>
            <w:pPr>
              <w:jc w:val="center"/>
              <w:ind w:right="282"/>
              <w:spacing w:after="0"/>
              <w:rPr>
                <w:sz w:val="20"/>
                <w:szCs w:val="20"/>
                <w:color w:val="auto"/>
              </w:rPr>
            </w:pPr>
            <w:r>
              <w:rPr>
                <w:rFonts w:ascii="Arial" w:cs="Arial" w:eastAsia="Arial" w:hAnsi="Arial"/>
                <w:sz w:val="20"/>
                <w:szCs w:val="20"/>
                <w:color w:val="auto"/>
                <w:w w:val="89"/>
              </w:rPr>
              <w:t>New</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2301883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Arial" w:cs="Arial" w:eastAsia="Arial" w:hAnsi="Arial"/>
                <w:sz w:val="20"/>
                <w:szCs w:val="20"/>
                <w:color w:val="auto"/>
              </w:rPr>
              <w:t>Pedersen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1302192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shd w:val="clear" w:color="auto" w:fill="CFF0FC"/>
          </w:tcPr>
          <w:p>
            <w:pPr>
              <w:spacing w:after="0"/>
              <w:rPr>
                <w:sz w:val="20"/>
                <w:szCs w:val="20"/>
                <w:color w:val="auto"/>
              </w:rPr>
            </w:pPr>
            <w:r>
              <w:rPr>
                <w:rFonts w:ascii="Arial" w:cs="Arial" w:eastAsia="Arial" w:hAnsi="Arial"/>
                <w:sz w:val="20"/>
                <w:szCs w:val="20"/>
                <w:color w:val="auto"/>
              </w:rPr>
              <w:t>Plant 854</w:t>
            </w:r>
          </w:p>
        </w:tc>
        <w:tc>
          <w:tcPr>
            <w:tcW w:w="9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1302126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Arial" w:cs="Arial" w:eastAsia="Arial" w:hAnsi="Arial"/>
                <w:sz w:val="20"/>
                <w:szCs w:val="20"/>
                <w:color w:val="auto"/>
              </w:rPr>
              <w:t>Portland Quarry</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1302122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Raccoon River Sand</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1302315</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Arial" w:cs="Arial" w:eastAsia="Arial" w:hAnsi="Arial"/>
                <w:sz w:val="20"/>
                <w:szCs w:val="20"/>
                <w:color w:val="auto"/>
              </w:rPr>
              <w:t>Randolph Deep Mine</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2302308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82"/>
              <w:spacing w:after="0"/>
              <w:rPr>
                <w:sz w:val="20"/>
                <w:szCs w:val="20"/>
                <w:color w:val="auto"/>
              </w:rPr>
            </w:pPr>
            <w:r>
              <w:rPr>
                <w:rFonts w:ascii="Arial" w:cs="Arial" w:eastAsia="Arial" w:hAnsi="Arial"/>
                <w:sz w:val="20"/>
                <w:szCs w:val="20"/>
                <w:color w:val="auto"/>
              </w:rPr>
              <w:t>363</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shd w:val="clear" w:color="auto" w:fill="CFF0FC"/>
          </w:tcPr>
          <w:p>
            <w:pPr>
              <w:spacing w:after="0"/>
              <w:rPr>
                <w:sz w:val="20"/>
                <w:szCs w:val="20"/>
                <w:color w:val="auto"/>
              </w:rPr>
            </w:pPr>
            <w:r>
              <w:rPr>
                <w:rFonts w:ascii="Arial" w:cs="Arial" w:eastAsia="Arial" w:hAnsi="Arial"/>
                <w:sz w:val="20"/>
                <w:szCs w:val="20"/>
                <w:color w:val="auto"/>
                <w:w w:val="96"/>
              </w:rPr>
              <w:t>Reasnor Sand</w:t>
            </w:r>
          </w:p>
        </w:tc>
        <w:tc>
          <w:tcPr>
            <w:tcW w:w="9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1300814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Arial" w:cs="Arial" w:eastAsia="Arial" w:hAnsi="Arial"/>
                <w:sz w:val="20"/>
                <w:szCs w:val="20"/>
                <w:color w:val="auto"/>
              </w:rPr>
              <w:t>Saylorville Sand</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1302290</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St Cloud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2100081</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tcPr>
          <w:p>
            <w:pPr>
              <w:spacing w:after="0"/>
              <w:rPr>
                <w:sz w:val="20"/>
                <w:szCs w:val="20"/>
                <w:color w:val="auto"/>
              </w:rPr>
            </w:pPr>
            <w:r>
              <w:rPr>
                <w:rFonts w:ascii="Arial" w:cs="Arial" w:eastAsia="Arial" w:hAnsi="Arial"/>
                <w:sz w:val="20"/>
                <w:szCs w:val="20"/>
                <w:color w:val="auto"/>
                <w:w w:val="99"/>
              </w:rPr>
              <w:t>Stamper Mine</w:t>
            </w:r>
          </w:p>
        </w:tc>
        <w:tc>
          <w:tcPr>
            <w:tcW w:w="900" w:type="dxa"/>
            <w:vAlign w:val="bottom"/>
          </w:tcPr>
          <w:p>
            <w:pPr>
              <w:spacing w:after="0"/>
              <w:rPr>
                <w:sz w:val="21"/>
                <w:szCs w:val="21"/>
                <w:color w:val="auto"/>
              </w:rPr>
            </w:pP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2302232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82"/>
              <w:spacing w:after="0"/>
              <w:rPr>
                <w:sz w:val="20"/>
                <w:szCs w:val="20"/>
                <w:color w:val="auto"/>
              </w:rPr>
            </w:pPr>
            <w:r>
              <w:rPr>
                <w:rFonts w:ascii="Arial" w:cs="Arial" w:eastAsia="Arial" w:hAnsi="Arial"/>
                <w:sz w:val="20"/>
                <w:szCs w:val="20"/>
                <w:color w:val="auto"/>
              </w:rPr>
              <w:t>121</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shd w:val="clear" w:color="auto" w:fill="CFF0FC"/>
          </w:tcPr>
          <w:p>
            <w:pPr>
              <w:spacing w:after="0"/>
              <w:rPr>
                <w:sz w:val="20"/>
                <w:szCs w:val="20"/>
                <w:color w:val="auto"/>
              </w:rPr>
            </w:pPr>
            <w:r>
              <w:rPr>
                <w:rFonts w:ascii="Arial" w:cs="Arial" w:eastAsia="Arial" w:hAnsi="Arial"/>
                <w:sz w:val="20"/>
                <w:szCs w:val="20"/>
                <w:color w:val="auto"/>
              </w:rPr>
              <w:t>Sully Mine</w:t>
            </w:r>
          </w:p>
        </w:tc>
        <w:tc>
          <w:tcPr>
            <w:tcW w:w="9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1300063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1260" w:type="dxa"/>
            <w:vAlign w:val="bottom"/>
          </w:tcPr>
          <w:p>
            <w:pPr>
              <w:spacing w:after="0"/>
              <w:rPr>
                <w:sz w:val="20"/>
                <w:szCs w:val="20"/>
                <w:color w:val="auto"/>
              </w:rPr>
            </w:pPr>
            <w:r>
              <w:rPr>
                <w:rFonts w:ascii="Arial" w:cs="Arial" w:eastAsia="Arial" w:hAnsi="Arial"/>
                <w:sz w:val="20"/>
                <w:szCs w:val="20"/>
                <w:color w:val="auto"/>
              </w:rPr>
              <w:t>Sunflower Qy</w:t>
            </w:r>
          </w:p>
        </w:tc>
        <w:tc>
          <w:tcPr>
            <w:tcW w:w="900" w:type="dxa"/>
            <w:vAlign w:val="bottom"/>
          </w:tcPr>
          <w:p>
            <w:pPr>
              <w:jc w:val="center"/>
              <w:ind w:right="322"/>
              <w:spacing w:after="0"/>
              <w:rPr>
                <w:sz w:val="20"/>
                <w:szCs w:val="20"/>
                <w:color w:val="auto"/>
              </w:rPr>
            </w:pPr>
            <w:r>
              <w:rPr>
                <w:rFonts w:ascii="Arial" w:cs="Arial" w:eastAsia="Arial" w:hAnsi="Arial"/>
                <w:sz w:val="20"/>
                <w:szCs w:val="20"/>
                <w:color w:val="auto"/>
                <w:w w:val="89"/>
              </w:rPr>
              <w:t>Co 61</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1401556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82"/>
              <w:spacing w:after="0"/>
              <w:rPr>
                <w:sz w:val="20"/>
                <w:szCs w:val="20"/>
                <w:color w:val="auto"/>
              </w:rPr>
            </w:pPr>
            <w:r>
              <w:rPr>
                <w:rFonts w:ascii="Arial" w:cs="Arial" w:eastAsia="Arial" w:hAnsi="Arial"/>
                <w:sz w:val="20"/>
                <w:szCs w:val="20"/>
                <w:color w:val="auto"/>
              </w:rPr>
              <w:t>121</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Weeping Water Mine</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2500998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tcPr>
          <w:p>
            <w:pPr>
              <w:spacing w:after="0"/>
              <w:rPr>
                <w:sz w:val="20"/>
                <w:szCs w:val="20"/>
                <w:color w:val="auto"/>
              </w:rPr>
            </w:pPr>
            <w:r>
              <w:rPr>
                <w:rFonts w:ascii="Arial" w:cs="Arial" w:eastAsia="Arial" w:hAnsi="Arial"/>
                <w:sz w:val="20"/>
                <w:szCs w:val="20"/>
                <w:color w:val="auto"/>
              </w:rPr>
              <w:t>West Center Sand</w:t>
            </w:r>
          </w:p>
        </w:tc>
        <w:tc>
          <w:tcPr>
            <w:tcW w:w="960" w:type="dxa"/>
            <w:vAlign w:val="bottom"/>
          </w:tcPr>
          <w:p>
            <w:pPr>
              <w:jc w:val="right"/>
              <w:ind w:right="62"/>
              <w:spacing w:after="0"/>
              <w:rPr>
                <w:sz w:val="20"/>
                <w:szCs w:val="20"/>
                <w:color w:val="auto"/>
              </w:rPr>
            </w:pPr>
            <w:r>
              <w:rPr>
                <w:rFonts w:ascii="Arial" w:cs="Arial" w:eastAsia="Arial" w:hAnsi="Arial"/>
                <w:sz w:val="20"/>
                <w:szCs w:val="20"/>
                <w:color w:val="auto"/>
              </w:rPr>
              <w:t>2501231</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1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Yellow Medicine Quarry</w:t>
            </w:r>
          </w:p>
        </w:tc>
        <w:tc>
          <w:tcPr>
            <w:tcW w:w="9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2100033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59"/>
        </w:trPr>
        <w:tc>
          <w:tcPr>
            <w:tcW w:w="1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51"/>
        </w:trPr>
        <w:tc>
          <w:tcPr>
            <w:tcW w:w="2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r>
      <w:tr>
        <w:trPr>
          <w:trHeight w:val="466"/>
        </w:trPr>
        <w:tc>
          <w:tcPr>
            <w:tcW w:w="2080" w:type="dxa"/>
            <w:vAlign w:val="bottom"/>
          </w:tcPr>
          <w:p>
            <w:pPr>
              <w:spacing w:after="0"/>
              <w:rPr>
                <w:sz w:val="20"/>
                <w:szCs w:val="20"/>
                <w:color w:val="auto"/>
              </w:rPr>
            </w:pPr>
            <w:r>
              <w:rPr>
                <w:rFonts w:ascii="Arial" w:cs="Arial" w:eastAsia="Arial" w:hAnsi="Arial"/>
                <w:sz w:val="20"/>
                <w:szCs w:val="20"/>
                <w:color w:val="auto"/>
              </w:rPr>
              <w:t>Beckmann Quarry</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4101335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w w:val="87"/>
              </w:rPr>
              <w:t>7,064</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4"/>
                <w:szCs w:val="24"/>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Bedrock Sand Gravel</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4103283</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Bells Savoy SG</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4104019</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Black Rock Quarry</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300011</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Black Spur Quarry</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4104159</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Blake Quarry</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1401584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Bridgeport Stone</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4100007</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Broken Bow SG</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3400460</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Chico Quarry</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4103360</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82"/>
              <w:spacing w:after="0"/>
              <w:rPr>
                <w:sz w:val="20"/>
                <w:szCs w:val="20"/>
                <w:color w:val="auto"/>
              </w:rPr>
            </w:pPr>
            <w:r>
              <w:rPr>
                <w:rFonts w:ascii="Arial" w:cs="Arial" w:eastAsia="Arial" w:hAnsi="Arial"/>
                <w:sz w:val="20"/>
                <w:szCs w:val="20"/>
                <w:color w:val="auto"/>
              </w:rPr>
              <w:t>335</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Davis Quarry</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3401299</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Garfield SG</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4103909</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Garwood Gravel</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4102886</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543</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GMS  TXI</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C335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Hatton Quarry</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301614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Helotes</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4103137</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Highway 211 Quarry</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4103829</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Hondo</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4104708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Hondo West</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4104090</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Hugo Quarry</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3400061</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Hunter Stone</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4105230</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Idabel Quarry</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3400507</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Jena Aggregates</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1601298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Jones Mill Quarry</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301586</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Koontz McCombs Pit</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4105048</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Medina Rock Rail</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4105170</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w w:val="87"/>
              </w:rPr>
              <w:t>5,229</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Mill Creek Limestone</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3401859</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Mill Creek Quarry</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3401285</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Perryville Aggregates</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1601417</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Poteet Sand</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4101342</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Rio Medina</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4103594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San Pedro Quarry</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4101337</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Sawyer Quarry</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3401634</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tcPr>
          <w:p>
            <w:pPr>
              <w:spacing w:after="0"/>
              <w:rPr>
                <w:sz w:val="20"/>
                <w:szCs w:val="20"/>
                <w:color w:val="auto"/>
              </w:rPr>
            </w:pPr>
            <w:r>
              <w:rPr>
                <w:rFonts w:ascii="Arial" w:cs="Arial" w:eastAsia="Arial" w:hAnsi="Arial"/>
                <w:sz w:val="20"/>
                <w:szCs w:val="20"/>
                <w:color w:val="auto"/>
                <w:w w:val="98"/>
              </w:rPr>
              <w:t>Smithson Valley Quarry</w:t>
            </w:r>
          </w:p>
        </w:tc>
        <w:tc>
          <w:tcPr>
            <w:tcW w:w="1020" w:type="dxa"/>
            <w:vAlign w:val="bottom"/>
          </w:tcPr>
          <w:p>
            <w:pPr>
              <w:jc w:val="right"/>
              <w:ind w:right="62"/>
              <w:spacing w:after="0"/>
              <w:rPr>
                <w:sz w:val="20"/>
                <w:szCs w:val="20"/>
                <w:color w:val="auto"/>
              </w:rPr>
            </w:pPr>
            <w:r>
              <w:rPr>
                <w:rFonts w:ascii="Arial" w:cs="Arial" w:eastAsia="Arial" w:hAnsi="Arial"/>
                <w:sz w:val="20"/>
                <w:szCs w:val="20"/>
                <w:color w:val="auto"/>
              </w:rPr>
              <w:t>4104108</w:t>
            </w:r>
          </w:p>
        </w:tc>
        <w:tc>
          <w:tcPr>
            <w:tcW w:w="5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2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2"/>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Snyder Quarry</w:t>
            </w: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3401651</w:t>
            </w:r>
          </w:p>
        </w:tc>
        <w:tc>
          <w:tcPr>
            <w:tcW w:w="5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2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59"/>
        </w:trPr>
        <w:tc>
          <w:tcPr>
            <w:tcW w:w="20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51"/>
        </w:trPr>
        <w:tc>
          <w:tcPr>
            <w:tcW w:w="2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2"/>
          </w:tcPr>
          <w:p>
            <w:pPr>
              <w:ind w:left="440"/>
              <w:spacing w:after="0"/>
              <w:rPr>
                <w:sz w:val="20"/>
                <w:szCs w:val="20"/>
                <w:color w:val="auto"/>
              </w:rPr>
            </w:pPr>
            <w:r>
              <w:rPr>
                <w:rFonts w:ascii="Arial" w:cs="Arial" w:eastAsia="Arial" w:hAnsi="Arial"/>
                <w:sz w:val="20"/>
                <w:szCs w:val="20"/>
                <w:color w:val="auto"/>
                <w:w w:val="89"/>
              </w:rPr>
              <w:t>Appendix 1</w:t>
            </w:r>
          </w:p>
        </w:tc>
      </w:tr>
      <w:tr>
        <w:trPr>
          <w:trHeight w:val="466"/>
        </w:trPr>
        <w:tc>
          <w:tcPr>
            <w:tcW w:w="2180" w:type="dxa"/>
            <w:vAlign w:val="bottom"/>
          </w:tcPr>
          <w:p>
            <w:pPr>
              <w:spacing w:after="0"/>
              <w:rPr>
                <w:sz w:val="20"/>
                <w:szCs w:val="20"/>
                <w:color w:val="auto"/>
              </w:rPr>
            </w:pPr>
            <w:r>
              <w:rPr>
                <w:rFonts w:ascii="Arial" w:cs="Arial" w:eastAsia="Arial" w:hAnsi="Arial"/>
                <w:sz w:val="20"/>
                <w:szCs w:val="20"/>
                <w:color w:val="auto"/>
              </w:rPr>
              <w:t>South Texas Port #2</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4104204</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2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Tin Top SG</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4102852</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12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tcPr>
          <w:p>
            <w:pPr>
              <w:spacing w:after="0"/>
              <w:rPr>
                <w:sz w:val="20"/>
                <w:szCs w:val="20"/>
                <w:color w:val="auto"/>
              </w:rPr>
            </w:pPr>
            <w:r>
              <w:rPr>
                <w:rFonts w:ascii="Arial" w:cs="Arial" w:eastAsia="Arial" w:hAnsi="Arial"/>
                <w:sz w:val="20"/>
                <w:szCs w:val="20"/>
                <w:color w:val="auto"/>
              </w:rPr>
              <w:t>Washita Quarry</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3402049</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2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Webberville</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4104363</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1</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12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tcPr>
          <w:p>
            <w:pPr>
              <w:spacing w:after="0"/>
              <w:rPr>
                <w:sz w:val="20"/>
                <w:szCs w:val="20"/>
                <w:color w:val="auto"/>
              </w:rPr>
            </w:pPr>
            <w:r>
              <w:rPr>
                <w:rFonts w:ascii="Arial" w:cs="Arial" w:eastAsia="Arial" w:hAnsi="Arial"/>
                <w:sz w:val="20"/>
                <w:szCs w:val="20"/>
                <w:color w:val="auto"/>
              </w:rPr>
              <w:t>Woodworth Aggregates</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1601070</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2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w w:val="96"/>
              </w:rPr>
              <w:t>Cottonwood Sand Gravel</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504418</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12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tcPr>
          <w:p>
            <w:pPr>
              <w:spacing w:after="0"/>
              <w:rPr>
                <w:sz w:val="20"/>
                <w:szCs w:val="20"/>
                <w:color w:val="auto"/>
              </w:rPr>
            </w:pPr>
            <w:r>
              <w:rPr>
                <w:rFonts w:ascii="Arial" w:cs="Arial" w:eastAsia="Arial" w:hAnsi="Arial"/>
                <w:sz w:val="20"/>
                <w:szCs w:val="20"/>
                <w:color w:val="auto"/>
              </w:rPr>
              <w:t>Fountain Sand Gravel</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503821</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2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Granite Canyon Quarry</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4800018</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12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tcPr>
          <w:p>
            <w:pPr>
              <w:spacing w:after="0"/>
              <w:rPr>
                <w:sz w:val="20"/>
                <w:szCs w:val="20"/>
                <w:color w:val="auto"/>
              </w:rPr>
            </w:pPr>
            <w:r>
              <w:rPr>
                <w:rFonts w:ascii="Arial" w:cs="Arial" w:eastAsia="Arial" w:hAnsi="Arial"/>
                <w:sz w:val="20"/>
                <w:szCs w:val="20"/>
                <w:color w:val="auto"/>
              </w:rPr>
              <w:t>Greeley 35th Ready Mix</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503215</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w w:val="93"/>
              </w:rPr>
              <w:t>Greeley 35th Sand Gravel</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504613</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tcPr>
          <w:p>
            <w:pPr>
              <w:spacing w:after="0"/>
              <w:rPr>
                <w:sz w:val="20"/>
                <w:szCs w:val="20"/>
                <w:color w:val="auto"/>
              </w:rPr>
            </w:pPr>
            <w:r>
              <w:rPr>
                <w:rFonts w:ascii="Arial" w:cs="Arial" w:eastAsia="Arial" w:hAnsi="Arial"/>
                <w:sz w:val="20"/>
                <w:szCs w:val="20"/>
                <w:color w:val="auto"/>
              </w:rPr>
              <w:t>Guernsey Quarry</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4800004</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Milford Quarry  Utah</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4202177</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tcPr>
          <w:p>
            <w:pPr>
              <w:spacing w:after="0"/>
              <w:rPr>
                <w:sz w:val="20"/>
                <w:szCs w:val="20"/>
                <w:color w:val="auto"/>
              </w:rPr>
            </w:pPr>
            <w:r>
              <w:rPr>
                <w:rFonts w:ascii="Arial" w:cs="Arial" w:eastAsia="Arial" w:hAnsi="Arial"/>
                <w:sz w:val="20"/>
                <w:szCs w:val="20"/>
                <w:color w:val="auto"/>
              </w:rPr>
              <w:t>Parkdale Quarry</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504635</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Parsons Sand Gravel</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504382</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tcPr>
          <w:p>
            <w:pPr>
              <w:spacing w:after="0"/>
              <w:rPr>
                <w:sz w:val="20"/>
                <w:szCs w:val="20"/>
                <w:color w:val="auto"/>
              </w:rPr>
            </w:pPr>
            <w:r>
              <w:rPr>
                <w:rFonts w:ascii="Arial" w:cs="Arial" w:eastAsia="Arial" w:hAnsi="Arial"/>
                <w:sz w:val="20"/>
                <w:szCs w:val="20"/>
                <w:color w:val="auto"/>
              </w:rPr>
              <w:t>PC Portable Plant 4</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4801565</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w w:val="93"/>
              </w:rPr>
              <w:t>Penrose Sand and Gravel</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504509</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tcPr>
          <w:p>
            <w:pPr>
              <w:spacing w:after="0"/>
              <w:rPr>
                <w:sz w:val="20"/>
                <w:szCs w:val="20"/>
                <w:color w:val="auto"/>
              </w:rPr>
            </w:pPr>
            <w:r>
              <w:rPr>
                <w:rFonts w:ascii="Arial" w:cs="Arial" w:eastAsia="Arial" w:hAnsi="Arial"/>
                <w:sz w:val="20"/>
                <w:szCs w:val="20"/>
                <w:color w:val="auto"/>
              </w:rPr>
              <w:t>Portable Crushing</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503984</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Portable Plant 1</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504359</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tcPr>
          <w:p>
            <w:pPr>
              <w:spacing w:after="0"/>
              <w:rPr>
                <w:sz w:val="20"/>
                <w:szCs w:val="20"/>
                <w:color w:val="auto"/>
              </w:rPr>
            </w:pPr>
            <w:r>
              <w:rPr>
                <w:rFonts w:ascii="Arial" w:cs="Arial" w:eastAsia="Arial" w:hAnsi="Arial"/>
                <w:sz w:val="20"/>
                <w:szCs w:val="20"/>
                <w:color w:val="auto"/>
              </w:rPr>
              <w:t>Portable Plant 21</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504520</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Red Canyon Quarry</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504136</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tcPr>
          <w:p>
            <w:pPr>
              <w:spacing w:after="0"/>
              <w:rPr>
                <w:sz w:val="20"/>
                <w:szCs w:val="20"/>
                <w:color w:val="auto"/>
              </w:rPr>
            </w:pPr>
            <w:r>
              <w:rPr>
                <w:rFonts w:ascii="Arial" w:cs="Arial" w:eastAsia="Arial" w:hAnsi="Arial"/>
                <w:sz w:val="20"/>
                <w:szCs w:val="20"/>
                <w:color w:val="auto"/>
              </w:rPr>
              <w:t>Riverbend Sand Gravel</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504841</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5"/>
        </w:trPr>
        <w:tc>
          <w:tcPr>
            <w:tcW w:w="218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w w:val="88"/>
              </w:rPr>
              <w:t>Spanish Springs Quarry Co</w:t>
            </w: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45"/>
        </w:trPr>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2</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2600803</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2</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2</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tcPr>
          <w:p>
            <w:pPr>
              <w:spacing w:after="0"/>
              <w:rPr>
                <w:sz w:val="20"/>
                <w:szCs w:val="20"/>
                <w:color w:val="auto"/>
              </w:rPr>
            </w:pPr>
            <w:r>
              <w:rPr>
                <w:rFonts w:ascii="Arial" w:cs="Arial" w:eastAsia="Arial" w:hAnsi="Arial"/>
                <w:sz w:val="20"/>
                <w:szCs w:val="20"/>
                <w:color w:val="auto"/>
              </w:rPr>
              <w:t>Spec Agg Quarry</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500860</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Taft Sand Gravel</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504526</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tcPr>
          <w:p>
            <w:pPr>
              <w:spacing w:after="0"/>
              <w:rPr>
                <w:sz w:val="20"/>
                <w:szCs w:val="20"/>
                <w:color w:val="auto"/>
              </w:rPr>
            </w:pPr>
            <w:r>
              <w:rPr>
                <w:rFonts w:ascii="Arial" w:cs="Arial" w:eastAsia="Arial" w:hAnsi="Arial"/>
                <w:sz w:val="20"/>
                <w:szCs w:val="20"/>
                <w:color w:val="auto"/>
              </w:rPr>
              <w:t>Taft Shop</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504735</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Hunter Cement</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4102820</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2</w:t>
            </w:r>
          </w:p>
        </w:tc>
      </w:tr>
      <w:tr>
        <w:trPr>
          <w:trHeight w:val="242"/>
        </w:trPr>
        <w:tc>
          <w:tcPr>
            <w:tcW w:w="2180" w:type="dxa"/>
            <w:vAlign w:val="bottom"/>
          </w:tcPr>
          <w:p>
            <w:pPr>
              <w:spacing w:after="0"/>
              <w:rPr>
                <w:sz w:val="20"/>
                <w:szCs w:val="20"/>
                <w:color w:val="auto"/>
              </w:rPr>
            </w:pPr>
            <w:r>
              <w:rPr>
                <w:rFonts w:ascii="Arial" w:cs="Arial" w:eastAsia="Arial" w:hAnsi="Arial"/>
                <w:sz w:val="20"/>
                <w:szCs w:val="20"/>
                <w:color w:val="auto"/>
              </w:rPr>
              <w:t>Midlothian Cement</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4100071</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1</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2</w:t>
            </w:r>
          </w:p>
        </w:tc>
      </w:tr>
      <w:tr>
        <w:trPr>
          <w:trHeight w:val="242"/>
        </w:trPr>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w w:val="98"/>
              </w:rPr>
              <w:t>Geology and Exploration</w:t>
            </w:r>
          </w:p>
        </w:tc>
        <w:tc>
          <w:tcPr>
            <w:tcW w:w="86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w w:val="93"/>
              </w:rPr>
              <w:t>B7127</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tcPr>
          <w:p>
            <w:pPr>
              <w:spacing w:after="0"/>
              <w:rPr>
                <w:sz w:val="20"/>
                <w:szCs w:val="20"/>
                <w:color w:val="auto"/>
              </w:rPr>
            </w:pPr>
            <w:r>
              <w:rPr>
                <w:rFonts w:ascii="Arial" w:cs="Arial" w:eastAsia="Arial" w:hAnsi="Arial"/>
                <w:sz w:val="20"/>
                <w:szCs w:val="20"/>
                <w:color w:val="auto"/>
              </w:rPr>
              <w:t>Salisbury Shop</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3101235</w:t>
            </w:r>
          </w:p>
        </w:tc>
        <w:tc>
          <w:tcPr>
            <w:tcW w:w="600" w:type="dxa"/>
            <w:vAlign w:val="bottom"/>
          </w:tcPr>
          <w:p>
            <w:pPr>
              <w:jc w:val="center"/>
              <w:ind w:right="42"/>
              <w:spacing w:after="0"/>
              <w:rPr>
                <w:sz w:val="20"/>
                <w:szCs w:val="20"/>
                <w:color w:val="auto"/>
              </w:rPr>
            </w:pPr>
            <w:r>
              <w:rPr>
                <w:rFonts w:ascii="Arial" w:cs="Arial" w:eastAsia="Arial" w:hAnsi="Arial"/>
                <w:sz w:val="20"/>
                <w:szCs w:val="20"/>
                <w:color w:val="auto"/>
                <w:w w:val="89"/>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2"/>
        </w:trPr>
        <w:tc>
          <w:tcPr>
            <w:tcW w:w="2180" w:type="dxa"/>
            <w:vAlign w:val="bottom"/>
            <w:shd w:val="clear" w:color="auto" w:fill="CFF0FC"/>
          </w:tcPr>
          <w:p>
            <w:pPr>
              <w:spacing w:after="0"/>
              <w:rPr>
                <w:sz w:val="20"/>
                <w:szCs w:val="20"/>
                <w:color w:val="auto"/>
              </w:rPr>
            </w:pPr>
            <w:r>
              <w:rPr>
                <w:rFonts w:ascii="Arial" w:cs="Arial" w:eastAsia="Arial" w:hAnsi="Arial"/>
                <w:sz w:val="20"/>
                <w:szCs w:val="20"/>
                <w:color w:val="auto"/>
              </w:rPr>
              <w:t>Woodville  Stone</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3300156</w:t>
            </w:r>
          </w:p>
        </w:tc>
        <w:tc>
          <w:tcPr>
            <w:tcW w:w="600" w:type="dxa"/>
            <w:vAlign w:val="bottom"/>
            <w:shd w:val="clear" w:color="auto" w:fill="CFF0FC"/>
          </w:tcPr>
          <w:p>
            <w:pPr>
              <w:jc w:val="center"/>
              <w:ind w:right="42"/>
              <w:spacing w:after="0"/>
              <w:rPr>
                <w:sz w:val="20"/>
                <w:szCs w:val="20"/>
                <w:color w:val="auto"/>
              </w:rPr>
            </w:pPr>
            <w:r>
              <w:rPr>
                <w:rFonts w:ascii="Arial" w:cs="Arial" w:eastAsia="Arial" w:hAnsi="Arial"/>
                <w:sz w:val="20"/>
                <w:szCs w:val="20"/>
                <w:color w:val="auto"/>
                <w:w w:val="89"/>
              </w:rPr>
              <w:t>2</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r>
      <w:tr>
        <w:trPr>
          <w:trHeight w:val="255"/>
        </w:trPr>
        <w:tc>
          <w:tcPr>
            <w:tcW w:w="2180" w:type="dxa"/>
            <w:vAlign w:val="bottom"/>
          </w:tcPr>
          <w:p>
            <w:pPr>
              <w:spacing w:after="0"/>
              <w:rPr>
                <w:sz w:val="20"/>
                <w:szCs w:val="20"/>
                <w:color w:val="auto"/>
              </w:rPr>
            </w:pPr>
            <w:r>
              <w:rPr>
                <w:rFonts w:ascii="Arial" w:cs="Arial" w:eastAsia="Arial" w:hAnsi="Arial"/>
                <w:sz w:val="20"/>
                <w:szCs w:val="20"/>
                <w:color w:val="auto"/>
              </w:rPr>
              <w:t>TOTAL</w:t>
            </w:r>
          </w:p>
        </w:tc>
        <w:tc>
          <w:tcPr>
            <w:tcW w:w="860" w:type="dxa"/>
            <w:vAlign w:val="bottom"/>
          </w:tcPr>
          <w:p>
            <w:pPr>
              <w:spacing w:after="0"/>
              <w:rPr>
                <w:sz w:val="22"/>
                <w:szCs w:val="22"/>
                <w:color w:val="auto"/>
              </w:rPr>
            </w:pPr>
          </w:p>
        </w:tc>
        <w:tc>
          <w:tcPr>
            <w:tcW w:w="600" w:type="dxa"/>
            <w:vAlign w:val="bottom"/>
          </w:tcPr>
          <w:p>
            <w:pPr>
              <w:jc w:val="center"/>
              <w:ind w:right="62"/>
              <w:spacing w:after="0"/>
              <w:rPr>
                <w:sz w:val="20"/>
                <w:szCs w:val="20"/>
                <w:color w:val="auto"/>
              </w:rPr>
            </w:pPr>
            <w:r>
              <w:rPr>
                <w:rFonts w:ascii="Arial" w:cs="Arial" w:eastAsia="Arial" w:hAnsi="Arial"/>
                <w:sz w:val="20"/>
                <w:szCs w:val="20"/>
                <w:color w:val="auto"/>
                <w:w w:val="89"/>
              </w:rPr>
              <w:t>18</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2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b w:val="1"/>
                <w:bCs w:val="1"/>
                <w:color w:val="auto"/>
                <w:w w:val="88"/>
              </w:rPr>
              <w:t>25,732</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13</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10</w:t>
            </w:r>
          </w:p>
        </w:tc>
        <w:tc>
          <w:tcPr>
            <w:tcW w:w="680" w:type="dxa"/>
            <w:vAlign w:val="bottom"/>
          </w:tcPr>
          <w:p>
            <w:pPr>
              <w:jc w:val="center"/>
              <w:spacing w:after="0"/>
              <w:rPr>
                <w:sz w:val="20"/>
                <w:szCs w:val="20"/>
                <w:color w:val="auto"/>
              </w:rPr>
            </w:pPr>
            <w:r>
              <w:rPr>
                <w:rFonts w:ascii="Arial" w:cs="Arial" w:eastAsia="Arial" w:hAnsi="Arial"/>
                <w:sz w:val="20"/>
                <w:szCs w:val="20"/>
                <w:color w:val="auto"/>
                <w:w w:val="80"/>
              </w:rPr>
              <w:t>13</w:t>
            </w:r>
          </w:p>
        </w:tc>
      </w:tr>
    </w:tbl>
    <w:p>
      <w:pPr>
        <w:spacing w:after="0" w:line="184" w:lineRule="exact"/>
        <w:rPr>
          <w:sz w:val="20"/>
          <w:szCs w:val="20"/>
          <w:color w:val="auto"/>
        </w:rPr>
      </w:pPr>
    </w:p>
    <w:p>
      <w:pPr>
        <w:jc w:val="both"/>
        <w:ind w:firstLine="7"/>
        <w:spacing w:after="0" w:line="248" w:lineRule="auto"/>
        <w:tabs>
          <w:tab w:leader="none" w:pos="152" w:val="left"/>
        </w:tabs>
        <w:numPr>
          <w:ilvl w:val="0"/>
          <w:numId w:val="25"/>
        </w:numPr>
        <w:rPr>
          <w:rFonts w:ascii="Arial" w:cs="Arial" w:eastAsia="Arial" w:hAnsi="Arial"/>
          <w:sz w:val="20"/>
          <w:szCs w:val="20"/>
          <w:color w:val="auto"/>
        </w:rPr>
      </w:pPr>
      <w:r>
        <w:rPr>
          <w:rFonts w:ascii="Arial" w:cs="Arial" w:eastAsia="Arial" w:hAnsi="Arial"/>
          <w:sz w:val="20"/>
          <w:szCs w:val="20"/>
          <w:color w:val="auto"/>
        </w:rPr>
        <w:t>Of the 13 legal actions pending on March 31, 2019, 7 were contests of citations or orders referenced in Subpart B of CFR Part 2700, which includes contests of citations and orders issued under Section 104 of the Mine Act and contests of imminent danger orders under Section 107 of the Mine Act and 6 were contests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457835</wp:posOffset>
            </wp:positionV>
            <wp:extent cx="728980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color w:val="auto"/>
        </w:rPr>
        <w:t>Appendix 1</w:t>
      </w:r>
    </w:p>
    <w:p>
      <w:pPr>
        <w:spacing w:after="0" w:line="200" w:lineRule="exact"/>
        <w:rPr>
          <w:sz w:val="20"/>
          <w:szCs w:val="20"/>
          <w:color w:val="auto"/>
        </w:rPr>
      </w:pP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5"/>
    </w:lvl>
  </w:abstractNum>
  <w:abstractNum w:abstractNumId="5">
    <w:nsid w:val="41A7C4C9"/>
    <w:multiLevelType w:val="hybridMultilevel"/>
    <w:lvl w:ilvl="0">
      <w:lvlJc w:val="left"/>
      <w:lvlText w:val="%1."/>
      <w:numFmt w:val="decimal"/>
      <w:start w:val="6"/>
    </w:lvl>
  </w:abstractNum>
  <w:abstractNum w:abstractNumId="6">
    <w:nsid w:val="6B68079A"/>
    <w:multiLevelType w:val="hybridMultilevel"/>
    <w:lvl w:ilvl="0">
      <w:lvlJc w:val="left"/>
      <w:lvlText w:val="%1."/>
      <w:numFmt w:val="decimal"/>
      <w:start w:val="8"/>
    </w:lvl>
  </w:abstractNum>
  <w:abstractNum w:abstractNumId="7">
    <w:nsid w:val="4E6AFB66"/>
    <w:multiLevelType w:val="hybridMultilevel"/>
    <w:lvl w:ilvl="0">
      <w:lvlJc w:val="left"/>
      <w:lvlText w:val="%1."/>
      <w:numFmt w:val="decimal"/>
      <w:start w:val="9"/>
    </w:lvl>
  </w:abstractNum>
  <w:abstractNum w:abstractNumId="8">
    <w:nsid w:val="25E45D32"/>
    <w:multiLevelType w:val="hybridMultilevel"/>
    <w:lvl w:ilvl="0">
      <w:lvlJc w:val="left"/>
      <w:lvlText w:val="%1."/>
      <w:numFmt w:val="decimal"/>
      <w:start w:val="10"/>
    </w:lvl>
  </w:abstractNum>
  <w:abstractNum w:abstractNumId="9">
    <w:nsid w:val="519B500D"/>
    <w:multiLevelType w:val="hybridMultilevel"/>
    <w:lvl w:ilvl="0">
      <w:lvlJc w:val="left"/>
      <w:lvlText w:val="%1."/>
      <w:numFmt w:val="decimal"/>
      <w:start w:val="11"/>
    </w:lvl>
  </w:abstractNum>
  <w:abstractNum w:abstractNumId="10">
    <w:nsid w:val="431BD7B7"/>
    <w:multiLevelType w:val="hybridMultilevel"/>
    <w:lvl w:ilvl="0">
      <w:lvlJc w:val="left"/>
      <w:lvlText w:val="%1."/>
      <w:numFmt w:val="decimal"/>
      <w:start w:val="13"/>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95"/>
    </w:lvl>
  </w:abstractNum>
  <w:abstractNum w:abstractNumId="16">
    <w:nsid w:val="628C895D"/>
    <w:multiLevelType w:val="hybridMultilevel"/>
    <w:lvl w:ilvl="0">
      <w:lvlJc w:val="left"/>
      <w:lvlText w:val="%1."/>
      <w:numFmt w:val="decimal"/>
      <w:start w:val="1"/>
    </w:lvl>
    <w:lvl w:ilvl="1">
      <w:lvlJc w:val="left"/>
      <w:lvlText w:val="%2."/>
      <w:numFmt w:val="lowerLetter"/>
      <w:start w:val="1"/>
    </w:lvl>
  </w:abstractNum>
  <w:abstractNum w:abstractNumId="17">
    <w:nsid w:val="333AB105"/>
    <w:multiLevelType w:val="hybridMultilevel"/>
    <w:lvl w:ilvl="0">
      <w:lvlJc w:val="left"/>
      <w:lvlText w:val="%1."/>
      <w:numFmt w:val="decimal"/>
      <w:start w:val="5"/>
    </w:lvl>
    <w:lvl w:ilvl="1">
      <w:lvlJc w:val="left"/>
      <w:lvlText w:val="%2."/>
      <w:numFmt w:val="lowerLetter"/>
      <w:start w:val="1"/>
    </w:lvl>
  </w:abstractNum>
  <w:abstractNum w:abstractNumId="18">
    <w:nsid w:val="721DA317"/>
    <w:multiLevelType w:val="hybridMultilevel"/>
    <w:lvl w:ilvl="0">
      <w:lvlJc w:val="left"/>
      <w:lvlText w:val="%1."/>
      <w:numFmt w:val="decimal"/>
      <w:start w:val="1"/>
    </w:lvl>
    <w:lvl w:ilvl="1">
      <w:lvlJc w:val="left"/>
      <w:lvlText w:val="%2."/>
      <w:numFmt w:val="lowerLetter"/>
      <w:start w:val="1"/>
    </w:lvl>
  </w:abstractNum>
  <w:abstractNum w:abstractNumId="19">
    <w:nsid w:val="2443A858"/>
    <w:multiLevelType w:val="hybridMultilevel"/>
    <w:lvl w:ilvl="0">
      <w:lvlJc w:val="left"/>
      <w:lvlText w:val="%1."/>
      <w:numFmt w:val="decimal"/>
      <w:start w:val="5"/>
    </w:lvl>
    <w:lvl w:ilvl="1">
      <w:lvlJc w:val="left"/>
      <w:lvlText w:val="%2."/>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2019-12-28T13:43:55Z</dcterms:created>
  <dcterms:modified xsi:type="dcterms:W3CDTF">2019-12-28T13:43:55Z</dcterms:modified>
</cp:coreProperties>
</file>