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-128905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86"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-128905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ind w:left="3640" w:right="1280" w:hanging="3632"/>
        <w:spacing w:after="0" w:line="243" w:lineRule="auto"/>
        <w:tabs>
          <w:tab w:leader="none" w:pos="515" w:val="left"/>
        </w:tabs>
        <w:numPr>
          <w:ilvl w:val="0"/>
          <w:numId w:val="1"/>
        </w:numPr>
        <w:rPr>
          <w:rFonts w:ascii="MS PGothic" w:cs="MS PGothic" w:eastAsia="MS PGothic" w:hAnsi="MS PGothic"/>
          <w:sz w:val="18"/>
          <w:szCs w:val="18"/>
          <w:color w:val="auto"/>
        </w:rPr>
      </w:pPr>
      <w:r>
        <w:rPr>
          <w:rFonts w:ascii="Arial" w:cs="Arial" w:eastAsia="Arial" w:hAnsi="Arial"/>
          <w:sz w:val="19"/>
          <w:szCs w:val="19"/>
          <w:b w:val="1"/>
          <w:bCs w:val="1"/>
          <w:color w:val="auto"/>
        </w:rPr>
        <w:t>QUARTERLY REPORT PURSUANT TO SECTION 13 OR 15(d) OF THE SECURITIES EXCHANGE ACT OF 1934 For the quarterly period ended September 30, 2018</w:t>
      </w:r>
    </w:p>
    <w:p>
      <w:pPr>
        <w:spacing w:after="0" w:line="184"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7"/>
          <w:szCs w:val="17"/>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420"/>
          </w:cols>
          <w:pgMar w:left="240" w:top="597" w:right="239" w:bottom="1440" w:gutter="0" w:footer="0" w:header="0"/>
        </w:sectPr>
      </w:pPr>
    </w:p>
    <w:p>
      <w:pPr>
        <w:spacing w:after="0" w:line="29" w:lineRule="exact"/>
        <w:rPr>
          <w:sz w:val="24"/>
          <w:szCs w:val="24"/>
          <w:color w:val="auto"/>
        </w:rPr>
      </w:pPr>
    </w:p>
    <w:p>
      <w:pPr>
        <w:jc w:val="right"/>
        <w:ind w:right="4380"/>
        <w:spacing w:after="0"/>
        <w:tabs>
          <w:tab w:leader="none" w:pos="180" w:val="left"/>
        </w:tabs>
        <w:rPr>
          <w:sz w:val="20"/>
          <w:szCs w:val="20"/>
          <w:color w:val="auto"/>
        </w:rPr>
      </w:pPr>
      <w:r>
        <w:rPr>
          <w:rFonts w:ascii="Arial" w:cs="Arial" w:eastAsia="Arial" w:hAnsi="Arial"/>
          <w:sz w:val="19"/>
          <w:szCs w:val="19"/>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jc w:val="right"/>
        <w:ind w:right="4340"/>
        <w:spacing w:after="0"/>
        <w:rPr>
          <w:sz w:val="20"/>
          <w:szCs w:val="20"/>
          <w:color w:val="auto"/>
        </w:rPr>
      </w:pPr>
      <w:r>
        <w:rPr>
          <w:rFonts w:ascii="Arial" w:cs="Arial" w:eastAsia="Arial" w:hAnsi="Arial"/>
          <w:sz w:val="19"/>
          <w:szCs w:val="19"/>
          <w:b w:val="1"/>
          <w:bCs w:val="1"/>
          <w:color w:val="auto"/>
        </w:rPr>
        <w:t>Commission File Number 1-12744</w:t>
      </w:r>
    </w:p>
    <w:p>
      <w:pPr>
        <w:sectPr>
          <w:pgSz w:w="11900" w:h="16838" w:orient="portrait"/>
          <w:cols w:equalWidth="0" w:num="1">
            <w:col w:w="11420"/>
          </w:cols>
          <w:pgMar w:left="240" w:top="597" w:right="239" w:bottom="1440" w:gutter="0" w:footer="0" w:header="0"/>
          <w:type w:val="continuous"/>
        </w:sectPr>
      </w:pPr>
    </w:p>
    <w:p>
      <w:pPr>
        <w:spacing w:after="0" w:line="70"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MARTIN MARIETTA MATERIALS,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-128905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9"/>
          <w:szCs w:val="19"/>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62865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6" w:lineRule="exact"/>
        <w:rPr>
          <w:sz w:val="24"/>
          <w:szCs w:val="24"/>
          <w:color w:val="auto"/>
        </w:rPr>
      </w:pPr>
    </w:p>
    <w:tbl>
      <w:tblPr>
        <w:tblLayout w:type="fixed"/>
        <w:tblInd w:w="1240" w:type="dxa"/>
        <w:tblCellMar>
          <w:top w:w="0" w:type="dxa"/>
          <w:left w:w="0" w:type="dxa"/>
          <w:bottom w:w="0" w:type="dxa"/>
          <w:right w:w="0" w:type="dxa"/>
        </w:tblCellMar>
      </w:tblPr>
      <w:tr>
        <w:trPr>
          <w:trHeight w:val="218"/>
        </w:trPr>
        <w:tc>
          <w:tcPr>
            <w:tcW w:w="4800" w:type="dxa"/>
            <w:vAlign w:val="bottom"/>
          </w:tcPr>
          <w:p>
            <w:pPr>
              <w:jc w:val="center"/>
              <w:ind w:right="1505"/>
              <w:spacing w:after="0"/>
              <w:rPr>
                <w:sz w:val="20"/>
                <w:szCs w:val="20"/>
                <w:color w:val="auto"/>
              </w:rPr>
            </w:pPr>
            <w:r>
              <w:rPr>
                <w:rFonts w:ascii="Arial" w:cs="Arial" w:eastAsia="Arial" w:hAnsi="Arial"/>
                <w:sz w:val="19"/>
                <w:szCs w:val="19"/>
                <w:b w:val="1"/>
                <w:bCs w:val="1"/>
                <w:color w:val="auto"/>
                <w:w w:val="93"/>
              </w:rPr>
              <w:t>North Carolina</w:t>
            </w:r>
          </w:p>
        </w:tc>
        <w:tc>
          <w:tcPr>
            <w:tcW w:w="3520" w:type="dxa"/>
            <w:vAlign w:val="bottom"/>
          </w:tcPr>
          <w:p>
            <w:pPr>
              <w:jc w:val="center"/>
              <w:ind w:left="1545"/>
              <w:spacing w:after="0"/>
              <w:rPr>
                <w:sz w:val="20"/>
                <w:szCs w:val="20"/>
                <w:color w:val="auto"/>
              </w:rPr>
            </w:pPr>
            <w:r>
              <w:rPr>
                <w:rFonts w:ascii="Arial" w:cs="Arial" w:eastAsia="Arial" w:hAnsi="Arial"/>
                <w:sz w:val="19"/>
                <w:szCs w:val="19"/>
                <w:b w:val="1"/>
                <w:bCs w:val="1"/>
                <w:color w:val="auto"/>
                <w:w w:val="90"/>
              </w:rPr>
              <w:t>56-1848578</w:t>
            </w:r>
          </w:p>
        </w:tc>
      </w:tr>
      <w:tr>
        <w:trPr>
          <w:trHeight w:val="216"/>
        </w:trPr>
        <w:tc>
          <w:tcPr>
            <w:tcW w:w="4800" w:type="dxa"/>
            <w:vAlign w:val="bottom"/>
          </w:tcPr>
          <w:p>
            <w:pPr>
              <w:jc w:val="center"/>
              <w:ind w:right="1565"/>
              <w:spacing w:after="0" w:line="216" w:lineRule="exact"/>
              <w:rPr>
                <w:sz w:val="20"/>
                <w:szCs w:val="20"/>
                <w:color w:val="auto"/>
              </w:rPr>
            </w:pPr>
            <w:r>
              <w:rPr>
                <w:rFonts w:ascii="Arial" w:cs="Arial" w:eastAsia="Arial" w:hAnsi="Arial"/>
                <w:sz w:val="19"/>
                <w:szCs w:val="19"/>
                <w:b w:val="1"/>
                <w:bCs w:val="1"/>
                <w:color w:val="auto"/>
                <w:w w:val="91"/>
              </w:rPr>
              <w:t>(State or other jurisdiction of</w:t>
            </w:r>
          </w:p>
        </w:tc>
        <w:tc>
          <w:tcPr>
            <w:tcW w:w="3520" w:type="dxa"/>
            <w:vAlign w:val="bottom"/>
          </w:tcPr>
          <w:p>
            <w:pPr>
              <w:jc w:val="center"/>
              <w:ind w:left="1545"/>
              <w:spacing w:after="0" w:line="216" w:lineRule="exact"/>
              <w:rPr>
                <w:sz w:val="20"/>
                <w:szCs w:val="20"/>
                <w:color w:val="auto"/>
              </w:rPr>
            </w:pPr>
            <w:r>
              <w:rPr>
                <w:rFonts w:ascii="Arial" w:cs="Arial" w:eastAsia="Arial" w:hAnsi="Arial"/>
                <w:sz w:val="19"/>
                <w:szCs w:val="19"/>
                <w:b w:val="1"/>
                <w:bCs w:val="1"/>
                <w:color w:val="auto"/>
                <w:w w:val="93"/>
              </w:rPr>
              <w:t>(I.R.S. Employer</w:t>
            </w:r>
          </w:p>
        </w:tc>
      </w:tr>
      <w:tr>
        <w:trPr>
          <w:trHeight w:val="246"/>
        </w:trPr>
        <w:tc>
          <w:tcPr>
            <w:tcW w:w="4800" w:type="dxa"/>
            <w:vAlign w:val="bottom"/>
          </w:tcPr>
          <w:p>
            <w:pPr>
              <w:jc w:val="center"/>
              <w:ind w:right="1565"/>
              <w:spacing w:after="0"/>
              <w:rPr>
                <w:sz w:val="20"/>
                <w:szCs w:val="20"/>
                <w:color w:val="auto"/>
              </w:rPr>
            </w:pPr>
            <w:r>
              <w:rPr>
                <w:rFonts w:ascii="Arial" w:cs="Arial" w:eastAsia="Arial" w:hAnsi="Arial"/>
                <w:sz w:val="19"/>
                <w:szCs w:val="19"/>
                <w:b w:val="1"/>
                <w:bCs w:val="1"/>
                <w:color w:val="auto"/>
                <w:w w:val="90"/>
              </w:rPr>
              <w:t>incorporation or organization)</w:t>
            </w:r>
          </w:p>
        </w:tc>
        <w:tc>
          <w:tcPr>
            <w:tcW w:w="3520" w:type="dxa"/>
            <w:vAlign w:val="bottom"/>
          </w:tcPr>
          <w:p>
            <w:pPr>
              <w:jc w:val="center"/>
              <w:ind w:left="1545"/>
              <w:spacing w:after="0"/>
              <w:rPr>
                <w:sz w:val="20"/>
                <w:szCs w:val="20"/>
                <w:color w:val="auto"/>
              </w:rPr>
            </w:pPr>
            <w:r>
              <w:rPr>
                <w:rFonts w:ascii="Arial" w:cs="Arial" w:eastAsia="Arial" w:hAnsi="Arial"/>
                <w:sz w:val="19"/>
                <w:szCs w:val="19"/>
                <w:b w:val="1"/>
                <w:bCs w:val="1"/>
                <w:color w:val="auto"/>
                <w:w w:val="93"/>
              </w:rPr>
              <w:t>Identification Number)</w:t>
            </w:r>
          </w:p>
        </w:tc>
      </w:tr>
      <w:tr>
        <w:trPr>
          <w:trHeight w:val="415"/>
        </w:trPr>
        <w:tc>
          <w:tcPr>
            <w:tcW w:w="4800" w:type="dxa"/>
            <w:vAlign w:val="bottom"/>
          </w:tcPr>
          <w:p>
            <w:pPr>
              <w:jc w:val="center"/>
              <w:ind w:right="1565"/>
              <w:spacing w:after="0"/>
              <w:rPr>
                <w:sz w:val="20"/>
                <w:szCs w:val="20"/>
                <w:color w:val="auto"/>
              </w:rPr>
            </w:pPr>
            <w:r>
              <w:rPr>
                <w:rFonts w:ascii="Arial" w:cs="Arial" w:eastAsia="Arial" w:hAnsi="Arial"/>
                <w:sz w:val="19"/>
                <w:szCs w:val="19"/>
                <w:b w:val="1"/>
                <w:bCs w:val="1"/>
                <w:color w:val="auto"/>
                <w:w w:val="92"/>
              </w:rPr>
              <w:t>2710 Wycliff Road, Raleigh, NC</w:t>
            </w:r>
          </w:p>
        </w:tc>
        <w:tc>
          <w:tcPr>
            <w:tcW w:w="3520" w:type="dxa"/>
            <w:vAlign w:val="bottom"/>
          </w:tcPr>
          <w:p>
            <w:pPr>
              <w:jc w:val="center"/>
              <w:ind w:left="1545"/>
              <w:spacing w:after="0"/>
              <w:rPr>
                <w:sz w:val="20"/>
                <w:szCs w:val="20"/>
                <w:color w:val="auto"/>
              </w:rPr>
            </w:pPr>
            <w:r>
              <w:rPr>
                <w:rFonts w:ascii="Arial" w:cs="Arial" w:eastAsia="Arial" w:hAnsi="Arial"/>
                <w:sz w:val="19"/>
                <w:szCs w:val="19"/>
                <w:b w:val="1"/>
                <w:bCs w:val="1"/>
                <w:color w:val="auto"/>
                <w:w w:val="90"/>
              </w:rPr>
              <w:t>27607-3033</w:t>
            </w:r>
          </w:p>
        </w:tc>
      </w:tr>
      <w:tr>
        <w:trPr>
          <w:trHeight w:val="238"/>
        </w:trPr>
        <w:tc>
          <w:tcPr>
            <w:tcW w:w="4800" w:type="dxa"/>
            <w:vAlign w:val="bottom"/>
          </w:tcPr>
          <w:p>
            <w:pPr>
              <w:jc w:val="center"/>
              <w:ind w:right="1565"/>
              <w:spacing w:after="0"/>
              <w:rPr>
                <w:sz w:val="20"/>
                <w:szCs w:val="20"/>
                <w:color w:val="auto"/>
              </w:rPr>
            </w:pPr>
            <w:r>
              <w:rPr>
                <w:rFonts w:ascii="Arial" w:cs="Arial" w:eastAsia="Arial" w:hAnsi="Arial"/>
                <w:sz w:val="19"/>
                <w:szCs w:val="19"/>
                <w:b w:val="1"/>
                <w:bCs w:val="1"/>
                <w:color w:val="auto"/>
                <w:w w:val="88"/>
              </w:rPr>
              <w:t>(Address of principal executive offices)</w:t>
            </w:r>
          </w:p>
        </w:tc>
        <w:tc>
          <w:tcPr>
            <w:tcW w:w="3520" w:type="dxa"/>
            <w:vAlign w:val="bottom"/>
          </w:tcPr>
          <w:p>
            <w:pPr>
              <w:jc w:val="center"/>
              <w:ind w:left="1545"/>
              <w:spacing w:after="0"/>
              <w:rPr>
                <w:sz w:val="20"/>
                <w:szCs w:val="20"/>
                <w:color w:val="auto"/>
              </w:rPr>
            </w:pPr>
            <w:r>
              <w:rPr>
                <w:rFonts w:ascii="Arial" w:cs="Arial" w:eastAsia="Arial" w:hAnsi="Arial"/>
                <w:sz w:val="19"/>
                <w:szCs w:val="19"/>
                <w:b w:val="1"/>
                <w:bCs w:val="1"/>
                <w:color w:val="auto"/>
                <w:w w:val="93"/>
              </w:rPr>
              <w:t>(Zip Code)</w:t>
            </w:r>
          </w:p>
        </w:tc>
      </w:tr>
    </w:tbl>
    <w:p>
      <w:pPr>
        <w:jc w:val="center"/>
        <w:spacing w:after="0" w:line="237" w:lineRule="auto"/>
        <w:rPr>
          <w:sz w:val="20"/>
          <w:szCs w:val="20"/>
          <w:color w:val="auto"/>
        </w:rPr>
      </w:pPr>
      <w:r>
        <w:rPr>
          <w:rFonts w:ascii="Arial" w:cs="Arial" w:eastAsia="Arial" w:hAnsi="Arial"/>
          <w:sz w:val="19"/>
          <w:szCs w:val="19"/>
          <w:b w:val="1"/>
          <w:bCs w:val="1"/>
          <w:color w:val="auto"/>
        </w:rPr>
        <w:t>Registrant’s telephone number, including area code 919-781-4550</w:t>
      </w:r>
    </w:p>
    <w:p>
      <w:pPr>
        <w:jc w:val="center"/>
        <w:spacing w:after="0" w:line="237" w:lineRule="auto"/>
        <w:rPr>
          <w:sz w:val="20"/>
          <w:szCs w:val="20"/>
          <w:color w:val="auto"/>
        </w:rPr>
      </w:pPr>
      <w:r>
        <w:rPr>
          <w:rFonts w:ascii="Arial" w:cs="Arial" w:eastAsia="Arial" w:hAnsi="Arial"/>
          <w:sz w:val="19"/>
          <w:szCs w:val="19"/>
          <w:b w:val="1"/>
          <w:bCs w:val="1"/>
          <w:color w:val="auto"/>
        </w:rPr>
        <w:t>Former name: None</w:t>
      </w:r>
    </w:p>
    <w:p>
      <w:pPr>
        <w:jc w:val="center"/>
        <w:spacing w:after="0" w:line="238" w:lineRule="auto"/>
        <w:rPr>
          <w:sz w:val="20"/>
          <w:szCs w:val="20"/>
          <w:color w:val="auto"/>
        </w:rPr>
      </w:pPr>
      <w:r>
        <w:rPr>
          <w:rFonts w:ascii="Arial" w:cs="Arial" w:eastAsia="Arial" w:hAnsi="Arial"/>
          <w:sz w:val="19"/>
          <w:szCs w:val="19"/>
          <w:b w:val="1"/>
          <w:bCs w:val="1"/>
          <w:color w:val="auto"/>
        </w:rPr>
        <w:t>Former name, former address and former fiscal year, if changes since last report.</w:t>
      </w:r>
    </w:p>
    <w:p>
      <w:pPr>
        <w:jc w:val="both"/>
        <w:spacing w:after="0" w:line="239" w:lineRule="auto"/>
        <w:rPr>
          <w:sz w:val="20"/>
          <w:szCs w:val="20"/>
          <w:color w:val="auto"/>
        </w:rPr>
      </w:pPr>
      <w:r>
        <w:rPr>
          <w:rFonts w:ascii="Arial" w:cs="Arial" w:eastAsia="Arial" w:hAnsi="Arial"/>
          <w:sz w:val="19"/>
          <w:szCs w:val="19"/>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jc w:val="center"/>
        <w:spacing w:after="0" w:line="219" w:lineRule="exact"/>
        <w:tabs>
          <w:tab w:leader="none" w:pos="180" w:val="left"/>
        </w:tabs>
        <w:rPr>
          <w:sz w:val="20"/>
          <w:szCs w:val="20"/>
          <w:color w:val="auto"/>
        </w:rPr>
      </w:pPr>
      <w:r>
        <w:rPr>
          <w:rFonts w:ascii="Arial" w:cs="Arial" w:eastAsia="Arial" w:hAnsi="Arial"/>
          <w:sz w:val="19"/>
          <w:szCs w:val="19"/>
          <w:color w:val="auto"/>
        </w:rPr>
        <w:t xml:space="preserve">Yes </w:t>
      </w:r>
      <w:r>
        <w:rPr>
          <w:rFonts w:ascii="MS PGothic" w:cs="MS PGothic" w:eastAsia="MS PGothic" w:hAnsi="MS PGothic"/>
          <w:sz w:val="19"/>
          <w:szCs w:val="19"/>
          <w:color w:val="auto"/>
        </w:rPr>
        <w:t>☑</w:t>
      </w:r>
      <w:r>
        <w:rPr>
          <w:rFonts w:ascii="Arial" w:cs="Arial" w:eastAsia="Arial" w:hAnsi="Arial"/>
          <w:sz w:val="19"/>
          <w:szCs w:val="19"/>
          <w:color w:val="auto"/>
        </w:rPr>
        <w:tab/>
        <w:t xml:space="preserve">No </w:t>
      </w:r>
      <w:r>
        <w:rPr>
          <w:rFonts w:ascii="MS PGothic" w:cs="MS PGothic" w:eastAsia="MS PGothic" w:hAnsi="MS PGothic"/>
          <w:sz w:val="18"/>
          <w:szCs w:val="18"/>
          <w:color w:val="auto"/>
        </w:rPr>
        <w:t>☐</w:t>
      </w:r>
    </w:p>
    <w:p>
      <w:pPr>
        <w:spacing w:after="0" w:line="5" w:lineRule="exact"/>
        <w:rPr>
          <w:sz w:val="24"/>
          <w:szCs w:val="24"/>
          <w:color w:val="auto"/>
        </w:rPr>
      </w:pPr>
    </w:p>
    <w:p>
      <w:pPr>
        <w:jc w:val="both"/>
        <w:spacing w:after="0" w:line="239" w:lineRule="auto"/>
        <w:rPr>
          <w:sz w:val="20"/>
          <w:szCs w:val="20"/>
          <w:color w:val="auto"/>
        </w:rPr>
      </w:pPr>
      <w:r>
        <w:rPr>
          <w:rFonts w:ascii="Arial" w:cs="Arial" w:eastAsia="Arial" w:hAnsi="Arial"/>
          <w:sz w:val="19"/>
          <w:szCs w:val="19"/>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2" w:lineRule="exact"/>
        <w:rPr>
          <w:sz w:val="24"/>
          <w:szCs w:val="24"/>
          <w:color w:val="auto"/>
        </w:rPr>
      </w:pPr>
    </w:p>
    <w:p>
      <w:pPr>
        <w:jc w:val="center"/>
        <w:spacing w:after="0" w:line="219" w:lineRule="exact"/>
        <w:tabs>
          <w:tab w:leader="none" w:pos="180" w:val="left"/>
        </w:tabs>
        <w:rPr>
          <w:sz w:val="20"/>
          <w:szCs w:val="20"/>
          <w:color w:val="auto"/>
        </w:rPr>
      </w:pPr>
      <w:r>
        <w:rPr>
          <w:rFonts w:ascii="Arial" w:cs="Arial" w:eastAsia="Arial" w:hAnsi="Arial"/>
          <w:sz w:val="19"/>
          <w:szCs w:val="19"/>
          <w:color w:val="auto"/>
        </w:rPr>
        <w:t xml:space="preserve">Yes </w:t>
      </w:r>
      <w:r>
        <w:rPr>
          <w:rFonts w:ascii="MS PGothic" w:cs="MS PGothic" w:eastAsia="MS PGothic" w:hAnsi="MS PGothic"/>
          <w:sz w:val="19"/>
          <w:szCs w:val="19"/>
          <w:color w:val="auto"/>
        </w:rPr>
        <w:t>☑</w:t>
      </w:r>
      <w:r>
        <w:rPr>
          <w:rFonts w:ascii="Arial" w:cs="Arial" w:eastAsia="Arial" w:hAnsi="Arial"/>
          <w:sz w:val="19"/>
          <w:szCs w:val="19"/>
          <w:color w:val="auto"/>
        </w:rPr>
        <w:tab/>
        <w:t xml:space="preserve">No </w:t>
      </w:r>
      <w:r>
        <w:rPr>
          <w:rFonts w:ascii="MS PGothic" w:cs="MS PGothic" w:eastAsia="MS PGothic" w:hAnsi="MS PGothic"/>
          <w:sz w:val="18"/>
          <w:szCs w:val="18"/>
          <w:color w:val="auto"/>
        </w:rPr>
        <w:t>☐</w:t>
      </w:r>
    </w:p>
    <w:p>
      <w:pPr>
        <w:spacing w:after="0" w:line="5" w:lineRule="exact"/>
        <w:rPr>
          <w:sz w:val="24"/>
          <w:szCs w:val="24"/>
          <w:color w:val="auto"/>
        </w:rPr>
      </w:pPr>
    </w:p>
    <w:p>
      <w:pPr>
        <w:jc w:val="both"/>
        <w:spacing w:after="0"/>
        <w:rPr>
          <w:sz w:val="20"/>
          <w:szCs w:val="20"/>
          <w:color w:val="auto"/>
        </w:rPr>
      </w:pPr>
      <w:r>
        <w:rPr>
          <w:rFonts w:ascii="Arial" w:cs="Arial" w:eastAsia="Arial" w:hAnsi="Arial"/>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6" w:lineRule="exact"/>
        <w:rPr>
          <w:sz w:val="24"/>
          <w:szCs w:val="24"/>
          <w:color w:val="auto"/>
        </w:rPr>
      </w:pPr>
    </w:p>
    <w:tbl>
      <w:tblPr>
        <w:tblLayout w:type="fixed"/>
        <w:tblInd w:w="0" w:type="dxa"/>
        <w:tblCellMar>
          <w:top w:w="0" w:type="dxa"/>
          <w:left w:w="0" w:type="dxa"/>
          <w:bottom w:w="0" w:type="dxa"/>
          <w:right w:w="0" w:type="dxa"/>
        </w:tblCellMar>
      </w:tblPr>
      <w:tr>
        <w:trPr>
          <w:trHeight w:val="297"/>
        </w:trPr>
        <w:tc>
          <w:tcPr>
            <w:tcW w:w="2800" w:type="dxa"/>
            <w:vAlign w:val="bottom"/>
          </w:tcPr>
          <w:p>
            <w:pPr>
              <w:ind w:left="60"/>
              <w:spacing w:after="0"/>
              <w:rPr>
                <w:sz w:val="20"/>
                <w:szCs w:val="20"/>
                <w:color w:val="auto"/>
              </w:rPr>
            </w:pPr>
            <w:r>
              <w:rPr>
                <w:rFonts w:ascii="Arial" w:cs="Arial" w:eastAsia="Arial" w:hAnsi="Arial"/>
                <w:sz w:val="19"/>
                <w:szCs w:val="19"/>
                <w:color w:val="auto"/>
              </w:rPr>
              <w:t>Large accelerated filer</w:t>
            </w:r>
          </w:p>
        </w:tc>
        <w:tc>
          <w:tcPr>
            <w:tcW w:w="2900" w:type="dxa"/>
            <w:vAlign w:val="bottom"/>
          </w:tcPr>
          <w:p>
            <w:pPr>
              <w:ind w:left="720"/>
              <w:spacing w:after="0" w:line="191" w:lineRule="exact"/>
              <w:rPr>
                <w:sz w:val="20"/>
                <w:szCs w:val="20"/>
                <w:color w:val="auto"/>
              </w:rPr>
            </w:pPr>
            <w:r>
              <w:rPr>
                <w:rFonts w:ascii="MS PGothic" w:cs="MS PGothic" w:eastAsia="MS PGothic" w:hAnsi="MS PGothic"/>
                <w:sz w:val="19"/>
                <w:szCs w:val="19"/>
                <w:color w:val="auto"/>
              </w:rPr>
              <w:t>☑</w:t>
            </w:r>
          </w:p>
        </w:tc>
        <w:tc>
          <w:tcPr>
            <w:tcW w:w="4780" w:type="dxa"/>
            <w:vAlign w:val="bottom"/>
          </w:tcPr>
          <w:p>
            <w:pPr>
              <w:ind w:left="2000"/>
              <w:spacing w:after="0"/>
              <w:rPr>
                <w:sz w:val="20"/>
                <w:szCs w:val="20"/>
                <w:color w:val="auto"/>
              </w:rPr>
            </w:pPr>
            <w:r>
              <w:rPr>
                <w:rFonts w:ascii="Arial" w:cs="Arial" w:eastAsia="Arial" w:hAnsi="Arial"/>
                <w:sz w:val="19"/>
                <w:szCs w:val="19"/>
                <w:color w:val="auto"/>
              </w:rPr>
              <w:t>Accelerated filer</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7"/>
        </w:trPr>
        <w:tc>
          <w:tcPr>
            <w:tcW w:w="2800" w:type="dxa"/>
            <w:vAlign w:val="bottom"/>
          </w:tcPr>
          <w:p>
            <w:pPr>
              <w:spacing w:after="0"/>
              <w:rPr>
                <w:sz w:val="20"/>
                <w:szCs w:val="20"/>
                <w:color w:val="auto"/>
              </w:rPr>
            </w:pPr>
            <w:r>
              <w:rPr>
                <w:rFonts w:ascii="Arial" w:cs="Arial" w:eastAsia="Arial" w:hAnsi="Arial"/>
                <w:sz w:val="19"/>
                <w:szCs w:val="19"/>
                <w:color w:val="auto"/>
              </w:rPr>
              <w:t>Non-accelerated filer</w:t>
            </w:r>
          </w:p>
        </w:tc>
        <w:tc>
          <w:tcPr>
            <w:tcW w:w="290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000"/>
              <w:spacing w:after="0"/>
              <w:rPr>
                <w:sz w:val="20"/>
                <w:szCs w:val="20"/>
                <w:color w:val="auto"/>
              </w:rPr>
            </w:pPr>
            <w:r>
              <w:rPr>
                <w:rFonts w:ascii="Arial" w:cs="Arial" w:eastAsia="Arial" w:hAnsi="Arial"/>
                <w:sz w:val="19"/>
                <w:szCs w:val="19"/>
                <w:color w:val="auto"/>
              </w:rPr>
              <w:t>Smaller reporting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1"/>
        </w:trPr>
        <w:tc>
          <w:tcPr>
            <w:tcW w:w="2800" w:type="dxa"/>
            <w:vAlign w:val="bottom"/>
          </w:tcPr>
          <w:p>
            <w:pPr>
              <w:spacing w:after="0"/>
              <w:rPr>
                <w:sz w:val="20"/>
                <w:szCs w:val="20"/>
                <w:color w:val="auto"/>
              </w:rPr>
            </w:pPr>
            <w:r>
              <w:rPr>
                <w:rFonts w:ascii="Arial" w:cs="Arial" w:eastAsia="Arial" w:hAnsi="Arial"/>
                <w:sz w:val="19"/>
                <w:szCs w:val="19"/>
                <w:color w:val="auto"/>
              </w:rPr>
              <w:t>Emerging growth company</w:t>
            </w:r>
          </w:p>
        </w:tc>
        <w:tc>
          <w:tcPr>
            <w:tcW w:w="290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66" w:lineRule="exact"/>
        <w:rPr>
          <w:sz w:val="24"/>
          <w:szCs w:val="24"/>
          <w:color w:val="auto"/>
        </w:rPr>
      </w:pPr>
    </w:p>
    <w:p>
      <w:pPr>
        <w:spacing w:after="0" w:line="224"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8"/>
          <w:szCs w:val="18"/>
          <w:color w:val="auto"/>
        </w:rPr>
        <w:t>☐</w:t>
      </w:r>
      <w:r>
        <w:rPr>
          <w:rFonts w:ascii="Arial" w:cs="Arial" w:eastAsia="Arial" w:hAnsi="Arial"/>
          <w:sz w:val="19"/>
          <w:szCs w:val="19"/>
          <w:color w:val="auto"/>
        </w:rPr>
        <w:t xml:space="preserve"> Indicate by check mark whether the registrant is a shell company (as defined in Rule 12b-2 of the Exchange Act).</w:t>
      </w: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5600" w:type="dxa"/>
            <w:vAlign w:val="bottom"/>
          </w:tcPr>
          <w:p>
            <w:pPr>
              <w:ind w:left="5060"/>
              <w:spacing w:after="0" w:line="209" w:lineRule="exact"/>
              <w:rPr>
                <w:sz w:val="20"/>
                <w:szCs w:val="20"/>
                <w:color w:val="auto"/>
              </w:rPr>
            </w:pPr>
            <w:r>
              <w:rPr>
                <w:rFonts w:ascii="Arial" w:cs="Arial" w:eastAsia="Arial" w:hAnsi="Arial"/>
                <w:sz w:val="19"/>
                <w:szCs w:val="19"/>
                <w:color w:val="auto"/>
                <w:w w:val="92"/>
              </w:rPr>
              <w:t xml:space="preserve">Yes </w:t>
            </w:r>
            <w:r>
              <w:rPr>
                <w:rFonts w:ascii="MS PGothic" w:cs="MS PGothic" w:eastAsia="MS PGothic" w:hAnsi="MS PGothic"/>
                <w:sz w:val="18"/>
                <w:szCs w:val="18"/>
                <w:color w:val="auto"/>
                <w:w w:val="92"/>
              </w:rPr>
              <w:t>☐</w:t>
            </w:r>
          </w:p>
        </w:tc>
        <w:tc>
          <w:tcPr>
            <w:tcW w:w="5800" w:type="dxa"/>
            <w:vAlign w:val="bottom"/>
            <w:gridSpan w:val="2"/>
          </w:tcPr>
          <w:p>
            <w:pPr>
              <w:ind w:left="180"/>
              <w:spacing w:after="0" w:line="209" w:lineRule="exact"/>
              <w:rPr>
                <w:sz w:val="20"/>
                <w:szCs w:val="20"/>
                <w:color w:val="auto"/>
              </w:rPr>
            </w:pP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tc>
      </w:tr>
      <w:tr>
        <w:trPr>
          <w:trHeight w:val="240"/>
        </w:trPr>
        <w:tc>
          <w:tcPr>
            <w:tcW w:w="11420" w:type="dxa"/>
            <w:vAlign w:val="bottom"/>
            <w:gridSpan w:val="4"/>
          </w:tcPr>
          <w:p>
            <w:pPr>
              <w:spacing w:after="0"/>
              <w:rPr>
                <w:sz w:val="20"/>
                <w:szCs w:val="20"/>
                <w:color w:val="auto"/>
              </w:rPr>
            </w:pPr>
            <w:r>
              <w:rPr>
                <w:rFonts w:ascii="Arial" w:cs="Arial" w:eastAsia="Arial" w:hAnsi="Arial"/>
                <w:sz w:val="19"/>
                <w:szCs w:val="19"/>
                <w:color w:val="auto"/>
              </w:rPr>
              <w:t>Indicate the number of shares outstanding of each of the issuer’s classes of Common Stock, as of the latest practicable date.</w:t>
            </w:r>
          </w:p>
        </w:tc>
      </w:tr>
      <w:tr>
        <w:trPr>
          <w:trHeight w:val="322"/>
        </w:trPr>
        <w:tc>
          <w:tcPr>
            <w:tcW w:w="20" w:type="dxa"/>
            <w:vAlign w:val="bottom"/>
          </w:tcPr>
          <w:p>
            <w:pPr>
              <w:spacing w:after="0"/>
              <w:rPr>
                <w:sz w:val="24"/>
                <w:szCs w:val="24"/>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w w:val="82"/>
              </w:rPr>
              <w:t>Class</w:t>
            </w:r>
          </w:p>
        </w:tc>
        <w:tc>
          <w:tcPr>
            <w:tcW w:w="200" w:type="dxa"/>
            <w:vAlign w:val="bottom"/>
          </w:tcPr>
          <w:p>
            <w:pPr>
              <w:spacing w:after="0"/>
              <w:rPr>
                <w:sz w:val="24"/>
                <w:szCs w:val="24"/>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9"/>
                <w:szCs w:val="19"/>
                <w:b w:val="1"/>
                <w:bCs w:val="1"/>
                <w:color w:val="auto"/>
                <w:w w:val="88"/>
              </w:rPr>
              <w:t>Outstanding as of November 1, 2018</w:t>
            </w:r>
          </w:p>
        </w:tc>
      </w:tr>
      <w:tr>
        <w:trPr>
          <w:trHeight w:val="234"/>
        </w:trPr>
        <w:tc>
          <w:tcPr>
            <w:tcW w:w="2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9"/>
                <w:szCs w:val="19"/>
                <w:color w:val="auto"/>
                <w:w w:val="90"/>
              </w:rPr>
              <w:t>Common Stock, $0.01 par value</w:t>
            </w:r>
          </w:p>
        </w:tc>
        <w:tc>
          <w:tcPr>
            <w:tcW w:w="200" w:type="dxa"/>
            <w:vAlign w:val="bottom"/>
          </w:tcPr>
          <w:p>
            <w:pPr>
              <w:spacing w:after="0"/>
              <w:rPr>
                <w:sz w:val="20"/>
                <w:szCs w:val="20"/>
                <w:color w:val="auto"/>
              </w:rPr>
            </w:pPr>
          </w:p>
        </w:tc>
        <w:tc>
          <w:tcPr>
            <w:tcW w:w="5600" w:type="dxa"/>
            <w:vAlign w:val="bottom"/>
          </w:tcPr>
          <w:p>
            <w:pPr>
              <w:jc w:val="right"/>
              <w:ind w:right="2285"/>
              <w:spacing w:after="0"/>
              <w:rPr>
                <w:sz w:val="20"/>
                <w:szCs w:val="20"/>
                <w:color w:val="auto"/>
              </w:rPr>
            </w:pPr>
            <w:r>
              <w:rPr>
                <w:rFonts w:ascii="Arial" w:cs="Arial" w:eastAsia="Arial" w:hAnsi="Arial"/>
                <w:sz w:val="19"/>
                <w:szCs w:val="19"/>
                <w:color w:val="auto"/>
              </w:rPr>
              <w:t>62,712,073</w:t>
            </w:r>
          </w:p>
        </w:tc>
      </w:tr>
      <w:tr>
        <w:trPr>
          <w:trHeight w:val="523"/>
        </w:trPr>
        <w:tc>
          <w:tcPr>
            <w:tcW w:w="20" w:type="dxa"/>
            <w:vAlign w:val="bottom"/>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97" w:right="23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864870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2018</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0860" w:type="dxa"/>
            <w:vAlign w:val="bottom"/>
            <w:gridSpan w:val="20"/>
            <w:vMerge w:val="restart"/>
          </w:tcPr>
          <w:p>
            <w:pPr>
              <w:spacing w:after="0"/>
              <w:rPr>
                <w:sz w:val="20"/>
                <w:szCs w:val="20"/>
                <w:color w:val="auto"/>
              </w:rPr>
            </w:pPr>
            <w:r>
              <w:rPr>
                <w:rFonts w:ascii="Arial" w:cs="Arial" w:eastAsia="Arial" w:hAnsi="Arial"/>
                <w:sz w:val="20"/>
                <w:szCs w:val="20"/>
                <w:color w:val="auto"/>
              </w:rPr>
              <w:t>Part I. Financial Information:</w:t>
            </w:r>
          </w:p>
        </w:tc>
        <w:tc>
          <w:tcPr>
            <w:tcW w:w="5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w w:val="81"/>
              </w:rPr>
              <w:t>Page</w:t>
            </w:r>
          </w:p>
        </w:tc>
        <w:tc>
          <w:tcPr>
            <w:tcW w:w="0" w:type="dxa"/>
            <w:vAlign w:val="bottom"/>
          </w:tcPr>
          <w:p>
            <w:pPr>
              <w:spacing w:after="0"/>
              <w:rPr>
                <w:sz w:val="1"/>
                <w:szCs w:val="1"/>
                <w:color w:val="auto"/>
              </w:rPr>
            </w:pPr>
          </w:p>
        </w:tc>
      </w:tr>
      <w:tr>
        <w:trPr>
          <w:trHeight w:val="227"/>
        </w:trPr>
        <w:tc>
          <w:tcPr>
            <w:tcW w:w="10860" w:type="dxa"/>
            <w:vAlign w:val="bottom"/>
            <w:gridSpan w:val="20"/>
            <w:vMerge w:val="continue"/>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220" w:type="dxa"/>
            <w:vAlign w:val="bottom"/>
          </w:tcPr>
          <w:p>
            <w:pPr>
              <w:spacing w:after="0"/>
              <w:rPr>
                <w:sz w:val="24"/>
                <w:szCs w:val="24"/>
                <w:color w:val="auto"/>
              </w:rPr>
            </w:pPr>
          </w:p>
        </w:tc>
        <w:tc>
          <w:tcPr>
            <w:tcW w:w="10640" w:type="dxa"/>
            <w:vAlign w:val="bottom"/>
            <w:gridSpan w:val="19"/>
          </w:tcPr>
          <w:p>
            <w:pPr>
              <w:spacing w:after="0"/>
              <w:rPr>
                <w:rFonts w:ascii="Arial" w:cs="Arial" w:eastAsia="Arial" w:hAnsi="Arial"/>
                <w:sz w:val="20"/>
                <w:szCs w:val="20"/>
                <w:color w:val="0000EE"/>
              </w:rPr>
            </w:pPr>
            <w:hyperlink w:anchor="page4">
              <w:r>
                <w:rPr>
                  <w:rFonts w:ascii="Arial" w:cs="Arial" w:eastAsia="Arial" w:hAnsi="Arial"/>
                  <w:sz w:val="20"/>
                  <w:szCs w:val="20"/>
                  <w:color w:val="0000EE"/>
                </w:rPr>
                <w:t>Item 1. Financial Statements</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20" w:type="dxa"/>
            <w:vAlign w:val="bottom"/>
            <w:tcBorders>
              <w:bottom w:val="single" w:sz="8" w:color="0000EE"/>
            </w:tcBorders>
            <w:gridSpan w:val="16"/>
          </w:tcPr>
          <w:p>
            <w:pPr>
              <w:spacing w:after="0"/>
              <w:rPr>
                <w:rFonts w:ascii="Arial" w:cs="Arial" w:eastAsia="Arial" w:hAnsi="Arial"/>
                <w:sz w:val="20"/>
                <w:szCs w:val="20"/>
                <w:color w:val="0000EE"/>
                <w:w w:val="87"/>
              </w:rPr>
            </w:pPr>
            <w:hyperlink w:anchor="page4">
              <w:r>
                <w:rPr>
                  <w:rFonts w:ascii="Arial" w:cs="Arial" w:eastAsia="Arial" w:hAnsi="Arial"/>
                  <w:sz w:val="20"/>
                  <w:szCs w:val="20"/>
                  <w:color w:val="0000EE"/>
                  <w:w w:val="87"/>
                </w:rPr>
                <w:t>Consolidated Balance Sheets – September 30, 2018, December 31, 2017 and September 30, 2017</w:t>
              </w:r>
            </w:hyperlink>
          </w:p>
        </w:tc>
        <w:tc>
          <w:tcPr>
            <w:tcW w:w="270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20" w:type="dxa"/>
            <w:vAlign w:val="bottom"/>
            <w:gridSpan w:val="18"/>
          </w:tcPr>
          <w:p>
            <w:pPr>
              <w:spacing w:after="0"/>
              <w:rPr>
                <w:rFonts w:ascii="Arial" w:cs="Arial" w:eastAsia="Arial" w:hAnsi="Arial"/>
                <w:sz w:val="20"/>
                <w:szCs w:val="20"/>
                <w:color w:val="0000EE"/>
                <w:w w:val="92"/>
              </w:rPr>
            </w:pPr>
            <w:hyperlink w:anchor="page5">
              <w:r>
                <w:rPr>
                  <w:rFonts w:ascii="Arial" w:cs="Arial" w:eastAsia="Arial" w:hAnsi="Arial"/>
                  <w:sz w:val="20"/>
                  <w:szCs w:val="20"/>
                  <w:color w:val="0000EE"/>
                  <w:w w:val="92"/>
                </w:rPr>
                <w:t>Consolidated Statements of Earnings and Comprehensive Earnings – Three- and Nine-Months Ended September 30, 2018 and</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60" w:type="dxa"/>
            <w:vAlign w:val="bottom"/>
            <w:gridSpan w:val="3"/>
          </w:tcPr>
          <w:p>
            <w:pPr>
              <w:spacing w:after="0"/>
              <w:rPr>
                <w:sz w:val="18"/>
                <w:szCs w:val="18"/>
                <w:color w:val="auto"/>
              </w:rPr>
            </w:pPr>
          </w:p>
        </w:tc>
        <w:tc>
          <w:tcPr>
            <w:tcW w:w="600" w:type="dxa"/>
            <w:vAlign w:val="bottom"/>
            <w:tcBorders>
              <w:top w:val="single" w:sz="8" w:color="0000EE"/>
            </w:tcBorders>
            <w:gridSpan w:val="3"/>
          </w:tcPr>
          <w:p>
            <w:pPr>
              <w:jc w:val="right"/>
              <w:spacing w:after="0" w:line="209" w:lineRule="exact"/>
              <w:rPr>
                <w:rFonts w:ascii="Arial" w:cs="Arial" w:eastAsia="Arial" w:hAnsi="Arial"/>
                <w:sz w:val="20"/>
                <w:szCs w:val="20"/>
                <w:color w:val="0000EE"/>
              </w:rPr>
            </w:pPr>
            <w:hyperlink w:anchor="page5">
              <w:r>
                <w:rPr>
                  <w:rFonts w:ascii="Arial" w:cs="Arial" w:eastAsia="Arial" w:hAnsi="Arial"/>
                  <w:sz w:val="20"/>
                  <w:szCs w:val="20"/>
                  <w:color w:val="0000EE"/>
                </w:rPr>
                <w:t>2017</w:t>
              </w:r>
            </w:hyperlink>
          </w:p>
        </w:tc>
        <w:tc>
          <w:tcPr>
            <w:tcW w:w="4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80" w:type="dxa"/>
            <w:vAlign w:val="bottom"/>
            <w:tcBorders>
              <w:top w:val="single" w:sz="8" w:color="0000EE"/>
            </w:tcBorders>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jc w:val="right"/>
              <w:spacing w:after="0" w:line="209" w:lineRule="exact"/>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20" w:type="dxa"/>
            <w:vAlign w:val="bottom"/>
            <w:gridSpan w:val="18"/>
          </w:tcPr>
          <w:p>
            <w:pPr>
              <w:spacing w:after="0"/>
              <w:rPr>
                <w:rFonts w:ascii="Arial" w:cs="Arial" w:eastAsia="Arial" w:hAnsi="Arial"/>
                <w:sz w:val="20"/>
                <w:szCs w:val="20"/>
                <w:color w:val="0000EE"/>
              </w:rPr>
            </w:pPr>
            <w:hyperlink w:anchor="page6">
              <w:r>
                <w:rPr>
                  <w:rFonts w:ascii="Arial" w:cs="Arial" w:eastAsia="Arial" w:hAnsi="Arial"/>
                  <w:sz w:val="20"/>
                  <w:szCs w:val="20"/>
                  <w:color w:val="0000EE"/>
                </w:rPr>
                <w:t>Consolidated Statements of Cash Flows – Nine-Months Ended September 30, 2018 and 2017</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5</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360" w:type="dxa"/>
            <w:vAlign w:val="bottom"/>
            <w:tcBorders>
              <w:top w:val="single" w:sz="8" w:color="0000EE"/>
              <w:bottom w:val="single" w:sz="8" w:color="0000EE"/>
            </w:tcBorders>
            <w:gridSpan w:val="13"/>
          </w:tcPr>
          <w:p>
            <w:pPr>
              <w:spacing w:after="0"/>
              <w:rPr>
                <w:rFonts w:ascii="Arial" w:cs="Arial" w:eastAsia="Arial" w:hAnsi="Arial"/>
                <w:sz w:val="20"/>
                <w:szCs w:val="20"/>
                <w:color w:val="0000EE"/>
                <w:w w:val="89"/>
              </w:rPr>
            </w:pPr>
            <w:hyperlink w:anchor="page7">
              <w:r>
                <w:rPr>
                  <w:rFonts w:ascii="Arial" w:cs="Arial" w:eastAsia="Arial" w:hAnsi="Arial"/>
                  <w:sz w:val="20"/>
                  <w:szCs w:val="20"/>
                  <w:color w:val="0000EE"/>
                  <w:w w:val="89"/>
                </w:rPr>
                <w:t>Consolidated Statement of Total Equity – Nine-Months Ended September 30, 2018 and 2017</w:t>
              </w:r>
            </w:hyperlink>
          </w:p>
        </w:tc>
        <w:tc>
          <w:tcPr>
            <w:tcW w:w="20" w:type="dxa"/>
            <w:vAlign w:val="bottom"/>
            <w:tcBorders>
              <w:top w:val="single" w:sz="8" w:color="0000EE"/>
            </w:tcBorders>
          </w:tcPr>
          <w:p>
            <w:pPr>
              <w:spacing w:after="0"/>
              <w:rPr>
                <w:sz w:val="24"/>
                <w:szCs w:val="24"/>
                <w:color w:val="auto"/>
              </w:rPr>
            </w:pPr>
          </w:p>
        </w:tc>
        <w:tc>
          <w:tcPr>
            <w:tcW w:w="304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20" w:type="dxa"/>
            <w:vAlign w:val="bottom"/>
            <w:gridSpan w:val="18"/>
          </w:tcPr>
          <w:p>
            <w:pPr>
              <w:spacing w:after="0"/>
              <w:rPr>
                <w:rFonts w:ascii="Arial" w:cs="Arial" w:eastAsia="Arial" w:hAnsi="Arial"/>
                <w:sz w:val="20"/>
                <w:szCs w:val="20"/>
                <w:color w:val="0000EE"/>
              </w:rPr>
            </w:pPr>
            <w:hyperlink w:anchor="page8">
              <w:r>
                <w:rPr>
                  <w:rFonts w:ascii="Arial" w:cs="Arial" w:eastAsia="Arial" w:hAnsi="Arial"/>
                  <w:sz w:val="20"/>
                  <w:szCs w:val="20"/>
                  <w:color w:val="0000EE"/>
                </w:rPr>
                <w:t>Notes to Consolidated Financial Statements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7720" w:type="dxa"/>
            <w:vAlign w:val="bottom"/>
            <w:tcBorders>
              <w:bottom w:val="single" w:sz="8" w:color="0000EE"/>
            </w:tcBorders>
            <w:gridSpan w:val="16"/>
          </w:tcPr>
          <w:p>
            <w:pPr>
              <w:spacing w:after="0"/>
              <w:rPr>
                <w:rFonts w:ascii="Arial" w:cs="Arial" w:eastAsia="Arial" w:hAnsi="Arial"/>
                <w:sz w:val="20"/>
                <w:szCs w:val="20"/>
                <w:color w:val="0000EE"/>
                <w:w w:val="90"/>
              </w:rPr>
            </w:pPr>
            <w:hyperlink w:anchor="page32">
              <w:r>
                <w:rPr>
                  <w:rFonts w:ascii="Arial" w:cs="Arial" w:eastAsia="Arial" w:hAnsi="Arial"/>
                  <w:sz w:val="20"/>
                  <w:szCs w:val="20"/>
                  <w:color w:val="0000EE"/>
                  <w:w w:val="90"/>
                </w:rPr>
                <w:t>Item 2. Management’s Discussion and Analysis of Financial Condition and Results of Operations</w:t>
              </w:r>
            </w:hyperlink>
          </w:p>
        </w:tc>
        <w:tc>
          <w:tcPr>
            <w:tcW w:w="292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31</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5420" w:type="dxa"/>
            <w:vAlign w:val="bottom"/>
            <w:tcBorders>
              <w:bottom w:val="single" w:sz="8" w:color="0000EE"/>
            </w:tcBorders>
            <w:gridSpan w:val="13"/>
          </w:tcPr>
          <w:p>
            <w:pPr>
              <w:spacing w:after="0"/>
              <w:rPr>
                <w:rFonts w:ascii="Arial" w:cs="Arial" w:eastAsia="Arial" w:hAnsi="Arial"/>
                <w:sz w:val="20"/>
                <w:szCs w:val="20"/>
                <w:color w:val="0000EE"/>
                <w:w w:val="91"/>
              </w:rPr>
            </w:pPr>
            <w:hyperlink w:anchor="page52">
              <w:r>
                <w:rPr>
                  <w:rFonts w:ascii="Arial" w:cs="Arial" w:eastAsia="Arial" w:hAnsi="Arial"/>
                  <w:sz w:val="20"/>
                  <w:szCs w:val="20"/>
                  <w:color w:val="0000EE"/>
                  <w:w w:val="91"/>
                </w:rPr>
                <w:t>Item 3. Quantitative and Qualitative Disclosures About Market Risk</w:t>
              </w:r>
            </w:hyperlink>
          </w:p>
        </w:tc>
        <w:tc>
          <w:tcPr>
            <w:tcW w:w="5220" w:type="dxa"/>
            <w:vAlign w:val="bottom"/>
            <w:gridSpan w:val="6"/>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51</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10640" w:type="dxa"/>
            <w:vAlign w:val="bottom"/>
            <w:gridSpan w:val="19"/>
          </w:tcPr>
          <w:p>
            <w:pPr>
              <w:spacing w:after="0"/>
              <w:rPr>
                <w:rFonts w:ascii="Arial" w:cs="Arial" w:eastAsia="Arial" w:hAnsi="Arial"/>
                <w:sz w:val="20"/>
                <w:szCs w:val="20"/>
                <w:color w:val="0000EE"/>
              </w:rPr>
            </w:pPr>
            <w:hyperlink w:anchor="page53">
              <w:r>
                <w:rPr>
                  <w:rFonts w:ascii="Arial" w:cs="Arial" w:eastAsia="Arial" w:hAnsi="Arial"/>
                  <w:sz w:val="20"/>
                  <w:szCs w:val="20"/>
                  <w:color w:val="0000EE"/>
                </w:rPr>
                <w:t>Item 4. Controls and Procedures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52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tcBorders>
              <w:right w:val="single" w:sz="8" w:color="0000EE"/>
            </w:tcBorders>
            <w:gridSpan w:val="4"/>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524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10860" w:type="dxa"/>
            <w:vAlign w:val="bottom"/>
            <w:gridSpan w:val="20"/>
          </w:tcPr>
          <w:p>
            <w:pPr>
              <w:spacing w:after="0"/>
              <w:rPr>
                <w:sz w:val="20"/>
                <w:szCs w:val="20"/>
                <w:color w:val="auto"/>
              </w:rPr>
            </w:pPr>
            <w:r>
              <w:rPr>
                <w:rFonts w:ascii="Arial" w:cs="Arial" w:eastAsia="Arial" w:hAnsi="Arial"/>
                <w:sz w:val="20"/>
                <w:szCs w:val="20"/>
                <w:color w:val="auto"/>
              </w:rPr>
              <w:t>Part II. Other Information: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20" w:type="dxa"/>
            <w:vAlign w:val="bottom"/>
          </w:tcPr>
          <w:p>
            <w:pPr>
              <w:spacing w:after="0"/>
              <w:rPr>
                <w:sz w:val="24"/>
                <w:szCs w:val="24"/>
                <w:color w:val="auto"/>
              </w:rPr>
            </w:pPr>
          </w:p>
        </w:tc>
        <w:tc>
          <w:tcPr>
            <w:tcW w:w="620" w:type="dxa"/>
            <w:vAlign w:val="bottom"/>
            <w:gridSpan w:val="4"/>
          </w:tcPr>
          <w:p>
            <w:pPr>
              <w:spacing w:after="0"/>
              <w:rPr>
                <w:rFonts w:ascii="Arial" w:cs="Arial" w:eastAsia="Arial" w:hAnsi="Arial"/>
                <w:sz w:val="20"/>
                <w:szCs w:val="20"/>
                <w:color w:val="0000EE"/>
                <w:w w:val="94"/>
              </w:rPr>
            </w:pPr>
            <w:hyperlink w:anchor="page54">
              <w:r>
                <w:rPr>
                  <w:rFonts w:ascii="Arial" w:cs="Arial" w:eastAsia="Arial" w:hAnsi="Arial"/>
                  <w:sz w:val="20"/>
                  <w:szCs w:val="20"/>
                  <w:color w:val="0000EE"/>
                  <w:w w:val="94"/>
                </w:rPr>
                <w:t>Item 1.</w:t>
              </w:r>
            </w:hyperlink>
          </w:p>
        </w:tc>
        <w:tc>
          <w:tcPr>
            <w:tcW w:w="10020" w:type="dxa"/>
            <w:vAlign w:val="bottom"/>
            <w:gridSpan w:val="15"/>
          </w:tcPr>
          <w:p>
            <w:pPr>
              <w:spacing w:after="0"/>
              <w:rPr>
                <w:rFonts w:ascii="Arial" w:cs="Arial" w:eastAsia="Arial" w:hAnsi="Arial"/>
                <w:sz w:val="20"/>
                <w:szCs w:val="20"/>
                <w:color w:val="0000EE"/>
              </w:rPr>
            </w:pPr>
            <w:hyperlink w:anchor="page54">
              <w:r>
                <w:rPr>
                  <w:rFonts w:ascii="Arial" w:cs="Arial" w:eastAsia="Arial" w:hAnsi="Arial"/>
                  <w:sz w:val="20"/>
                  <w:szCs w:val="20"/>
                  <w:color w:val="0000EE"/>
                </w:rPr>
                <w:t>Legal Proceedings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53</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1760" w:type="dxa"/>
            <w:vAlign w:val="bottom"/>
            <w:tcBorders>
              <w:top w:val="single" w:sz="8" w:color="0000EE"/>
              <w:bottom w:val="single" w:sz="8" w:color="0000EE"/>
            </w:tcBorders>
            <w:gridSpan w:val="7"/>
          </w:tcPr>
          <w:p>
            <w:pPr>
              <w:spacing w:after="0"/>
              <w:rPr>
                <w:rFonts w:ascii="Arial" w:cs="Arial" w:eastAsia="Arial" w:hAnsi="Arial"/>
                <w:sz w:val="20"/>
                <w:szCs w:val="20"/>
                <w:color w:val="0000EE"/>
                <w:w w:val="90"/>
              </w:rPr>
            </w:pPr>
            <w:hyperlink w:anchor="page54">
              <w:r>
                <w:rPr>
                  <w:rFonts w:ascii="Arial" w:cs="Arial" w:eastAsia="Arial" w:hAnsi="Arial"/>
                  <w:sz w:val="20"/>
                  <w:szCs w:val="20"/>
                  <w:color w:val="0000EE"/>
                  <w:w w:val="90"/>
                </w:rPr>
                <w:t>Item 1A. Risk Factors</w:t>
              </w:r>
            </w:hyperlink>
          </w:p>
        </w:tc>
        <w:tc>
          <w:tcPr>
            <w:tcW w:w="320" w:type="dxa"/>
            <w:vAlign w:val="bottom"/>
            <w:tcBorders>
              <w:top w:val="single" w:sz="8" w:color="0000EE"/>
            </w:tcBorders>
          </w:tcPr>
          <w:p>
            <w:pPr>
              <w:spacing w:after="0"/>
              <w:rPr>
                <w:sz w:val="24"/>
                <w:szCs w:val="24"/>
                <w:color w:val="auto"/>
              </w:rPr>
            </w:pPr>
          </w:p>
        </w:tc>
        <w:tc>
          <w:tcPr>
            <w:tcW w:w="8560" w:type="dxa"/>
            <w:vAlign w:val="bottom"/>
            <w:gridSpan w:val="11"/>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53</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620" w:type="dxa"/>
            <w:vAlign w:val="bottom"/>
            <w:tcBorders>
              <w:bottom w:val="single" w:sz="8" w:color="0000EE"/>
            </w:tcBorders>
            <w:gridSpan w:val="4"/>
          </w:tcPr>
          <w:p>
            <w:pPr>
              <w:spacing w:after="0"/>
              <w:rPr>
                <w:rFonts w:ascii="Arial" w:cs="Arial" w:eastAsia="Arial" w:hAnsi="Arial"/>
                <w:sz w:val="20"/>
                <w:szCs w:val="20"/>
                <w:color w:val="0000EE"/>
                <w:w w:val="94"/>
              </w:rPr>
            </w:pPr>
            <w:hyperlink w:anchor="page54">
              <w:r>
                <w:rPr>
                  <w:rFonts w:ascii="Arial" w:cs="Arial" w:eastAsia="Arial" w:hAnsi="Arial"/>
                  <w:sz w:val="20"/>
                  <w:szCs w:val="20"/>
                  <w:color w:val="0000EE"/>
                  <w:w w:val="94"/>
                </w:rPr>
                <w:t>Item 2.</w:t>
              </w:r>
            </w:hyperlink>
          </w:p>
        </w:tc>
        <w:tc>
          <w:tcPr>
            <w:tcW w:w="4780" w:type="dxa"/>
            <w:vAlign w:val="bottom"/>
            <w:tcBorders>
              <w:bottom w:val="single" w:sz="8" w:color="0000EE"/>
            </w:tcBorders>
            <w:gridSpan w:val="8"/>
          </w:tcPr>
          <w:p>
            <w:pPr>
              <w:spacing w:after="0"/>
              <w:rPr>
                <w:rFonts w:ascii="Arial" w:cs="Arial" w:eastAsia="Arial" w:hAnsi="Arial"/>
                <w:sz w:val="20"/>
                <w:szCs w:val="20"/>
                <w:color w:val="0000EE"/>
                <w:w w:val="88"/>
              </w:rPr>
            </w:pPr>
            <w:hyperlink w:anchor="page54">
              <w:r>
                <w:rPr>
                  <w:rFonts w:ascii="Arial" w:cs="Arial" w:eastAsia="Arial" w:hAnsi="Arial"/>
                  <w:sz w:val="20"/>
                  <w:szCs w:val="20"/>
                  <w:color w:val="0000EE"/>
                  <w:w w:val="88"/>
                </w:rPr>
                <w:t>Unregistered Sales of Equity Securities and Use of Proceeds</w:t>
              </w:r>
            </w:hyperlink>
          </w:p>
        </w:tc>
        <w:tc>
          <w:tcPr>
            <w:tcW w:w="5240" w:type="dxa"/>
            <w:vAlign w:val="bottom"/>
            <w:gridSpan w:val="7"/>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53</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620" w:type="dxa"/>
            <w:vAlign w:val="bottom"/>
            <w:gridSpan w:val="4"/>
          </w:tcPr>
          <w:p>
            <w:pPr>
              <w:spacing w:after="0"/>
              <w:rPr>
                <w:rFonts w:ascii="Arial" w:cs="Arial" w:eastAsia="Arial" w:hAnsi="Arial"/>
                <w:sz w:val="20"/>
                <w:szCs w:val="20"/>
                <w:color w:val="0000EE"/>
                <w:w w:val="94"/>
              </w:rPr>
            </w:pPr>
            <w:hyperlink w:anchor="page54">
              <w:r>
                <w:rPr>
                  <w:rFonts w:ascii="Arial" w:cs="Arial" w:eastAsia="Arial" w:hAnsi="Arial"/>
                  <w:sz w:val="20"/>
                  <w:szCs w:val="20"/>
                  <w:color w:val="0000EE"/>
                  <w:w w:val="94"/>
                </w:rPr>
                <w:t>Item 4.</w:t>
              </w:r>
            </w:hyperlink>
          </w:p>
        </w:tc>
        <w:tc>
          <w:tcPr>
            <w:tcW w:w="10020" w:type="dxa"/>
            <w:vAlign w:val="bottom"/>
            <w:gridSpan w:val="15"/>
          </w:tcPr>
          <w:p>
            <w:pPr>
              <w:spacing w:after="0"/>
              <w:rPr>
                <w:rFonts w:ascii="Arial" w:cs="Arial" w:eastAsia="Arial" w:hAnsi="Arial"/>
                <w:sz w:val="20"/>
                <w:szCs w:val="20"/>
                <w:color w:val="0000EE"/>
              </w:rPr>
            </w:pPr>
            <w:hyperlink w:anchor="page54">
              <w:r>
                <w:rPr>
                  <w:rFonts w:ascii="Arial" w:cs="Arial" w:eastAsia="Arial" w:hAnsi="Arial"/>
                  <w:sz w:val="20"/>
                  <w:szCs w:val="20"/>
                  <w:color w:val="0000EE"/>
                </w:rPr>
                <w:t>Mine Safety Disclosures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53</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620" w:type="dxa"/>
            <w:vAlign w:val="bottom"/>
            <w:tcBorders>
              <w:top w:val="single" w:sz="8" w:color="0000EE"/>
              <w:bottom w:val="single" w:sz="8" w:color="0000EE"/>
            </w:tcBorders>
            <w:gridSpan w:val="4"/>
          </w:tcPr>
          <w:p>
            <w:pPr>
              <w:spacing w:after="0"/>
              <w:rPr>
                <w:rFonts w:ascii="Arial" w:cs="Arial" w:eastAsia="Arial" w:hAnsi="Arial"/>
                <w:sz w:val="20"/>
                <w:szCs w:val="20"/>
                <w:color w:val="0000EE"/>
                <w:w w:val="94"/>
              </w:rPr>
            </w:pPr>
            <w:hyperlink w:anchor="page55">
              <w:r>
                <w:rPr>
                  <w:rFonts w:ascii="Arial" w:cs="Arial" w:eastAsia="Arial" w:hAnsi="Arial"/>
                  <w:sz w:val="20"/>
                  <w:szCs w:val="20"/>
                  <w:color w:val="0000EE"/>
                  <w:w w:val="94"/>
                </w:rPr>
                <w:t>Item 6.</w:t>
              </w:r>
            </w:hyperlink>
          </w:p>
        </w:tc>
        <w:tc>
          <w:tcPr>
            <w:tcW w:w="660" w:type="dxa"/>
            <w:vAlign w:val="bottom"/>
            <w:tcBorders>
              <w:top w:val="single" w:sz="8" w:color="0000EE"/>
              <w:bottom w:val="single" w:sz="8" w:color="0000EE"/>
            </w:tcBorders>
            <w:gridSpan w:val="2"/>
          </w:tcPr>
          <w:p>
            <w:pPr>
              <w:spacing w:after="0"/>
              <w:rPr>
                <w:rFonts w:ascii="Arial" w:cs="Arial" w:eastAsia="Arial" w:hAnsi="Arial"/>
                <w:sz w:val="20"/>
                <w:szCs w:val="20"/>
                <w:color w:val="0000EE"/>
                <w:w w:val="91"/>
              </w:rPr>
            </w:pPr>
            <w:hyperlink w:anchor="page55">
              <w:r>
                <w:rPr>
                  <w:rFonts w:ascii="Arial" w:cs="Arial" w:eastAsia="Arial" w:hAnsi="Arial"/>
                  <w:sz w:val="20"/>
                  <w:szCs w:val="20"/>
                  <w:color w:val="0000EE"/>
                  <w:w w:val="91"/>
                </w:rPr>
                <w:t>Exhibits</w:t>
              </w:r>
            </w:hyperlink>
          </w:p>
        </w:tc>
        <w:tc>
          <w:tcPr>
            <w:tcW w:w="1280" w:type="dxa"/>
            <w:vAlign w:val="bottom"/>
            <w:tcBorders>
              <w:top w:val="single" w:sz="8" w:color="0000EE"/>
            </w:tcBorders>
            <w:gridSpan w:val="4"/>
          </w:tcPr>
          <w:p>
            <w:pPr>
              <w:spacing w:after="0"/>
              <w:rPr>
                <w:sz w:val="24"/>
                <w:szCs w:val="24"/>
                <w:color w:val="auto"/>
              </w:rPr>
            </w:pPr>
          </w:p>
        </w:tc>
        <w:tc>
          <w:tcPr>
            <w:tcW w:w="8080" w:type="dxa"/>
            <w:vAlign w:val="bottom"/>
            <w:gridSpan w:val="9"/>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rPr>
              <w:t>54</w:t>
            </w:r>
          </w:p>
        </w:tc>
        <w:tc>
          <w:tcPr>
            <w:tcW w:w="0" w:type="dxa"/>
            <w:vAlign w:val="bottom"/>
          </w:tcPr>
          <w:p>
            <w:pPr>
              <w:spacing w:after="0"/>
              <w:rPr>
                <w:sz w:val="1"/>
                <w:szCs w:val="1"/>
                <w:color w:val="auto"/>
              </w:rPr>
            </w:pPr>
          </w:p>
        </w:tc>
      </w:tr>
      <w:tr>
        <w:trPr>
          <w:trHeight w:val="331"/>
        </w:trPr>
        <w:tc>
          <w:tcPr>
            <w:tcW w:w="10860" w:type="dxa"/>
            <w:vAlign w:val="bottom"/>
            <w:gridSpan w:val="20"/>
          </w:tcPr>
          <w:p>
            <w:pPr>
              <w:spacing w:after="0"/>
              <w:rPr>
                <w:rFonts w:ascii="Arial" w:cs="Arial" w:eastAsia="Arial" w:hAnsi="Arial"/>
                <w:sz w:val="20"/>
                <w:szCs w:val="20"/>
                <w:color w:val="0000EE"/>
              </w:rPr>
            </w:pPr>
            <w:hyperlink w:anchor="page56">
              <w:r>
                <w:rPr>
                  <w:rFonts w:ascii="Arial" w:cs="Arial" w:eastAsia="Arial" w:hAnsi="Arial"/>
                  <w:sz w:val="20"/>
                  <w:szCs w:val="20"/>
                  <w:color w:val="0000EE"/>
                </w:rPr>
                <w:t>Signatures</w:t>
              </w:r>
            </w:hyperlink>
          </w:p>
        </w:tc>
        <w:tc>
          <w:tcPr>
            <w:tcW w:w="560" w:type="dxa"/>
            <w:vAlign w:val="bottom"/>
          </w:tcPr>
          <w:p>
            <w:pPr>
              <w:jc w:val="right"/>
              <w:spacing w:after="0"/>
              <w:rPr>
                <w:sz w:val="20"/>
                <w:szCs w:val="20"/>
                <w:color w:val="auto"/>
              </w:rPr>
            </w:pPr>
            <w:r>
              <w:rPr>
                <w:rFonts w:ascii="Arial" w:cs="Arial" w:eastAsia="Arial" w:hAnsi="Arial"/>
                <w:sz w:val="20"/>
                <w:szCs w:val="20"/>
                <w:color w:val="auto"/>
              </w:rPr>
              <w:t>55</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BALANCE SHEETS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80" w:type="dxa"/>
            <w:vAlign w:val="bottom"/>
            <w:gridSpan w:val="2"/>
          </w:tcPr>
          <w:p>
            <w:pPr>
              <w:jc w:val="right"/>
              <w:ind w:right="760"/>
              <w:spacing w:after="0"/>
              <w:rPr>
                <w:sz w:val="20"/>
                <w:szCs w:val="20"/>
                <w:color w:val="auto"/>
              </w:rPr>
            </w:pPr>
            <w:r>
              <w:rPr>
                <w:rFonts w:ascii="Arial" w:cs="Arial" w:eastAsia="Arial" w:hAnsi="Arial"/>
                <w:sz w:val="16"/>
                <w:szCs w:val="16"/>
                <w:color w:val="auto"/>
              </w:rPr>
              <w:t>September 30,</w:t>
            </w:r>
          </w:p>
        </w:tc>
        <w:tc>
          <w:tcPr>
            <w:tcW w:w="120" w:type="dxa"/>
            <w:vAlign w:val="bottom"/>
          </w:tcPr>
          <w:p>
            <w:pPr>
              <w:spacing w:after="0"/>
              <w:rPr>
                <w:sz w:val="17"/>
                <w:szCs w:val="17"/>
                <w:color w:val="auto"/>
              </w:rPr>
            </w:pPr>
          </w:p>
        </w:tc>
        <w:tc>
          <w:tcPr>
            <w:tcW w:w="2020" w:type="dxa"/>
            <w:vAlign w:val="bottom"/>
            <w:gridSpan w:val="2"/>
          </w:tcPr>
          <w:p>
            <w:pPr>
              <w:jc w:val="center"/>
              <w:ind w:right="440"/>
              <w:spacing w:after="0"/>
              <w:rPr>
                <w:sz w:val="20"/>
                <w:szCs w:val="20"/>
                <w:color w:val="auto"/>
              </w:rPr>
            </w:pPr>
            <w:r>
              <w:rPr>
                <w:rFonts w:ascii="Arial" w:cs="Arial" w:eastAsia="Arial" w:hAnsi="Arial"/>
                <w:sz w:val="16"/>
                <w:szCs w:val="16"/>
                <w:color w:val="auto"/>
                <w:w w:val="89"/>
              </w:rPr>
              <w:t>December 31,</w:t>
            </w:r>
          </w:p>
        </w:tc>
        <w:tc>
          <w:tcPr>
            <w:tcW w:w="260" w:type="dxa"/>
            <w:vAlign w:val="bottom"/>
          </w:tcPr>
          <w:p>
            <w:pPr>
              <w:spacing w:after="0"/>
              <w:rPr>
                <w:sz w:val="17"/>
                <w:szCs w:val="17"/>
                <w:color w:val="auto"/>
              </w:rPr>
            </w:pPr>
          </w:p>
        </w:tc>
        <w:tc>
          <w:tcPr>
            <w:tcW w:w="1680" w:type="dxa"/>
            <w:vAlign w:val="bottom"/>
            <w:gridSpan w:val="2"/>
          </w:tcPr>
          <w:p>
            <w:pPr>
              <w:jc w:val="right"/>
              <w:ind w:right="580"/>
              <w:spacing w:after="0"/>
              <w:rPr>
                <w:sz w:val="20"/>
                <w:szCs w:val="20"/>
                <w:color w:val="auto"/>
              </w:rPr>
            </w:pPr>
            <w:r>
              <w:rPr>
                <w:rFonts w:ascii="Arial" w:cs="Arial" w:eastAsia="Arial" w:hAnsi="Arial"/>
                <w:sz w:val="16"/>
                <w:szCs w:val="16"/>
                <w:color w:val="auto"/>
              </w:rPr>
              <w:t>September 30,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2018</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w w:val="89"/>
              </w:rPr>
              <w:t>2017</w:t>
            </w: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2"/>
          </w:tcPr>
          <w:p>
            <w:pPr>
              <w:jc w:val="center"/>
              <w:ind w:right="440"/>
              <w:spacing w:after="0"/>
              <w:rPr>
                <w:sz w:val="20"/>
                <w:szCs w:val="20"/>
                <w:color w:val="auto"/>
              </w:rPr>
            </w:pPr>
            <w:r>
              <w:rPr>
                <w:rFonts w:ascii="Arial" w:cs="Arial" w:eastAsia="Arial" w:hAnsi="Arial"/>
                <w:sz w:val="16"/>
                <w:szCs w:val="16"/>
                <w:i w:val="1"/>
                <w:iCs w:val="1"/>
                <w:color w:val="auto"/>
                <w:w w:val="93"/>
              </w:rPr>
              <w:t>(Dollars in Thousands)</w:t>
            </w: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0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53,961</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1,446,364</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00" w:type="dxa"/>
            <w:vAlign w:val="bottom"/>
            <w:gridSpan w:val="2"/>
          </w:tcPr>
          <w:p>
            <w:pPr>
              <w:spacing w:after="0"/>
              <w:rPr>
                <w:sz w:val="20"/>
                <w:szCs w:val="20"/>
                <w:color w:val="auto"/>
              </w:rPr>
            </w:pPr>
            <w:r>
              <w:rPr>
                <w:rFonts w:ascii="Arial" w:cs="Arial" w:eastAsia="Arial" w:hAnsi="Arial"/>
                <w:sz w:val="16"/>
                <w:szCs w:val="16"/>
                <w:color w:val="auto"/>
              </w:rPr>
              <w:t>Accounts receivable, net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644,835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487,240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582,532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Inventories, net</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651,295</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600,591</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576,429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00" w:type="dxa"/>
            <w:vAlign w:val="bottom"/>
            <w:gridSpan w:val="2"/>
          </w:tcPr>
          <w:p>
            <w:pPr>
              <w:spacing w:after="0"/>
              <w:rPr>
                <w:sz w:val="20"/>
                <w:szCs w:val="20"/>
                <w:color w:val="auto"/>
              </w:rPr>
            </w:pPr>
            <w:r>
              <w:rPr>
                <w:rFonts w:ascii="Arial" w:cs="Arial" w:eastAsia="Arial" w:hAnsi="Arial"/>
                <w:sz w:val="16"/>
                <w:szCs w:val="16"/>
                <w:color w:val="auto"/>
              </w:rPr>
              <w:t>Other current assets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104,717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96,965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83,809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Total Current Assets</w:t>
            </w:r>
          </w:p>
        </w:tc>
        <w:tc>
          <w:tcPr>
            <w:tcW w:w="2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1,454,808</w:t>
            </w:r>
          </w:p>
        </w:tc>
        <w:tc>
          <w:tcPr>
            <w:tcW w:w="3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2,631,160</w:t>
            </w:r>
          </w:p>
        </w:tc>
        <w:tc>
          <w:tcPr>
            <w:tcW w:w="3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1,277,989</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Property, plant and equipment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8,183,412</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6,498,067</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6,375,813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00" w:type="dxa"/>
            <w:vAlign w:val="bottom"/>
            <w:gridSpan w:val="2"/>
          </w:tcPr>
          <w:p>
            <w:pPr>
              <w:spacing w:after="0"/>
              <w:rPr>
                <w:sz w:val="20"/>
                <w:szCs w:val="20"/>
                <w:color w:val="auto"/>
              </w:rPr>
            </w:pPr>
            <w:r>
              <w:rPr>
                <w:rFonts w:ascii="Arial" w:cs="Arial" w:eastAsia="Arial" w:hAnsi="Arial"/>
                <w:sz w:val="16"/>
                <w:szCs w:val="16"/>
                <w:color w:val="auto"/>
              </w:rPr>
              <w:t>Allowances for depreciation, depletion and amortization</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gridSpan w:val="2"/>
          </w:tcPr>
          <w:p>
            <w:pPr>
              <w:jc w:val="right"/>
              <w:ind w:right="260"/>
              <w:spacing w:after="0"/>
              <w:rPr>
                <w:sz w:val="20"/>
                <w:szCs w:val="20"/>
                <w:color w:val="auto"/>
              </w:rPr>
            </w:pPr>
            <w:r>
              <w:rPr>
                <w:rFonts w:ascii="Arial" w:cs="Arial" w:eastAsia="Arial" w:hAnsi="Arial"/>
                <w:sz w:val="16"/>
                <w:szCs w:val="16"/>
                <w:color w:val="auto"/>
              </w:rPr>
              <w:t>(3,080,017)</w:t>
            </w:r>
          </w:p>
        </w:tc>
        <w:tc>
          <w:tcPr>
            <w:tcW w:w="120" w:type="dxa"/>
            <w:vAlign w:val="bottom"/>
          </w:tcPr>
          <w:p>
            <w:pPr>
              <w:spacing w:after="0"/>
              <w:rPr>
                <w:sz w:val="18"/>
                <w:szCs w:val="18"/>
                <w:color w:val="auto"/>
              </w:rPr>
            </w:pPr>
          </w:p>
        </w:tc>
        <w:tc>
          <w:tcPr>
            <w:tcW w:w="2020" w:type="dxa"/>
            <w:vAlign w:val="bottom"/>
            <w:gridSpan w:val="2"/>
          </w:tcPr>
          <w:p>
            <w:pPr>
              <w:jc w:val="right"/>
              <w:ind w:right="260"/>
              <w:spacing w:after="0"/>
              <w:rPr>
                <w:sz w:val="20"/>
                <w:szCs w:val="20"/>
                <w:color w:val="auto"/>
              </w:rPr>
            </w:pPr>
            <w:r>
              <w:rPr>
                <w:rFonts w:ascii="Arial" w:cs="Arial" w:eastAsia="Arial" w:hAnsi="Arial"/>
                <w:sz w:val="16"/>
                <w:szCs w:val="16"/>
                <w:color w:val="auto"/>
              </w:rPr>
              <w:t>(2,905,254)</w:t>
            </w:r>
          </w:p>
        </w:tc>
        <w:tc>
          <w:tcPr>
            <w:tcW w:w="26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6"/>
                <w:szCs w:val="16"/>
                <w:color w:val="auto"/>
              </w:rPr>
              <w:t>(2,854,236)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property, plant and equipment</w:t>
            </w:r>
          </w:p>
        </w:tc>
        <w:tc>
          <w:tcPr>
            <w:tcW w:w="2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5,103,395</w:t>
            </w:r>
          </w:p>
        </w:tc>
        <w:tc>
          <w:tcPr>
            <w:tcW w:w="3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3,592,813</w:t>
            </w:r>
          </w:p>
        </w:tc>
        <w:tc>
          <w:tcPr>
            <w:tcW w:w="3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3,521,577</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00" w:type="dxa"/>
            <w:vAlign w:val="bottom"/>
            <w:gridSpan w:val="2"/>
          </w:tcPr>
          <w:p>
            <w:pPr>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2,399,434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2,160,290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2,160,060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Operating permits, net</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434,177</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439,116</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440,846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00" w:type="dxa"/>
            <w:vAlign w:val="bottom"/>
            <w:gridSpan w:val="2"/>
          </w:tcPr>
          <w:p>
            <w:pPr>
              <w:spacing w:after="0"/>
              <w:rPr>
                <w:sz w:val="20"/>
                <w:szCs w:val="20"/>
                <w:color w:val="auto"/>
              </w:rPr>
            </w:pPr>
            <w:r>
              <w:rPr>
                <w:rFonts w:ascii="Arial" w:cs="Arial" w:eastAsia="Arial" w:hAnsi="Arial"/>
                <w:sz w:val="16"/>
                <w:szCs w:val="16"/>
                <w:color w:val="auto"/>
              </w:rPr>
              <w:t>Other intangibles, net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74,799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67,233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63,740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Other noncurrent assets</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121,558</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101,899</w:t>
            </w:r>
          </w:p>
        </w:tc>
        <w:tc>
          <w:tcPr>
            <w:tcW w:w="3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102,573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980" w:type="dxa"/>
            <w:vAlign w:val="bottom"/>
          </w:tcPr>
          <w:p>
            <w:pPr>
              <w:ind w:left="240"/>
              <w:spacing w:after="0"/>
              <w:rPr>
                <w:sz w:val="20"/>
                <w:szCs w:val="20"/>
                <w:color w:val="auto"/>
              </w:rPr>
            </w:pPr>
            <w:r>
              <w:rPr>
                <w:rFonts w:ascii="Arial" w:cs="Arial" w:eastAsia="Arial" w:hAnsi="Arial"/>
                <w:sz w:val="16"/>
                <w:szCs w:val="16"/>
                <w:color w:val="auto"/>
              </w:rPr>
              <w:t>Total Assets</w:t>
            </w: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9,588,171</w:t>
            </w:r>
          </w:p>
        </w:tc>
        <w:tc>
          <w:tcPr>
            <w:tcW w:w="3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8,992,511</w:t>
            </w:r>
          </w:p>
        </w:tc>
        <w:tc>
          <w:tcPr>
            <w:tcW w:w="320" w:type="dxa"/>
            <w:vAlign w:val="bottom"/>
          </w:tcPr>
          <w:p>
            <w:pPr>
              <w:spacing w:after="0"/>
              <w:rPr>
                <w:sz w:val="21"/>
                <w:szCs w:val="21"/>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7,566,785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49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70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6"/>
                <w:szCs w:val="16"/>
                <w:b w:val="1"/>
                <w:bCs w:val="1"/>
                <w:color w:val="auto"/>
              </w:rPr>
              <w:t>LIABILITIES AND EQUITY</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Bank overdraft</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88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02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00" w:type="dxa"/>
            <w:vAlign w:val="bottom"/>
            <w:gridSpan w:val="2"/>
          </w:tcPr>
          <w:p>
            <w:pPr>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191,381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183,638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163,597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Accrued salaries, benefits and payroll taxes</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45,234</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44,255</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37,885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00" w:type="dxa"/>
            <w:vAlign w:val="bottom"/>
            <w:gridSpan w:val="2"/>
          </w:tcPr>
          <w:p>
            <w:pPr>
              <w:spacing w:after="0"/>
              <w:rPr>
                <w:sz w:val="20"/>
                <w:szCs w:val="20"/>
                <w:color w:val="auto"/>
              </w:rPr>
            </w:pPr>
            <w:r>
              <w:rPr>
                <w:rFonts w:ascii="Arial" w:cs="Arial" w:eastAsia="Arial" w:hAnsi="Arial"/>
                <w:sz w:val="16"/>
                <w:szCs w:val="16"/>
                <w:color w:val="auto"/>
              </w:rPr>
              <w:t>Pension and postretirement benefits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9,292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13,652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12,073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Accrued insurance and other taxes</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69,513</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64,958</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70,323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000" w:type="dxa"/>
            <w:vAlign w:val="bottom"/>
            <w:gridSpan w:val="2"/>
          </w:tcPr>
          <w:p>
            <w:pPr>
              <w:spacing w:after="0"/>
              <w:rPr>
                <w:sz w:val="20"/>
                <w:szCs w:val="20"/>
                <w:color w:val="auto"/>
              </w:rPr>
            </w:pPr>
            <w:r>
              <w:rPr>
                <w:rFonts w:ascii="Arial" w:cs="Arial" w:eastAsia="Arial" w:hAnsi="Arial"/>
                <w:sz w:val="16"/>
                <w:szCs w:val="16"/>
                <w:color w:val="auto"/>
              </w:rPr>
              <w:t>Current maturities of long-term debt and short-term</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Pr>
          <w:p>
            <w:pPr>
              <w:ind w:left="100"/>
              <w:spacing w:after="0"/>
              <w:rPr>
                <w:sz w:val="20"/>
                <w:szCs w:val="20"/>
                <w:color w:val="auto"/>
              </w:rPr>
            </w:pPr>
            <w:r>
              <w:rPr>
                <w:rFonts w:ascii="Arial" w:cs="Arial" w:eastAsia="Arial" w:hAnsi="Arial"/>
                <w:sz w:val="16"/>
                <w:szCs w:val="16"/>
                <w:color w:val="auto"/>
              </w:rPr>
              <w:t>facilities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380,041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299,909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80,038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Accrued interest</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31,708</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19,825</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00" w:type="dxa"/>
            <w:vAlign w:val="bottom"/>
            <w:gridSpan w:val="2"/>
          </w:tcPr>
          <w:p>
            <w:pPr>
              <w:spacing w:after="0"/>
              <w:rPr>
                <w:sz w:val="20"/>
                <w:szCs w:val="20"/>
                <w:color w:val="auto"/>
              </w:rPr>
            </w:pPr>
            <w:r>
              <w:rPr>
                <w:rFonts w:ascii="Arial" w:cs="Arial" w:eastAsia="Arial" w:hAnsi="Arial"/>
                <w:sz w:val="16"/>
                <w:szCs w:val="16"/>
                <w:color w:val="auto"/>
              </w:rPr>
              <w:t>Other current liabilities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45,517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67,979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75,458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772,686</w:t>
            </w:r>
          </w:p>
        </w:tc>
        <w:tc>
          <w:tcPr>
            <w:tcW w:w="3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694,216</w:t>
            </w:r>
          </w:p>
        </w:tc>
        <w:tc>
          <w:tcPr>
            <w:tcW w:w="3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468,503</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Long-term debt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2,829,657</w:t>
            </w: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2,727,294</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1,642,502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00" w:type="dxa"/>
            <w:vAlign w:val="bottom"/>
            <w:gridSpan w:val="2"/>
          </w:tcPr>
          <w:p>
            <w:pPr>
              <w:spacing w:after="0"/>
              <w:rPr>
                <w:sz w:val="20"/>
                <w:szCs w:val="20"/>
                <w:color w:val="auto"/>
              </w:rPr>
            </w:pPr>
            <w:r>
              <w:rPr>
                <w:rFonts w:ascii="Arial" w:cs="Arial" w:eastAsia="Arial" w:hAnsi="Arial"/>
                <w:sz w:val="16"/>
                <w:szCs w:val="16"/>
                <w:color w:val="auto"/>
              </w:rPr>
              <w:t>Pension, postretirement and postemployment benefits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108,454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244,043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230,212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Deferred income taxes, net</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692,881</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410,723</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662,982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00" w:type="dxa"/>
            <w:vAlign w:val="bottom"/>
            <w:gridSpan w:val="2"/>
          </w:tcPr>
          <w:p>
            <w:pPr>
              <w:spacing w:after="0"/>
              <w:rPr>
                <w:sz w:val="20"/>
                <w:szCs w:val="20"/>
                <w:color w:val="auto"/>
              </w:rPr>
            </w:pPr>
            <w:r>
              <w:rPr>
                <w:rFonts w:ascii="Arial" w:cs="Arial" w:eastAsia="Arial" w:hAnsi="Arial"/>
                <w:sz w:val="16"/>
                <w:szCs w:val="16"/>
                <w:color w:val="auto"/>
              </w:rPr>
              <w:t>Other noncurrent liabilities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242,165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233,758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228,604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Total Liabilities</w:t>
            </w:r>
          </w:p>
        </w:tc>
        <w:tc>
          <w:tcPr>
            <w:tcW w:w="2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4,645,843</w:t>
            </w:r>
          </w:p>
        </w:tc>
        <w:tc>
          <w:tcPr>
            <w:tcW w:w="3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4,310,034</w:t>
            </w:r>
          </w:p>
        </w:tc>
        <w:tc>
          <w:tcPr>
            <w:tcW w:w="3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3,232,803</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Equity:</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00" w:type="dxa"/>
            <w:vAlign w:val="bottom"/>
            <w:gridSpan w:val="2"/>
          </w:tcPr>
          <w:p>
            <w:pPr>
              <w:spacing w:after="0"/>
              <w:rPr>
                <w:sz w:val="20"/>
                <w:szCs w:val="20"/>
                <w:color w:val="auto"/>
              </w:rPr>
            </w:pPr>
            <w:r>
              <w:rPr>
                <w:rFonts w:ascii="Arial" w:cs="Arial" w:eastAsia="Arial" w:hAnsi="Arial"/>
                <w:sz w:val="16"/>
                <w:szCs w:val="16"/>
                <w:color w:val="auto"/>
              </w:rPr>
              <w:t>Common stock, par value $0.01 per share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626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628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Preferred stock, par value $0.01 per share</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000" w:type="dxa"/>
            <w:vAlign w:val="bottom"/>
            <w:gridSpan w:val="2"/>
          </w:tcPr>
          <w:p>
            <w:pPr>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3,391,133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3,368,007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3,362,744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(121,491)</w:t>
            </w:r>
          </w:p>
        </w:tc>
        <w:tc>
          <w:tcPr>
            <w:tcW w:w="12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(129,104)</w:t>
            </w:r>
          </w:p>
        </w:tc>
        <w:tc>
          <w:tcPr>
            <w:tcW w:w="2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(122,928)</w:t>
            </w:r>
          </w:p>
        </w:tc>
        <w:tc>
          <w:tcPr>
            <w:tcW w:w="0" w:type="dxa"/>
            <w:vAlign w:val="bottom"/>
          </w:tcPr>
          <w:p>
            <w:pPr>
              <w:spacing w:after="0"/>
              <w:rPr>
                <w:sz w:val="1"/>
                <w:szCs w:val="1"/>
                <w:color w:val="auto"/>
              </w:rPr>
            </w:pPr>
          </w:p>
        </w:tc>
      </w:tr>
      <w:tr>
        <w:trPr>
          <w:trHeight w:val="213"/>
        </w:trPr>
        <w:tc>
          <w:tcPr>
            <w:tcW w:w="5000" w:type="dxa"/>
            <w:vAlign w:val="bottom"/>
            <w:gridSpan w:val="2"/>
          </w:tcPr>
          <w:p>
            <w:pPr>
              <w:spacing w:after="0"/>
              <w:rPr>
                <w:sz w:val="20"/>
                <w:szCs w:val="20"/>
                <w:color w:val="auto"/>
              </w:rPr>
            </w:pPr>
            <w:r>
              <w:rPr>
                <w:rFonts w:ascii="Arial" w:cs="Arial" w:eastAsia="Arial" w:hAnsi="Arial"/>
                <w:sz w:val="16"/>
                <w:szCs w:val="16"/>
                <w:color w:val="auto"/>
              </w:rPr>
              <w:t>Retained earnings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1,669,126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1,440,069</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1,090,778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Total Shareholders' Equity</w:t>
            </w:r>
          </w:p>
        </w:tc>
        <w:tc>
          <w:tcPr>
            <w:tcW w:w="2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4,939,394</w:t>
            </w:r>
          </w:p>
        </w:tc>
        <w:tc>
          <w:tcPr>
            <w:tcW w:w="3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4,679,600</w:t>
            </w:r>
          </w:p>
        </w:tc>
        <w:tc>
          <w:tcPr>
            <w:tcW w:w="3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4,331,221</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00" w:type="dxa"/>
            <w:vAlign w:val="bottom"/>
            <w:gridSpan w:val="2"/>
          </w:tcPr>
          <w:p>
            <w:pPr>
              <w:spacing w:after="0"/>
              <w:rPr>
                <w:sz w:val="20"/>
                <w:szCs w:val="20"/>
                <w:color w:val="auto"/>
              </w:rPr>
            </w:pPr>
            <w:r>
              <w:rPr>
                <w:rFonts w:ascii="Arial" w:cs="Arial" w:eastAsia="Arial" w:hAnsi="Arial"/>
                <w:sz w:val="16"/>
                <w:szCs w:val="16"/>
                <w:color w:val="auto"/>
              </w:rPr>
              <w:t>Noncontrolling interests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2,934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2,877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2,761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Total Equity</w:t>
            </w:r>
          </w:p>
        </w:tc>
        <w:tc>
          <w:tcPr>
            <w:tcW w:w="2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4,942,328</w:t>
            </w:r>
          </w:p>
        </w:tc>
        <w:tc>
          <w:tcPr>
            <w:tcW w:w="3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4,682,477</w:t>
            </w:r>
          </w:p>
        </w:tc>
        <w:tc>
          <w:tcPr>
            <w:tcW w:w="3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4,333,982</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980" w:type="dxa"/>
            <w:vAlign w:val="bottom"/>
          </w:tcPr>
          <w:p>
            <w:pPr>
              <w:ind w:left="240"/>
              <w:spacing w:after="0"/>
              <w:rPr>
                <w:sz w:val="20"/>
                <w:szCs w:val="20"/>
                <w:color w:val="auto"/>
              </w:rPr>
            </w:pPr>
            <w:r>
              <w:rPr>
                <w:rFonts w:ascii="Arial" w:cs="Arial" w:eastAsia="Arial" w:hAnsi="Arial"/>
                <w:sz w:val="16"/>
                <w:szCs w:val="16"/>
                <w:color w:val="auto"/>
              </w:rPr>
              <w:t>Total Liabilities and Equity</w:t>
            </w: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9,588,171</w:t>
            </w:r>
          </w:p>
        </w:tc>
        <w:tc>
          <w:tcPr>
            <w:tcW w:w="3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8,992,511</w:t>
            </w:r>
          </w:p>
        </w:tc>
        <w:tc>
          <w:tcPr>
            <w:tcW w:w="320" w:type="dxa"/>
            <w:vAlign w:val="bottom"/>
          </w:tcPr>
          <w:p>
            <w:pPr>
              <w:spacing w:after="0"/>
              <w:rPr>
                <w:sz w:val="17"/>
                <w:szCs w:val="17"/>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7,566,785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EARNINGS AND COMPREHENSIVE EARNINGS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60" w:type="dxa"/>
            <w:vAlign w:val="bottom"/>
            <w:gridSpan w:val="6"/>
          </w:tcPr>
          <w:p>
            <w:pPr>
              <w:jc w:val="right"/>
              <w:ind w:right="900"/>
              <w:spacing w:after="0"/>
              <w:rPr>
                <w:sz w:val="20"/>
                <w:szCs w:val="20"/>
                <w:color w:val="auto"/>
              </w:rPr>
            </w:pPr>
            <w:r>
              <w:rPr>
                <w:rFonts w:ascii="Arial" w:cs="Arial" w:eastAsia="Arial" w:hAnsi="Arial"/>
                <w:sz w:val="18"/>
                <w:szCs w:val="18"/>
                <w:color w:val="auto"/>
              </w:rPr>
              <w:t>Three-Months Ended</w:t>
            </w:r>
          </w:p>
        </w:tc>
        <w:tc>
          <w:tcPr>
            <w:tcW w:w="260" w:type="dxa"/>
            <w:vAlign w:val="bottom"/>
          </w:tcPr>
          <w:p>
            <w:pPr>
              <w:spacing w:after="0"/>
              <w:rPr>
                <w:sz w:val="19"/>
                <w:szCs w:val="19"/>
                <w:color w:val="auto"/>
              </w:rPr>
            </w:pPr>
          </w:p>
        </w:tc>
        <w:tc>
          <w:tcPr>
            <w:tcW w:w="2620" w:type="dxa"/>
            <w:vAlign w:val="bottom"/>
            <w:gridSpan w:val="6"/>
          </w:tcPr>
          <w:p>
            <w:pPr>
              <w:jc w:val="right"/>
              <w:ind w:right="760"/>
              <w:spacing w:after="0"/>
              <w:rPr>
                <w:sz w:val="20"/>
                <w:szCs w:val="20"/>
                <w:color w:val="auto"/>
              </w:rPr>
            </w:pPr>
            <w:r>
              <w:rPr>
                <w:rFonts w:ascii="Arial" w:cs="Arial" w:eastAsia="Arial" w:hAnsi="Arial"/>
                <w:sz w:val="18"/>
                <w:szCs w:val="18"/>
                <w:color w:val="auto"/>
              </w:rPr>
              <w:t>Nine-Months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September 30,</w:t>
            </w:r>
          </w:p>
        </w:tc>
        <w:tc>
          <w:tcPr>
            <w:tcW w:w="8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September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89"/>
              </w:rPr>
              <w:t>2017</w:t>
            </w: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4"/>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60" w:type="dxa"/>
            <w:vAlign w:val="bottom"/>
            <w:gridSpan w:val="7"/>
          </w:tcPr>
          <w:p>
            <w:pPr>
              <w:jc w:val="right"/>
              <w:ind w:right="140"/>
              <w:spacing w:after="0"/>
              <w:rPr>
                <w:sz w:val="20"/>
                <w:szCs w:val="20"/>
                <w:color w:val="auto"/>
              </w:rPr>
            </w:pPr>
            <w:r>
              <w:rPr>
                <w:rFonts w:ascii="Arial" w:cs="Arial" w:eastAsia="Arial" w:hAnsi="Arial"/>
                <w:sz w:val="18"/>
                <w:szCs w:val="18"/>
                <w:i w:val="1"/>
                <w:iCs w:val="1"/>
                <w:color w:val="auto"/>
                <w:w w:val="92"/>
              </w:rPr>
              <w:t>(In Thousands, Except Per Share Data)</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4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Products and services revenues</w:t>
            </w:r>
          </w:p>
        </w:tc>
        <w:tc>
          <w:tcPr>
            <w:tcW w:w="8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1,142,218</w:t>
            </w:r>
          </w:p>
        </w:tc>
        <w:tc>
          <w:tcPr>
            <w:tcW w:w="1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1,022,487</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3,024,300</w:t>
            </w:r>
          </w:p>
        </w:tc>
        <w:tc>
          <w:tcPr>
            <w:tcW w:w="1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2,811,646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Freight revenues</w:t>
            </w:r>
          </w:p>
        </w:tc>
        <w:tc>
          <w:tcPr>
            <w:tcW w:w="5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77,422</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65,245</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199,747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183,470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Revenues</w:t>
            </w:r>
          </w:p>
        </w:tc>
        <w:tc>
          <w:tcPr>
            <w:tcW w:w="5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1,219,640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1,087,732</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3,224,047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2,995,116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 - products and services</w:t>
            </w: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828,110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730,459</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2,282,159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2,097,272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 - freight</w:t>
            </w:r>
          </w:p>
        </w:tc>
        <w:tc>
          <w:tcPr>
            <w:tcW w:w="5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78,546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65,595</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202,595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185,006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Cost of Revenues</w:t>
            </w:r>
          </w:p>
        </w:tc>
        <w:tc>
          <w:tcPr>
            <w:tcW w:w="5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906,656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796,054</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2,484,754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2,282,278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312,984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291,678</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739,293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712,838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&amp; administrative expenses</w:t>
            </w: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68,441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57,219</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209,632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195,127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Acquisition-related expenses, net</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12,925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Other operating expenses (income), net</w:t>
            </w: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6,181</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(26,960)</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Earnings from Operations</w:t>
            </w:r>
          </w:p>
        </w:tc>
        <w:tc>
          <w:tcPr>
            <w:tcW w:w="5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240,662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226,964</w:t>
            </w:r>
          </w:p>
        </w:tc>
        <w:tc>
          <w:tcPr>
            <w:tcW w:w="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543,696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516,967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9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Interest expense</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35,468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23,141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103,526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68,037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Other nonoperating income, net</w:t>
            </w: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(4,248)</w:t>
            </w: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(479)</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(19,873)</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Earnings before income tax expense</w:t>
            </w:r>
          </w:p>
        </w:tc>
        <w:tc>
          <w:tcPr>
            <w:tcW w:w="5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209,442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204,302</w:t>
            </w:r>
          </w:p>
        </w:tc>
        <w:tc>
          <w:tcPr>
            <w:tcW w:w="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460,043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455,364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5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29,089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52,763</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84,147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gridSpan w:val="2"/>
          </w:tcPr>
          <w:p>
            <w:pPr>
              <w:spacing w:after="0"/>
              <w:rPr>
                <w:sz w:val="20"/>
                <w:szCs w:val="20"/>
                <w:color w:val="auto"/>
              </w:rPr>
            </w:pPr>
            <w:r>
              <w:rPr>
                <w:rFonts w:ascii="Arial" w:cs="Arial" w:eastAsia="Arial" w:hAnsi="Arial"/>
                <w:sz w:val="18"/>
                <w:szCs w:val="18"/>
                <w:color w:val="auto"/>
              </w:rPr>
              <w:t>Consolidated net earnings</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180,353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151,539</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375,896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336,087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Less: Net earnings (loss) attributable to noncontrolling</w:t>
            </w: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interests</w:t>
            </w: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63"/>
        </w:trPr>
        <w:tc>
          <w:tcPr>
            <w:tcW w:w="4920" w:type="dxa"/>
            <w:vAlign w:val="bottom"/>
            <w:gridSpan w:val="2"/>
          </w:tcPr>
          <w:p>
            <w:pPr>
              <w:spacing w:after="0"/>
              <w:rPr>
                <w:sz w:val="20"/>
                <w:szCs w:val="20"/>
                <w:color w:val="auto"/>
              </w:rPr>
            </w:pPr>
            <w:r>
              <w:rPr>
                <w:rFonts w:ascii="Arial" w:cs="Arial" w:eastAsia="Arial" w:hAnsi="Arial"/>
                <w:sz w:val="18"/>
                <w:szCs w:val="18"/>
                <w:color w:val="auto"/>
              </w:rPr>
              <w:t>Net Earnings Attributable to Martin Marietta Materials, Inc.</w:t>
            </w:r>
          </w:p>
        </w:tc>
        <w:tc>
          <w:tcPr>
            <w:tcW w:w="5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180,221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151,546</w:t>
            </w:r>
          </w:p>
        </w:tc>
        <w:tc>
          <w:tcPr>
            <w:tcW w:w="2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375,621</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336,159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Consolidated Comprehensive Earnings: (See Note 1)</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Earnings attributable to Martin Marietta Materials, Inc.</w:t>
            </w:r>
          </w:p>
        </w:tc>
        <w:tc>
          <w:tcPr>
            <w:tcW w:w="8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184,613</w:t>
            </w:r>
          </w:p>
        </w:tc>
        <w:tc>
          <w:tcPr>
            <w:tcW w:w="1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154,524</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383,234</w:t>
            </w:r>
          </w:p>
        </w:tc>
        <w:tc>
          <w:tcPr>
            <w:tcW w:w="1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343,918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Pr>
          <w:p>
            <w:pPr>
              <w:ind w:left="240"/>
              <w:spacing w:after="0"/>
              <w:rPr>
                <w:sz w:val="20"/>
                <w:szCs w:val="20"/>
                <w:color w:val="auto"/>
              </w:rPr>
            </w:pPr>
            <w:r>
              <w:rPr>
                <w:rFonts w:ascii="Arial" w:cs="Arial" w:eastAsia="Arial" w:hAnsi="Arial"/>
                <w:sz w:val="18"/>
                <w:szCs w:val="18"/>
                <w:color w:val="auto"/>
              </w:rPr>
              <w:t>Earnings (Loss) attributable to noncontrolling interests</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184,745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154,525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383,510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343,856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Net Earnings Attributable to Martin Marietta Materials, Inc.</w:t>
            </w:r>
          </w:p>
        </w:tc>
        <w:tc>
          <w:tcPr>
            <w:tcW w:w="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Per Common Share:</w:t>
            </w: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9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Basic attributable to common shareholders</w:t>
            </w:r>
          </w:p>
        </w:tc>
        <w:tc>
          <w:tcPr>
            <w:tcW w:w="58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14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28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1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Diluted attributable to common shareholders</w:t>
            </w:r>
          </w:p>
        </w:tc>
        <w:tc>
          <w:tcPr>
            <w:tcW w:w="5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Outstanding:</w:t>
            </w: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Basic</w:t>
            </w:r>
          </w:p>
        </w:tc>
        <w:tc>
          <w:tcPr>
            <w:tcW w:w="58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62,932</w:t>
            </w:r>
          </w:p>
        </w:tc>
        <w:tc>
          <w:tcPr>
            <w:tcW w:w="14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62,896</w:t>
            </w:r>
          </w:p>
        </w:tc>
        <w:tc>
          <w:tcPr>
            <w:tcW w:w="28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62,970</w:t>
            </w:r>
          </w:p>
        </w:tc>
        <w:tc>
          <w:tcPr>
            <w:tcW w:w="1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62,940</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5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63,167</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63,158</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63,224</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63,218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Cash Dividends Per Common Share</w:t>
            </w:r>
          </w:p>
        </w:tc>
        <w:tc>
          <w:tcPr>
            <w:tcW w:w="8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1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0.44</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CASH FLOWS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80" w:type="dxa"/>
            <w:vAlign w:val="bottom"/>
            <w:gridSpan w:val="3"/>
          </w:tcPr>
          <w:p>
            <w:pPr>
              <w:jc w:val="center"/>
              <w:ind w:left="630"/>
              <w:spacing w:after="0"/>
              <w:rPr>
                <w:sz w:val="20"/>
                <w:szCs w:val="20"/>
                <w:color w:val="auto"/>
              </w:rPr>
            </w:pPr>
            <w:r>
              <w:rPr>
                <w:rFonts w:ascii="Arial" w:cs="Arial" w:eastAsia="Arial" w:hAnsi="Arial"/>
                <w:sz w:val="18"/>
                <w:szCs w:val="18"/>
                <w:color w:val="auto"/>
                <w:w w:val="93"/>
              </w:rPr>
              <w:t>Nine-Months Ended</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color w:val="auto"/>
                <w:w w:val="88"/>
              </w:rPr>
              <w:t>September 30,</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2018</w:t>
            </w: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0" w:type="dxa"/>
            <w:vAlign w:val="bottom"/>
            <w:gridSpan w:val="4"/>
          </w:tcPr>
          <w:p>
            <w:pPr>
              <w:jc w:val="center"/>
              <w:ind w:right="310"/>
              <w:spacing w:after="0"/>
              <w:rPr>
                <w:sz w:val="20"/>
                <w:szCs w:val="20"/>
                <w:color w:val="auto"/>
              </w:rPr>
            </w:pPr>
            <w:r>
              <w:rPr>
                <w:rFonts w:ascii="Arial" w:cs="Arial" w:eastAsia="Arial" w:hAnsi="Arial"/>
                <w:sz w:val="18"/>
                <w:szCs w:val="18"/>
                <w:i w:val="1"/>
                <w:iCs w:val="1"/>
                <w:color w:val="auto"/>
                <w:w w:val="92"/>
              </w:rPr>
              <w:t>(Dollars 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Consolidated net earnings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375,896</w:t>
            </w:r>
          </w:p>
        </w:tc>
        <w:tc>
          <w:tcPr>
            <w:tcW w:w="280" w:type="dxa"/>
            <w:vAlign w:val="bottom"/>
          </w:tcPr>
          <w:p>
            <w:pPr>
              <w:spacing w:after="0"/>
              <w:rPr>
                <w:sz w:val="19"/>
                <w:szCs w:val="19"/>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336,087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consolidated net earnings to net cash</w:t>
            </w: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provided by operating activities:</w:t>
            </w:r>
          </w:p>
        </w:tc>
        <w:tc>
          <w:tcPr>
            <w:tcW w:w="3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Depreciation, depletion and amortization</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253,200</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221,418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 expense</w:t>
            </w: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23,084</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Gain on divestitures and sales of assets</w:t>
            </w:r>
          </w:p>
        </w:tc>
        <w:tc>
          <w:tcPr>
            <w:tcW w:w="38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(35,167)</w:t>
            </w:r>
          </w:p>
        </w:tc>
        <w:tc>
          <w:tcPr>
            <w:tcW w:w="6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(17,970)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income taxes</w:t>
            </w: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68,833</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Other items, net</w:t>
            </w:r>
          </w:p>
        </w:tc>
        <w:tc>
          <w:tcPr>
            <w:tcW w:w="38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(2,107)</w:t>
            </w:r>
          </w:p>
        </w:tc>
        <w:tc>
          <w:tcPr>
            <w:tcW w:w="6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(9,894)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Changes in operating assets and liabilities, net of effects of acquisitions</w:t>
            </w: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and divestitures:</w:t>
            </w:r>
          </w:p>
        </w:tc>
        <w:tc>
          <w:tcPr>
            <w:tcW w:w="3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480"/>
              <w:spacing w:after="0"/>
              <w:rPr>
                <w:sz w:val="20"/>
                <w:szCs w:val="20"/>
                <w:color w:val="auto"/>
              </w:rPr>
            </w:pPr>
            <w:r>
              <w:rPr>
                <w:rFonts w:ascii="Arial" w:cs="Arial" w:eastAsia="Arial" w:hAnsi="Arial"/>
                <w:sz w:val="18"/>
                <w:szCs w:val="18"/>
                <w:color w:val="auto"/>
              </w:rPr>
              <w:t>Accounts receivable, net</w:t>
            </w:r>
          </w:p>
        </w:tc>
        <w:tc>
          <w:tcPr>
            <w:tcW w:w="38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(132,176)</w:t>
            </w:r>
          </w:p>
        </w:tc>
        <w:tc>
          <w:tcPr>
            <w:tcW w:w="6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(124,622)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Inventories, net</w:t>
            </w:r>
          </w:p>
        </w:tc>
        <w:tc>
          <w:tcPr>
            <w:tcW w:w="3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(8,015)</w:t>
            </w:r>
          </w:p>
        </w:tc>
        <w:tc>
          <w:tcPr>
            <w:tcW w:w="6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(54,804)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42,995</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 assets and liabilities, net</w:t>
            </w:r>
          </w:p>
        </w:tc>
        <w:tc>
          <w:tcPr>
            <w:tcW w:w="3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(145,005)</w:t>
            </w:r>
          </w:p>
        </w:tc>
        <w:tc>
          <w:tcPr>
            <w:tcW w:w="6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441,538</w:t>
            </w:r>
          </w:p>
        </w:tc>
        <w:tc>
          <w:tcPr>
            <w:tcW w:w="2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5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Additions to property, plant and equipment</w:t>
            </w:r>
          </w:p>
        </w:tc>
        <w:tc>
          <w:tcPr>
            <w:tcW w:w="3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(262,155)</w:t>
            </w:r>
          </w:p>
        </w:tc>
        <w:tc>
          <w:tcPr>
            <w:tcW w:w="6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(308,745)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Acquisitions, net</w:t>
            </w:r>
          </w:p>
        </w:tc>
        <w:tc>
          <w:tcPr>
            <w:tcW w:w="38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(1,640,698)</w:t>
            </w:r>
          </w:p>
        </w:tc>
        <w:tc>
          <w:tcPr>
            <w:tcW w:w="6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(7,200)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divestitures and sales of assets</w:t>
            </w: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63,460</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Payment of railcar construction advances</w:t>
            </w:r>
          </w:p>
        </w:tc>
        <w:tc>
          <w:tcPr>
            <w:tcW w:w="38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(56,033)</w:t>
            </w:r>
          </w:p>
        </w:tc>
        <w:tc>
          <w:tcPr>
            <w:tcW w:w="6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(42,954)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Reimbursement of railcar construction advances</w:t>
            </w: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56,033</w:t>
            </w: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Investments in life insurance contracts, net</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28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for Investing Activities</w:t>
            </w:r>
          </w:p>
        </w:tc>
        <w:tc>
          <w:tcPr>
            <w:tcW w:w="3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(1,838,622)</w:t>
            </w:r>
          </w:p>
        </w:tc>
        <w:tc>
          <w:tcPr>
            <w:tcW w:w="28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(284,555)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2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Borrowings of debt</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875,000</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1,011,244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Repayments of debt</w:t>
            </w:r>
          </w:p>
        </w:tc>
        <w:tc>
          <w:tcPr>
            <w:tcW w:w="3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(695,039)</w:t>
            </w:r>
          </w:p>
        </w:tc>
        <w:tc>
          <w:tcPr>
            <w:tcW w:w="6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(975,035)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Payments of deferred acquisition consideration</w:t>
            </w:r>
          </w:p>
        </w:tc>
        <w:tc>
          <w:tcPr>
            <w:tcW w:w="38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(6,707)</w:t>
            </w: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Payments on capital lease obligations</w:t>
            </w:r>
          </w:p>
        </w:tc>
        <w:tc>
          <w:tcPr>
            <w:tcW w:w="3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(2,589)</w:t>
            </w:r>
          </w:p>
        </w:tc>
        <w:tc>
          <w:tcPr>
            <w:tcW w:w="6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Debt issuance costs</w:t>
            </w:r>
          </w:p>
        </w:tc>
        <w:tc>
          <w:tcPr>
            <w:tcW w:w="38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(3,194)</w:t>
            </w:r>
          </w:p>
        </w:tc>
        <w:tc>
          <w:tcPr>
            <w:tcW w:w="6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bank overdraft</w:t>
            </w:r>
          </w:p>
        </w:tc>
        <w:tc>
          <w:tcPr>
            <w:tcW w:w="3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Contributions by owners of noncontrolling interest</w:t>
            </w:r>
          </w:p>
        </w:tc>
        <w:tc>
          <w:tcPr>
            <w:tcW w:w="38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Dividends paid</w:t>
            </w:r>
          </w:p>
        </w:tc>
        <w:tc>
          <w:tcPr>
            <w:tcW w:w="3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(86,190)</w:t>
            </w:r>
          </w:p>
        </w:tc>
        <w:tc>
          <w:tcPr>
            <w:tcW w:w="6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(80,961)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Proceeds from exercise of stock options</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6,993</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Shares withheld for employees' income tax obligations</w:t>
            </w:r>
          </w:p>
        </w:tc>
        <w:tc>
          <w:tcPr>
            <w:tcW w:w="3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(10,416)</w:t>
            </w:r>
          </w:p>
        </w:tc>
        <w:tc>
          <w:tcPr>
            <w:tcW w:w="6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(10,213)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240"/>
              <w:spacing w:after="0"/>
              <w:rPr>
                <w:sz w:val="20"/>
                <w:szCs w:val="20"/>
                <w:color w:val="auto"/>
              </w:rPr>
            </w:pPr>
            <w:r>
              <w:rPr>
                <w:rFonts w:ascii="Arial" w:cs="Arial" w:eastAsia="Arial" w:hAnsi="Arial"/>
                <w:sz w:val="18"/>
                <w:szCs w:val="18"/>
                <w:color w:val="auto"/>
              </w:rPr>
              <w:t>Purchase of remaining interest in existing joint venture</w:t>
            </w:r>
          </w:p>
        </w:tc>
        <w:tc>
          <w:tcPr>
            <w:tcW w:w="38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(12,800)</w:t>
            </w:r>
          </w:p>
        </w:tc>
        <w:tc>
          <w:tcPr>
            <w:tcW w:w="64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Repurchases of common stock</w:t>
            </w:r>
          </w:p>
        </w:tc>
        <w:tc>
          <w:tcPr>
            <w:tcW w:w="3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(60,377)</w:t>
            </w:r>
          </w:p>
        </w:tc>
        <w:tc>
          <w:tcPr>
            <w:tcW w:w="6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(99,999)</w:t>
            </w: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Arial" w:cs="Arial" w:eastAsia="Arial" w:hAnsi="Arial"/>
                <w:sz w:val="18"/>
                <w:szCs w:val="18"/>
                <w:color w:val="auto"/>
              </w:rPr>
              <w:t>Net Cash Provided by (Used for) Financing Activities</w:t>
            </w:r>
          </w:p>
        </w:tc>
        <w:tc>
          <w:tcPr>
            <w:tcW w:w="3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4,681</w:t>
            </w:r>
          </w:p>
        </w:tc>
        <w:tc>
          <w:tcPr>
            <w:tcW w:w="2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(148,386)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 Cash and Cash Equivalents</w:t>
            </w:r>
          </w:p>
        </w:tc>
        <w:tc>
          <w:tcPr>
            <w:tcW w:w="38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(1,392,403)</w:t>
            </w:r>
          </w:p>
        </w:tc>
        <w:tc>
          <w:tcPr>
            <w:tcW w:w="28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(14,819)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1,446,364</w:t>
            </w:r>
          </w:p>
        </w:tc>
        <w:tc>
          <w:tcPr>
            <w:tcW w:w="28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50,038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53,961</w:t>
            </w:r>
          </w:p>
        </w:tc>
        <w:tc>
          <w:tcPr>
            <w:tcW w:w="28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35,219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MARTIN MARIETTA MATERIALS, INC. AND CONSOLIDATED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TOTAL EQUITY</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Shares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Additional</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Common</w:t>
            </w:r>
          </w:p>
        </w:tc>
        <w:tc>
          <w:tcPr>
            <w:tcW w:w="6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w w:val="93"/>
              </w:rPr>
              <w:t>Common</w:t>
            </w:r>
          </w:p>
        </w:tc>
        <w:tc>
          <w:tcPr>
            <w:tcW w:w="60" w:type="dxa"/>
            <w:vAlign w:val="bottom"/>
          </w:tcPr>
          <w:p>
            <w:pPr>
              <w:spacing w:after="0"/>
              <w:rPr>
                <w:sz w:val="18"/>
                <w:szCs w:val="18"/>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Paid-</w:t>
            </w:r>
          </w:p>
        </w:tc>
        <w:tc>
          <w:tcPr>
            <w:tcW w:w="60" w:type="dxa"/>
            <w:vAlign w:val="bottom"/>
          </w:tcPr>
          <w:p>
            <w:pPr>
              <w:spacing w:after="0"/>
              <w:rPr>
                <w:sz w:val="18"/>
                <w:szCs w:val="18"/>
                <w:color w:val="auto"/>
              </w:rPr>
            </w:pPr>
          </w:p>
        </w:tc>
        <w:tc>
          <w:tcPr>
            <w:tcW w:w="1640" w:type="dxa"/>
            <w:vAlign w:val="bottom"/>
            <w:gridSpan w:val="3"/>
          </w:tcPr>
          <w:p>
            <w:pPr>
              <w:jc w:val="right"/>
              <w:ind w:right="180"/>
              <w:spacing w:after="0"/>
              <w:rPr>
                <w:sz w:val="20"/>
                <w:szCs w:val="20"/>
                <w:color w:val="auto"/>
              </w:rPr>
            </w:pPr>
            <w:r>
              <w:rPr>
                <w:rFonts w:ascii="Arial" w:cs="Arial" w:eastAsia="Arial" w:hAnsi="Arial"/>
                <w:sz w:val="18"/>
                <w:szCs w:val="18"/>
                <w:color w:val="auto"/>
                <w:w w:val="93"/>
              </w:rPr>
              <w:t>Accumulated Other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85"/>
              </w:rPr>
              <w:t>Retained</w:t>
            </w:r>
          </w:p>
        </w:tc>
        <w:tc>
          <w:tcPr>
            <w:tcW w:w="1140" w:type="dxa"/>
            <w:vAlign w:val="bottom"/>
            <w:gridSpan w:val="4"/>
          </w:tcPr>
          <w:p>
            <w:pPr>
              <w:ind w:left="60"/>
              <w:spacing w:after="0"/>
              <w:rPr>
                <w:sz w:val="20"/>
                <w:szCs w:val="20"/>
                <w:color w:val="auto"/>
              </w:rPr>
            </w:pPr>
            <w:r>
              <w:rPr>
                <w:rFonts w:ascii="Arial" w:cs="Arial" w:eastAsia="Arial" w:hAnsi="Arial"/>
                <w:sz w:val="18"/>
                <w:szCs w:val="18"/>
                <w:color w:val="auto"/>
                <w:w w:val="95"/>
              </w:rPr>
              <w:t>Shareholders'</w:t>
            </w:r>
          </w:p>
        </w:tc>
        <w:tc>
          <w:tcPr>
            <w:tcW w:w="1580" w:type="dxa"/>
            <w:vAlign w:val="bottom"/>
            <w:gridSpan w:val="4"/>
          </w:tcPr>
          <w:p>
            <w:pPr>
              <w:ind w:left="60"/>
              <w:spacing w:after="0"/>
              <w:rPr>
                <w:sz w:val="20"/>
                <w:szCs w:val="20"/>
                <w:color w:val="auto"/>
              </w:rPr>
            </w:pPr>
            <w:r>
              <w:rPr>
                <w:rFonts w:ascii="Arial" w:cs="Arial" w:eastAsia="Arial" w:hAnsi="Arial"/>
                <w:sz w:val="18"/>
                <w:szCs w:val="18"/>
                <w:color w:val="auto"/>
              </w:rPr>
              <w:t>Noncontrolling</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2220" w:type="dxa"/>
            <w:vAlign w:val="bottom"/>
            <w:gridSpan w:val="3"/>
          </w:tcPr>
          <w:p>
            <w:pPr>
              <w:spacing w:after="0"/>
              <w:rPr>
                <w:sz w:val="20"/>
                <w:szCs w:val="20"/>
                <w:color w:val="auto"/>
              </w:rPr>
            </w:pPr>
            <w:r>
              <w:rPr>
                <w:rFonts w:ascii="Arial" w:cs="Arial" w:eastAsia="Arial" w:hAnsi="Arial"/>
                <w:sz w:val="18"/>
                <w:szCs w:val="18"/>
                <w:i w:val="1"/>
                <w:iCs w:val="1"/>
                <w:color w:val="auto"/>
              </w:rPr>
              <w:t>(in thousands)</w:t>
            </w:r>
          </w:p>
        </w:tc>
        <w:tc>
          <w:tcPr>
            <w:tcW w:w="8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Stock</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Stock</w:t>
            </w:r>
          </w:p>
        </w:tc>
        <w:tc>
          <w:tcPr>
            <w:tcW w:w="60" w:type="dxa"/>
            <w:vAlign w:val="bottom"/>
          </w:tcPr>
          <w:p>
            <w:pPr>
              <w:spacing w:after="0"/>
              <w:rPr>
                <w:sz w:val="20"/>
                <w:szCs w:val="20"/>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in Capital</w:t>
            </w:r>
          </w:p>
        </w:tc>
        <w:tc>
          <w:tcPr>
            <w:tcW w:w="1700" w:type="dxa"/>
            <w:vAlign w:val="bottom"/>
            <w:gridSpan w:val="4"/>
          </w:tcPr>
          <w:p>
            <w:pPr>
              <w:ind w:left="60"/>
              <w:spacing w:after="0"/>
              <w:rPr>
                <w:sz w:val="20"/>
                <w:szCs w:val="20"/>
                <w:color w:val="auto"/>
              </w:rPr>
            </w:pPr>
            <w:r>
              <w:rPr>
                <w:rFonts w:ascii="Arial" w:cs="Arial" w:eastAsia="Arial" w:hAnsi="Arial"/>
                <w:sz w:val="18"/>
                <w:szCs w:val="18"/>
                <w:color w:val="auto"/>
                <w:w w:val="95"/>
              </w:rPr>
              <w:t>Comprehensive Loss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Earnings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Equity</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w w:val="98"/>
              </w:rPr>
              <w:t>Interests</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8"/>
              </w:rPr>
              <w:t>Balance at December 31,</w:t>
            </w:r>
          </w:p>
        </w:tc>
        <w:tc>
          <w:tcPr>
            <w:tcW w:w="18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18"/>
                <w:szCs w:val="18"/>
                <w:color w:val="auto"/>
              </w:rPr>
              <w:t>2016</w:t>
            </w: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63,176</w:t>
            </w:r>
          </w:p>
        </w:tc>
        <w:tc>
          <w:tcPr>
            <w:tcW w:w="12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2"/>
              </w:rPr>
              <w:t>$ 3,334,461</w:t>
            </w:r>
          </w:p>
        </w:tc>
        <w:tc>
          <w:tcPr>
            <w:tcW w:w="100" w:type="dxa"/>
            <w:vAlign w:val="bottom"/>
            <w:shd w:val="clear" w:color="auto" w:fill="CFF0FC"/>
          </w:tcPr>
          <w:p>
            <w:pPr>
              <w:spacing w:after="0"/>
              <w:rPr>
                <w:sz w:val="20"/>
                <w:szCs w:val="20"/>
                <w:color w:val="auto"/>
              </w:rPr>
            </w:pPr>
          </w:p>
        </w:tc>
        <w:tc>
          <w:tcPr>
            <w:tcW w:w="54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(130,687)</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935,574</w:t>
            </w:r>
          </w:p>
        </w:tc>
        <w:tc>
          <w:tcPr>
            <w:tcW w:w="120" w:type="dxa"/>
            <w:vAlign w:val="bottom"/>
            <w:shd w:val="clear" w:color="auto" w:fill="CFF0FC"/>
          </w:tcPr>
          <w:p>
            <w:pPr>
              <w:spacing w:after="0"/>
              <w:rPr>
                <w:sz w:val="20"/>
                <w:szCs w:val="20"/>
                <w:color w:val="auto"/>
              </w:rPr>
            </w:pP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4,139,978</w:t>
            </w:r>
          </w:p>
        </w:tc>
        <w:tc>
          <w:tcPr>
            <w:tcW w:w="120" w:type="dxa"/>
            <w:vAlign w:val="bottom"/>
            <w:shd w:val="clear" w:color="auto" w:fill="CFF0FC"/>
          </w:tcPr>
          <w:p>
            <w:pPr>
              <w:spacing w:after="0"/>
              <w:rPr>
                <w:sz w:val="20"/>
                <w:szCs w:val="20"/>
                <w:color w:val="auto"/>
              </w:rPr>
            </w:pPr>
          </w:p>
        </w:tc>
        <w:tc>
          <w:tcPr>
            <w:tcW w:w="22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2,612</w:t>
            </w:r>
          </w:p>
        </w:tc>
        <w:tc>
          <w:tcPr>
            <w:tcW w:w="4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$ 4,142,590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gridSpan w:val="2"/>
          </w:tcPr>
          <w:p>
            <w:pPr>
              <w:ind w:left="240"/>
              <w:spacing w:after="0"/>
              <w:rPr>
                <w:sz w:val="20"/>
                <w:szCs w:val="20"/>
                <w:color w:val="auto"/>
              </w:rPr>
            </w:pPr>
            <w:r>
              <w:rPr>
                <w:rFonts w:ascii="Arial" w:cs="Arial" w:eastAsia="Arial" w:hAnsi="Arial"/>
                <w:sz w:val="18"/>
                <w:szCs w:val="18"/>
                <w:color w:val="auto"/>
              </w:rPr>
              <w:t>Consolidated net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gridSpan w:val="2"/>
          </w:tcPr>
          <w:p>
            <w:pPr>
              <w:ind w:left="240"/>
              <w:spacing w:after="0"/>
              <w:rPr>
                <w:sz w:val="20"/>
                <w:szCs w:val="20"/>
                <w:color w:val="auto"/>
              </w:rPr>
            </w:pPr>
            <w:r>
              <w:rPr>
                <w:rFonts w:ascii="Arial" w:cs="Arial" w:eastAsia="Arial" w:hAnsi="Arial"/>
                <w:sz w:val="18"/>
                <w:szCs w:val="18"/>
                <w:color w:val="auto"/>
              </w:rPr>
              <w:t>earnings</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336,159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336,159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(72)</w:t>
            </w:r>
          </w:p>
        </w:tc>
        <w:tc>
          <w:tcPr>
            <w:tcW w:w="840" w:type="dxa"/>
            <w:vAlign w:val="bottom"/>
          </w:tcPr>
          <w:p>
            <w:pPr>
              <w:jc w:val="right"/>
              <w:spacing w:after="0"/>
              <w:rPr>
                <w:sz w:val="20"/>
                <w:szCs w:val="20"/>
                <w:color w:val="auto"/>
              </w:rPr>
            </w:pPr>
            <w:r>
              <w:rPr>
                <w:rFonts w:ascii="Arial" w:cs="Arial" w:eastAsia="Arial" w:hAnsi="Arial"/>
                <w:sz w:val="18"/>
                <w:szCs w:val="18"/>
                <w:color w:val="auto"/>
              </w:rPr>
              <w:t>336,087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comprehensive</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earnings,</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net of tax</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7,759</w:t>
            </w: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7,759</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4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00" w:type="dxa"/>
            <w:vAlign w:val="bottom"/>
            <w:gridSpan w:val="2"/>
          </w:tcPr>
          <w:p>
            <w:pPr>
              <w:ind w:left="240"/>
              <w:spacing w:after="0"/>
              <w:rPr>
                <w:sz w:val="20"/>
                <w:szCs w:val="20"/>
                <w:color w:val="auto"/>
              </w:rPr>
            </w:pPr>
            <w:r>
              <w:rPr>
                <w:rFonts w:ascii="Arial" w:cs="Arial" w:eastAsia="Arial" w:hAnsi="Arial"/>
                <w:sz w:val="18"/>
                <w:szCs w:val="18"/>
                <w:color w:val="auto"/>
              </w:rPr>
              <w:t>Dividends declared</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(80,961)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(80,961)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(80,961)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Issuances of common</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stock for stock</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award plans</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14,798</w:t>
            </w: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14,800</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gridSpan w:val="2"/>
          </w:tcPr>
          <w:p>
            <w:pPr>
              <w:ind w:left="240"/>
              <w:spacing w:after="0"/>
              <w:rPr>
                <w:sz w:val="20"/>
                <w:szCs w:val="20"/>
                <w:color w:val="auto"/>
              </w:rPr>
            </w:pPr>
            <w:r>
              <w:rPr>
                <w:rFonts w:ascii="Arial" w:cs="Arial" w:eastAsia="Arial" w:hAnsi="Arial"/>
                <w:sz w:val="18"/>
                <w:szCs w:val="18"/>
                <w:color w:val="auto"/>
              </w:rPr>
              <w:t>Shares withheld for</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tcPr>
          <w:p>
            <w:pPr>
              <w:ind w:left="240"/>
              <w:spacing w:after="0"/>
              <w:rPr>
                <w:sz w:val="20"/>
                <w:szCs w:val="20"/>
                <w:color w:val="auto"/>
              </w:rPr>
            </w:pPr>
            <w:r>
              <w:rPr>
                <w:rFonts w:ascii="Arial" w:cs="Arial" w:eastAsia="Arial" w:hAnsi="Arial"/>
                <w:sz w:val="18"/>
                <w:szCs w:val="18"/>
                <w:color w:val="auto"/>
              </w:rPr>
              <w:t>employees' income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gridSpan w:val="2"/>
          </w:tcPr>
          <w:p>
            <w:pPr>
              <w:ind w:left="360"/>
              <w:spacing w:after="0"/>
              <w:rPr>
                <w:sz w:val="20"/>
                <w:szCs w:val="20"/>
                <w:color w:val="auto"/>
              </w:rPr>
            </w:pPr>
            <w:r>
              <w:rPr>
                <w:rFonts w:ascii="Arial" w:cs="Arial" w:eastAsia="Arial" w:hAnsi="Arial"/>
                <w:sz w:val="18"/>
                <w:szCs w:val="18"/>
                <w:color w:val="auto"/>
              </w:rPr>
              <w:t>tax obligations</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(10,213)</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(10,213)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(10,213)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Repurchases of</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common stock</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(458)</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c>
          <w:tcPr>
            <w:tcW w:w="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(99,994)</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(99,999)</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(99,999)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gridSpan w:val="2"/>
          </w:tcPr>
          <w:p>
            <w:pPr>
              <w:ind w:left="240"/>
              <w:spacing w:after="0"/>
              <w:rPr>
                <w:sz w:val="20"/>
                <w:szCs w:val="20"/>
                <w:color w:val="auto"/>
              </w:rPr>
            </w:pPr>
            <w:r>
              <w:rPr>
                <w:rFonts w:ascii="Arial" w:cs="Arial" w:eastAsia="Arial" w:hAnsi="Arial"/>
                <w:sz w:val="18"/>
                <w:szCs w:val="18"/>
                <w:color w:val="auto"/>
              </w:rPr>
              <w:t>Stock-based</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gridSpan w:val="2"/>
          </w:tcPr>
          <w:p>
            <w:pPr>
              <w:ind w:left="240"/>
              <w:spacing w:after="0"/>
              <w:rPr>
                <w:sz w:val="20"/>
                <w:szCs w:val="20"/>
                <w:color w:val="auto"/>
              </w:rPr>
            </w:pPr>
            <w:r>
              <w:rPr>
                <w:rFonts w:ascii="Arial" w:cs="Arial" w:eastAsia="Arial" w:hAnsi="Arial"/>
                <w:sz w:val="18"/>
                <w:szCs w:val="18"/>
                <w:color w:val="auto"/>
              </w:rPr>
              <w:t>compensation expense</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23,698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23,698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23,698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Contributions by</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owners of</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noncontrolling</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interest</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4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220" w:type="dxa"/>
            <w:vAlign w:val="bottom"/>
            <w:gridSpan w:val="3"/>
          </w:tcPr>
          <w:p>
            <w:pPr>
              <w:spacing w:after="0"/>
              <w:rPr>
                <w:sz w:val="20"/>
                <w:szCs w:val="20"/>
                <w:color w:val="auto"/>
              </w:rPr>
            </w:pPr>
            <w:r>
              <w:rPr>
                <w:rFonts w:ascii="Arial" w:cs="Arial" w:eastAsia="Arial" w:hAnsi="Arial"/>
                <w:sz w:val="18"/>
                <w:szCs w:val="18"/>
                <w:color w:val="auto"/>
              </w:rPr>
              <w:t>Balance at September 30,</w:t>
            </w: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40" w:type="dxa"/>
            <w:vAlign w:val="bottom"/>
            <w:gridSpan w:val="2"/>
          </w:tcPr>
          <w:p>
            <w:pPr>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62,859</w:t>
            </w:r>
          </w:p>
        </w:tc>
        <w:tc>
          <w:tcPr>
            <w:tcW w:w="12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2"/>
              </w:rPr>
              <w:t>$ 3,362,744</w:t>
            </w:r>
          </w:p>
        </w:tc>
        <w:tc>
          <w:tcPr>
            <w:tcW w:w="100" w:type="dxa"/>
            <w:vAlign w:val="bottom"/>
          </w:tcPr>
          <w:p>
            <w:pPr>
              <w:spacing w:after="0"/>
              <w:rPr>
                <w:sz w:val="23"/>
                <w:szCs w:val="23"/>
                <w:color w:val="auto"/>
              </w:rPr>
            </w:pP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(122,928)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1,090,778</w:t>
            </w:r>
          </w:p>
        </w:tc>
        <w:tc>
          <w:tcPr>
            <w:tcW w:w="120" w:type="dxa"/>
            <w:vAlign w:val="bottom"/>
          </w:tcPr>
          <w:p>
            <w:pPr>
              <w:spacing w:after="0"/>
              <w:rPr>
                <w:sz w:val="23"/>
                <w:szCs w:val="23"/>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4,331,221</w:t>
            </w:r>
          </w:p>
        </w:tc>
        <w:tc>
          <w:tcPr>
            <w:tcW w:w="120" w:type="dxa"/>
            <w:vAlign w:val="bottom"/>
          </w:tcPr>
          <w:p>
            <w:pPr>
              <w:spacing w:after="0"/>
              <w:rPr>
                <w:sz w:val="23"/>
                <w:szCs w:val="23"/>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2,761</w:t>
            </w:r>
          </w:p>
        </w:tc>
        <w:tc>
          <w:tcPr>
            <w:tcW w:w="4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$ 4,333,982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Balance at December 31,</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62,873</w:t>
            </w:r>
          </w:p>
        </w:tc>
        <w:tc>
          <w:tcPr>
            <w:tcW w:w="12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2"/>
              </w:rPr>
              <w:t>$ 3,368,007</w:t>
            </w:r>
          </w:p>
        </w:tc>
        <w:tc>
          <w:tcPr>
            <w:tcW w:w="100" w:type="dxa"/>
            <w:vAlign w:val="bottom"/>
          </w:tcPr>
          <w:p>
            <w:pPr>
              <w:spacing w:after="0"/>
              <w:rPr>
                <w:sz w:val="20"/>
                <w:szCs w:val="20"/>
                <w:color w:val="auto"/>
              </w:rPr>
            </w:pP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(129,104)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1,440,069</w:t>
            </w:r>
          </w:p>
        </w:tc>
        <w:tc>
          <w:tcPr>
            <w:tcW w:w="120" w:type="dxa"/>
            <w:vAlign w:val="bottom"/>
          </w:tcPr>
          <w:p>
            <w:pPr>
              <w:spacing w:after="0"/>
              <w:rPr>
                <w:sz w:val="20"/>
                <w:szCs w:val="20"/>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4,679,600</w:t>
            </w:r>
          </w:p>
        </w:tc>
        <w:tc>
          <w:tcPr>
            <w:tcW w:w="120" w:type="dxa"/>
            <w:vAlign w:val="bottom"/>
          </w:tcPr>
          <w:p>
            <w:pPr>
              <w:spacing w:after="0"/>
              <w:rPr>
                <w:sz w:val="20"/>
                <w:szCs w:val="20"/>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2,877</w:t>
            </w: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$ 4,682,477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Consolidated net</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earnings</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375,621</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375,621</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4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375,896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gridSpan w:val="2"/>
          </w:tcPr>
          <w:p>
            <w:pPr>
              <w:ind w:left="240"/>
              <w:spacing w:after="0"/>
              <w:rPr>
                <w:sz w:val="20"/>
                <w:szCs w:val="20"/>
                <w:color w:val="auto"/>
              </w:rPr>
            </w:pPr>
            <w:r>
              <w:rPr>
                <w:rFonts w:ascii="Arial" w:cs="Arial" w:eastAsia="Arial" w:hAnsi="Arial"/>
                <w:sz w:val="18"/>
                <w:szCs w:val="18"/>
                <w:color w:val="auto"/>
              </w:rPr>
              <w:t>Other comprehensive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tcPr>
          <w:p>
            <w:pPr>
              <w:ind w:left="240"/>
              <w:spacing w:after="0"/>
              <w:rPr>
                <w:sz w:val="20"/>
                <w:szCs w:val="20"/>
                <w:color w:val="auto"/>
              </w:rPr>
            </w:pPr>
            <w:r>
              <w:rPr>
                <w:rFonts w:ascii="Arial" w:cs="Arial" w:eastAsia="Arial" w:hAnsi="Arial"/>
                <w:sz w:val="18"/>
                <w:szCs w:val="18"/>
                <w:color w:val="auto"/>
              </w:rPr>
              <w:t>earnings,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gridSpan w:val="2"/>
          </w:tcPr>
          <w:p>
            <w:pPr>
              <w:ind w:left="360"/>
              <w:spacing w:after="0"/>
              <w:rPr>
                <w:sz w:val="20"/>
                <w:szCs w:val="20"/>
                <w:color w:val="auto"/>
              </w:rPr>
            </w:pPr>
            <w:r>
              <w:rPr>
                <w:rFonts w:ascii="Arial" w:cs="Arial" w:eastAsia="Arial" w:hAnsi="Arial"/>
                <w:sz w:val="18"/>
                <w:szCs w:val="18"/>
                <w:color w:val="auto"/>
              </w:rPr>
              <w:t>net of tax</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7,613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7,613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Dividends declared</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(86,190)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(86,190)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(86,190)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gridSpan w:val="2"/>
          </w:tcPr>
          <w:p>
            <w:pPr>
              <w:ind w:left="240"/>
              <w:spacing w:after="0"/>
              <w:rPr>
                <w:sz w:val="20"/>
                <w:szCs w:val="20"/>
                <w:color w:val="auto"/>
              </w:rPr>
            </w:pPr>
            <w:r>
              <w:rPr>
                <w:rFonts w:ascii="Arial" w:cs="Arial" w:eastAsia="Arial" w:hAnsi="Arial"/>
                <w:sz w:val="18"/>
                <w:szCs w:val="18"/>
                <w:color w:val="auto"/>
              </w:rPr>
              <w:t>Issuances of common</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tcPr>
          <w:p>
            <w:pPr>
              <w:ind w:left="240"/>
              <w:spacing w:after="0"/>
              <w:rPr>
                <w:sz w:val="20"/>
                <w:szCs w:val="20"/>
                <w:color w:val="auto"/>
              </w:rPr>
            </w:pPr>
            <w:r>
              <w:rPr>
                <w:rFonts w:ascii="Arial" w:cs="Arial" w:eastAsia="Arial" w:hAnsi="Arial"/>
                <w:sz w:val="18"/>
                <w:szCs w:val="18"/>
                <w:color w:val="auto"/>
              </w:rPr>
              <w:t>stock for stock</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gridSpan w:val="2"/>
          </w:tcPr>
          <w:p>
            <w:pPr>
              <w:ind w:left="360"/>
              <w:spacing w:after="0"/>
              <w:rPr>
                <w:sz w:val="20"/>
                <w:szCs w:val="20"/>
                <w:color w:val="auto"/>
              </w:rPr>
            </w:pPr>
            <w:r>
              <w:rPr>
                <w:rFonts w:ascii="Arial" w:cs="Arial" w:eastAsia="Arial" w:hAnsi="Arial"/>
                <w:sz w:val="18"/>
                <w:szCs w:val="18"/>
                <w:color w:val="auto"/>
              </w:rPr>
              <w:t>award plans</w:t>
            </w:r>
          </w:p>
        </w:tc>
        <w:tc>
          <w:tcPr>
            <w:tcW w:w="74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14,038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14,039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14,039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Shares withheld for</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employees' income</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tax obligations</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(10,416)</w:t>
            </w:r>
          </w:p>
        </w:tc>
        <w:tc>
          <w:tcPr>
            <w:tcW w:w="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(10,416)</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(10,416)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gridSpan w:val="2"/>
          </w:tcPr>
          <w:p>
            <w:pPr>
              <w:ind w:left="240"/>
              <w:spacing w:after="0"/>
              <w:rPr>
                <w:sz w:val="20"/>
                <w:szCs w:val="20"/>
                <w:color w:val="auto"/>
              </w:rPr>
            </w:pPr>
            <w:r>
              <w:rPr>
                <w:rFonts w:ascii="Arial" w:cs="Arial" w:eastAsia="Arial" w:hAnsi="Arial"/>
                <w:sz w:val="18"/>
                <w:szCs w:val="18"/>
                <w:color w:val="auto"/>
              </w:rPr>
              <w:t>Repurchases of</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gridSpan w:val="2"/>
          </w:tcPr>
          <w:p>
            <w:pPr>
              <w:ind w:left="240"/>
              <w:spacing w:after="0"/>
              <w:rPr>
                <w:sz w:val="20"/>
                <w:szCs w:val="20"/>
                <w:color w:val="auto"/>
              </w:rPr>
            </w:pPr>
            <w:r>
              <w:rPr>
                <w:rFonts w:ascii="Arial" w:cs="Arial" w:eastAsia="Arial" w:hAnsi="Arial"/>
                <w:sz w:val="18"/>
                <w:szCs w:val="18"/>
                <w:color w:val="auto"/>
              </w:rPr>
              <w:t>common stock</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(305)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(60,374)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(60,377)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(60,377)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Stock-based</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compensation expense</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23,084</w:t>
            </w: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23,084</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23,084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gridSpan w:val="2"/>
          </w:tcPr>
          <w:p>
            <w:pPr>
              <w:ind w:left="240"/>
              <w:spacing w:after="0"/>
              <w:rPr>
                <w:sz w:val="20"/>
                <w:szCs w:val="20"/>
                <w:color w:val="auto"/>
              </w:rPr>
            </w:pPr>
            <w:r>
              <w:rPr>
                <w:rFonts w:ascii="Arial" w:cs="Arial" w:eastAsia="Arial" w:hAnsi="Arial"/>
                <w:sz w:val="18"/>
                <w:szCs w:val="18"/>
                <w:color w:val="auto"/>
              </w:rPr>
              <w:t>Noncontrolling interest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tcPr>
          <w:p>
            <w:pPr>
              <w:ind w:left="240"/>
              <w:spacing w:after="0"/>
              <w:rPr>
                <w:sz w:val="20"/>
                <w:szCs w:val="20"/>
                <w:color w:val="auto"/>
              </w:rPr>
            </w:pPr>
            <w:r>
              <w:rPr>
                <w:rFonts w:ascii="Arial" w:cs="Arial" w:eastAsia="Arial" w:hAnsi="Arial"/>
                <w:sz w:val="18"/>
                <w:szCs w:val="18"/>
                <w:color w:val="auto"/>
              </w:rPr>
              <w:t>acquired in</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gridSpan w:val="2"/>
          </w:tcPr>
          <w:p>
            <w:pPr>
              <w:ind w:left="360"/>
              <w:spacing w:after="0"/>
              <w:rPr>
                <w:sz w:val="20"/>
                <w:szCs w:val="20"/>
                <w:color w:val="auto"/>
              </w:rPr>
            </w:pPr>
            <w:r>
              <w:rPr>
                <w:rFonts w:ascii="Arial" w:cs="Arial" w:eastAsia="Arial" w:hAnsi="Arial"/>
                <w:sz w:val="18"/>
                <w:szCs w:val="18"/>
                <w:color w:val="auto"/>
              </w:rPr>
              <w:t>business combination</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9,001</w:t>
            </w: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Purchase of remaining</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interest in existing</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joint venture</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(3,580)</w:t>
            </w:r>
          </w:p>
        </w:tc>
        <w:tc>
          <w:tcPr>
            <w:tcW w:w="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(3,580)</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(9,220)</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(12,800)</w:t>
            </w:r>
          </w:p>
        </w:tc>
        <w:tc>
          <w:tcPr>
            <w:tcW w:w="0" w:type="dxa"/>
            <w:vAlign w:val="bottom"/>
          </w:tcPr>
          <w:p>
            <w:pPr>
              <w:spacing w:after="0"/>
              <w:rPr>
                <w:sz w:val="1"/>
                <w:szCs w:val="1"/>
                <w:color w:val="auto"/>
              </w:rPr>
            </w:pPr>
          </w:p>
        </w:tc>
      </w:tr>
      <w:tr>
        <w:trPr>
          <w:trHeight w:val="209"/>
        </w:trPr>
        <w:tc>
          <w:tcPr>
            <w:tcW w:w="2220" w:type="dxa"/>
            <w:vAlign w:val="bottom"/>
            <w:gridSpan w:val="3"/>
          </w:tcPr>
          <w:p>
            <w:pPr>
              <w:spacing w:after="0"/>
              <w:rPr>
                <w:sz w:val="20"/>
                <w:szCs w:val="20"/>
                <w:color w:val="auto"/>
              </w:rPr>
            </w:pPr>
            <w:r>
              <w:rPr>
                <w:rFonts w:ascii="Arial" w:cs="Arial" w:eastAsia="Arial" w:hAnsi="Arial"/>
                <w:sz w:val="18"/>
                <w:szCs w:val="18"/>
                <w:color w:val="auto"/>
              </w:rPr>
              <w:t>Balance at September 30,</w:t>
            </w: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62,712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3,391,133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(121,491)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1,669,126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4,939,394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2,934</w:t>
            </w: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$ 4,942,328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 to the consolidated financial statements.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6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2018</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15" w:lineRule="exact"/>
        <w:rPr>
          <w:sz w:val="20"/>
          <w:szCs w:val="20"/>
          <w:color w:val="auto"/>
        </w:rPr>
      </w:pPr>
    </w:p>
    <w:p>
      <w:pPr>
        <w:ind w:left="380" w:right="8420" w:hanging="372"/>
        <w:spacing w:after="0" w:line="355" w:lineRule="auto"/>
        <w:tabs>
          <w:tab w:leader="none" w:pos="378"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Organization</w:t>
      </w:r>
    </w:p>
    <w:p>
      <w:pPr>
        <w:jc w:val="both"/>
        <w:ind w:left="380"/>
        <w:spacing w:after="0" w:line="242" w:lineRule="auto"/>
        <w:rPr>
          <w:rFonts w:ascii="Arial" w:cs="Arial" w:eastAsia="Arial" w:hAnsi="Arial"/>
          <w:sz w:val="20"/>
          <w:szCs w:val="20"/>
          <w:b w:val="1"/>
          <w:bCs w:val="1"/>
          <w:color w:val="auto"/>
        </w:rPr>
      </w:pPr>
      <w:r>
        <w:rPr>
          <w:rFonts w:ascii="Arial" w:cs="Arial" w:eastAsia="Arial" w:hAnsi="Arial"/>
          <w:sz w:val="20"/>
          <w:szCs w:val="20"/>
          <w:color w:val="auto"/>
        </w:rPr>
        <w:t>Martin Marietta Materials, Inc. (the Company or Martin Marietta) is a natural resource-based building materials company. The Company supplies aggregates (crushed stone, sand and gravel) through its network of more than 300 quarries, mines and distribution yards to its customers in 30 states, Canada, the Bahamas and the Caribbean Islands. In the western United States, Martin Marietta also provides cement and downstream products, namely, ready mixed concrete, asphalt and paving services, in vertically-integrated structured markets where the Company has a leading aggregates position. The Company’s heavy-side building materials are used in infrastructure, nonresidential and residential construction projects. Aggregates are also used in agricultural, utility and environmental applications and as railroad ballast. The aggregates, cement, ready mixed concrete and asphalt and paving product lines are reported collectively as the “Building Materials” business.</w:t>
      </w:r>
    </w:p>
    <w:p>
      <w:pPr>
        <w:spacing w:after="0" w:line="89"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The Company’s Building Materials business includes three reportable segments: the Mid-America Group, the Southeast Group and the West Group.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BUILDING MATERIALS BUSINESS</w:t>
      </w:r>
    </w:p>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2580" w:type="dxa"/>
            <w:vAlign w:val="bottom"/>
            <w:tcBorders>
              <w:top w:val="single" w:sz="8" w:color="auto"/>
            </w:tcBorders>
            <w:gridSpan w:val="3"/>
          </w:tcPr>
          <w:p>
            <w:pPr>
              <w:spacing w:after="0"/>
              <w:rPr>
                <w:sz w:val="20"/>
                <w:szCs w:val="20"/>
                <w:color w:val="auto"/>
              </w:rPr>
            </w:pPr>
            <w:r>
              <w:rPr>
                <w:rFonts w:ascii="Arial" w:cs="Arial" w:eastAsia="Arial" w:hAnsi="Arial"/>
                <w:sz w:val="20"/>
                <w:szCs w:val="20"/>
                <w:color w:val="auto"/>
              </w:rPr>
              <w:t>Reportable Segments</w:t>
            </w:r>
          </w:p>
        </w:tc>
        <w:tc>
          <w:tcPr>
            <w:tcW w:w="304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20"/>
                <w:szCs w:val="20"/>
                <w:color w:val="auto"/>
                <w:w w:val="93"/>
              </w:rPr>
              <w:t>Mid-America Group</w:t>
            </w:r>
          </w:p>
        </w:tc>
        <w:tc>
          <w:tcPr>
            <w:tcW w:w="264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20"/>
                <w:szCs w:val="20"/>
                <w:color w:val="auto"/>
                <w:w w:val="88"/>
              </w:rPr>
              <w:t>Southeast Group</w:t>
            </w:r>
          </w:p>
        </w:tc>
        <w:tc>
          <w:tcPr>
            <w:tcW w:w="310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9"/>
              </w:rPr>
              <w:t>West Group</w:t>
            </w:r>
          </w:p>
        </w:tc>
      </w:tr>
      <w:tr>
        <w:trPr>
          <w:trHeight w:val="206"/>
        </w:trPr>
        <w:tc>
          <w:tcPr>
            <w:tcW w:w="20" w:type="dxa"/>
            <w:vAlign w:val="bottom"/>
          </w:tcPr>
          <w:p>
            <w:pPr>
              <w:spacing w:after="0"/>
              <w:rPr>
                <w:sz w:val="17"/>
                <w:szCs w:val="17"/>
                <w:color w:val="auto"/>
              </w:rPr>
            </w:pPr>
          </w:p>
        </w:tc>
        <w:tc>
          <w:tcPr>
            <w:tcW w:w="240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Operating Locations</w:t>
            </w:r>
          </w:p>
        </w:tc>
        <w:tc>
          <w:tcPr>
            <w:tcW w:w="160" w:type="dxa"/>
            <w:vAlign w:val="bottom"/>
          </w:tcPr>
          <w:p>
            <w:pPr>
              <w:spacing w:after="0"/>
              <w:rPr>
                <w:sz w:val="17"/>
                <w:szCs w:val="17"/>
                <w:color w:val="auto"/>
              </w:rPr>
            </w:pPr>
          </w:p>
        </w:tc>
        <w:tc>
          <w:tcPr>
            <w:tcW w:w="290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Indiana, Iowa, northern Kansas,</w:t>
            </w:r>
          </w:p>
        </w:tc>
        <w:tc>
          <w:tcPr>
            <w:tcW w:w="140" w:type="dxa"/>
            <w:vAlign w:val="bottom"/>
          </w:tcPr>
          <w:p>
            <w:pPr>
              <w:spacing w:after="0"/>
              <w:rPr>
                <w:sz w:val="17"/>
                <w:szCs w:val="17"/>
                <w:color w:val="auto"/>
              </w:rPr>
            </w:pPr>
          </w:p>
        </w:tc>
        <w:tc>
          <w:tcPr>
            <w:tcW w:w="246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1"/>
              </w:rPr>
              <w:t>Alabama, Florida, Georgia,</w:t>
            </w:r>
          </w:p>
        </w:tc>
        <w:tc>
          <w:tcPr>
            <w:tcW w:w="180" w:type="dxa"/>
            <w:vAlign w:val="bottom"/>
          </w:tcPr>
          <w:p>
            <w:pPr>
              <w:spacing w:after="0"/>
              <w:rPr>
                <w:sz w:val="17"/>
                <w:szCs w:val="17"/>
                <w:color w:val="auto"/>
              </w:rPr>
            </w:pPr>
          </w:p>
        </w:tc>
        <w:tc>
          <w:tcPr>
            <w:tcW w:w="310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8"/>
              </w:rPr>
              <w:t>Arkansas, Colorado, southern Kansas,</w:t>
            </w:r>
          </w:p>
        </w:tc>
      </w:tr>
      <w:tr>
        <w:trPr>
          <w:trHeight w:val="230"/>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40" w:type="dxa"/>
            <w:vAlign w:val="bottom"/>
            <w:gridSpan w:val="2"/>
          </w:tcPr>
          <w:p>
            <w:pPr>
              <w:jc w:val="center"/>
              <w:ind w:right="140"/>
              <w:spacing w:after="0"/>
              <w:rPr>
                <w:sz w:val="20"/>
                <w:szCs w:val="20"/>
                <w:color w:val="auto"/>
              </w:rPr>
            </w:pPr>
            <w:r>
              <w:rPr>
                <w:rFonts w:ascii="Arial" w:cs="Arial" w:eastAsia="Arial" w:hAnsi="Arial"/>
                <w:sz w:val="20"/>
                <w:szCs w:val="20"/>
                <w:color w:val="auto"/>
                <w:w w:val="92"/>
              </w:rPr>
              <w:t>Kentucky, Maryland, Minnesota,</w:t>
            </w:r>
          </w:p>
        </w:tc>
        <w:tc>
          <w:tcPr>
            <w:tcW w:w="2640" w:type="dxa"/>
            <w:vAlign w:val="bottom"/>
            <w:gridSpan w:val="2"/>
          </w:tcPr>
          <w:p>
            <w:pPr>
              <w:ind w:left="780"/>
              <w:spacing w:after="0"/>
              <w:rPr>
                <w:sz w:val="20"/>
                <w:szCs w:val="20"/>
                <w:color w:val="auto"/>
              </w:rPr>
            </w:pPr>
            <w:r>
              <w:rPr>
                <w:rFonts w:ascii="Arial" w:cs="Arial" w:eastAsia="Arial" w:hAnsi="Arial"/>
                <w:sz w:val="20"/>
                <w:szCs w:val="20"/>
                <w:color w:val="auto"/>
              </w:rPr>
              <w:t>Tennessee,</w:t>
            </w:r>
          </w:p>
        </w:tc>
        <w:tc>
          <w:tcPr>
            <w:tcW w:w="3100" w:type="dxa"/>
            <w:vAlign w:val="bottom"/>
          </w:tcPr>
          <w:p>
            <w:pPr>
              <w:jc w:val="center"/>
              <w:spacing w:after="0"/>
              <w:rPr>
                <w:sz w:val="20"/>
                <w:szCs w:val="20"/>
                <w:color w:val="auto"/>
              </w:rPr>
            </w:pPr>
            <w:r>
              <w:rPr>
                <w:rFonts w:ascii="Arial" w:cs="Arial" w:eastAsia="Arial" w:hAnsi="Arial"/>
                <w:sz w:val="20"/>
                <w:szCs w:val="20"/>
                <w:color w:val="auto"/>
                <w:w w:val="88"/>
              </w:rPr>
              <w:t>Louisiana, western Nebraska, Nevada,</w:t>
            </w:r>
          </w:p>
        </w:tc>
      </w:tr>
      <w:tr>
        <w:trPr>
          <w:trHeight w:val="230"/>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40" w:type="dxa"/>
            <w:vAlign w:val="bottom"/>
            <w:gridSpan w:val="2"/>
          </w:tcPr>
          <w:p>
            <w:pPr>
              <w:jc w:val="center"/>
              <w:ind w:right="160"/>
              <w:spacing w:after="0"/>
              <w:rPr>
                <w:sz w:val="20"/>
                <w:szCs w:val="20"/>
                <w:color w:val="auto"/>
              </w:rPr>
            </w:pPr>
            <w:r>
              <w:rPr>
                <w:rFonts w:ascii="Arial" w:cs="Arial" w:eastAsia="Arial" w:hAnsi="Arial"/>
                <w:sz w:val="20"/>
                <w:szCs w:val="20"/>
                <w:color w:val="auto"/>
                <w:w w:val="89"/>
              </w:rPr>
              <w:t>Missouri, eastern Nebraska, North</w:t>
            </w:r>
          </w:p>
        </w:tc>
        <w:tc>
          <w:tcPr>
            <w:tcW w:w="2640" w:type="dxa"/>
            <w:vAlign w:val="bottom"/>
            <w:gridSpan w:val="2"/>
          </w:tcPr>
          <w:p>
            <w:pPr>
              <w:jc w:val="center"/>
              <w:ind w:right="180"/>
              <w:spacing w:after="0"/>
              <w:rPr>
                <w:sz w:val="20"/>
                <w:szCs w:val="20"/>
                <w:color w:val="auto"/>
              </w:rPr>
            </w:pPr>
            <w:r>
              <w:rPr>
                <w:rFonts w:ascii="Arial" w:cs="Arial" w:eastAsia="Arial" w:hAnsi="Arial"/>
                <w:sz w:val="20"/>
                <w:szCs w:val="20"/>
                <w:color w:val="auto"/>
                <w:w w:val="88"/>
              </w:rPr>
              <w:t>Nova Scotia and the Bahamas</w:t>
            </w:r>
          </w:p>
        </w:tc>
        <w:tc>
          <w:tcPr>
            <w:tcW w:w="3100" w:type="dxa"/>
            <w:vAlign w:val="bottom"/>
          </w:tcPr>
          <w:p>
            <w:pPr>
              <w:jc w:val="center"/>
              <w:spacing w:after="0"/>
              <w:rPr>
                <w:sz w:val="20"/>
                <w:szCs w:val="20"/>
                <w:color w:val="auto"/>
              </w:rPr>
            </w:pPr>
            <w:r>
              <w:rPr>
                <w:rFonts w:ascii="Arial" w:cs="Arial" w:eastAsia="Arial" w:hAnsi="Arial"/>
                <w:sz w:val="20"/>
                <w:szCs w:val="20"/>
                <w:color w:val="auto"/>
                <w:w w:val="89"/>
              </w:rPr>
              <w:t>Oklahoma, Texas, Utah and Wyoming</w:t>
            </w:r>
          </w:p>
        </w:tc>
      </w:tr>
      <w:tr>
        <w:trPr>
          <w:trHeight w:val="230"/>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40" w:type="dxa"/>
            <w:vAlign w:val="bottom"/>
            <w:gridSpan w:val="2"/>
          </w:tcPr>
          <w:p>
            <w:pPr>
              <w:jc w:val="center"/>
              <w:ind w:right="140"/>
              <w:spacing w:after="0"/>
              <w:rPr>
                <w:sz w:val="20"/>
                <w:szCs w:val="20"/>
                <w:color w:val="auto"/>
              </w:rPr>
            </w:pPr>
            <w:r>
              <w:rPr>
                <w:rFonts w:ascii="Arial" w:cs="Arial" w:eastAsia="Arial" w:hAnsi="Arial"/>
                <w:sz w:val="20"/>
                <w:szCs w:val="20"/>
                <w:color w:val="auto"/>
                <w:w w:val="90"/>
              </w:rPr>
              <w:t>Carolina, Ohio, Pennsylvania,</w:t>
            </w:r>
          </w:p>
        </w:tc>
        <w:tc>
          <w:tcPr>
            <w:tcW w:w="2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40" w:type="dxa"/>
            <w:vAlign w:val="bottom"/>
            <w:gridSpan w:val="2"/>
          </w:tcPr>
          <w:p>
            <w:pPr>
              <w:jc w:val="center"/>
              <w:ind w:right="140"/>
              <w:spacing w:after="0"/>
              <w:rPr>
                <w:sz w:val="20"/>
                <w:szCs w:val="20"/>
                <w:color w:val="auto"/>
              </w:rPr>
            </w:pPr>
            <w:r>
              <w:rPr>
                <w:rFonts w:ascii="Arial" w:cs="Arial" w:eastAsia="Arial" w:hAnsi="Arial"/>
                <w:sz w:val="20"/>
                <w:szCs w:val="20"/>
                <w:color w:val="auto"/>
                <w:w w:val="91"/>
              </w:rPr>
              <w:t>South Carolina, Virginia,</w:t>
            </w:r>
          </w:p>
        </w:tc>
        <w:tc>
          <w:tcPr>
            <w:tcW w:w="2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250"/>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40" w:type="dxa"/>
            <w:vAlign w:val="bottom"/>
            <w:gridSpan w:val="2"/>
          </w:tcPr>
          <w:p>
            <w:pPr>
              <w:jc w:val="center"/>
              <w:ind w:right="140"/>
              <w:spacing w:after="0"/>
              <w:rPr>
                <w:sz w:val="20"/>
                <w:szCs w:val="20"/>
                <w:color w:val="auto"/>
              </w:rPr>
            </w:pPr>
            <w:r>
              <w:rPr>
                <w:rFonts w:ascii="Arial" w:cs="Arial" w:eastAsia="Arial" w:hAnsi="Arial"/>
                <w:sz w:val="20"/>
                <w:szCs w:val="20"/>
                <w:color w:val="auto"/>
                <w:w w:val="90"/>
              </w:rPr>
              <w:t>Washington and West Virginia</w:t>
            </w:r>
          </w:p>
        </w:tc>
        <w:tc>
          <w:tcPr>
            <w:tcW w:w="2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00" w:type="dxa"/>
            <w:vAlign w:val="bottom"/>
          </w:tcPr>
          <w:p>
            <w:pPr>
              <w:spacing w:after="0"/>
              <w:rPr>
                <w:sz w:val="21"/>
                <w:szCs w:val="21"/>
                <w:color w:val="auto"/>
              </w:rPr>
            </w:pPr>
          </w:p>
        </w:tc>
      </w:tr>
      <w:tr>
        <w:trPr>
          <w:trHeight w:val="438"/>
        </w:trPr>
        <w:tc>
          <w:tcPr>
            <w:tcW w:w="2580" w:type="dxa"/>
            <w:vAlign w:val="bottom"/>
            <w:gridSpan w:val="3"/>
          </w:tcPr>
          <w:p>
            <w:pPr>
              <w:spacing w:after="0"/>
              <w:rPr>
                <w:sz w:val="20"/>
                <w:szCs w:val="20"/>
                <w:color w:val="auto"/>
              </w:rPr>
            </w:pPr>
            <w:r>
              <w:rPr>
                <w:rFonts w:ascii="Arial" w:cs="Arial" w:eastAsia="Arial" w:hAnsi="Arial"/>
                <w:sz w:val="20"/>
                <w:szCs w:val="20"/>
                <w:color w:val="auto"/>
              </w:rPr>
              <w:t>Product Lines</w:t>
            </w:r>
          </w:p>
        </w:tc>
        <w:tc>
          <w:tcPr>
            <w:tcW w:w="3040" w:type="dxa"/>
            <w:vAlign w:val="bottom"/>
            <w:gridSpan w:val="2"/>
          </w:tcPr>
          <w:p>
            <w:pPr>
              <w:jc w:val="center"/>
              <w:ind w:right="140"/>
              <w:spacing w:after="0"/>
              <w:rPr>
                <w:sz w:val="20"/>
                <w:szCs w:val="20"/>
                <w:color w:val="auto"/>
              </w:rPr>
            </w:pPr>
            <w:r>
              <w:rPr>
                <w:rFonts w:ascii="Arial" w:cs="Arial" w:eastAsia="Arial" w:hAnsi="Arial"/>
                <w:sz w:val="20"/>
                <w:szCs w:val="20"/>
                <w:color w:val="auto"/>
                <w:w w:val="87"/>
              </w:rPr>
              <w:t>Aggregates</w:t>
            </w:r>
          </w:p>
        </w:tc>
        <w:tc>
          <w:tcPr>
            <w:tcW w:w="2640" w:type="dxa"/>
            <w:vAlign w:val="bottom"/>
            <w:gridSpan w:val="2"/>
          </w:tcPr>
          <w:p>
            <w:pPr>
              <w:jc w:val="center"/>
              <w:ind w:right="180"/>
              <w:spacing w:after="0"/>
              <w:rPr>
                <w:sz w:val="20"/>
                <w:szCs w:val="20"/>
                <w:color w:val="auto"/>
              </w:rPr>
            </w:pPr>
            <w:r>
              <w:rPr>
                <w:rFonts w:ascii="Arial" w:cs="Arial" w:eastAsia="Arial" w:hAnsi="Arial"/>
                <w:sz w:val="20"/>
                <w:szCs w:val="20"/>
                <w:color w:val="auto"/>
                <w:w w:val="87"/>
              </w:rPr>
              <w:t>Aggregates</w:t>
            </w:r>
          </w:p>
        </w:tc>
        <w:tc>
          <w:tcPr>
            <w:tcW w:w="3100" w:type="dxa"/>
            <w:vAlign w:val="bottom"/>
          </w:tcPr>
          <w:p>
            <w:pPr>
              <w:jc w:val="center"/>
              <w:spacing w:after="0"/>
              <w:rPr>
                <w:sz w:val="20"/>
                <w:szCs w:val="20"/>
                <w:color w:val="auto"/>
              </w:rPr>
            </w:pPr>
            <w:r>
              <w:rPr>
                <w:rFonts w:ascii="Arial" w:cs="Arial" w:eastAsia="Arial" w:hAnsi="Arial"/>
                <w:sz w:val="20"/>
                <w:szCs w:val="20"/>
                <w:color w:val="auto"/>
                <w:w w:val="89"/>
              </w:rPr>
              <w:t>Aggregates, Cement, Ready Mixed</w:t>
            </w:r>
          </w:p>
        </w:tc>
      </w:tr>
      <w:tr>
        <w:trPr>
          <w:trHeight w:val="250"/>
        </w:trPr>
        <w:tc>
          <w:tcPr>
            <w:tcW w:w="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00" w:type="dxa"/>
            <w:vAlign w:val="bottom"/>
          </w:tcPr>
          <w:p>
            <w:pPr>
              <w:jc w:val="center"/>
              <w:spacing w:after="0"/>
              <w:rPr>
                <w:sz w:val="20"/>
                <w:szCs w:val="20"/>
                <w:color w:val="auto"/>
              </w:rPr>
            </w:pPr>
            <w:r>
              <w:rPr>
                <w:rFonts w:ascii="Arial" w:cs="Arial" w:eastAsia="Arial" w:hAnsi="Arial"/>
                <w:sz w:val="20"/>
                <w:szCs w:val="20"/>
                <w:color w:val="auto"/>
                <w:w w:val="89"/>
              </w:rPr>
              <w:t>Concrete, Asphalt and Paving</w:t>
            </w:r>
          </w:p>
        </w:tc>
      </w:tr>
    </w:tbl>
    <w:p>
      <w:pPr>
        <w:spacing w:after="0" w:line="195" w:lineRule="exact"/>
        <w:rPr>
          <w:sz w:val="20"/>
          <w:szCs w:val="20"/>
          <w:color w:val="auto"/>
        </w:rPr>
      </w:pPr>
    </w:p>
    <w:p>
      <w:pPr>
        <w:jc w:val="both"/>
        <w:ind w:left="380"/>
        <w:spacing w:after="0" w:line="250" w:lineRule="auto"/>
        <w:rPr>
          <w:sz w:val="20"/>
          <w:szCs w:val="20"/>
          <w:color w:val="auto"/>
        </w:rPr>
      </w:pPr>
      <w:r>
        <w:rPr>
          <w:rFonts w:ascii="Arial" w:cs="Arial" w:eastAsia="Arial" w:hAnsi="Arial"/>
          <w:sz w:val="20"/>
          <w:szCs w:val="20"/>
          <w:color w:val="auto"/>
        </w:rPr>
        <w:t>The Company has a Magnesia Specialties business with manufacturing facilities in Manistee, Michigan, and Woodville, Ohio. The Magnesia Specialties business produces magnesia-based chemicals products used in industrial, agricultural and environmental applications, and dolomitic lime sold primarily to customers in the steel and mining industries.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7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2018</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72" w:lineRule="exact"/>
        <w:rPr>
          <w:sz w:val="20"/>
          <w:szCs w:val="20"/>
          <w:color w:val="auto"/>
        </w:rPr>
      </w:pPr>
    </w:p>
    <w:p>
      <w:pPr>
        <w:ind w:left="380" w:right="7400" w:hanging="372"/>
        <w:spacing w:after="0" w:line="355" w:lineRule="auto"/>
        <w:tabs>
          <w:tab w:leader="none" w:pos="378"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(continued) Basis of Presentation</w:t>
      </w:r>
    </w:p>
    <w:p>
      <w:pPr>
        <w:jc w:val="both"/>
        <w:ind w:left="380"/>
        <w:spacing w:after="0" w:line="270" w:lineRule="auto"/>
        <w:rPr>
          <w:rFonts w:ascii="Arial" w:cs="Arial" w:eastAsia="Arial" w:hAnsi="Arial"/>
          <w:sz w:val="20"/>
          <w:szCs w:val="20"/>
          <w:b w:val="1"/>
          <w:bCs w:val="1"/>
          <w:color w:val="auto"/>
        </w:rPr>
      </w:pPr>
      <w:r>
        <w:rPr>
          <w:rFonts w:ascii="Arial" w:cs="Arial" w:eastAsia="Arial" w:hAnsi="Arial"/>
          <w:sz w:val="18"/>
          <w:szCs w:val="18"/>
          <w:color w:val="auto"/>
        </w:rPr>
        <w:t>The accompanying unaudited consolidated financial statements of the Company have been prepared in accordance with accounting principles generally accepted in the United States (U.S. GAAP) for interim financial information and with the instructions to the Quarterly Report on Form 10-Q and in Article 10 of Regulation S-X. Other than the required adoption of two new accounting pronouncements described below, the Company has continued to follow the accounting policies set forth in the audited consolidated financial statements and related notes thereto included in the Company’s Annual Report on Form 10-K for the year ended December 31, 2017. In the opinion of management, the interim consolidated financial information provided herein reflects all adjustments, consisting of normal recurring accruals, necessary for a fair statement of the results of operations, financial position and cash flows for the interim periods. The consolidated results of operations for the three- and nine-months ended September 30, 2018 are not indicative of the results expected for other interim periods or the full year. The consolidated balance sheet at December 31, 2017 has been derived from the audited consolidated financial statements at that date but does not include all of the information and notes required by U.S. GAAP for complete financial statements. These consolidated financial statements should be read in conjunction with the audited consolidated financial statements and notes thereto included in the Company’s Annual Report on Form 10-K for the year ended December 31, 2017.</w:t>
      </w:r>
    </w:p>
    <w:p>
      <w:pPr>
        <w:spacing w:after="0" w:line="170" w:lineRule="exact"/>
        <w:rPr>
          <w:rFonts w:ascii="Arial" w:cs="Arial" w:eastAsia="Arial" w:hAnsi="Arial"/>
          <w:sz w:val="20"/>
          <w:szCs w:val="20"/>
          <w:b w:val="1"/>
          <w:bCs w:val="1"/>
          <w:color w:val="auto"/>
        </w:rPr>
      </w:pPr>
    </w:p>
    <w:p>
      <w:pPr>
        <w:ind w:left="380" w:right="7820"/>
        <w:spacing w:after="0" w:line="444" w:lineRule="auto"/>
        <w:rPr>
          <w:rFonts w:ascii="Arial" w:cs="Arial" w:eastAsia="Arial" w:hAnsi="Arial"/>
          <w:sz w:val="20"/>
          <w:szCs w:val="20"/>
          <w:b w:val="1"/>
          <w:bCs w:val="1"/>
          <w:color w:val="auto"/>
        </w:rPr>
      </w:pPr>
      <w:r>
        <w:rPr>
          <w:rFonts w:ascii="Arial" w:cs="Arial" w:eastAsia="Arial" w:hAnsi="Arial"/>
          <w:sz w:val="16"/>
          <w:szCs w:val="16"/>
          <w:b w:val="1"/>
          <w:bCs w:val="1"/>
          <w:color w:val="auto"/>
        </w:rPr>
        <w:t xml:space="preserve">New Accounting Pronouncements </w:t>
      </w:r>
      <w:r>
        <w:rPr>
          <w:rFonts w:ascii="Arial" w:cs="Arial" w:eastAsia="Arial" w:hAnsi="Arial"/>
          <w:sz w:val="16"/>
          <w:szCs w:val="16"/>
          <w:i w:val="1"/>
          <w:iCs w:val="1"/>
          <w:color w:val="auto"/>
        </w:rPr>
        <w:t>Revenue from Contracts with Customers</w:t>
      </w:r>
    </w:p>
    <w:p>
      <w:pPr>
        <w:jc w:val="both"/>
        <w:ind w:left="380"/>
        <w:spacing w:after="0" w:line="282" w:lineRule="auto"/>
        <w:rPr>
          <w:rFonts w:ascii="Arial" w:cs="Arial" w:eastAsia="Arial" w:hAnsi="Arial"/>
          <w:sz w:val="20"/>
          <w:szCs w:val="20"/>
          <w:b w:val="1"/>
          <w:bCs w:val="1"/>
          <w:color w:val="auto"/>
        </w:rPr>
      </w:pPr>
      <w:r>
        <w:rPr>
          <w:rFonts w:ascii="Arial" w:cs="Arial" w:eastAsia="Arial" w:hAnsi="Arial"/>
          <w:sz w:val="18"/>
          <w:szCs w:val="18"/>
          <w:color w:val="auto"/>
        </w:rPr>
        <w:t xml:space="preserve">Effective January 1, 2018, the Company adopted Accounting Standards Update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(ASU 2014-09), which changes the evaluation and accounting for revenue recognition under contracts with customers and enhances financial statement disclosures. The Company implemented ASU 2014-09 using the modified retrospective approach. The adoption had an immaterial impact on the Company’s financial position and results of operations but required new disclosures (see Note 2).</w:t>
      </w:r>
    </w:p>
    <w:p>
      <w:pPr>
        <w:spacing w:after="0" w:line="161"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i w:val="1"/>
          <w:iCs w:val="1"/>
          <w:color w:val="auto"/>
        </w:rPr>
        <w:t>Statement of Cash Flows: Classification of Certain Cash Receipts and Cash Payments</w:t>
      </w:r>
    </w:p>
    <w:p>
      <w:pPr>
        <w:spacing w:after="0" w:line="107" w:lineRule="exact"/>
        <w:rPr>
          <w:rFonts w:ascii="Arial" w:cs="Arial" w:eastAsia="Arial" w:hAnsi="Arial"/>
          <w:sz w:val="20"/>
          <w:szCs w:val="20"/>
          <w:b w:val="1"/>
          <w:bCs w:val="1"/>
          <w:color w:val="auto"/>
        </w:rPr>
      </w:pPr>
    </w:p>
    <w:p>
      <w:pPr>
        <w:jc w:val="both"/>
        <w:ind w:left="380"/>
        <w:spacing w:after="0" w:line="299" w:lineRule="auto"/>
        <w:rPr>
          <w:rFonts w:ascii="Arial" w:cs="Arial" w:eastAsia="Arial" w:hAnsi="Arial"/>
          <w:sz w:val="20"/>
          <w:szCs w:val="20"/>
          <w:b w:val="1"/>
          <w:bCs w:val="1"/>
          <w:color w:val="auto"/>
        </w:rPr>
      </w:pPr>
      <w:r>
        <w:rPr>
          <w:rFonts w:ascii="Arial" w:cs="Arial" w:eastAsia="Arial" w:hAnsi="Arial"/>
          <w:sz w:val="18"/>
          <w:szCs w:val="18"/>
          <w:color w:val="auto"/>
        </w:rPr>
        <w:t xml:space="preserve">Effective January 1, 2018, the Company adopted ASU 2016-15, </w:t>
      </w:r>
      <w:r>
        <w:rPr>
          <w:rFonts w:ascii="Arial" w:cs="Arial" w:eastAsia="Arial" w:hAnsi="Arial"/>
          <w:sz w:val="18"/>
          <w:szCs w:val="18"/>
          <w:i w:val="1"/>
          <w:iCs w:val="1"/>
          <w:color w:val="auto"/>
        </w:rPr>
        <w:t>Statement of Cash Flows: Classification of Certain Cash Receipts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Cash Payments </w:t>
      </w:r>
      <w:r>
        <w:rPr>
          <w:rFonts w:ascii="Arial" w:cs="Arial" w:eastAsia="Arial" w:hAnsi="Arial"/>
          <w:sz w:val="18"/>
          <w:szCs w:val="18"/>
          <w:color w:val="auto"/>
        </w:rPr>
        <w:t>(ASU 2016-15), which provides clarification or additional guidance on certain transactions and its classification on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of cash flows on a retrospective basis. The adoption had an immaterial impact on the Company’s statement of cash flows.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8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2018</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72" w:lineRule="exact"/>
        <w:rPr>
          <w:sz w:val="20"/>
          <w:szCs w:val="20"/>
          <w:color w:val="auto"/>
        </w:rPr>
      </w:pPr>
    </w:p>
    <w:p>
      <w:pPr>
        <w:ind w:left="380" w:right="7400" w:hanging="372"/>
        <w:spacing w:after="0" w:line="354" w:lineRule="auto"/>
        <w:tabs>
          <w:tab w:leader="none" w:pos="378"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Significant Accounting Policies (continued) Pending Accounting Pronouncement </w:t>
      </w:r>
      <w:r>
        <w:rPr>
          <w:rFonts w:ascii="Arial" w:cs="Arial" w:eastAsia="Arial" w:hAnsi="Arial"/>
          <w:sz w:val="20"/>
          <w:szCs w:val="20"/>
          <w:i w:val="1"/>
          <w:iCs w:val="1"/>
          <w:color w:val="auto"/>
        </w:rPr>
        <w:t>Lease Standard</w:t>
      </w:r>
    </w:p>
    <w:p>
      <w:pPr>
        <w:spacing w:after="0" w:line="1" w:lineRule="exact"/>
        <w:rPr>
          <w:rFonts w:ascii="Arial" w:cs="Arial" w:eastAsia="Arial" w:hAnsi="Arial"/>
          <w:sz w:val="20"/>
          <w:szCs w:val="20"/>
          <w:b w:val="1"/>
          <w:bCs w:val="1"/>
          <w:color w:val="auto"/>
        </w:rPr>
      </w:pPr>
    </w:p>
    <w:p>
      <w:pPr>
        <w:jc w:val="both"/>
        <w:ind w:left="380"/>
        <w:spacing w:after="0" w:line="272" w:lineRule="auto"/>
        <w:rPr>
          <w:rFonts w:ascii="Arial" w:cs="Arial" w:eastAsia="Arial" w:hAnsi="Arial"/>
          <w:sz w:val="20"/>
          <w:szCs w:val="20"/>
          <w:b w:val="1"/>
          <w:bCs w:val="1"/>
          <w:color w:val="auto"/>
        </w:rPr>
      </w:pPr>
      <w:r>
        <w:rPr>
          <w:rFonts w:ascii="Arial" w:cs="Arial" w:eastAsia="Arial" w:hAnsi="Arial"/>
          <w:sz w:val="18"/>
          <w:szCs w:val="18"/>
          <w:color w:val="auto"/>
        </w:rPr>
        <w:t xml:space="preserve">In February 2016, the Financial Accounting Standards Board (FASB) issued a new accounting standard, </w:t>
      </w:r>
      <w:r>
        <w:rPr>
          <w:rFonts w:ascii="Arial" w:cs="Arial" w:eastAsia="Arial" w:hAnsi="Arial"/>
          <w:sz w:val="18"/>
          <w:szCs w:val="18"/>
          <w:i w:val="1"/>
          <w:iCs w:val="1"/>
          <w:color w:val="auto"/>
        </w:rPr>
        <w:t>Accounting Standards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Codification 842 – Leases </w:t>
      </w:r>
      <w:r>
        <w:rPr>
          <w:rFonts w:ascii="Arial" w:cs="Arial" w:eastAsia="Arial" w:hAnsi="Arial"/>
          <w:sz w:val="18"/>
          <w:szCs w:val="18"/>
          <w:color w:val="auto"/>
        </w:rPr>
        <w:t>(ASC 842)</w:t>
      </w:r>
      <w:r>
        <w:rPr>
          <w:rFonts w:ascii="Arial" w:cs="Arial" w:eastAsia="Arial" w:hAnsi="Arial"/>
          <w:sz w:val="18"/>
          <w:szCs w:val="18"/>
          <w:i w:val="1"/>
          <w:iCs w:val="1"/>
          <w:color w:val="auto"/>
        </w:rPr>
        <w:t xml:space="preserve">, </w:t>
      </w:r>
      <w:r>
        <w:rPr>
          <w:rFonts w:ascii="Arial" w:cs="Arial" w:eastAsia="Arial" w:hAnsi="Arial"/>
          <w:sz w:val="18"/>
          <w:szCs w:val="18"/>
          <w:color w:val="auto"/>
        </w:rPr>
        <w:t>intending to improve financial reporting of leases and to provide more transparency into off-balance</w:t>
      </w:r>
      <w:r>
        <w:rPr>
          <w:rFonts w:ascii="Arial" w:cs="Arial" w:eastAsia="Arial" w:hAnsi="Arial"/>
          <w:sz w:val="18"/>
          <w:szCs w:val="18"/>
          <w:i w:val="1"/>
          <w:iCs w:val="1"/>
          <w:color w:val="auto"/>
        </w:rPr>
        <w:t xml:space="preserve"> </w:t>
      </w:r>
      <w:r>
        <w:rPr>
          <w:rFonts w:ascii="Arial" w:cs="Arial" w:eastAsia="Arial" w:hAnsi="Arial"/>
          <w:sz w:val="18"/>
          <w:szCs w:val="18"/>
          <w:color w:val="auto"/>
        </w:rPr>
        <w:t>sheet leasing obligations. The guidance requires virtually all leases, excluding mineral interest leases, to be recorded as right-to-use assets and lease liabilities on the balance sheet and provides guidance on the recognition of lease expense and income. Effective January 1, 2019, with early adoption permitted, ASC 842 requires the modified retrospective transition approach, applying the new standard to all leases existing at the date of initial application. An entity may use either 1) its effective date or 2) the beginning of the earliest comparative period presented in the financial statements as its date of initial application. The Company will adopt the new standard effective January 1, 2019 and will use the effective date as the date of initial application. As such, financial information will not be updated and disclosures required under ASC 842 will not be provided for dates and periods prior to January 1, 2019.</w:t>
      </w:r>
    </w:p>
    <w:p>
      <w:pPr>
        <w:spacing w:after="0" w:line="63" w:lineRule="exact"/>
        <w:rPr>
          <w:rFonts w:ascii="Arial" w:cs="Arial" w:eastAsia="Arial" w:hAnsi="Arial"/>
          <w:sz w:val="20"/>
          <w:szCs w:val="20"/>
          <w:b w:val="1"/>
          <w:bCs w:val="1"/>
          <w:color w:val="auto"/>
        </w:rPr>
      </w:pPr>
    </w:p>
    <w:p>
      <w:pPr>
        <w:jc w:val="both"/>
        <w:ind w:left="380"/>
        <w:spacing w:after="0" w:line="276" w:lineRule="auto"/>
        <w:rPr>
          <w:rFonts w:ascii="Arial" w:cs="Arial" w:eastAsia="Arial" w:hAnsi="Arial"/>
          <w:sz w:val="20"/>
          <w:szCs w:val="20"/>
          <w:b w:val="1"/>
          <w:bCs w:val="1"/>
          <w:color w:val="auto"/>
        </w:rPr>
      </w:pPr>
      <w:r>
        <w:rPr>
          <w:rFonts w:ascii="Arial" w:cs="Arial" w:eastAsia="Arial" w:hAnsi="Arial"/>
          <w:sz w:val="18"/>
          <w:szCs w:val="18"/>
          <w:color w:val="auto"/>
        </w:rPr>
        <w:t>The new standard provides a number of practical expedients for transition and policy elections for ongoing accounting. The Company expects to elect the “package of practical expedients”, which permits the Company to not reassess its prior conclusions about lease identification, lease classification and initial direct costs. The Company plans to elect the practical expedients pertaining to the use of hindsight and to land easements. The standard provides policy election options for recognition exemption for short-term leases and separation of lease and non-lease components. The Company will elect the short-term lease recognition exemption and expects to elect not to separate lease and non-lease components for all underlying asset classes with the exceptions of railcars and fleet leases.</w:t>
      </w:r>
    </w:p>
    <w:p>
      <w:pPr>
        <w:spacing w:after="0" w:line="57" w:lineRule="exact"/>
        <w:rPr>
          <w:rFonts w:ascii="Arial" w:cs="Arial" w:eastAsia="Arial" w:hAnsi="Arial"/>
          <w:sz w:val="20"/>
          <w:szCs w:val="20"/>
          <w:b w:val="1"/>
          <w:bCs w:val="1"/>
          <w:color w:val="auto"/>
        </w:rPr>
      </w:pPr>
    </w:p>
    <w:p>
      <w:pPr>
        <w:jc w:val="both"/>
        <w:ind w:left="38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Although the Company has not determined the full impact of ASC 842, the Company expects the adoption of ASC 842 to have a material impact on its financial statements, specifically right-to-use assets and lease liabilities on the balance sheet and note disclosures pertaining to leasing activities.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9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2018</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72" w:lineRule="exact"/>
        <w:rPr>
          <w:sz w:val="20"/>
          <w:szCs w:val="20"/>
          <w:color w:val="auto"/>
        </w:rPr>
      </w:pPr>
    </w:p>
    <w:p>
      <w:pPr>
        <w:ind w:left="380" w:hanging="372"/>
        <w:spacing w:after="0"/>
        <w:tabs>
          <w:tab w:leader="none" w:pos="38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(continued)</w:t>
      </w:r>
    </w:p>
    <w:p>
      <w:pPr>
        <w:spacing w:after="0" w:line="107"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Consolidated Comprehensive Earnings/Loss and Accumulated Other Comprehensive Loss</w:t>
      </w:r>
    </w:p>
    <w:p>
      <w:pPr>
        <w:spacing w:after="0" w:line="113" w:lineRule="exact"/>
        <w:rPr>
          <w:rFonts w:ascii="Arial" w:cs="Arial" w:eastAsia="Arial" w:hAnsi="Arial"/>
          <w:sz w:val="20"/>
          <w:szCs w:val="20"/>
          <w:b w:val="1"/>
          <w:bCs w:val="1"/>
          <w:color w:val="auto"/>
        </w:rPr>
      </w:pPr>
    </w:p>
    <w:p>
      <w:pPr>
        <w:jc w:val="both"/>
        <w:ind w:left="38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Consolidated comprehensive earnings/loss and accumulated other comprehensive loss consist of consolidated net earnings or loss; adjustments for the funded status of pension and postretirement benefit plans; foreign currency translation adjustments; and the amortization of the value of terminated forward starting interest rate swap agreements into interest expense, and are presented in the Company’s consolidated statements of earnings and comprehensive earnings.</w:t>
      </w:r>
    </w:p>
    <w:p>
      <w:pPr>
        <w:spacing w:after="0" w:line="83"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color w:val="auto"/>
        </w:rPr>
        <w:t>Comprehensive earnings attributable to Martin Marietta is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4"/>
          </w:tcPr>
          <w:p>
            <w:pPr>
              <w:jc w:val="right"/>
              <w:ind w:right="341"/>
              <w:spacing w:after="0"/>
              <w:rPr>
                <w:sz w:val="20"/>
                <w:szCs w:val="20"/>
                <w:color w:val="auto"/>
              </w:rPr>
            </w:pPr>
            <w:r>
              <w:rPr>
                <w:rFonts w:ascii="Arial" w:cs="Arial" w:eastAsia="Arial" w:hAnsi="Arial"/>
                <w:sz w:val="20"/>
                <w:szCs w:val="20"/>
                <w:color w:val="auto"/>
                <w:w w:val="98"/>
              </w:rPr>
              <w:t>Three-Months Ended</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60" w:type="dxa"/>
            <w:vAlign w:val="bottom"/>
            <w:gridSpan w:val="5"/>
          </w:tcPr>
          <w:p>
            <w:pPr>
              <w:jc w:val="center"/>
              <w:ind w:right="340"/>
              <w:spacing w:after="0"/>
              <w:rPr>
                <w:sz w:val="20"/>
                <w:szCs w:val="20"/>
                <w:color w:val="auto"/>
              </w:rPr>
            </w:pPr>
            <w:r>
              <w:rPr>
                <w:rFonts w:ascii="Arial" w:cs="Arial" w:eastAsia="Arial" w:hAnsi="Arial"/>
                <w:sz w:val="20"/>
                <w:szCs w:val="20"/>
                <w:color w:val="auto"/>
                <w:w w:val="90"/>
              </w:rPr>
              <w:t>Nine-Months Ended</w:t>
            </w:r>
          </w:p>
        </w:tc>
      </w:tr>
      <w:tr>
        <w:trPr>
          <w:trHeight w:val="246"/>
        </w:trPr>
        <w:tc>
          <w:tcPr>
            <w:tcW w:w="5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4"/>
          </w:tcPr>
          <w:p>
            <w:pPr>
              <w:jc w:val="right"/>
              <w:ind w:right="601"/>
              <w:spacing w:after="0"/>
              <w:rPr>
                <w:sz w:val="20"/>
                <w:szCs w:val="20"/>
                <w:color w:val="auto"/>
              </w:rPr>
            </w:pPr>
            <w:r>
              <w:rPr>
                <w:rFonts w:ascii="Arial" w:cs="Arial" w:eastAsia="Arial" w:hAnsi="Arial"/>
                <w:sz w:val="20"/>
                <w:szCs w:val="20"/>
                <w:color w:val="auto"/>
              </w:rPr>
              <w:t>September 30,</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20"/>
                <w:szCs w:val="20"/>
                <w:color w:val="auto"/>
                <w:w w:val="86"/>
              </w:rPr>
              <w:t>September 30,</w:t>
            </w:r>
          </w:p>
        </w:tc>
      </w:tr>
      <w:tr>
        <w:trPr>
          <w:trHeight w:val="237"/>
        </w:trPr>
        <w:tc>
          <w:tcPr>
            <w:tcW w:w="59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20"/>
                <w:szCs w:val="20"/>
                <w:color w:val="auto"/>
              </w:rPr>
              <w:t>2018</w:t>
            </w:r>
          </w:p>
        </w:tc>
        <w:tc>
          <w:tcPr>
            <w:tcW w:w="24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20"/>
                <w:szCs w:val="20"/>
                <w:color w:val="auto"/>
              </w:rPr>
              <w:t>2017</w:t>
            </w:r>
          </w:p>
        </w:tc>
        <w:tc>
          <w:tcPr>
            <w:tcW w:w="26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20"/>
                <w:szCs w:val="20"/>
                <w:color w:val="auto"/>
              </w:rPr>
              <w:t>2018</w:t>
            </w:r>
          </w:p>
        </w:tc>
        <w:tc>
          <w:tcPr>
            <w:tcW w:w="24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20"/>
                <w:szCs w:val="20"/>
                <w:color w:val="auto"/>
              </w:rPr>
              <w:t>2017</w:t>
            </w:r>
          </w:p>
        </w:tc>
        <w:tc>
          <w:tcPr>
            <w:tcW w:w="100" w:type="dxa"/>
            <w:vAlign w:val="bottom"/>
          </w:tcPr>
          <w:p>
            <w:pPr>
              <w:spacing w:after="0"/>
              <w:rPr>
                <w:sz w:val="20"/>
                <w:szCs w:val="20"/>
                <w:color w:val="auto"/>
              </w:rPr>
            </w:pPr>
          </w:p>
        </w:tc>
      </w:tr>
      <w:tr>
        <w:trPr>
          <w:trHeight w:val="237"/>
        </w:trPr>
        <w:tc>
          <w:tcPr>
            <w:tcW w:w="5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gridSpan w:val="5"/>
          </w:tcPr>
          <w:p>
            <w:pPr>
              <w:ind w:left="120"/>
              <w:spacing w:after="0"/>
              <w:rPr>
                <w:sz w:val="20"/>
                <w:szCs w:val="20"/>
                <w:color w:val="auto"/>
              </w:rPr>
            </w:pPr>
            <w:r>
              <w:rPr>
                <w:rFonts w:ascii="Arial" w:cs="Arial" w:eastAsia="Arial" w:hAnsi="Arial"/>
                <w:sz w:val="20"/>
                <w:szCs w:val="20"/>
                <w:i w:val="1"/>
                <w:iCs w:val="1"/>
                <w:color w:val="auto"/>
              </w:rPr>
              <w:t>(Dollars in Thousands)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920" w:type="dxa"/>
            <w:vAlign w:val="bottom"/>
            <w:shd w:val="clear" w:color="auto" w:fill="CFF0FC"/>
          </w:tcPr>
          <w:p>
            <w:pPr>
              <w:spacing w:after="0"/>
              <w:rPr>
                <w:sz w:val="20"/>
                <w:szCs w:val="20"/>
                <w:color w:val="auto"/>
              </w:rPr>
            </w:pPr>
            <w:r>
              <w:rPr>
                <w:rFonts w:ascii="Arial" w:cs="Arial" w:eastAsia="Arial" w:hAnsi="Arial"/>
                <w:sz w:val="20"/>
                <w:szCs w:val="20"/>
                <w:color w:val="auto"/>
              </w:rPr>
              <w:t>Net earnings attributable to Martin Marietta Materials, Inc.</w:t>
            </w:r>
          </w:p>
        </w:tc>
        <w:tc>
          <w:tcPr>
            <w:tcW w:w="2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180,221</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151,546</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375,621</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336,159</w:t>
            </w:r>
          </w:p>
        </w:tc>
        <w:tc>
          <w:tcPr>
            <w:tcW w:w="100" w:type="dxa"/>
            <w:vAlign w:val="bottom"/>
            <w:shd w:val="clear" w:color="auto" w:fill="CFF0FC"/>
          </w:tcPr>
          <w:p>
            <w:pPr>
              <w:spacing w:after="0"/>
              <w:rPr>
                <w:sz w:val="21"/>
                <w:szCs w:val="21"/>
                <w:color w:val="auto"/>
              </w:rPr>
            </w:pPr>
          </w:p>
        </w:tc>
      </w:tr>
      <w:tr>
        <w:trPr>
          <w:trHeight w:val="243"/>
        </w:trPr>
        <w:tc>
          <w:tcPr>
            <w:tcW w:w="592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 comprehensive earnings, net of tax</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4,392</w:t>
            </w:r>
          </w:p>
        </w:tc>
        <w:tc>
          <w:tcPr>
            <w:tcW w:w="2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2,978</w:t>
            </w:r>
          </w:p>
        </w:tc>
        <w:tc>
          <w:tcPr>
            <w:tcW w:w="26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7,613</w:t>
            </w:r>
          </w:p>
        </w:tc>
        <w:tc>
          <w:tcPr>
            <w:tcW w:w="2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7,759</w:t>
            </w:r>
          </w:p>
        </w:tc>
        <w:tc>
          <w:tcPr>
            <w:tcW w:w="100" w:type="dxa"/>
            <w:vAlign w:val="bottom"/>
            <w:tcBorders>
              <w:bottom w:val="single" w:sz="8" w:color="CFF0FC"/>
            </w:tcBorders>
          </w:tcPr>
          <w:p>
            <w:pPr>
              <w:spacing w:after="0"/>
              <w:rPr>
                <w:sz w:val="21"/>
                <w:szCs w:val="21"/>
                <w:color w:val="auto"/>
              </w:rPr>
            </w:pPr>
          </w:p>
        </w:tc>
      </w:tr>
      <w:tr>
        <w:trPr>
          <w:trHeight w:val="220"/>
        </w:trPr>
        <w:tc>
          <w:tcPr>
            <w:tcW w:w="5920" w:type="dxa"/>
            <w:vAlign w:val="bottom"/>
            <w:shd w:val="clear" w:color="auto" w:fill="CFF0FC"/>
          </w:tcPr>
          <w:p>
            <w:pPr>
              <w:spacing w:after="0" w:line="220" w:lineRule="exact"/>
              <w:rPr>
                <w:sz w:val="20"/>
                <w:szCs w:val="20"/>
                <w:color w:val="auto"/>
              </w:rPr>
            </w:pPr>
            <w:r>
              <w:rPr>
                <w:rFonts w:ascii="Arial" w:cs="Arial" w:eastAsia="Arial" w:hAnsi="Arial"/>
                <w:sz w:val="20"/>
                <w:szCs w:val="20"/>
                <w:color w:val="auto"/>
              </w:rPr>
              <w:t>Comprehensive earnings attributable to Martin Marietta</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6"/>
        </w:trPr>
        <w:tc>
          <w:tcPr>
            <w:tcW w:w="5920" w:type="dxa"/>
            <w:vAlign w:val="bottom"/>
            <w:shd w:val="clear" w:color="auto" w:fill="CFF0FC"/>
          </w:tcPr>
          <w:p>
            <w:pPr>
              <w:ind w:left="160"/>
              <w:spacing w:after="0"/>
              <w:rPr>
                <w:sz w:val="20"/>
                <w:szCs w:val="20"/>
                <w:color w:val="auto"/>
              </w:rPr>
            </w:pPr>
            <w:r>
              <w:rPr>
                <w:rFonts w:ascii="Arial" w:cs="Arial" w:eastAsia="Arial" w:hAnsi="Arial"/>
                <w:sz w:val="20"/>
                <w:szCs w:val="20"/>
                <w:color w:val="auto"/>
              </w:rPr>
              <w:t>Materials, Inc.</w:t>
            </w:r>
          </w:p>
        </w:tc>
        <w:tc>
          <w:tcPr>
            <w:tcW w:w="2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184,613</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154,524</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383,234</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343,918</w:t>
            </w:r>
          </w:p>
        </w:tc>
        <w:tc>
          <w:tcPr>
            <w:tcW w:w="100" w:type="dxa"/>
            <w:vAlign w:val="bottom"/>
            <w:shd w:val="clear" w:color="auto" w:fill="CFF0FC"/>
          </w:tcPr>
          <w:p>
            <w:pPr>
              <w:spacing w:after="0"/>
              <w:rPr>
                <w:sz w:val="21"/>
                <w:szCs w:val="21"/>
                <w:color w:val="auto"/>
              </w:rPr>
            </w:pPr>
          </w:p>
        </w:tc>
      </w:tr>
      <w:tr>
        <w:trPr>
          <w:trHeight w:val="20"/>
        </w:trPr>
        <w:tc>
          <w:tcPr>
            <w:tcW w:w="59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0" w:lineRule="exact"/>
        <w:rPr>
          <w:sz w:val="20"/>
          <w:szCs w:val="20"/>
          <w:color w:val="auto"/>
        </w:rPr>
      </w:pPr>
    </w:p>
    <w:p>
      <w:pPr>
        <w:ind w:left="380" w:right="640"/>
        <w:spacing w:after="0" w:line="260" w:lineRule="auto"/>
        <w:rPr>
          <w:sz w:val="20"/>
          <w:szCs w:val="20"/>
          <w:color w:val="auto"/>
        </w:rPr>
      </w:pPr>
      <w:r>
        <w:rPr>
          <w:rFonts w:ascii="Arial" w:cs="Arial" w:eastAsia="Arial" w:hAnsi="Arial"/>
          <w:sz w:val="20"/>
          <w:szCs w:val="20"/>
          <w:color w:val="auto"/>
        </w:rPr>
        <w:t>Comprehensive earnings attributable to noncontrolling interests, consisting of net earnings and adjustments for the funded status of pension and postretirement benefit plans, is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20" w:type="dxa"/>
            <w:vAlign w:val="bottom"/>
          </w:tcPr>
          <w:p>
            <w:pPr>
              <w:spacing w:after="0"/>
              <w:rPr>
                <w:sz w:val="21"/>
                <w:szCs w:val="21"/>
                <w:color w:val="auto"/>
              </w:rPr>
            </w:pPr>
          </w:p>
        </w:tc>
        <w:tc>
          <w:tcPr>
            <w:tcW w:w="2280" w:type="dxa"/>
            <w:vAlign w:val="bottom"/>
            <w:gridSpan w:val="4"/>
          </w:tcPr>
          <w:p>
            <w:pPr>
              <w:jc w:val="right"/>
              <w:ind w:right="61"/>
              <w:spacing w:after="0"/>
              <w:rPr>
                <w:sz w:val="20"/>
                <w:szCs w:val="20"/>
                <w:color w:val="auto"/>
              </w:rPr>
            </w:pPr>
            <w:r>
              <w:rPr>
                <w:rFonts w:ascii="Arial" w:cs="Arial" w:eastAsia="Arial" w:hAnsi="Arial"/>
                <w:sz w:val="20"/>
                <w:szCs w:val="20"/>
                <w:color w:val="auto"/>
              </w:rPr>
              <w:t>Three-Months Ended</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60" w:type="dxa"/>
            <w:vAlign w:val="bottom"/>
            <w:gridSpan w:val="5"/>
          </w:tcPr>
          <w:p>
            <w:pPr>
              <w:jc w:val="right"/>
              <w:ind w:right="600"/>
              <w:spacing w:after="0"/>
              <w:rPr>
                <w:sz w:val="20"/>
                <w:szCs w:val="20"/>
                <w:color w:val="auto"/>
              </w:rPr>
            </w:pPr>
            <w:r>
              <w:rPr>
                <w:rFonts w:ascii="Arial" w:cs="Arial" w:eastAsia="Arial" w:hAnsi="Arial"/>
                <w:sz w:val="20"/>
                <w:szCs w:val="20"/>
                <w:color w:val="auto"/>
              </w:rPr>
              <w:t>Nine-Months Ended</w:t>
            </w:r>
          </w:p>
        </w:tc>
      </w:tr>
      <w:tr>
        <w:trPr>
          <w:trHeight w:val="246"/>
        </w:trPr>
        <w:tc>
          <w:tcPr>
            <w:tcW w:w="5920" w:type="dxa"/>
            <w:vAlign w:val="bottom"/>
          </w:tcPr>
          <w:p>
            <w:pPr>
              <w:spacing w:after="0"/>
              <w:rPr>
                <w:sz w:val="21"/>
                <w:szCs w:val="21"/>
                <w:color w:val="auto"/>
              </w:rPr>
            </w:pPr>
          </w:p>
        </w:tc>
        <w:tc>
          <w:tcPr>
            <w:tcW w:w="2280" w:type="dxa"/>
            <w:vAlign w:val="bottom"/>
            <w:gridSpan w:val="4"/>
          </w:tcPr>
          <w:p>
            <w:pPr>
              <w:jc w:val="right"/>
              <w:ind w:right="321"/>
              <w:spacing w:after="0"/>
              <w:rPr>
                <w:sz w:val="20"/>
                <w:szCs w:val="20"/>
                <w:color w:val="auto"/>
              </w:rPr>
            </w:pPr>
            <w:r>
              <w:rPr>
                <w:rFonts w:ascii="Arial" w:cs="Arial" w:eastAsia="Arial" w:hAnsi="Arial"/>
                <w:sz w:val="20"/>
                <w:szCs w:val="20"/>
                <w:color w:val="auto"/>
              </w:rPr>
              <w:t>September 30,</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60" w:type="dxa"/>
            <w:vAlign w:val="bottom"/>
            <w:gridSpan w:val="5"/>
          </w:tcPr>
          <w:p>
            <w:pPr>
              <w:jc w:val="right"/>
              <w:ind w:right="840"/>
              <w:spacing w:after="0"/>
              <w:rPr>
                <w:sz w:val="20"/>
                <w:szCs w:val="20"/>
                <w:color w:val="auto"/>
              </w:rPr>
            </w:pPr>
            <w:r>
              <w:rPr>
                <w:rFonts w:ascii="Arial" w:cs="Arial" w:eastAsia="Arial" w:hAnsi="Arial"/>
                <w:sz w:val="20"/>
                <w:szCs w:val="20"/>
                <w:color w:val="auto"/>
              </w:rPr>
              <w:t>September 30,</w:t>
            </w:r>
          </w:p>
        </w:tc>
      </w:tr>
      <w:tr>
        <w:trPr>
          <w:trHeight w:val="237"/>
        </w:trPr>
        <w:tc>
          <w:tcPr>
            <w:tcW w:w="59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2018</w:t>
            </w:r>
          </w:p>
        </w:tc>
        <w:tc>
          <w:tcPr>
            <w:tcW w:w="3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gridSpan w:val="2"/>
          </w:tcPr>
          <w:p>
            <w:pPr>
              <w:jc w:val="right"/>
              <w:ind w:right="1"/>
              <w:spacing w:after="0"/>
              <w:rPr>
                <w:sz w:val="20"/>
                <w:szCs w:val="20"/>
                <w:color w:val="auto"/>
              </w:rPr>
            </w:pPr>
            <w:r>
              <w:rPr>
                <w:rFonts w:ascii="Arial" w:cs="Arial" w:eastAsia="Arial" w:hAnsi="Arial"/>
                <w:sz w:val="20"/>
                <w:szCs w:val="20"/>
                <w:color w:val="auto"/>
              </w:rPr>
              <w:t>2017</w:t>
            </w:r>
          </w:p>
        </w:tc>
        <w:tc>
          <w:tcPr>
            <w:tcW w:w="280" w:type="dxa"/>
            <w:vAlign w:val="bottom"/>
            <w:tcBorders>
              <w:top w:val="single" w:sz="8" w:color="auto"/>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20"/>
                <w:szCs w:val="20"/>
                <w:color w:val="auto"/>
              </w:rPr>
              <w:t>2018</w:t>
            </w:r>
          </w:p>
        </w:tc>
        <w:tc>
          <w:tcPr>
            <w:tcW w:w="24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20"/>
                <w:szCs w:val="20"/>
                <w:color w:val="auto"/>
              </w:rPr>
              <w:t>2017</w:t>
            </w:r>
          </w:p>
        </w:tc>
        <w:tc>
          <w:tcPr>
            <w:tcW w:w="100" w:type="dxa"/>
            <w:vAlign w:val="bottom"/>
          </w:tcPr>
          <w:p>
            <w:pPr>
              <w:spacing w:after="0"/>
              <w:rPr>
                <w:sz w:val="20"/>
                <w:szCs w:val="20"/>
                <w:color w:val="auto"/>
              </w:rPr>
            </w:pPr>
          </w:p>
        </w:tc>
      </w:tr>
      <w:tr>
        <w:trPr>
          <w:trHeight w:val="237"/>
        </w:trPr>
        <w:tc>
          <w:tcPr>
            <w:tcW w:w="5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20" w:type="dxa"/>
            <w:vAlign w:val="bottom"/>
            <w:gridSpan w:val="7"/>
          </w:tcPr>
          <w:p>
            <w:pPr>
              <w:ind w:left="360"/>
              <w:spacing w:after="0"/>
              <w:rPr>
                <w:sz w:val="20"/>
                <w:szCs w:val="20"/>
                <w:color w:val="auto"/>
              </w:rPr>
            </w:pPr>
            <w:r>
              <w:rPr>
                <w:rFonts w:ascii="Arial" w:cs="Arial" w:eastAsia="Arial" w:hAnsi="Arial"/>
                <w:sz w:val="20"/>
                <w:szCs w:val="20"/>
                <w:i w:val="1"/>
                <w:iCs w:val="1"/>
                <w:color w:val="auto"/>
              </w:rPr>
              <w:t>(Dollars in Thousands)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920" w:type="dxa"/>
            <w:vAlign w:val="bottom"/>
            <w:shd w:val="clear" w:color="auto" w:fill="CFF0FC"/>
          </w:tcPr>
          <w:p>
            <w:pPr>
              <w:spacing w:after="0"/>
              <w:rPr>
                <w:sz w:val="20"/>
                <w:szCs w:val="20"/>
                <w:color w:val="auto"/>
              </w:rPr>
            </w:pPr>
            <w:r>
              <w:rPr>
                <w:rFonts w:ascii="Arial" w:cs="Arial" w:eastAsia="Arial" w:hAnsi="Arial"/>
                <w:sz w:val="20"/>
                <w:szCs w:val="20"/>
                <w:color w:val="auto"/>
              </w:rPr>
              <w:t>Net earnings (loss) attributable to noncontrolling interests</w:t>
            </w:r>
          </w:p>
        </w:tc>
        <w:tc>
          <w:tcPr>
            <w:tcW w:w="820" w:type="dxa"/>
            <w:vAlign w:val="bottom"/>
            <w:shd w:val="clear" w:color="auto" w:fill="CFF0FC"/>
          </w:tcPr>
          <w:p>
            <w:pPr>
              <w:jc w:val="right"/>
              <w:ind w:right="621"/>
              <w:spacing w:after="0"/>
              <w:rPr>
                <w:sz w:val="20"/>
                <w:szCs w:val="20"/>
                <w:color w:val="auto"/>
              </w:rPr>
            </w:pPr>
            <w:r>
              <w:rPr>
                <w:rFonts w:ascii="Arial" w:cs="Arial" w:eastAsia="Arial" w:hAnsi="Arial"/>
                <w:sz w:val="20"/>
                <w:szCs w:val="20"/>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5"/>
              </w:rPr>
              <w:t>132</w:t>
            </w:r>
          </w:p>
        </w:tc>
        <w:tc>
          <w:tcPr>
            <w:tcW w:w="1120" w:type="dxa"/>
            <w:vAlign w:val="bottom"/>
            <w:gridSpan w:val="2"/>
            <w:shd w:val="clear" w:color="auto" w:fill="CFF0FC"/>
          </w:tcPr>
          <w:p>
            <w:pPr>
              <w:jc w:val="right"/>
              <w:ind w:right="681"/>
              <w:spacing w:after="0"/>
              <w:rPr>
                <w:sz w:val="20"/>
                <w:szCs w:val="20"/>
                <w:color w:val="auto"/>
              </w:rPr>
            </w:pPr>
            <w:r>
              <w:rPr>
                <w:rFonts w:ascii="Arial" w:cs="Arial" w:eastAsia="Arial" w:hAnsi="Arial"/>
                <w:sz w:val="20"/>
                <w:szCs w:val="20"/>
                <w:color w:val="auto"/>
              </w:rPr>
              <w:t>$</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(7)</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275</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(72)</w:t>
            </w:r>
          </w:p>
        </w:tc>
      </w:tr>
      <w:tr>
        <w:trPr>
          <w:trHeight w:val="243"/>
        </w:trPr>
        <w:tc>
          <w:tcPr>
            <w:tcW w:w="592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 comprehensive earnings, net of tax</w:t>
            </w:r>
          </w:p>
        </w:tc>
        <w:tc>
          <w:tcPr>
            <w:tcW w:w="8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CFF0FC"/>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w:t>
            </w:r>
          </w:p>
        </w:tc>
        <w:tc>
          <w:tcPr>
            <w:tcW w:w="2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w:t>
            </w:r>
          </w:p>
        </w:tc>
        <w:tc>
          <w:tcPr>
            <w:tcW w:w="100" w:type="dxa"/>
            <w:vAlign w:val="bottom"/>
            <w:tcBorders>
              <w:bottom w:val="single" w:sz="8" w:color="CFF0FC"/>
            </w:tcBorders>
          </w:tcPr>
          <w:p>
            <w:pPr>
              <w:spacing w:after="0"/>
              <w:rPr>
                <w:sz w:val="21"/>
                <w:szCs w:val="21"/>
                <w:color w:val="auto"/>
              </w:rPr>
            </w:pPr>
          </w:p>
        </w:tc>
      </w:tr>
      <w:tr>
        <w:trPr>
          <w:trHeight w:val="220"/>
        </w:trPr>
        <w:tc>
          <w:tcPr>
            <w:tcW w:w="5920" w:type="dxa"/>
            <w:vAlign w:val="bottom"/>
            <w:shd w:val="clear" w:color="auto" w:fill="CFF0FC"/>
          </w:tcPr>
          <w:p>
            <w:pPr>
              <w:spacing w:after="0" w:line="220" w:lineRule="exact"/>
              <w:rPr>
                <w:sz w:val="20"/>
                <w:szCs w:val="20"/>
                <w:color w:val="auto"/>
              </w:rPr>
            </w:pPr>
            <w:r>
              <w:rPr>
                <w:rFonts w:ascii="Arial" w:cs="Arial" w:eastAsia="Arial" w:hAnsi="Arial"/>
                <w:sz w:val="20"/>
                <w:szCs w:val="20"/>
                <w:color w:val="auto"/>
              </w:rPr>
              <w:t>Comprehensive earnings (loss) attributable to</w:t>
            </w: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6"/>
        </w:trPr>
        <w:tc>
          <w:tcPr>
            <w:tcW w:w="5920" w:type="dxa"/>
            <w:vAlign w:val="bottom"/>
            <w:shd w:val="clear" w:color="auto" w:fill="CFF0FC"/>
          </w:tcPr>
          <w:p>
            <w:pPr>
              <w:ind w:left="160"/>
              <w:spacing w:after="0"/>
              <w:rPr>
                <w:sz w:val="20"/>
                <w:szCs w:val="20"/>
                <w:color w:val="auto"/>
              </w:rPr>
            </w:pPr>
            <w:r>
              <w:rPr>
                <w:rFonts w:ascii="Arial" w:cs="Arial" w:eastAsia="Arial" w:hAnsi="Arial"/>
                <w:sz w:val="20"/>
                <w:szCs w:val="20"/>
                <w:color w:val="auto"/>
              </w:rPr>
              <w:t>noncontrolling interests</w:t>
            </w:r>
          </w:p>
        </w:tc>
        <w:tc>
          <w:tcPr>
            <w:tcW w:w="820" w:type="dxa"/>
            <w:vAlign w:val="bottom"/>
            <w:shd w:val="clear" w:color="auto" w:fill="CFF0FC"/>
          </w:tcPr>
          <w:p>
            <w:pPr>
              <w:jc w:val="right"/>
              <w:ind w:right="621"/>
              <w:spacing w:after="0"/>
              <w:rPr>
                <w:sz w:val="20"/>
                <w:szCs w:val="20"/>
                <w:color w:val="auto"/>
              </w:rPr>
            </w:pPr>
            <w:r>
              <w:rPr>
                <w:rFonts w:ascii="Arial" w:cs="Arial" w:eastAsia="Arial" w:hAnsi="Arial"/>
                <w:sz w:val="20"/>
                <w:szCs w:val="20"/>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5"/>
              </w:rPr>
              <w:t>132</w:t>
            </w:r>
          </w:p>
        </w:tc>
        <w:tc>
          <w:tcPr>
            <w:tcW w:w="1120" w:type="dxa"/>
            <w:vAlign w:val="bottom"/>
            <w:gridSpan w:val="2"/>
            <w:shd w:val="clear" w:color="auto" w:fill="CFF0FC"/>
          </w:tcPr>
          <w:p>
            <w:pPr>
              <w:jc w:val="right"/>
              <w:ind w:right="681"/>
              <w:spacing w:after="0"/>
              <w:rPr>
                <w:sz w:val="20"/>
                <w:szCs w:val="20"/>
                <w:color w:val="auto"/>
              </w:rPr>
            </w:pPr>
            <w:r>
              <w:rPr>
                <w:rFonts w:ascii="Arial" w:cs="Arial" w:eastAsia="Arial" w:hAnsi="Arial"/>
                <w:sz w:val="20"/>
                <w:szCs w:val="20"/>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16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276</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(62)</w:t>
            </w:r>
          </w:p>
        </w:tc>
      </w:tr>
      <w:tr>
        <w:trPr>
          <w:trHeight w:val="20"/>
        </w:trPr>
        <w:tc>
          <w:tcPr>
            <w:tcW w:w="59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10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2018</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72" w:lineRule="exact"/>
        <w:rPr>
          <w:sz w:val="20"/>
          <w:szCs w:val="20"/>
          <w:color w:val="auto"/>
        </w:rPr>
      </w:pPr>
    </w:p>
    <w:p>
      <w:pPr>
        <w:ind w:left="380" w:hanging="372"/>
        <w:spacing w:after="0"/>
        <w:tabs>
          <w:tab w:leader="none" w:pos="38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(continued)</w:t>
      </w:r>
    </w:p>
    <w:p>
      <w:pPr>
        <w:spacing w:after="0" w:line="107" w:lineRule="exact"/>
        <w:rPr>
          <w:rFonts w:ascii="Arial" w:cs="Arial" w:eastAsia="Arial" w:hAnsi="Arial"/>
          <w:sz w:val="20"/>
          <w:szCs w:val="20"/>
          <w:b w:val="1"/>
          <w:bCs w:val="1"/>
          <w:color w:val="auto"/>
        </w:rPr>
      </w:pPr>
    </w:p>
    <w:p>
      <w:pPr>
        <w:ind w:left="380" w:right="2380"/>
        <w:spacing w:after="0" w:line="379"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Consolidated Comprehensive Earnings/Loss and Accumulated Other Comprehensive Loss (continued) </w:t>
      </w:r>
      <w:r>
        <w:rPr>
          <w:rFonts w:ascii="Arial" w:cs="Arial" w:eastAsia="Arial" w:hAnsi="Arial"/>
          <w:sz w:val="20"/>
          <w:szCs w:val="20"/>
          <w:color w:val="auto"/>
        </w:rPr>
        <w:t>Changes in accumulated other comprehensive earnings, net of tax, are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20"/>
                <w:szCs w:val="20"/>
                <w:i w:val="1"/>
                <w:iCs w:val="1"/>
                <w:color w:val="auto"/>
                <w:w w:val="91"/>
              </w:rPr>
              <w:t>(Dollars in Thousands)</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3"/>
        </w:trPr>
        <w:tc>
          <w:tcPr>
            <w:tcW w:w="4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20"/>
                <w:szCs w:val="20"/>
                <w:color w:val="auto"/>
                <w:w w:val="89"/>
              </w:rPr>
              <w:t>Unamortized</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20"/>
                <w:szCs w:val="20"/>
                <w:color w:val="auto"/>
                <w:w w:val="89"/>
              </w:rPr>
              <w:t>Value of</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20"/>
                <w:szCs w:val="20"/>
                <w:color w:val="auto"/>
                <w:w w:val="88"/>
              </w:rPr>
              <w:t>Terminated</w:t>
            </w:r>
          </w:p>
        </w:tc>
        <w:tc>
          <w:tcPr>
            <w:tcW w:w="1360" w:type="dxa"/>
            <w:vAlign w:val="bottom"/>
            <w:gridSpan w:val="3"/>
          </w:tcPr>
          <w:p>
            <w:pPr>
              <w:jc w:val="center"/>
              <w:ind w:right="140"/>
              <w:spacing w:after="0"/>
              <w:rPr>
                <w:sz w:val="20"/>
                <w:szCs w:val="20"/>
                <w:color w:val="auto"/>
              </w:rPr>
            </w:pPr>
            <w:r>
              <w:rPr>
                <w:rFonts w:ascii="Arial" w:cs="Arial" w:eastAsia="Arial" w:hAnsi="Arial"/>
                <w:sz w:val="20"/>
                <w:szCs w:val="20"/>
                <w:color w:val="auto"/>
                <w:w w:val="91"/>
              </w:rPr>
              <w:t>Accumulated</w:t>
            </w:r>
          </w:p>
        </w:tc>
      </w:tr>
      <w:tr>
        <w:trPr>
          <w:trHeight w:val="243"/>
        </w:trPr>
        <w:tc>
          <w:tcPr>
            <w:tcW w:w="4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center"/>
              <w:ind w:right="181"/>
              <w:spacing w:after="0"/>
              <w:rPr>
                <w:sz w:val="20"/>
                <w:szCs w:val="20"/>
                <w:color w:val="auto"/>
              </w:rPr>
            </w:pPr>
            <w:r>
              <w:rPr>
                <w:rFonts w:ascii="Arial" w:cs="Arial" w:eastAsia="Arial" w:hAnsi="Arial"/>
                <w:sz w:val="20"/>
                <w:szCs w:val="20"/>
                <w:color w:val="auto"/>
                <w:w w:val="86"/>
              </w:rPr>
              <w:t>Pension and</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gridSpan w:val="3"/>
          </w:tcPr>
          <w:p>
            <w:pPr>
              <w:spacing w:after="0"/>
              <w:rPr>
                <w:sz w:val="20"/>
                <w:szCs w:val="20"/>
                <w:color w:val="auto"/>
              </w:rPr>
            </w:pPr>
            <w:r>
              <w:rPr>
                <w:rFonts w:ascii="Arial" w:cs="Arial" w:eastAsia="Arial" w:hAnsi="Arial"/>
                <w:sz w:val="20"/>
                <w:szCs w:val="20"/>
                <w:color w:val="auto"/>
              </w:rPr>
              <w:t>Forward Starting</w:t>
            </w:r>
          </w:p>
        </w:tc>
        <w:tc>
          <w:tcPr>
            <w:tcW w:w="240" w:type="dxa"/>
            <w:vAlign w:val="bottom"/>
          </w:tcPr>
          <w:p>
            <w:pPr>
              <w:spacing w:after="0"/>
              <w:rPr>
                <w:sz w:val="21"/>
                <w:szCs w:val="21"/>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20"/>
                <w:szCs w:val="20"/>
                <w:color w:val="auto"/>
                <w:w w:val="87"/>
              </w:rPr>
              <w:t>Other</w:t>
            </w:r>
          </w:p>
        </w:tc>
      </w:tr>
      <w:tr>
        <w:trPr>
          <w:trHeight w:val="243"/>
        </w:trPr>
        <w:tc>
          <w:tcPr>
            <w:tcW w:w="4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0" w:type="dxa"/>
            <w:vAlign w:val="bottom"/>
            <w:gridSpan w:val="3"/>
          </w:tcPr>
          <w:p>
            <w:pPr>
              <w:jc w:val="center"/>
              <w:ind w:right="61"/>
              <w:spacing w:after="0"/>
              <w:rPr>
                <w:sz w:val="20"/>
                <w:szCs w:val="20"/>
                <w:color w:val="auto"/>
              </w:rPr>
            </w:pPr>
            <w:r>
              <w:rPr>
                <w:rFonts w:ascii="Arial" w:cs="Arial" w:eastAsia="Arial" w:hAnsi="Arial"/>
                <w:sz w:val="20"/>
                <w:szCs w:val="20"/>
                <w:color w:val="auto"/>
                <w:w w:val="89"/>
              </w:rPr>
              <w:t>Postretirement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20"/>
                <w:szCs w:val="20"/>
                <w:color w:val="auto"/>
              </w:rPr>
              <w:t>Foreign</w:t>
            </w:r>
          </w:p>
        </w:tc>
        <w:tc>
          <w:tcPr>
            <w:tcW w:w="120" w:type="dxa"/>
            <w:vAlign w:val="bottom"/>
          </w:tcPr>
          <w:p>
            <w:pPr>
              <w:spacing w:after="0"/>
              <w:rPr>
                <w:sz w:val="21"/>
                <w:szCs w:val="21"/>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20"/>
                <w:szCs w:val="20"/>
                <w:color w:val="auto"/>
                <w:w w:val="89"/>
              </w:rPr>
              <w:t>Interest Rate</w:t>
            </w:r>
          </w:p>
        </w:tc>
        <w:tc>
          <w:tcPr>
            <w:tcW w:w="1360" w:type="dxa"/>
            <w:vAlign w:val="bottom"/>
            <w:gridSpan w:val="3"/>
          </w:tcPr>
          <w:p>
            <w:pPr>
              <w:spacing w:after="0"/>
              <w:rPr>
                <w:sz w:val="20"/>
                <w:szCs w:val="20"/>
                <w:color w:val="auto"/>
              </w:rPr>
            </w:pPr>
            <w:r>
              <w:rPr>
                <w:rFonts w:ascii="Arial" w:cs="Arial" w:eastAsia="Arial" w:hAnsi="Arial"/>
                <w:sz w:val="20"/>
                <w:szCs w:val="20"/>
                <w:color w:val="auto"/>
                <w:w w:val="95"/>
              </w:rPr>
              <w:t>Comprehensive</w:t>
            </w:r>
          </w:p>
        </w:tc>
      </w:tr>
      <w:tr>
        <w:trPr>
          <w:trHeight w:val="246"/>
        </w:trPr>
        <w:tc>
          <w:tcPr>
            <w:tcW w:w="4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0" w:type="dxa"/>
            <w:vAlign w:val="bottom"/>
            <w:gridSpan w:val="3"/>
          </w:tcPr>
          <w:p>
            <w:pPr>
              <w:jc w:val="center"/>
              <w:ind w:right="81"/>
              <w:spacing w:after="0"/>
              <w:rPr>
                <w:sz w:val="20"/>
                <w:szCs w:val="20"/>
                <w:color w:val="auto"/>
              </w:rPr>
            </w:pPr>
            <w:r>
              <w:rPr>
                <w:rFonts w:ascii="Arial" w:cs="Arial" w:eastAsia="Arial" w:hAnsi="Arial"/>
                <w:sz w:val="20"/>
                <w:szCs w:val="20"/>
                <w:color w:val="auto"/>
                <w:w w:val="89"/>
              </w:rPr>
              <w:t>Benefit Plans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20"/>
                <w:szCs w:val="20"/>
                <w:color w:val="auto"/>
                <w:w w:val="98"/>
              </w:rPr>
              <w:t>Currency</w:t>
            </w:r>
          </w:p>
        </w:tc>
        <w:tc>
          <w:tcPr>
            <w:tcW w:w="120" w:type="dxa"/>
            <w:vAlign w:val="bottom"/>
          </w:tcPr>
          <w:p>
            <w:pPr>
              <w:spacing w:after="0"/>
              <w:rPr>
                <w:sz w:val="21"/>
                <w:szCs w:val="21"/>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20"/>
                <w:szCs w:val="20"/>
                <w:color w:val="auto"/>
                <w:w w:val="87"/>
              </w:rPr>
              <w:t>Swap</w:t>
            </w:r>
          </w:p>
        </w:tc>
        <w:tc>
          <w:tcPr>
            <w:tcW w:w="240" w:type="dxa"/>
            <w:vAlign w:val="bottom"/>
          </w:tcPr>
          <w:p>
            <w:pPr>
              <w:spacing w:after="0"/>
              <w:rPr>
                <w:sz w:val="21"/>
                <w:szCs w:val="21"/>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20"/>
                <w:szCs w:val="20"/>
                <w:color w:val="auto"/>
                <w:w w:val="85"/>
              </w:rPr>
              <w:t>Loss</w:t>
            </w:r>
          </w:p>
        </w:tc>
      </w:tr>
      <w:tr>
        <w:trPr>
          <w:trHeight w:val="237"/>
        </w:trPr>
        <w:tc>
          <w:tcPr>
            <w:tcW w:w="4340" w:type="dxa"/>
            <w:vAlign w:val="bottom"/>
            <w:tcBorders>
              <w:bottom w:val="single" w:sz="8" w:color="CFF0FC"/>
            </w:tcBorders>
          </w:tcPr>
          <w:p>
            <w:pPr>
              <w:spacing w:after="0"/>
              <w:rPr>
                <w:sz w:val="20"/>
                <w:szCs w:val="20"/>
                <w:color w:val="auto"/>
              </w:rPr>
            </w:pPr>
          </w:p>
        </w:tc>
        <w:tc>
          <w:tcPr>
            <w:tcW w:w="108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3400" w:type="dxa"/>
            <w:vAlign w:val="bottom"/>
            <w:tcBorders>
              <w:top w:val="single" w:sz="8" w:color="auto"/>
              <w:bottom w:val="single" w:sz="8" w:color="auto"/>
            </w:tcBorders>
            <w:gridSpan w:val="8"/>
          </w:tcPr>
          <w:p>
            <w:pPr>
              <w:jc w:val="center"/>
              <w:spacing w:after="0"/>
              <w:rPr>
                <w:sz w:val="20"/>
                <w:szCs w:val="20"/>
                <w:color w:val="auto"/>
              </w:rPr>
            </w:pPr>
            <w:r>
              <w:rPr>
                <w:rFonts w:ascii="Arial" w:cs="Arial" w:eastAsia="Arial" w:hAnsi="Arial"/>
                <w:sz w:val="20"/>
                <w:szCs w:val="20"/>
                <w:color w:val="auto"/>
                <w:w w:val="88"/>
              </w:rPr>
              <w:t>Three-Months Ended September 30, 2018</w:t>
            </w:r>
          </w:p>
        </w:tc>
        <w:tc>
          <w:tcPr>
            <w:tcW w:w="2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r>
      <w:tr>
        <w:trPr>
          <w:trHeight w:val="237"/>
        </w:trPr>
        <w:tc>
          <w:tcPr>
            <w:tcW w:w="4340" w:type="dxa"/>
            <w:vAlign w:val="bottom"/>
            <w:shd w:val="clear" w:color="auto" w:fill="CFF0FC"/>
          </w:tcPr>
          <w:p>
            <w:pPr>
              <w:spacing w:after="0"/>
              <w:rPr>
                <w:sz w:val="20"/>
                <w:szCs w:val="20"/>
                <w:color w:val="auto"/>
              </w:rPr>
            </w:pPr>
            <w:r>
              <w:rPr>
                <w:rFonts w:ascii="Arial" w:cs="Arial" w:eastAsia="Arial" w:hAnsi="Arial"/>
                <w:sz w:val="20"/>
                <w:szCs w:val="20"/>
                <w:color w:val="auto"/>
              </w:rPr>
              <w:t>Balance at beginning of period</w:t>
            </w:r>
          </w:p>
        </w:tc>
        <w:tc>
          <w:tcPr>
            <w:tcW w:w="10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(124,798)</w:t>
            </w:r>
          </w:p>
        </w:tc>
        <w:tc>
          <w:tcPr>
            <w:tcW w:w="280" w:type="dxa"/>
            <w:vAlign w:val="bottom"/>
            <w:gridSpan w:val="2"/>
            <w:shd w:val="clear" w:color="auto" w:fill="CFF0FC"/>
          </w:tcPr>
          <w:p>
            <w:pPr>
              <w:jc w:val="right"/>
              <w:ind w:right="1"/>
              <w:spacing w:after="0"/>
              <w:rPr>
                <w:sz w:val="20"/>
                <w:szCs w:val="20"/>
                <w:color w:val="auto"/>
              </w:rPr>
            </w:pPr>
            <w:r>
              <w:rPr>
                <w:rFonts w:ascii="Arial" w:cs="Arial" w:eastAsia="Arial" w:hAnsi="Arial"/>
                <w:sz w:val="20"/>
                <w:szCs w:val="20"/>
                <w:color w:val="auto"/>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(1,085)</w:t>
            </w:r>
          </w:p>
        </w:tc>
        <w:tc>
          <w:tcPr>
            <w:tcW w:w="120" w:type="dxa"/>
            <w:vAlign w:val="bottom"/>
            <w:shd w:val="clear" w:color="auto" w:fill="CFF0FC"/>
          </w:tcPr>
          <w:p>
            <w:pPr>
              <w:spacing w:after="0"/>
              <w:rPr>
                <w:sz w:val="20"/>
                <w:szCs w:val="20"/>
                <w:color w:val="auto"/>
              </w:rPr>
            </w:pPr>
            <w:r>
              <w:rPr>
                <w:rFonts w:ascii="Arial" w:cs="Arial" w:eastAsia="Arial" w:hAnsi="Arial"/>
                <w:sz w:val="20"/>
                <w:szCs w:val="20"/>
                <w:color w:val="auto"/>
                <w:w w:val="89"/>
              </w:rPr>
              <w:t>$</w:t>
            </w: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w:t>
            </w:r>
          </w:p>
        </w:tc>
        <w:tc>
          <w:tcPr>
            <w:tcW w:w="240" w:type="dxa"/>
            <w:vAlign w:val="bottom"/>
            <w:shd w:val="clear" w:color="auto" w:fill="CFF0FC"/>
          </w:tcPr>
          <w:p>
            <w:pPr>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(125,883)</w:t>
            </w:r>
          </w:p>
        </w:tc>
        <w:tc>
          <w:tcPr>
            <w:tcW w:w="100" w:type="dxa"/>
            <w:vAlign w:val="bottom"/>
            <w:shd w:val="clear" w:color="auto" w:fill="CFF0FC"/>
          </w:tcPr>
          <w:p>
            <w:pPr>
              <w:spacing w:after="0"/>
              <w:rPr>
                <w:sz w:val="20"/>
                <w:szCs w:val="20"/>
                <w:color w:val="auto"/>
              </w:rPr>
            </w:pPr>
          </w:p>
        </w:tc>
      </w:tr>
      <w:tr>
        <w:trPr>
          <w:trHeight w:val="226"/>
        </w:trPr>
        <w:tc>
          <w:tcPr>
            <w:tcW w:w="4340" w:type="dxa"/>
            <w:vAlign w:val="bottom"/>
          </w:tcPr>
          <w:p>
            <w:pPr>
              <w:spacing w:after="0" w:line="227" w:lineRule="exact"/>
              <w:rPr>
                <w:sz w:val="20"/>
                <w:szCs w:val="20"/>
                <w:color w:val="auto"/>
              </w:rPr>
            </w:pPr>
            <w:r>
              <w:rPr>
                <w:rFonts w:ascii="Arial" w:cs="Arial" w:eastAsia="Arial" w:hAnsi="Arial"/>
                <w:sz w:val="20"/>
                <w:szCs w:val="20"/>
                <w:color w:val="auto"/>
              </w:rPr>
              <w:t>Other comprehensive earnings before</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4340" w:type="dxa"/>
            <w:vAlign w:val="bottom"/>
          </w:tcPr>
          <w:p>
            <w:pPr>
              <w:ind w:left="160"/>
              <w:spacing w:after="0"/>
              <w:rPr>
                <w:sz w:val="20"/>
                <w:szCs w:val="20"/>
                <w:color w:val="auto"/>
              </w:rPr>
            </w:pPr>
            <w:r>
              <w:rPr>
                <w:rFonts w:ascii="Arial" w:cs="Arial" w:eastAsia="Arial" w:hAnsi="Arial"/>
                <w:sz w:val="20"/>
                <w:szCs w:val="20"/>
                <w:color w:val="auto"/>
              </w:rPr>
              <w:t>reclassifications, net of tax</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61"/>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365</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365</w:t>
            </w:r>
          </w:p>
        </w:tc>
        <w:tc>
          <w:tcPr>
            <w:tcW w:w="100" w:type="dxa"/>
            <w:vAlign w:val="bottom"/>
          </w:tcPr>
          <w:p>
            <w:pPr>
              <w:spacing w:after="0"/>
              <w:rPr>
                <w:sz w:val="21"/>
                <w:szCs w:val="21"/>
                <w:color w:val="auto"/>
              </w:rPr>
            </w:pPr>
          </w:p>
        </w:tc>
      </w:tr>
      <w:tr>
        <w:trPr>
          <w:trHeight w:val="226"/>
        </w:trPr>
        <w:tc>
          <w:tcPr>
            <w:tcW w:w="434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Amounts reclassified from accumulated</w:t>
            </w: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6"/>
        </w:trPr>
        <w:tc>
          <w:tcPr>
            <w:tcW w:w="4340" w:type="dxa"/>
            <w:vAlign w:val="bottom"/>
            <w:shd w:val="clear" w:color="auto" w:fill="CFF0FC"/>
          </w:tcPr>
          <w:p>
            <w:pPr>
              <w:ind w:left="160"/>
              <w:spacing w:after="0"/>
              <w:rPr>
                <w:sz w:val="20"/>
                <w:szCs w:val="20"/>
                <w:color w:val="auto"/>
              </w:rPr>
            </w:pPr>
            <w:r>
              <w:rPr>
                <w:rFonts w:ascii="Arial" w:cs="Arial" w:eastAsia="Arial" w:hAnsi="Arial"/>
                <w:sz w:val="20"/>
                <w:szCs w:val="20"/>
                <w:color w:val="auto"/>
              </w:rPr>
              <w:t>other comprehensive loss, net of tax</w:t>
            </w:r>
          </w:p>
        </w:tc>
        <w:tc>
          <w:tcPr>
            <w:tcW w:w="10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4,027</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w:t>
            </w: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4,027</w:t>
            </w:r>
          </w:p>
        </w:tc>
        <w:tc>
          <w:tcPr>
            <w:tcW w:w="100" w:type="dxa"/>
            <w:vAlign w:val="bottom"/>
            <w:shd w:val="clear" w:color="auto" w:fill="CFF0FC"/>
          </w:tcPr>
          <w:p>
            <w:pPr>
              <w:spacing w:after="0"/>
              <w:rPr>
                <w:sz w:val="21"/>
                <w:szCs w:val="21"/>
                <w:color w:val="auto"/>
              </w:rPr>
            </w:pPr>
          </w:p>
        </w:tc>
      </w:tr>
      <w:tr>
        <w:trPr>
          <w:trHeight w:val="237"/>
        </w:trPr>
        <w:tc>
          <w:tcPr>
            <w:tcW w:w="43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 comprehensive earnings, net of tax</w:t>
            </w:r>
          </w:p>
        </w:tc>
        <w:tc>
          <w:tcPr>
            <w:tcW w:w="108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4,027</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365</w:t>
            </w:r>
          </w:p>
        </w:tc>
        <w:tc>
          <w:tcPr>
            <w:tcW w:w="24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4,392</w:t>
            </w:r>
          </w:p>
        </w:tc>
        <w:tc>
          <w:tcPr>
            <w:tcW w:w="100" w:type="dxa"/>
            <w:vAlign w:val="bottom"/>
            <w:tcBorders>
              <w:bottom w:val="single" w:sz="8" w:color="CFF0FC"/>
            </w:tcBorders>
          </w:tcPr>
          <w:p>
            <w:pPr>
              <w:spacing w:after="0"/>
              <w:rPr>
                <w:sz w:val="20"/>
                <w:szCs w:val="20"/>
                <w:color w:val="auto"/>
              </w:rPr>
            </w:pPr>
          </w:p>
        </w:tc>
      </w:tr>
      <w:tr>
        <w:trPr>
          <w:trHeight w:val="237"/>
        </w:trPr>
        <w:tc>
          <w:tcPr>
            <w:tcW w:w="4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end of period</w:t>
            </w:r>
          </w:p>
        </w:tc>
        <w:tc>
          <w:tcPr>
            <w:tcW w:w="10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(120,771)</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(720)</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w w:val="8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(121,491)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4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4340" w:type="dxa"/>
            <w:vAlign w:val="bottom"/>
            <w:tcBorders>
              <w:bottom w:val="single" w:sz="8" w:color="CFF0FC"/>
            </w:tcBorders>
          </w:tcPr>
          <w:p>
            <w:pPr>
              <w:spacing w:after="0"/>
              <w:rPr>
                <w:sz w:val="24"/>
                <w:szCs w:val="24"/>
                <w:color w:val="auto"/>
              </w:rPr>
            </w:pPr>
          </w:p>
        </w:tc>
        <w:tc>
          <w:tcPr>
            <w:tcW w:w="108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8"/>
          </w:tcPr>
          <w:p>
            <w:pPr>
              <w:jc w:val="center"/>
              <w:spacing w:after="0"/>
              <w:rPr>
                <w:sz w:val="20"/>
                <w:szCs w:val="20"/>
                <w:color w:val="auto"/>
              </w:rPr>
            </w:pPr>
            <w:r>
              <w:rPr>
                <w:rFonts w:ascii="Arial" w:cs="Arial" w:eastAsia="Arial" w:hAnsi="Arial"/>
                <w:sz w:val="20"/>
                <w:szCs w:val="20"/>
                <w:color w:val="auto"/>
                <w:w w:val="88"/>
              </w:rPr>
              <w:t>Three-Months Ended September 30, 2017</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CFF2FA"/>
            </w:tcBorders>
          </w:tcPr>
          <w:p>
            <w:pPr>
              <w:spacing w:after="0"/>
              <w:rPr>
                <w:sz w:val="24"/>
                <w:szCs w:val="24"/>
                <w:color w:val="auto"/>
              </w:rPr>
            </w:pPr>
          </w:p>
        </w:tc>
      </w:tr>
      <w:tr>
        <w:trPr>
          <w:trHeight w:val="237"/>
        </w:trPr>
        <w:tc>
          <w:tcPr>
            <w:tcW w:w="4340" w:type="dxa"/>
            <w:vAlign w:val="bottom"/>
            <w:shd w:val="clear" w:color="auto" w:fill="CFF0FC"/>
          </w:tcPr>
          <w:p>
            <w:pPr>
              <w:spacing w:after="0"/>
              <w:rPr>
                <w:sz w:val="20"/>
                <w:szCs w:val="20"/>
                <w:color w:val="auto"/>
              </w:rPr>
            </w:pPr>
            <w:r>
              <w:rPr>
                <w:rFonts w:ascii="Arial" w:cs="Arial" w:eastAsia="Arial" w:hAnsi="Arial"/>
                <w:sz w:val="20"/>
                <w:szCs w:val="20"/>
                <w:color w:val="auto"/>
              </w:rPr>
              <w:t>Balance at beginning of period</w:t>
            </w:r>
          </w:p>
        </w:tc>
        <w:tc>
          <w:tcPr>
            <w:tcW w:w="1080" w:type="dxa"/>
            <w:vAlign w:val="bottom"/>
            <w:shd w:val="clear" w:color="auto" w:fill="CFF0FC"/>
          </w:tcPr>
          <w:p>
            <w:pPr>
              <w:spacing w:after="0"/>
              <w:rPr>
                <w:sz w:val="20"/>
                <w:szCs w:val="20"/>
                <w:color w:val="auto"/>
              </w:rPr>
            </w:pPr>
          </w:p>
        </w:tc>
        <w:tc>
          <w:tcPr>
            <w:tcW w:w="120" w:type="dxa"/>
            <w:vAlign w:val="bottom"/>
            <w:shd w:val="clear" w:color="auto" w:fill="CFF2FA"/>
          </w:tcPr>
          <w:p>
            <w:pPr>
              <w:jc w:val="right"/>
              <w:spacing w:after="0"/>
              <w:rPr>
                <w:sz w:val="20"/>
                <w:szCs w:val="20"/>
                <w:color w:val="auto"/>
              </w:rPr>
            </w:pPr>
            <w:r>
              <w:rPr>
                <w:rFonts w:ascii="Arial" w:cs="Arial" w:eastAsia="Arial" w:hAnsi="Arial"/>
                <w:sz w:val="20"/>
                <w:szCs w:val="20"/>
                <w:color w:val="auto"/>
                <w:w w:val="71"/>
              </w:rPr>
              <w:t>$</w:t>
            </w:r>
          </w:p>
        </w:tc>
        <w:tc>
          <w:tcPr>
            <w:tcW w:w="1280" w:type="dxa"/>
            <w:vAlign w:val="bottom"/>
            <w:gridSpan w:val="2"/>
            <w:shd w:val="clear" w:color="auto" w:fill="CFF2FA"/>
          </w:tcPr>
          <w:p>
            <w:pPr>
              <w:jc w:val="right"/>
              <w:spacing w:after="0"/>
              <w:rPr>
                <w:sz w:val="20"/>
                <w:szCs w:val="20"/>
                <w:color w:val="auto"/>
              </w:rPr>
            </w:pPr>
            <w:r>
              <w:rPr>
                <w:rFonts w:ascii="Arial" w:cs="Arial" w:eastAsia="Arial" w:hAnsi="Arial"/>
                <w:sz w:val="20"/>
                <w:szCs w:val="20"/>
                <w:color w:val="auto"/>
              </w:rPr>
              <w:t>(124,553)</w:t>
            </w:r>
          </w:p>
        </w:tc>
        <w:tc>
          <w:tcPr>
            <w:tcW w:w="280" w:type="dxa"/>
            <w:vAlign w:val="bottom"/>
            <w:gridSpan w:val="2"/>
            <w:shd w:val="clear" w:color="auto" w:fill="CFF2FA"/>
          </w:tcPr>
          <w:p>
            <w:pPr>
              <w:jc w:val="right"/>
              <w:ind w:right="1"/>
              <w:spacing w:after="0"/>
              <w:rPr>
                <w:sz w:val="20"/>
                <w:szCs w:val="20"/>
                <w:color w:val="auto"/>
              </w:rPr>
            </w:pPr>
            <w:r>
              <w:rPr>
                <w:rFonts w:ascii="Arial" w:cs="Arial" w:eastAsia="Arial" w:hAnsi="Arial"/>
                <w:sz w:val="20"/>
                <w:szCs w:val="20"/>
                <w:color w:val="auto"/>
              </w:rPr>
              <w:t>$</w:t>
            </w:r>
          </w:p>
        </w:tc>
        <w:tc>
          <w:tcPr>
            <w:tcW w:w="1360" w:type="dxa"/>
            <w:vAlign w:val="bottom"/>
            <w:gridSpan w:val="2"/>
            <w:shd w:val="clear" w:color="auto" w:fill="CFF2FA"/>
          </w:tcPr>
          <w:p>
            <w:pPr>
              <w:jc w:val="right"/>
              <w:ind w:right="180"/>
              <w:spacing w:after="0"/>
              <w:rPr>
                <w:sz w:val="20"/>
                <w:szCs w:val="20"/>
                <w:color w:val="auto"/>
              </w:rPr>
            </w:pPr>
            <w:r>
              <w:rPr>
                <w:rFonts w:ascii="Arial" w:cs="Arial" w:eastAsia="Arial" w:hAnsi="Arial"/>
                <w:sz w:val="20"/>
                <w:szCs w:val="20"/>
                <w:color w:val="auto"/>
              </w:rPr>
              <w:t>(636)</w:t>
            </w:r>
          </w:p>
        </w:tc>
        <w:tc>
          <w:tcPr>
            <w:tcW w:w="120" w:type="dxa"/>
            <w:vAlign w:val="bottom"/>
            <w:shd w:val="clear" w:color="auto" w:fill="CFF2FA"/>
          </w:tcPr>
          <w:p>
            <w:pPr>
              <w:spacing w:after="0"/>
              <w:rPr>
                <w:sz w:val="20"/>
                <w:szCs w:val="20"/>
                <w:color w:val="auto"/>
              </w:rPr>
            </w:pPr>
            <w:r>
              <w:rPr>
                <w:rFonts w:ascii="Arial" w:cs="Arial" w:eastAsia="Arial" w:hAnsi="Arial"/>
                <w:sz w:val="20"/>
                <w:szCs w:val="20"/>
                <w:color w:val="auto"/>
                <w:w w:val="89"/>
              </w:rPr>
              <w:t>$</w:t>
            </w:r>
          </w:p>
        </w:tc>
        <w:tc>
          <w:tcPr>
            <w:tcW w:w="1480" w:type="dxa"/>
            <w:vAlign w:val="bottom"/>
            <w:gridSpan w:val="2"/>
            <w:shd w:val="clear" w:color="auto" w:fill="CFF2FA"/>
          </w:tcPr>
          <w:p>
            <w:pPr>
              <w:jc w:val="right"/>
              <w:ind w:right="180"/>
              <w:spacing w:after="0"/>
              <w:rPr>
                <w:sz w:val="20"/>
                <w:szCs w:val="20"/>
                <w:color w:val="auto"/>
              </w:rPr>
            </w:pPr>
            <w:r>
              <w:rPr>
                <w:rFonts w:ascii="Arial" w:cs="Arial" w:eastAsia="Arial" w:hAnsi="Arial"/>
                <w:sz w:val="20"/>
                <w:szCs w:val="20"/>
                <w:color w:val="auto"/>
              </w:rPr>
              <w:t>(717)</w:t>
            </w:r>
          </w:p>
        </w:tc>
        <w:tc>
          <w:tcPr>
            <w:tcW w:w="240" w:type="dxa"/>
            <w:vAlign w:val="bottom"/>
            <w:shd w:val="clear" w:color="auto" w:fill="CFF2FA"/>
          </w:tcPr>
          <w:p>
            <w:pPr>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2FA"/>
          </w:tcPr>
          <w:p>
            <w:pPr>
              <w:jc w:val="right"/>
              <w:spacing w:after="0"/>
              <w:rPr>
                <w:sz w:val="20"/>
                <w:szCs w:val="20"/>
                <w:color w:val="auto"/>
              </w:rPr>
            </w:pPr>
            <w:r>
              <w:rPr>
                <w:rFonts w:ascii="Arial" w:cs="Arial" w:eastAsia="Arial" w:hAnsi="Arial"/>
                <w:sz w:val="20"/>
                <w:szCs w:val="20"/>
                <w:color w:val="auto"/>
              </w:rPr>
              <w:t>(125,906)</w:t>
            </w:r>
          </w:p>
        </w:tc>
        <w:tc>
          <w:tcPr>
            <w:tcW w:w="100" w:type="dxa"/>
            <w:vAlign w:val="bottom"/>
            <w:shd w:val="clear" w:color="auto" w:fill="CFF2FA"/>
          </w:tcPr>
          <w:p>
            <w:pPr>
              <w:spacing w:after="0"/>
              <w:rPr>
                <w:sz w:val="20"/>
                <w:szCs w:val="20"/>
                <w:color w:val="auto"/>
              </w:rPr>
            </w:pPr>
          </w:p>
        </w:tc>
      </w:tr>
      <w:tr>
        <w:trPr>
          <w:trHeight w:val="220"/>
        </w:trPr>
        <w:tc>
          <w:tcPr>
            <w:tcW w:w="4340" w:type="dxa"/>
            <w:vAlign w:val="bottom"/>
          </w:tcPr>
          <w:p>
            <w:pPr>
              <w:spacing w:after="0" w:line="220" w:lineRule="exact"/>
              <w:rPr>
                <w:sz w:val="20"/>
                <w:szCs w:val="20"/>
                <w:color w:val="auto"/>
              </w:rPr>
            </w:pPr>
            <w:r>
              <w:rPr>
                <w:rFonts w:ascii="Arial" w:cs="Arial" w:eastAsia="Arial" w:hAnsi="Arial"/>
                <w:sz w:val="20"/>
                <w:szCs w:val="20"/>
                <w:color w:val="auto"/>
              </w:rPr>
              <w:t>Other comprehensive earnings before</w:t>
            </w:r>
          </w:p>
        </w:tc>
        <w:tc>
          <w:tcPr>
            <w:tcW w:w="10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4340" w:type="dxa"/>
            <w:vAlign w:val="bottom"/>
          </w:tcPr>
          <w:p>
            <w:pPr>
              <w:ind w:left="160"/>
              <w:spacing w:after="0"/>
              <w:rPr>
                <w:sz w:val="20"/>
                <w:szCs w:val="20"/>
                <w:color w:val="auto"/>
              </w:rPr>
            </w:pPr>
            <w:r>
              <w:rPr>
                <w:rFonts w:ascii="Arial" w:cs="Arial" w:eastAsia="Arial" w:hAnsi="Arial"/>
                <w:sz w:val="20"/>
                <w:szCs w:val="20"/>
                <w:color w:val="auto"/>
              </w:rPr>
              <w:t>reclassifications, net of tax</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jc w:val="right"/>
              <w:ind w:right="61"/>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838</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838</w:t>
            </w:r>
          </w:p>
        </w:tc>
        <w:tc>
          <w:tcPr>
            <w:tcW w:w="100" w:type="dxa"/>
            <w:vAlign w:val="bottom"/>
          </w:tcPr>
          <w:p>
            <w:pPr>
              <w:spacing w:after="0"/>
              <w:rPr>
                <w:sz w:val="21"/>
                <w:szCs w:val="21"/>
                <w:color w:val="auto"/>
              </w:rPr>
            </w:pPr>
          </w:p>
        </w:tc>
      </w:tr>
      <w:tr>
        <w:trPr>
          <w:trHeight w:val="226"/>
        </w:trPr>
        <w:tc>
          <w:tcPr>
            <w:tcW w:w="434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Amounts reclassified from accumulated</w:t>
            </w:r>
          </w:p>
        </w:tc>
        <w:tc>
          <w:tcPr>
            <w:tcW w:w="1080" w:type="dxa"/>
            <w:vAlign w:val="bottom"/>
            <w:shd w:val="clear" w:color="auto" w:fill="CFF0FC"/>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120" w:type="dxa"/>
            <w:vAlign w:val="bottom"/>
            <w:shd w:val="clear" w:color="auto" w:fill="CFF2FA"/>
          </w:tcPr>
          <w:p>
            <w:pPr>
              <w:spacing w:after="0"/>
              <w:rPr>
                <w:sz w:val="19"/>
                <w:szCs w:val="19"/>
                <w:color w:val="auto"/>
              </w:rPr>
            </w:pPr>
          </w:p>
        </w:tc>
        <w:tc>
          <w:tcPr>
            <w:tcW w:w="160" w:type="dxa"/>
            <w:vAlign w:val="bottom"/>
            <w:shd w:val="clear" w:color="auto" w:fill="CFF2FA"/>
          </w:tcPr>
          <w:p>
            <w:pPr>
              <w:spacing w:after="0"/>
              <w:rPr>
                <w:sz w:val="19"/>
                <w:szCs w:val="19"/>
                <w:color w:val="auto"/>
              </w:rPr>
            </w:pPr>
          </w:p>
        </w:tc>
        <w:tc>
          <w:tcPr>
            <w:tcW w:w="80" w:type="dxa"/>
            <w:vAlign w:val="bottom"/>
            <w:shd w:val="clear" w:color="auto" w:fill="CFF2FA"/>
          </w:tcPr>
          <w:p>
            <w:pPr>
              <w:spacing w:after="0"/>
              <w:rPr>
                <w:sz w:val="19"/>
                <w:szCs w:val="19"/>
                <w:color w:val="auto"/>
              </w:rPr>
            </w:pPr>
          </w:p>
        </w:tc>
        <w:tc>
          <w:tcPr>
            <w:tcW w:w="200" w:type="dxa"/>
            <w:vAlign w:val="bottom"/>
            <w:shd w:val="clear" w:color="auto" w:fill="CFF2FA"/>
          </w:tcPr>
          <w:p>
            <w:pPr>
              <w:spacing w:after="0"/>
              <w:rPr>
                <w:sz w:val="19"/>
                <w:szCs w:val="19"/>
                <w:color w:val="auto"/>
              </w:rPr>
            </w:pPr>
          </w:p>
        </w:tc>
        <w:tc>
          <w:tcPr>
            <w:tcW w:w="1120" w:type="dxa"/>
            <w:vAlign w:val="bottom"/>
            <w:shd w:val="clear" w:color="auto" w:fill="CFF2FA"/>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120" w:type="dxa"/>
            <w:vAlign w:val="bottom"/>
            <w:shd w:val="clear" w:color="auto" w:fill="CFF2FA"/>
          </w:tcPr>
          <w:p>
            <w:pPr>
              <w:spacing w:after="0"/>
              <w:rPr>
                <w:sz w:val="19"/>
                <w:szCs w:val="19"/>
                <w:color w:val="auto"/>
              </w:rPr>
            </w:pPr>
          </w:p>
        </w:tc>
        <w:tc>
          <w:tcPr>
            <w:tcW w:w="1240" w:type="dxa"/>
            <w:vAlign w:val="bottom"/>
            <w:shd w:val="clear" w:color="auto" w:fill="CFF2FA"/>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102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r>
      <w:tr>
        <w:trPr>
          <w:trHeight w:val="246"/>
        </w:trPr>
        <w:tc>
          <w:tcPr>
            <w:tcW w:w="4340" w:type="dxa"/>
            <w:vAlign w:val="bottom"/>
            <w:shd w:val="clear" w:color="auto" w:fill="CFF0FC"/>
          </w:tcPr>
          <w:p>
            <w:pPr>
              <w:ind w:left="160"/>
              <w:spacing w:after="0"/>
              <w:rPr>
                <w:sz w:val="20"/>
                <w:szCs w:val="20"/>
                <w:color w:val="auto"/>
              </w:rPr>
            </w:pPr>
            <w:r>
              <w:rPr>
                <w:rFonts w:ascii="Arial" w:cs="Arial" w:eastAsia="Arial" w:hAnsi="Arial"/>
                <w:sz w:val="20"/>
                <w:szCs w:val="20"/>
                <w:color w:val="auto"/>
              </w:rPr>
              <w:t>other comprehensive loss, net of tax</w:t>
            </w:r>
          </w:p>
        </w:tc>
        <w:tc>
          <w:tcPr>
            <w:tcW w:w="1080" w:type="dxa"/>
            <w:vAlign w:val="bottom"/>
            <w:shd w:val="clear" w:color="auto" w:fill="CFF0FC"/>
          </w:tcPr>
          <w:p>
            <w:pPr>
              <w:spacing w:after="0"/>
              <w:rPr>
                <w:sz w:val="21"/>
                <w:szCs w:val="21"/>
                <w:color w:val="auto"/>
              </w:rPr>
            </w:pPr>
          </w:p>
        </w:tc>
        <w:tc>
          <w:tcPr>
            <w:tcW w:w="120" w:type="dxa"/>
            <w:vAlign w:val="bottom"/>
            <w:shd w:val="clear" w:color="auto" w:fill="CFF2FA"/>
          </w:tcPr>
          <w:p>
            <w:pPr>
              <w:spacing w:after="0"/>
              <w:rPr>
                <w:sz w:val="21"/>
                <w:szCs w:val="21"/>
                <w:color w:val="auto"/>
              </w:rPr>
            </w:pPr>
          </w:p>
        </w:tc>
        <w:tc>
          <w:tcPr>
            <w:tcW w:w="1120" w:type="dxa"/>
            <w:vAlign w:val="bottom"/>
            <w:shd w:val="clear" w:color="auto" w:fill="CFF2FA"/>
          </w:tcPr>
          <w:p>
            <w:pPr>
              <w:jc w:val="right"/>
              <w:spacing w:after="0"/>
              <w:rPr>
                <w:sz w:val="20"/>
                <w:szCs w:val="20"/>
                <w:color w:val="auto"/>
              </w:rPr>
            </w:pPr>
            <w:r>
              <w:rPr>
                <w:rFonts w:ascii="Arial" w:cs="Arial" w:eastAsia="Arial" w:hAnsi="Arial"/>
                <w:sz w:val="20"/>
                <w:szCs w:val="20"/>
                <w:color w:val="auto"/>
              </w:rPr>
              <w:t>1,918</w:t>
            </w:r>
          </w:p>
        </w:tc>
        <w:tc>
          <w:tcPr>
            <w:tcW w:w="160" w:type="dxa"/>
            <w:vAlign w:val="bottom"/>
            <w:shd w:val="clear" w:color="auto" w:fill="CFF2FA"/>
          </w:tcPr>
          <w:p>
            <w:pPr>
              <w:spacing w:after="0"/>
              <w:rPr>
                <w:sz w:val="21"/>
                <w:szCs w:val="21"/>
                <w:color w:val="auto"/>
              </w:rPr>
            </w:pPr>
          </w:p>
        </w:tc>
        <w:tc>
          <w:tcPr>
            <w:tcW w:w="80" w:type="dxa"/>
            <w:vAlign w:val="bottom"/>
            <w:shd w:val="clear" w:color="auto" w:fill="CFF2FA"/>
          </w:tcPr>
          <w:p>
            <w:pPr>
              <w:spacing w:after="0"/>
              <w:rPr>
                <w:sz w:val="21"/>
                <w:szCs w:val="21"/>
                <w:color w:val="auto"/>
              </w:rPr>
            </w:pPr>
          </w:p>
        </w:tc>
        <w:tc>
          <w:tcPr>
            <w:tcW w:w="200" w:type="dxa"/>
            <w:vAlign w:val="bottom"/>
            <w:shd w:val="clear" w:color="auto" w:fill="CFF2FA"/>
          </w:tcPr>
          <w:p>
            <w:pPr>
              <w:spacing w:after="0"/>
              <w:rPr>
                <w:sz w:val="21"/>
                <w:szCs w:val="21"/>
                <w:color w:val="auto"/>
              </w:rPr>
            </w:pPr>
          </w:p>
        </w:tc>
        <w:tc>
          <w:tcPr>
            <w:tcW w:w="1360" w:type="dxa"/>
            <w:vAlign w:val="bottom"/>
            <w:gridSpan w:val="2"/>
            <w:shd w:val="clear" w:color="auto" w:fill="CFF2FA"/>
          </w:tcPr>
          <w:p>
            <w:pPr>
              <w:jc w:val="right"/>
              <w:ind w:right="260"/>
              <w:spacing w:after="0"/>
              <w:rPr>
                <w:sz w:val="20"/>
                <w:szCs w:val="20"/>
                <w:color w:val="auto"/>
              </w:rPr>
            </w:pPr>
            <w:r>
              <w:rPr>
                <w:rFonts w:ascii="Arial" w:cs="Arial" w:eastAsia="Arial" w:hAnsi="Arial"/>
                <w:sz w:val="20"/>
                <w:szCs w:val="20"/>
                <w:color w:val="auto"/>
              </w:rPr>
              <w:t>—</w:t>
            </w:r>
          </w:p>
        </w:tc>
        <w:tc>
          <w:tcPr>
            <w:tcW w:w="120" w:type="dxa"/>
            <w:vAlign w:val="bottom"/>
            <w:shd w:val="clear" w:color="auto" w:fill="CFF2FA"/>
          </w:tcPr>
          <w:p>
            <w:pPr>
              <w:spacing w:after="0"/>
              <w:rPr>
                <w:sz w:val="21"/>
                <w:szCs w:val="21"/>
                <w:color w:val="auto"/>
              </w:rPr>
            </w:pPr>
          </w:p>
        </w:tc>
        <w:tc>
          <w:tcPr>
            <w:tcW w:w="1240" w:type="dxa"/>
            <w:vAlign w:val="bottom"/>
            <w:shd w:val="clear" w:color="auto" w:fill="CFF2FA"/>
          </w:tcPr>
          <w:p>
            <w:pPr>
              <w:jc w:val="right"/>
              <w:spacing w:after="0"/>
              <w:rPr>
                <w:sz w:val="20"/>
                <w:szCs w:val="20"/>
                <w:color w:val="auto"/>
              </w:rPr>
            </w:pPr>
            <w:r>
              <w:rPr>
                <w:rFonts w:ascii="Arial" w:cs="Arial" w:eastAsia="Arial" w:hAnsi="Arial"/>
                <w:sz w:val="20"/>
                <w:szCs w:val="20"/>
                <w:color w:val="auto"/>
              </w:rPr>
              <w:t>222</w:t>
            </w:r>
          </w:p>
        </w:tc>
        <w:tc>
          <w:tcPr>
            <w:tcW w:w="240" w:type="dxa"/>
            <w:vAlign w:val="bottom"/>
            <w:shd w:val="clear" w:color="auto" w:fill="CFF2FA"/>
          </w:tcPr>
          <w:p>
            <w:pPr>
              <w:spacing w:after="0"/>
              <w:rPr>
                <w:sz w:val="21"/>
                <w:szCs w:val="21"/>
                <w:color w:val="auto"/>
              </w:rPr>
            </w:pPr>
          </w:p>
        </w:tc>
        <w:tc>
          <w:tcPr>
            <w:tcW w:w="240" w:type="dxa"/>
            <w:vAlign w:val="bottom"/>
            <w:shd w:val="clear" w:color="auto" w:fill="CFF2FA"/>
          </w:tcPr>
          <w:p>
            <w:pPr>
              <w:spacing w:after="0"/>
              <w:rPr>
                <w:sz w:val="21"/>
                <w:szCs w:val="21"/>
                <w:color w:val="auto"/>
              </w:rPr>
            </w:pPr>
          </w:p>
        </w:tc>
        <w:tc>
          <w:tcPr>
            <w:tcW w:w="1020" w:type="dxa"/>
            <w:vAlign w:val="bottom"/>
            <w:shd w:val="clear" w:color="auto" w:fill="CFF2FA"/>
          </w:tcPr>
          <w:p>
            <w:pPr>
              <w:jc w:val="right"/>
              <w:spacing w:after="0"/>
              <w:rPr>
                <w:sz w:val="20"/>
                <w:szCs w:val="20"/>
                <w:color w:val="auto"/>
              </w:rPr>
            </w:pPr>
            <w:r>
              <w:rPr>
                <w:rFonts w:ascii="Arial" w:cs="Arial" w:eastAsia="Arial" w:hAnsi="Arial"/>
                <w:sz w:val="20"/>
                <w:szCs w:val="20"/>
                <w:color w:val="auto"/>
              </w:rPr>
              <w:t>2,140</w:t>
            </w:r>
          </w:p>
        </w:tc>
        <w:tc>
          <w:tcPr>
            <w:tcW w:w="100" w:type="dxa"/>
            <w:vAlign w:val="bottom"/>
            <w:shd w:val="clear" w:color="auto" w:fill="CFF2FA"/>
          </w:tcPr>
          <w:p>
            <w:pPr>
              <w:spacing w:after="0"/>
              <w:rPr>
                <w:sz w:val="21"/>
                <w:szCs w:val="21"/>
                <w:color w:val="auto"/>
              </w:rPr>
            </w:pPr>
          </w:p>
        </w:tc>
      </w:tr>
      <w:tr>
        <w:trPr>
          <w:trHeight w:val="237"/>
        </w:trPr>
        <w:tc>
          <w:tcPr>
            <w:tcW w:w="43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 comprehensive earnings, net of tax</w:t>
            </w:r>
          </w:p>
        </w:tc>
        <w:tc>
          <w:tcPr>
            <w:tcW w:w="108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1,918</w:t>
            </w:r>
          </w:p>
        </w:tc>
        <w:tc>
          <w:tcPr>
            <w:tcW w:w="160" w:type="dxa"/>
            <w:vAlign w:val="bottom"/>
            <w:tcBorders>
              <w:bottom w:val="single" w:sz="8" w:color="CFF2FA"/>
            </w:tcBorders>
          </w:tcPr>
          <w:p>
            <w:pPr>
              <w:spacing w:after="0"/>
              <w:rPr>
                <w:sz w:val="20"/>
                <w:szCs w:val="20"/>
                <w:color w:val="auto"/>
              </w:rPr>
            </w:pPr>
          </w:p>
        </w:tc>
        <w:tc>
          <w:tcPr>
            <w:tcW w:w="80" w:type="dxa"/>
            <w:vAlign w:val="bottom"/>
            <w:tcBorders>
              <w:bottom w:val="single" w:sz="8" w:color="CFF2FA"/>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838</w:t>
            </w:r>
          </w:p>
        </w:tc>
        <w:tc>
          <w:tcPr>
            <w:tcW w:w="240" w:type="dxa"/>
            <w:vAlign w:val="bottom"/>
            <w:tcBorders>
              <w:bottom w:val="single" w:sz="8" w:color="CFF2FA"/>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222</w:t>
            </w:r>
          </w:p>
        </w:tc>
        <w:tc>
          <w:tcPr>
            <w:tcW w:w="240" w:type="dxa"/>
            <w:vAlign w:val="bottom"/>
            <w:tcBorders>
              <w:bottom w:val="single" w:sz="8" w:color="CFF2FA"/>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2,978</w:t>
            </w:r>
          </w:p>
        </w:tc>
        <w:tc>
          <w:tcPr>
            <w:tcW w:w="100" w:type="dxa"/>
            <w:vAlign w:val="bottom"/>
            <w:tcBorders>
              <w:bottom w:val="single" w:sz="8" w:color="CFF2FA"/>
            </w:tcBorders>
          </w:tcPr>
          <w:p>
            <w:pPr>
              <w:spacing w:after="0"/>
              <w:rPr>
                <w:sz w:val="20"/>
                <w:szCs w:val="20"/>
                <w:color w:val="auto"/>
              </w:rPr>
            </w:pPr>
          </w:p>
        </w:tc>
      </w:tr>
      <w:tr>
        <w:trPr>
          <w:trHeight w:val="237"/>
        </w:trPr>
        <w:tc>
          <w:tcPr>
            <w:tcW w:w="4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end of period</w:t>
            </w:r>
          </w:p>
        </w:tc>
        <w:tc>
          <w:tcPr>
            <w:tcW w:w="10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(122,635)</w:t>
            </w:r>
          </w:p>
        </w:tc>
        <w:tc>
          <w:tcPr>
            <w:tcW w:w="160" w:type="dxa"/>
            <w:vAlign w:val="bottom"/>
            <w:tcBorders>
              <w:bottom w:val="single" w:sz="8" w:color="CFF2FA"/>
            </w:tcBorders>
            <w:shd w:val="clear" w:color="auto" w:fill="CFF2FA"/>
          </w:tcPr>
          <w:p>
            <w:pPr>
              <w:spacing w:after="0"/>
              <w:rPr>
                <w:sz w:val="20"/>
                <w:szCs w:val="20"/>
                <w:color w:val="auto"/>
              </w:rPr>
            </w:pPr>
          </w:p>
        </w:tc>
        <w:tc>
          <w:tcPr>
            <w:tcW w:w="80" w:type="dxa"/>
            <w:vAlign w:val="bottom"/>
            <w:tcBorders>
              <w:bottom w:val="single" w:sz="8" w:color="CFF2FA"/>
            </w:tcBorders>
            <w:shd w:val="clear" w:color="auto" w:fill="CFF2FA"/>
          </w:tcPr>
          <w:p>
            <w:pPr>
              <w:spacing w:after="0"/>
              <w:rPr>
                <w:sz w:val="20"/>
                <w:szCs w:val="20"/>
                <w:color w:val="auto"/>
              </w:rPr>
            </w:pPr>
          </w:p>
        </w:tc>
        <w:tc>
          <w:tcPr>
            <w:tcW w:w="200" w:type="dxa"/>
            <w:vAlign w:val="bottom"/>
            <w:tcBorders>
              <w:bottom w:val="single" w:sz="8" w:color="auto"/>
            </w:tcBorders>
            <w:shd w:val="clear" w:color="auto" w:fill="CFF2FA"/>
          </w:tcPr>
          <w:p>
            <w:pPr>
              <w:jc w:val="right"/>
              <w:ind w:right="1"/>
              <w:spacing w:after="0"/>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202</w:t>
            </w:r>
          </w:p>
        </w:tc>
        <w:tc>
          <w:tcPr>
            <w:tcW w:w="240" w:type="dxa"/>
            <w:vAlign w:val="bottom"/>
            <w:tcBorders>
              <w:bottom w:val="single" w:sz="8" w:color="CFF2FA"/>
            </w:tcBorders>
            <w:shd w:val="clear" w:color="auto" w:fill="CFF2FA"/>
          </w:tcPr>
          <w:p>
            <w:pPr>
              <w:spacing w:after="0"/>
              <w:rPr>
                <w:sz w:val="20"/>
                <w:szCs w:val="20"/>
                <w:color w:val="auto"/>
              </w:rPr>
            </w:pPr>
          </w:p>
        </w:tc>
        <w:tc>
          <w:tcPr>
            <w:tcW w:w="120" w:type="dxa"/>
            <w:vAlign w:val="bottom"/>
            <w:tcBorders>
              <w:bottom w:val="single" w:sz="8" w:color="auto"/>
            </w:tcBorders>
            <w:shd w:val="clear" w:color="auto" w:fill="CFF2FA"/>
          </w:tcPr>
          <w:p>
            <w:pPr>
              <w:spacing w:after="0"/>
              <w:rPr>
                <w:sz w:val="20"/>
                <w:szCs w:val="20"/>
                <w:color w:val="auto"/>
              </w:rPr>
            </w:pPr>
            <w:r>
              <w:rPr>
                <w:rFonts w:ascii="Arial" w:cs="Arial" w:eastAsia="Arial" w:hAnsi="Arial"/>
                <w:sz w:val="20"/>
                <w:szCs w:val="20"/>
                <w:color w:val="auto"/>
                <w:w w:val="89"/>
              </w:rPr>
              <w:t>$</w:t>
            </w:r>
          </w:p>
        </w:tc>
        <w:tc>
          <w:tcPr>
            <w:tcW w:w="124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(495)</w:t>
            </w:r>
          </w:p>
        </w:tc>
        <w:tc>
          <w:tcPr>
            <w:tcW w:w="240" w:type="dxa"/>
            <w:vAlign w:val="bottom"/>
            <w:tcBorders>
              <w:bottom w:val="single" w:sz="8" w:color="CFF2FA"/>
            </w:tcBorders>
            <w:shd w:val="clear" w:color="auto" w:fill="CFF2FA"/>
          </w:tcPr>
          <w:p>
            <w:pPr>
              <w:spacing w:after="0"/>
              <w:rPr>
                <w:sz w:val="20"/>
                <w:szCs w:val="20"/>
                <w:color w:val="auto"/>
              </w:rPr>
            </w:pPr>
          </w:p>
        </w:tc>
        <w:tc>
          <w:tcPr>
            <w:tcW w:w="240" w:type="dxa"/>
            <w:vAlign w:val="bottom"/>
            <w:tcBorders>
              <w:bottom w:val="single" w:sz="8" w:color="auto"/>
            </w:tcBorders>
            <w:shd w:val="clear" w:color="auto" w:fill="CFF2FA"/>
          </w:tcPr>
          <w:p>
            <w:pPr>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(122,928)</w:t>
            </w:r>
          </w:p>
        </w:tc>
        <w:tc>
          <w:tcPr>
            <w:tcW w:w="100" w:type="dxa"/>
            <w:vAlign w:val="bottom"/>
            <w:tcBorders>
              <w:bottom w:val="single" w:sz="8" w:color="CFF2FA"/>
            </w:tcBorders>
            <w:shd w:val="clear" w:color="auto" w:fill="CFF2FA"/>
          </w:tcPr>
          <w:p>
            <w:pPr>
              <w:spacing w:after="0"/>
              <w:rPr>
                <w:sz w:val="20"/>
                <w:szCs w:val="20"/>
                <w:color w:val="auto"/>
              </w:rPr>
            </w:pPr>
          </w:p>
        </w:tc>
      </w:tr>
      <w:tr>
        <w:trPr>
          <w:trHeight w:val="20"/>
        </w:trPr>
        <w:tc>
          <w:tcPr>
            <w:tcW w:w="4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11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2018</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72" w:lineRule="exact"/>
        <w:rPr>
          <w:sz w:val="20"/>
          <w:szCs w:val="20"/>
          <w:color w:val="auto"/>
        </w:rPr>
      </w:pPr>
    </w:p>
    <w:p>
      <w:pPr>
        <w:ind w:left="380" w:hanging="372"/>
        <w:spacing w:after="0"/>
        <w:tabs>
          <w:tab w:leader="none" w:pos="38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(continued)</w:t>
      </w:r>
    </w:p>
    <w:p>
      <w:pPr>
        <w:spacing w:after="0" w:line="107"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Consolidated Comprehensive Earnings/Loss and Accumulated Other Comprehensive Loss (continued)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6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20"/>
                <w:szCs w:val="20"/>
                <w:i w:val="1"/>
                <w:iCs w:val="1"/>
                <w:color w:val="auto"/>
                <w:w w:val="91"/>
              </w:rPr>
              <w:t>(Dollars in Thousands)</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3"/>
        </w:trPr>
        <w:tc>
          <w:tcPr>
            <w:tcW w:w="4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20"/>
                <w:szCs w:val="20"/>
                <w:color w:val="auto"/>
                <w:w w:val="89"/>
              </w:rPr>
              <w:t>Unamortized</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6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20"/>
                <w:szCs w:val="20"/>
                <w:color w:val="auto"/>
                <w:w w:val="89"/>
              </w:rPr>
              <w:t>Value of</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6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20"/>
                <w:szCs w:val="20"/>
                <w:color w:val="auto"/>
                <w:w w:val="88"/>
              </w:rPr>
              <w:t>Terminated</w:t>
            </w:r>
          </w:p>
        </w:tc>
        <w:tc>
          <w:tcPr>
            <w:tcW w:w="1360" w:type="dxa"/>
            <w:vAlign w:val="bottom"/>
            <w:gridSpan w:val="3"/>
          </w:tcPr>
          <w:p>
            <w:pPr>
              <w:jc w:val="center"/>
              <w:ind w:right="140"/>
              <w:spacing w:after="0"/>
              <w:rPr>
                <w:sz w:val="20"/>
                <w:szCs w:val="20"/>
                <w:color w:val="auto"/>
              </w:rPr>
            </w:pPr>
            <w:r>
              <w:rPr>
                <w:rFonts w:ascii="Arial" w:cs="Arial" w:eastAsia="Arial" w:hAnsi="Arial"/>
                <w:sz w:val="20"/>
                <w:szCs w:val="20"/>
                <w:color w:val="auto"/>
                <w:w w:val="91"/>
              </w:rPr>
              <w:t>Accumulated</w:t>
            </w:r>
          </w:p>
        </w:tc>
      </w:tr>
      <w:tr>
        <w:trPr>
          <w:trHeight w:val="243"/>
        </w:trPr>
        <w:tc>
          <w:tcPr>
            <w:tcW w:w="46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20"/>
                <w:szCs w:val="20"/>
                <w:color w:val="auto"/>
                <w:w w:val="86"/>
              </w:rPr>
              <w:t>Pension and</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gridSpan w:val="3"/>
          </w:tcPr>
          <w:p>
            <w:pPr>
              <w:spacing w:after="0"/>
              <w:rPr>
                <w:sz w:val="20"/>
                <w:szCs w:val="20"/>
                <w:color w:val="auto"/>
              </w:rPr>
            </w:pPr>
            <w:r>
              <w:rPr>
                <w:rFonts w:ascii="Arial" w:cs="Arial" w:eastAsia="Arial" w:hAnsi="Arial"/>
                <w:sz w:val="20"/>
                <w:szCs w:val="20"/>
                <w:color w:val="auto"/>
              </w:rPr>
              <w:t>Forward Starting</w:t>
            </w:r>
          </w:p>
        </w:tc>
        <w:tc>
          <w:tcPr>
            <w:tcW w:w="240" w:type="dxa"/>
            <w:vAlign w:val="bottom"/>
          </w:tcPr>
          <w:p>
            <w:pPr>
              <w:spacing w:after="0"/>
              <w:rPr>
                <w:sz w:val="21"/>
                <w:szCs w:val="21"/>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20"/>
                <w:szCs w:val="20"/>
                <w:color w:val="auto"/>
                <w:w w:val="87"/>
              </w:rPr>
              <w:t>Other</w:t>
            </w:r>
          </w:p>
        </w:tc>
      </w:tr>
      <w:tr>
        <w:trPr>
          <w:trHeight w:val="243"/>
        </w:trPr>
        <w:tc>
          <w:tcPr>
            <w:tcW w:w="46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20" w:type="dxa"/>
            <w:vAlign w:val="bottom"/>
            <w:gridSpan w:val="3"/>
          </w:tcPr>
          <w:p>
            <w:pPr>
              <w:jc w:val="center"/>
              <w:ind w:right="80"/>
              <w:spacing w:after="0"/>
              <w:rPr>
                <w:sz w:val="20"/>
                <w:szCs w:val="20"/>
                <w:color w:val="auto"/>
              </w:rPr>
            </w:pPr>
            <w:r>
              <w:rPr>
                <w:rFonts w:ascii="Arial" w:cs="Arial" w:eastAsia="Arial" w:hAnsi="Arial"/>
                <w:sz w:val="20"/>
                <w:szCs w:val="20"/>
                <w:color w:val="auto"/>
                <w:w w:val="89"/>
              </w:rPr>
              <w:t>Postretirement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20"/>
                <w:szCs w:val="20"/>
                <w:color w:val="auto"/>
              </w:rPr>
              <w:t>Foreign</w:t>
            </w:r>
          </w:p>
        </w:tc>
        <w:tc>
          <w:tcPr>
            <w:tcW w:w="120" w:type="dxa"/>
            <w:vAlign w:val="bottom"/>
          </w:tcPr>
          <w:p>
            <w:pPr>
              <w:spacing w:after="0"/>
              <w:rPr>
                <w:sz w:val="21"/>
                <w:szCs w:val="21"/>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20"/>
                <w:szCs w:val="20"/>
                <w:color w:val="auto"/>
                <w:w w:val="89"/>
              </w:rPr>
              <w:t>Interest Rate</w:t>
            </w:r>
          </w:p>
        </w:tc>
        <w:tc>
          <w:tcPr>
            <w:tcW w:w="1360" w:type="dxa"/>
            <w:vAlign w:val="bottom"/>
            <w:gridSpan w:val="3"/>
          </w:tcPr>
          <w:p>
            <w:pPr>
              <w:spacing w:after="0"/>
              <w:rPr>
                <w:sz w:val="20"/>
                <w:szCs w:val="20"/>
                <w:color w:val="auto"/>
              </w:rPr>
            </w:pPr>
            <w:r>
              <w:rPr>
                <w:rFonts w:ascii="Arial" w:cs="Arial" w:eastAsia="Arial" w:hAnsi="Arial"/>
                <w:sz w:val="20"/>
                <w:szCs w:val="20"/>
                <w:color w:val="auto"/>
                <w:w w:val="95"/>
              </w:rPr>
              <w:t>Comprehensive</w:t>
            </w:r>
          </w:p>
        </w:tc>
      </w:tr>
      <w:tr>
        <w:trPr>
          <w:trHeight w:val="246"/>
        </w:trPr>
        <w:tc>
          <w:tcPr>
            <w:tcW w:w="46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20"/>
                <w:szCs w:val="20"/>
                <w:color w:val="auto"/>
                <w:w w:val="89"/>
              </w:rPr>
              <w:t>Benefit Plans</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20"/>
                <w:szCs w:val="20"/>
                <w:color w:val="auto"/>
                <w:w w:val="98"/>
              </w:rPr>
              <w:t>Currency</w:t>
            </w:r>
          </w:p>
        </w:tc>
        <w:tc>
          <w:tcPr>
            <w:tcW w:w="120" w:type="dxa"/>
            <w:vAlign w:val="bottom"/>
          </w:tcPr>
          <w:p>
            <w:pPr>
              <w:spacing w:after="0"/>
              <w:rPr>
                <w:sz w:val="21"/>
                <w:szCs w:val="21"/>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20"/>
                <w:szCs w:val="20"/>
                <w:color w:val="auto"/>
                <w:w w:val="87"/>
              </w:rPr>
              <w:t>Swap</w:t>
            </w:r>
          </w:p>
        </w:tc>
        <w:tc>
          <w:tcPr>
            <w:tcW w:w="240" w:type="dxa"/>
            <w:vAlign w:val="bottom"/>
          </w:tcPr>
          <w:p>
            <w:pPr>
              <w:spacing w:after="0"/>
              <w:rPr>
                <w:sz w:val="21"/>
                <w:szCs w:val="21"/>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20"/>
                <w:szCs w:val="20"/>
                <w:color w:val="auto"/>
                <w:w w:val="85"/>
              </w:rPr>
              <w:t>Loss</w:t>
            </w:r>
          </w:p>
        </w:tc>
      </w:tr>
      <w:tr>
        <w:trPr>
          <w:trHeight w:val="237"/>
        </w:trPr>
        <w:tc>
          <w:tcPr>
            <w:tcW w:w="4600" w:type="dxa"/>
            <w:vAlign w:val="bottom"/>
            <w:tcBorders>
              <w:bottom w:val="single" w:sz="8" w:color="CFF0FC"/>
            </w:tcBorders>
          </w:tcPr>
          <w:p>
            <w:pPr>
              <w:spacing w:after="0"/>
              <w:rPr>
                <w:sz w:val="20"/>
                <w:szCs w:val="20"/>
                <w:color w:val="auto"/>
              </w:rPr>
            </w:pPr>
          </w:p>
        </w:tc>
        <w:tc>
          <w:tcPr>
            <w:tcW w:w="82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320" w:type="dxa"/>
            <w:vAlign w:val="bottom"/>
            <w:tcBorders>
              <w:top w:val="single" w:sz="8" w:color="auto"/>
              <w:bottom w:val="single" w:sz="8" w:color="auto"/>
            </w:tcBorders>
            <w:gridSpan w:val="7"/>
          </w:tcPr>
          <w:p>
            <w:pPr>
              <w:jc w:val="center"/>
              <w:ind w:right="80"/>
              <w:spacing w:after="0"/>
              <w:rPr>
                <w:sz w:val="20"/>
                <w:szCs w:val="20"/>
                <w:color w:val="auto"/>
              </w:rPr>
            </w:pPr>
            <w:r>
              <w:rPr>
                <w:rFonts w:ascii="Arial" w:cs="Arial" w:eastAsia="Arial" w:hAnsi="Arial"/>
                <w:sz w:val="20"/>
                <w:szCs w:val="20"/>
                <w:color w:val="auto"/>
                <w:w w:val="89"/>
              </w:rPr>
              <w:t>Nine-Months Ended September 30, 2018</w:t>
            </w:r>
          </w:p>
        </w:tc>
        <w:tc>
          <w:tcPr>
            <w:tcW w:w="2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FF2FA"/>
            </w:tcBorders>
          </w:tcPr>
          <w:p>
            <w:pPr>
              <w:spacing w:after="0"/>
              <w:rPr>
                <w:sz w:val="20"/>
                <w:szCs w:val="20"/>
                <w:color w:val="auto"/>
              </w:rPr>
            </w:pPr>
          </w:p>
        </w:tc>
      </w:tr>
      <w:tr>
        <w:trPr>
          <w:trHeight w:val="237"/>
        </w:trPr>
        <w:tc>
          <w:tcPr>
            <w:tcW w:w="4600" w:type="dxa"/>
            <w:vAlign w:val="bottom"/>
            <w:shd w:val="clear" w:color="auto" w:fill="CFF0FC"/>
          </w:tcPr>
          <w:p>
            <w:pPr>
              <w:spacing w:after="0"/>
              <w:rPr>
                <w:sz w:val="20"/>
                <w:szCs w:val="20"/>
                <w:color w:val="auto"/>
              </w:rPr>
            </w:pPr>
            <w:r>
              <w:rPr>
                <w:rFonts w:ascii="Arial" w:cs="Arial" w:eastAsia="Arial" w:hAnsi="Arial"/>
                <w:sz w:val="20"/>
                <w:szCs w:val="20"/>
                <w:color w:val="auto"/>
              </w:rPr>
              <w:t>Balance at beginning of period</w:t>
            </w:r>
          </w:p>
        </w:tc>
        <w:tc>
          <w:tcPr>
            <w:tcW w:w="820" w:type="dxa"/>
            <w:vAlign w:val="bottom"/>
            <w:shd w:val="clear" w:color="auto" w:fill="CFF0FC"/>
          </w:tcPr>
          <w:p>
            <w:pPr>
              <w:spacing w:after="0"/>
              <w:rPr>
                <w:sz w:val="20"/>
                <w:szCs w:val="20"/>
                <w:color w:val="auto"/>
              </w:rPr>
            </w:pPr>
          </w:p>
        </w:tc>
        <w:tc>
          <w:tcPr>
            <w:tcW w:w="120" w:type="dxa"/>
            <w:vAlign w:val="bottom"/>
            <w:shd w:val="clear" w:color="auto" w:fill="CFF2FA"/>
          </w:tcPr>
          <w:p>
            <w:pPr>
              <w:jc w:val="right"/>
              <w:spacing w:after="0"/>
              <w:rPr>
                <w:sz w:val="20"/>
                <w:szCs w:val="20"/>
                <w:color w:val="auto"/>
              </w:rPr>
            </w:pPr>
            <w:r>
              <w:rPr>
                <w:rFonts w:ascii="Arial" w:cs="Arial" w:eastAsia="Arial" w:hAnsi="Arial"/>
                <w:sz w:val="20"/>
                <w:szCs w:val="20"/>
                <w:color w:val="auto"/>
                <w:w w:val="71"/>
              </w:rPr>
              <w:t>$</w:t>
            </w:r>
          </w:p>
        </w:tc>
        <w:tc>
          <w:tcPr>
            <w:tcW w:w="1200" w:type="dxa"/>
            <w:vAlign w:val="bottom"/>
            <w:gridSpan w:val="2"/>
            <w:shd w:val="clear" w:color="auto" w:fill="CFF2FA"/>
          </w:tcPr>
          <w:p>
            <w:pPr>
              <w:jc w:val="right"/>
              <w:spacing w:after="0"/>
              <w:rPr>
                <w:sz w:val="20"/>
                <w:szCs w:val="20"/>
                <w:color w:val="auto"/>
              </w:rPr>
            </w:pPr>
            <w:r>
              <w:rPr>
                <w:rFonts w:ascii="Arial" w:cs="Arial" w:eastAsia="Arial" w:hAnsi="Arial"/>
                <w:sz w:val="20"/>
                <w:szCs w:val="20"/>
                <w:color w:val="auto"/>
              </w:rPr>
              <w:t>(128,802)</w:t>
            </w:r>
          </w:p>
        </w:tc>
        <w:tc>
          <w:tcPr>
            <w:tcW w:w="360" w:type="dxa"/>
            <w:vAlign w:val="bottom"/>
            <w:gridSpan w:val="2"/>
            <w:shd w:val="clear" w:color="auto" w:fill="CFF2FA"/>
          </w:tcPr>
          <w:p>
            <w:pPr>
              <w:jc w:val="right"/>
              <w:ind w:right="1"/>
              <w:spacing w:after="0"/>
              <w:rPr>
                <w:sz w:val="20"/>
                <w:szCs w:val="20"/>
                <w:color w:val="auto"/>
              </w:rPr>
            </w:pPr>
            <w:r>
              <w:rPr>
                <w:rFonts w:ascii="Arial" w:cs="Arial" w:eastAsia="Arial" w:hAnsi="Arial"/>
                <w:sz w:val="20"/>
                <w:szCs w:val="20"/>
                <w:color w:val="auto"/>
              </w:rPr>
              <w:t>$</w:t>
            </w:r>
          </w:p>
        </w:tc>
        <w:tc>
          <w:tcPr>
            <w:tcW w:w="1360" w:type="dxa"/>
            <w:vAlign w:val="bottom"/>
            <w:gridSpan w:val="2"/>
            <w:shd w:val="clear" w:color="auto" w:fill="CFF2FA"/>
          </w:tcPr>
          <w:p>
            <w:pPr>
              <w:jc w:val="right"/>
              <w:ind w:right="180"/>
              <w:spacing w:after="0"/>
              <w:rPr>
                <w:sz w:val="20"/>
                <w:szCs w:val="20"/>
                <w:color w:val="auto"/>
              </w:rPr>
            </w:pPr>
            <w:r>
              <w:rPr>
                <w:rFonts w:ascii="Arial" w:cs="Arial" w:eastAsia="Arial" w:hAnsi="Arial"/>
                <w:sz w:val="20"/>
                <w:szCs w:val="20"/>
                <w:color w:val="auto"/>
              </w:rPr>
              <w:t>(22)</w:t>
            </w:r>
          </w:p>
        </w:tc>
        <w:tc>
          <w:tcPr>
            <w:tcW w:w="120" w:type="dxa"/>
            <w:vAlign w:val="bottom"/>
            <w:shd w:val="clear" w:color="auto" w:fill="CFF2FA"/>
          </w:tcPr>
          <w:p>
            <w:pPr>
              <w:spacing w:after="0"/>
              <w:rPr>
                <w:sz w:val="20"/>
                <w:szCs w:val="20"/>
                <w:color w:val="auto"/>
              </w:rPr>
            </w:pPr>
            <w:r>
              <w:rPr>
                <w:rFonts w:ascii="Arial" w:cs="Arial" w:eastAsia="Arial" w:hAnsi="Arial"/>
                <w:sz w:val="20"/>
                <w:szCs w:val="20"/>
                <w:color w:val="auto"/>
                <w:w w:val="89"/>
              </w:rPr>
              <w:t>$</w:t>
            </w:r>
          </w:p>
        </w:tc>
        <w:tc>
          <w:tcPr>
            <w:tcW w:w="1480" w:type="dxa"/>
            <w:vAlign w:val="bottom"/>
            <w:gridSpan w:val="2"/>
            <w:shd w:val="clear" w:color="auto" w:fill="CFF2FA"/>
          </w:tcPr>
          <w:p>
            <w:pPr>
              <w:jc w:val="right"/>
              <w:ind w:right="180"/>
              <w:spacing w:after="0"/>
              <w:rPr>
                <w:sz w:val="20"/>
                <w:szCs w:val="20"/>
                <w:color w:val="auto"/>
              </w:rPr>
            </w:pPr>
            <w:r>
              <w:rPr>
                <w:rFonts w:ascii="Arial" w:cs="Arial" w:eastAsia="Arial" w:hAnsi="Arial"/>
                <w:sz w:val="20"/>
                <w:szCs w:val="20"/>
                <w:color w:val="auto"/>
              </w:rPr>
              <w:t>(280)</w:t>
            </w:r>
          </w:p>
        </w:tc>
        <w:tc>
          <w:tcPr>
            <w:tcW w:w="240" w:type="dxa"/>
            <w:vAlign w:val="bottom"/>
            <w:shd w:val="clear" w:color="auto" w:fill="CFF2FA"/>
          </w:tcPr>
          <w:p>
            <w:pPr>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2FA"/>
          </w:tcPr>
          <w:p>
            <w:pPr>
              <w:jc w:val="right"/>
              <w:spacing w:after="0"/>
              <w:rPr>
                <w:sz w:val="20"/>
                <w:szCs w:val="20"/>
                <w:color w:val="auto"/>
              </w:rPr>
            </w:pPr>
            <w:r>
              <w:rPr>
                <w:rFonts w:ascii="Arial" w:cs="Arial" w:eastAsia="Arial" w:hAnsi="Arial"/>
                <w:sz w:val="20"/>
                <w:szCs w:val="20"/>
                <w:color w:val="auto"/>
              </w:rPr>
              <w:t>(129,104)</w:t>
            </w:r>
          </w:p>
        </w:tc>
        <w:tc>
          <w:tcPr>
            <w:tcW w:w="100" w:type="dxa"/>
            <w:vAlign w:val="bottom"/>
            <w:shd w:val="clear" w:color="auto" w:fill="CFF2FA"/>
          </w:tcPr>
          <w:p>
            <w:pPr>
              <w:spacing w:after="0"/>
              <w:rPr>
                <w:sz w:val="20"/>
                <w:szCs w:val="20"/>
                <w:color w:val="auto"/>
              </w:rPr>
            </w:pPr>
          </w:p>
        </w:tc>
      </w:tr>
      <w:tr>
        <w:trPr>
          <w:trHeight w:val="220"/>
        </w:trPr>
        <w:tc>
          <w:tcPr>
            <w:tcW w:w="4600" w:type="dxa"/>
            <w:vAlign w:val="bottom"/>
          </w:tcPr>
          <w:p>
            <w:pPr>
              <w:spacing w:after="0" w:line="220" w:lineRule="exact"/>
              <w:rPr>
                <w:sz w:val="20"/>
                <w:szCs w:val="20"/>
                <w:color w:val="auto"/>
              </w:rPr>
            </w:pPr>
            <w:r>
              <w:rPr>
                <w:rFonts w:ascii="Arial" w:cs="Arial" w:eastAsia="Arial" w:hAnsi="Arial"/>
                <w:sz w:val="20"/>
                <w:szCs w:val="20"/>
                <w:color w:val="auto"/>
              </w:rPr>
              <w:t>Other comprehensive loss before</w:t>
            </w:r>
          </w:p>
        </w:tc>
        <w:tc>
          <w:tcPr>
            <w:tcW w:w="8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4600" w:type="dxa"/>
            <w:vAlign w:val="bottom"/>
          </w:tcPr>
          <w:p>
            <w:pPr>
              <w:ind w:left="160"/>
              <w:spacing w:after="0"/>
              <w:rPr>
                <w:sz w:val="20"/>
                <w:szCs w:val="20"/>
                <w:color w:val="auto"/>
              </w:rPr>
            </w:pPr>
            <w:r>
              <w:rPr>
                <w:rFonts w:ascii="Arial" w:cs="Arial" w:eastAsia="Arial" w:hAnsi="Arial"/>
                <w:sz w:val="20"/>
                <w:szCs w:val="20"/>
                <w:color w:val="auto"/>
              </w:rPr>
              <w:t>reclassifications, net of tax</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20"/>
                <w:szCs w:val="20"/>
                <w:color w:val="auto"/>
              </w:rPr>
              <w:t>(698)</w:t>
            </w:r>
          </w:p>
        </w:tc>
        <w:tc>
          <w:tcPr>
            <w:tcW w:w="120" w:type="dxa"/>
            <w:vAlign w:val="bottom"/>
          </w:tcPr>
          <w:p>
            <w:pPr>
              <w:spacing w:after="0"/>
              <w:rPr>
                <w:sz w:val="21"/>
                <w:szCs w:val="21"/>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20"/>
                <w:szCs w:val="20"/>
                <w:color w:val="auto"/>
              </w:rPr>
              <w:t>(698)</w:t>
            </w:r>
          </w:p>
        </w:tc>
      </w:tr>
      <w:tr>
        <w:trPr>
          <w:trHeight w:val="226"/>
        </w:trPr>
        <w:tc>
          <w:tcPr>
            <w:tcW w:w="46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Amounts reclassified from accumulated</w:t>
            </w: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2FA"/>
          </w:tcPr>
          <w:p>
            <w:pPr>
              <w:spacing w:after="0"/>
              <w:rPr>
                <w:sz w:val="19"/>
                <w:szCs w:val="19"/>
                <w:color w:val="auto"/>
              </w:rPr>
            </w:pPr>
          </w:p>
        </w:tc>
        <w:tc>
          <w:tcPr>
            <w:tcW w:w="1020" w:type="dxa"/>
            <w:vAlign w:val="bottom"/>
            <w:shd w:val="clear" w:color="auto" w:fill="CFF2FA"/>
          </w:tcPr>
          <w:p>
            <w:pPr>
              <w:spacing w:after="0"/>
              <w:rPr>
                <w:sz w:val="19"/>
                <w:szCs w:val="19"/>
                <w:color w:val="auto"/>
              </w:rPr>
            </w:pPr>
          </w:p>
        </w:tc>
        <w:tc>
          <w:tcPr>
            <w:tcW w:w="100" w:type="dxa"/>
            <w:vAlign w:val="bottom"/>
            <w:shd w:val="clear" w:color="auto" w:fill="CFF2FA"/>
          </w:tcPr>
          <w:p>
            <w:pPr>
              <w:spacing w:after="0"/>
              <w:rPr>
                <w:sz w:val="19"/>
                <w:szCs w:val="19"/>
                <w:color w:val="auto"/>
              </w:rPr>
            </w:pPr>
          </w:p>
        </w:tc>
      </w:tr>
      <w:tr>
        <w:trPr>
          <w:trHeight w:val="246"/>
        </w:trPr>
        <w:tc>
          <w:tcPr>
            <w:tcW w:w="4600" w:type="dxa"/>
            <w:vAlign w:val="bottom"/>
            <w:shd w:val="clear" w:color="auto" w:fill="CFF0FC"/>
          </w:tcPr>
          <w:p>
            <w:pPr>
              <w:ind w:left="160"/>
              <w:spacing w:after="0"/>
              <w:rPr>
                <w:sz w:val="20"/>
                <w:szCs w:val="20"/>
                <w:color w:val="auto"/>
              </w:rPr>
            </w:pPr>
            <w:r>
              <w:rPr>
                <w:rFonts w:ascii="Arial" w:cs="Arial" w:eastAsia="Arial" w:hAnsi="Arial"/>
                <w:sz w:val="20"/>
                <w:szCs w:val="20"/>
                <w:color w:val="auto"/>
              </w:rPr>
              <w:t>other comprehensive loss, net of tax</w:t>
            </w: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8,031</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280</w:t>
            </w:r>
          </w:p>
        </w:tc>
        <w:tc>
          <w:tcPr>
            <w:tcW w:w="240" w:type="dxa"/>
            <w:vAlign w:val="bottom"/>
            <w:shd w:val="clear" w:color="auto" w:fill="CFF0FC"/>
          </w:tcPr>
          <w:p>
            <w:pPr>
              <w:spacing w:after="0"/>
              <w:rPr>
                <w:sz w:val="21"/>
                <w:szCs w:val="21"/>
                <w:color w:val="auto"/>
              </w:rPr>
            </w:pPr>
          </w:p>
        </w:tc>
        <w:tc>
          <w:tcPr>
            <w:tcW w:w="240" w:type="dxa"/>
            <w:vAlign w:val="bottom"/>
            <w:shd w:val="clear" w:color="auto" w:fill="CFF2FA"/>
          </w:tcPr>
          <w:p>
            <w:pPr>
              <w:spacing w:after="0"/>
              <w:rPr>
                <w:sz w:val="21"/>
                <w:szCs w:val="21"/>
                <w:color w:val="auto"/>
              </w:rPr>
            </w:pPr>
          </w:p>
        </w:tc>
        <w:tc>
          <w:tcPr>
            <w:tcW w:w="1020" w:type="dxa"/>
            <w:vAlign w:val="bottom"/>
            <w:shd w:val="clear" w:color="auto" w:fill="CFF2FA"/>
          </w:tcPr>
          <w:p>
            <w:pPr>
              <w:jc w:val="right"/>
              <w:spacing w:after="0"/>
              <w:rPr>
                <w:sz w:val="20"/>
                <w:szCs w:val="20"/>
                <w:color w:val="auto"/>
              </w:rPr>
            </w:pPr>
            <w:r>
              <w:rPr>
                <w:rFonts w:ascii="Arial" w:cs="Arial" w:eastAsia="Arial" w:hAnsi="Arial"/>
                <w:sz w:val="20"/>
                <w:szCs w:val="20"/>
                <w:color w:val="auto"/>
              </w:rPr>
              <w:t>8,311</w:t>
            </w:r>
          </w:p>
        </w:tc>
        <w:tc>
          <w:tcPr>
            <w:tcW w:w="100" w:type="dxa"/>
            <w:vAlign w:val="bottom"/>
            <w:shd w:val="clear" w:color="auto" w:fill="CFF2FA"/>
          </w:tcPr>
          <w:p>
            <w:pPr>
              <w:spacing w:after="0"/>
              <w:rPr>
                <w:sz w:val="21"/>
                <w:szCs w:val="21"/>
                <w:color w:val="auto"/>
              </w:rPr>
            </w:pPr>
          </w:p>
        </w:tc>
      </w:tr>
      <w:tr>
        <w:trPr>
          <w:trHeight w:val="237"/>
        </w:trPr>
        <w:tc>
          <w:tcPr>
            <w:tcW w:w="46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 comprehensive earnings (loss), net of tax</w:t>
            </w:r>
          </w:p>
        </w:tc>
        <w:tc>
          <w:tcPr>
            <w:tcW w:w="82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8,031</w:t>
            </w:r>
          </w:p>
        </w:tc>
        <w:tc>
          <w:tcPr>
            <w:tcW w:w="8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(698)</w:t>
            </w:r>
          </w:p>
        </w:tc>
        <w:tc>
          <w:tcPr>
            <w:tcW w:w="24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280</w:t>
            </w:r>
          </w:p>
        </w:tc>
        <w:tc>
          <w:tcPr>
            <w:tcW w:w="240" w:type="dxa"/>
            <w:vAlign w:val="bottom"/>
            <w:tcBorders>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7,613</w:t>
            </w:r>
          </w:p>
        </w:tc>
        <w:tc>
          <w:tcPr>
            <w:tcW w:w="100" w:type="dxa"/>
            <w:vAlign w:val="bottom"/>
            <w:tcBorders>
              <w:bottom w:val="single" w:sz="8" w:color="CFF2FA"/>
            </w:tcBorders>
          </w:tcPr>
          <w:p>
            <w:pPr>
              <w:spacing w:after="0"/>
              <w:rPr>
                <w:sz w:val="20"/>
                <w:szCs w:val="20"/>
                <w:color w:val="auto"/>
              </w:rPr>
            </w:pPr>
          </w:p>
        </w:tc>
      </w:tr>
      <w:tr>
        <w:trPr>
          <w:trHeight w:val="237"/>
        </w:trPr>
        <w:tc>
          <w:tcPr>
            <w:tcW w:w="4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end of period</w:t>
            </w:r>
          </w:p>
        </w:tc>
        <w:tc>
          <w:tcPr>
            <w:tcW w:w="8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(120,771)</w:t>
            </w: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(720)</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w w:val="8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2FA"/>
          </w:tcPr>
          <w:p>
            <w:pPr>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shd w:val="clear" w:color="auto" w:fill="CFF2FA"/>
          </w:tcPr>
          <w:p>
            <w:pPr>
              <w:jc w:val="right"/>
              <w:spacing w:after="0"/>
              <w:rPr>
                <w:sz w:val="20"/>
                <w:szCs w:val="20"/>
                <w:color w:val="auto"/>
              </w:rPr>
            </w:pPr>
            <w:r>
              <w:rPr>
                <w:rFonts w:ascii="Arial" w:cs="Arial" w:eastAsia="Arial" w:hAnsi="Arial"/>
                <w:sz w:val="20"/>
                <w:szCs w:val="20"/>
                <w:color w:val="auto"/>
              </w:rPr>
              <w:t>(121,491)</w:t>
            </w:r>
          </w:p>
        </w:tc>
        <w:tc>
          <w:tcPr>
            <w:tcW w:w="100" w:type="dxa"/>
            <w:vAlign w:val="bottom"/>
            <w:tcBorders>
              <w:bottom w:val="single" w:sz="8" w:color="CFF2FA"/>
            </w:tcBorders>
            <w:shd w:val="clear" w:color="auto" w:fill="CFF2FA"/>
          </w:tcPr>
          <w:p>
            <w:pPr>
              <w:spacing w:after="0"/>
              <w:rPr>
                <w:sz w:val="20"/>
                <w:szCs w:val="20"/>
                <w:color w:val="auto"/>
              </w:rPr>
            </w:pPr>
          </w:p>
        </w:tc>
      </w:tr>
      <w:tr>
        <w:trPr>
          <w:trHeight w:val="20"/>
        </w:trPr>
        <w:tc>
          <w:tcPr>
            <w:tcW w:w="4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7"/>
        </w:trPr>
        <w:tc>
          <w:tcPr>
            <w:tcW w:w="4600" w:type="dxa"/>
            <w:vAlign w:val="bottom"/>
            <w:tcBorders>
              <w:bottom w:val="single" w:sz="8" w:color="CFF0FC"/>
            </w:tcBorders>
          </w:tcPr>
          <w:p>
            <w:pPr>
              <w:spacing w:after="0"/>
              <w:rPr>
                <w:sz w:val="24"/>
                <w:szCs w:val="24"/>
                <w:color w:val="auto"/>
              </w:rPr>
            </w:pPr>
          </w:p>
        </w:tc>
        <w:tc>
          <w:tcPr>
            <w:tcW w:w="82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20"/>
                <w:szCs w:val="20"/>
                <w:color w:val="auto"/>
                <w:w w:val="89"/>
              </w:rPr>
              <w:t>Nine-Months Ended September 30, 2017</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r>
      <w:tr>
        <w:trPr>
          <w:trHeight w:val="237"/>
        </w:trPr>
        <w:tc>
          <w:tcPr>
            <w:tcW w:w="4600" w:type="dxa"/>
            <w:vAlign w:val="bottom"/>
            <w:shd w:val="clear" w:color="auto" w:fill="CFF0FC"/>
          </w:tcPr>
          <w:p>
            <w:pPr>
              <w:spacing w:after="0"/>
              <w:rPr>
                <w:sz w:val="20"/>
                <w:szCs w:val="20"/>
                <w:color w:val="auto"/>
              </w:rPr>
            </w:pPr>
            <w:r>
              <w:rPr>
                <w:rFonts w:ascii="Arial" w:cs="Arial" w:eastAsia="Arial" w:hAnsi="Arial"/>
                <w:sz w:val="20"/>
                <w:szCs w:val="20"/>
                <w:color w:val="auto"/>
              </w:rPr>
              <w:t>Balance at beginning of period</w:t>
            </w:r>
          </w:p>
        </w:tc>
        <w:tc>
          <w:tcPr>
            <w:tcW w:w="8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(128,373)</w:t>
            </w:r>
          </w:p>
        </w:tc>
        <w:tc>
          <w:tcPr>
            <w:tcW w:w="360" w:type="dxa"/>
            <w:vAlign w:val="bottom"/>
            <w:gridSpan w:val="2"/>
            <w:shd w:val="clear" w:color="auto" w:fill="CFF0FC"/>
          </w:tcPr>
          <w:p>
            <w:pPr>
              <w:jc w:val="right"/>
              <w:ind w:right="1"/>
              <w:spacing w:after="0"/>
              <w:rPr>
                <w:sz w:val="20"/>
                <w:szCs w:val="20"/>
                <w:color w:val="auto"/>
              </w:rPr>
            </w:pPr>
            <w:r>
              <w:rPr>
                <w:rFonts w:ascii="Arial" w:cs="Arial" w:eastAsia="Arial" w:hAnsi="Arial"/>
                <w:sz w:val="20"/>
                <w:szCs w:val="20"/>
                <w:color w:val="auto"/>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(1,162)</w:t>
            </w:r>
          </w:p>
        </w:tc>
        <w:tc>
          <w:tcPr>
            <w:tcW w:w="120" w:type="dxa"/>
            <w:vAlign w:val="bottom"/>
            <w:shd w:val="clear" w:color="auto" w:fill="CFF0FC"/>
          </w:tcPr>
          <w:p>
            <w:pPr>
              <w:spacing w:after="0"/>
              <w:rPr>
                <w:sz w:val="20"/>
                <w:szCs w:val="20"/>
                <w:color w:val="auto"/>
              </w:rPr>
            </w:pPr>
            <w:r>
              <w:rPr>
                <w:rFonts w:ascii="Arial" w:cs="Arial" w:eastAsia="Arial" w:hAnsi="Arial"/>
                <w:sz w:val="20"/>
                <w:szCs w:val="20"/>
                <w:color w:val="auto"/>
                <w:w w:val="89"/>
              </w:rPr>
              <w:t>$</w:t>
            </w: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(1,152)</w:t>
            </w:r>
          </w:p>
        </w:tc>
        <w:tc>
          <w:tcPr>
            <w:tcW w:w="240" w:type="dxa"/>
            <w:vAlign w:val="bottom"/>
            <w:shd w:val="clear" w:color="auto" w:fill="CFF0FC"/>
          </w:tcPr>
          <w:p>
            <w:pPr>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(130,687)</w:t>
            </w:r>
          </w:p>
        </w:tc>
        <w:tc>
          <w:tcPr>
            <w:tcW w:w="100" w:type="dxa"/>
            <w:vAlign w:val="bottom"/>
            <w:shd w:val="clear" w:color="auto" w:fill="CFF0FC"/>
          </w:tcPr>
          <w:p>
            <w:pPr>
              <w:spacing w:after="0"/>
              <w:rPr>
                <w:sz w:val="20"/>
                <w:szCs w:val="20"/>
                <w:color w:val="auto"/>
              </w:rPr>
            </w:pPr>
          </w:p>
        </w:tc>
      </w:tr>
      <w:tr>
        <w:trPr>
          <w:trHeight w:val="220"/>
        </w:trPr>
        <w:tc>
          <w:tcPr>
            <w:tcW w:w="4600" w:type="dxa"/>
            <w:vAlign w:val="bottom"/>
          </w:tcPr>
          <w:p>
            <w:pPr>
              <w:spacing w:after="0" w:line="220" w:lineRule="exact"/>
              <w:rPr>
                <w:sz w:val="20"/>
                <w:szCs w:val="20"/>
                <w:color w:val="auto"/>
              </w:rPr>
            </w:pPr>
            <w:r>
              <w:rPr>
                <w:rFonts w:ascii="Arial" w:cs="Arial" w:eastAsia="Arial" w:hAnsi="Arial"/>
                <w:sz w:val="20"/>
                <w:szCs w:val="20"/>
                <w:color w:val="auto"/>
              </w:rPr>
              <w:t>Other comprehensive earnings before</w:t>
            </w:r>
          </w:p>
        </w:tc>
        <w:tc>
          <w:tcPr>
            <w:tcW w:w="8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4600" w:type="dxa"/>
            <w:vAlign w:val="bottom"/>
          </w:tcPr>
          <w:p>
            <w:pPr>
              <w:ind w:left="160"/>
              <w:spacing w:after="0"/>
              <w:rPr>
                <w:sz w:val="20"/>
                <w:szCs w:val="20"/>
                <w:color w:val="auto"/>
              </w:rPr>
            </w:pPr>
            <w:r>
              <w:rPr>
                <w:rFonts w:ascii="Arial" w:cs="Arial" w:eastAsia="Arial" w:hAnsi="Arial"/>
                <w:sz w:val="20"/>
                <w:szCs w:val="20"/>
                <w:color w:val="auto"/>
              </w:rPr>
              <w:t>reclassifications, net of tax</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1,364</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1,364</w:t>
            </w:r>
          </w:p>
        </w:tc>
        <w:tc>
          <w:tcPr>
            <w:tcW w:w="100" w:type="dxa"/>
            <w:vAlign w:val="bottom"/>
          </w:tcPr>
          <w:p>
            <w:pPr>
              <w:spacing w:after="0"/>
              <w:rPr>
                <w:sz w:val="21"/>
                <w:szCs w:val="21"/>
                <w:color w:val="auto"/>
              </w:rPr>
            </w:pPr>
          </w:p>
        </w:tc>
      </w:tr>
      <w:tr>
        <w:trPr>
          <w:trHeight w:val="226"/>
        </w:trPr>
        <w:tc>
          <w:tcPr>
            <w:tcW w:w="46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Amounts reclassified from accumulated</w:t>
            </w: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6"/>
        </w:trPr>
        <w:tc>
          <w:tcPr>
            <w:tcW w:w="4600" w:type="dxa"/>
            <w:vAlign w:val="bottom"/>
            <w:shd w:val="clear" w:color="auto" w:fill="CFF0FC"/>
          </w:tcPr>
          <w:p>
            <w:pPr>
              <w:ind w:left="160"/>
              <w:spacing w:after="0"/>
              <w:rPr>
                <w:sz w:val="20"/>
                <w:szCs w:val="20"/>
                <w:color w:val="auto"/>
              </w:rPr>
            </w:pPr>
            <w:r>
              <w:rPr>
                <w:rFonts w:ascii="Arial" w:cs="Arial" w:eastAsia="Arial" w:hAnsi="Arial"/>
                <w:sz w:val="20"/>
                <w:szCs w:val="20"/>
                <w:color w:val="auto"/>
              </w:rPr>
              <w:t>other comprehensive loss, net of tax</w:t>
            </w: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5,738</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w:t>
            </w:r>
          </w:p>
        </w:tc>
        <w:tc>
          <w:tcPr>
            <w:tcW w:w="1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657</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6,395</w:t>
            </w:r>
          </w:p>
        </w:tc>
        <w:tc>
          <w:tcPr>
            <w:tcW w:w="100" w:type="dxa"/>
            <w:vAlign w:val="bottom"/>
            <w:shd w:val="clear" w:color="auto" w:fill="CFF0FC"/>
          </w:tcPr>
          <w:p>
            <w:pPr>
              <w:spacing w:after="0"/>
              <w:rPr>
                <w:sz w:val="21"/>
                <w:szCs w:val="21"/>
                <w:color w:val="auto"/>
              </w:rPr>
            </w:pPr>
          </w:p>
        </w:tc>
      </w:tr>
      <w:tr>
        <w:trPr>
          <w:trHeight w:val="237"/>
        </w:trPr>
        <w:tc>
          <w:tcPr>
            <w:tcW w:w="46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Other comprehensive earnings, net of tax</w:t>
            </w:r>
          </w:p>
        </w:tc>
        <w:tc>
          <w:tcPr>
            <w:tcW w:w="82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5,738</w:t>
            </w:r>
          </w:p>
        </w:tc>
        <w:tc>
          <w:tcPr>
            <w:tcW w:w="8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1,364</w:t>
            </w:r>
          </w:p>
        </w:tc>
        <w:tc>
          <w:tcPr>
            <w:tcW w:w="24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657</w:t>
            </w:r>
          </w:p>
        </w:tc>
        <w:tc>
          <w:tcPr>
            <w:tcW w:w="240" w:type="dxa"/>
            <w:vAlign w:val="bottom"/>
            <w:tcBorders>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7,759</w:t>
            </w:r>
          </w:p>
        </w:tc>
        <w:tc>
          <w:tcPr>
            <w:tcW w:w="100" w:type="dxa"/>
            <w:vAlign w:val="bottom"/>
            <w:tcBorders>
              <w:bottom w:val="single" w:sz="8" w:color="CFF0FC"/>
            </w:tcBorders>
          </w:tcPr>
          <w:p>
            <w:pPr>
              <w:spacing w:after="0"/>
              <w:rPr>
                <w:sz w:val="20"/>
                <w:szCs w:val="20"/>
                <w:color w:val="auto"/>
              </w:rPr>
            </w:pPr>
          </w:p>
        </w:tc>
      </w:tr>
      <w:tr>
        <w:trPr>
          <w:trHeight w:val="237"/>
        </w:trPr>
        <w:tc>
          <w:tcPr>
            <w:tcW w:w="4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end of period</w:t>
            </w:r>
          </w:p>
        </w:tc>
        <w:tc>
          <w:tcPr>
            <w:tcW w:w="8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(122,635)</w:t>
            </w: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20"/>
                <w:szCs w:val="20"/>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202</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w w:val="8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(495)</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(122,928)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4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12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2018</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72" w:lineRule="exact"/>
        <w:rPr>
          <w:sz w:val="20"/>
          <w:szCs w:val="20"/>
          <w:color w:val="auto"/>
        </w:rPr>
      </w:pPr>
    </w:p>
    <w:p>
      <w:pPr>
        <w:ind w:left="380" w:hanging="372"/>
        <w:spacing w:after="0"/>
        <w:tabs>
          <w:tab w:leader="none" w:pos="38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(continued)</w:t>
      </w:r>
    </w:p>
    <w:p>
      <w:pPr>
        <w:spacing w:after="0" w:line="107" w:lineRule="exact"/>
        <w:rPr>
          <w:rFonts w:ascii="Arial" w:cs="Arial" w:eastAsia="Arial" w:hAnsi="Arial"/>
          <w:sz w:val="20"/>
          <w:szCs w:val="20"/>
          <w:b w:val="1"/>
          <w:bCs w:val="1"/>
          <w:color w:val="auto"/>
        </w:rPr>
      </w:pPr>
    </w:p>
    <w:p>
      <w:pPr>
        <w:ind w:left="380" w:right="2180"/>
        <w:spacing w:after="0" w:line="393" w:lineRule="auto"/>
        <w:rPr>
          <w:rFonts w:ascii="Arial" w:cs="Arial" w:eastAsia="Arial" w:hAnsi="Arial"/>
          <w:sz w:val="20"/>
          <w:szCs w:val="20"/>
          <w:b w:val="1"/>
          <w:bCs w:val="1"/>
          <w:color w:val="auto"/>
        </w:rPr>
      </w:pPr>
      <w:r>
        <w:rPr>
          <w:rFonts w:ascii="Arial" w:cs="Arial" w:eastAsia="Arial" w:hAnsi="Arial"/>
          <w:sz w:val="16"/>
          <w:szCs w:val="16"/>
          <w:b w:val="1"/>
          <w:bCs w:val="1"/>
          <w:color w:val="auto"/>
        </w:rPr>
        <w:t xml:space="preserve">Consolidated Comprehensive Earnings/Loss and Accumulated Other Comprehensive Loss (continued) </w:t>
      </w:r>
      <w:r>
        <w:rPr>
          <w:rFonts w:ascii="Arial" w:cs="Arial" w:eastAsia="Arial" w:hAnsi="Arial"/>
          <w:sz w:val="16"/>
          <w:szCs w:val="16"/>
          <w:color w:val="auto"/>
        </w:rPr>
        <w:t>Changes in net noncurrent deferred tax assets recorded in accumulated other comprehensive loss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7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20"/>
                <w:szCs w:val="20"/>
                <w:i w:val="1"/>
                <w:iCs w:val="1"/>
                <w:color w:val="auto"/>
                <w:w w:val="92"/>
              </w:rPr>
              <w:t>(Dollars in Thousands)</w:t>
            </w: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20"/>
        </w:trPr>
        <w:tc>
          <w:tcPr>
            <w:tcW w:w="4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20" w:type="dxa"/>
            <w:vAlign w:val="bottom"/>
            <w:gridSpan w:val="2"/>
          </w:tcPr>
          <w:p>
            <w:pPr>
              <w:jc w:val="center"/>
              <w:ind w:right="340"/>
              <w:spacing w:after="0" w:line="220" w:lineRule="exact"/>
              <w:rPr>
                <w:sz w:val="20"/>
                <w:szCs w:val="20"/>
                <w:color w:val="auto"/>
              </w:rPr>
            </w:pPr>
            <w:r>
              <w:rPr>
                <w:rFonts w:ascii="Arial" w:cs="Arial" w:eastAsia="Arial" w:hAnsi="Arial"/>
                <w:sz w:val="20"/>
                <w:szCs w:val="20"/>
                <w:color w:val="auto"/>
                <w:w w:val="91"/>
              </w:rPr>
              <w:t>Unamortized</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20"/>
                <w:szCs w:val="20"/>
                <w:color w:val="auto"/>
                <w:w w:val="89"/>
              </w:rPr>
              <w:t>Value of</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20"/>
                <w:szCs w:val="20"/>
                <w:color w:val="auto"/>
                <w:w w:val="88"/>
              </w:rPr>
              <w:t>Terminated</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gridSpan w:val="2"/>
          </w:tcPr>
          <w:p>
            <w:pPr>
              <w:jc w:val="center"/>
              <w:ind w:right="520"/>
              <w:spacing w:after="0"/>
              <w:rPr>
                <w:sz w:val="20"/>
                <w:szCs w:val="20"/>
                <w:color w:val="auto"/>
              </w:rPr>
            </w:pPr>
            <w:r>
              <w:rPr>
                <w:rFonts w:ascii="Arial" w:cs="Arial" w:eastAsia="Arial" w:hAnsi="Arial"/>
                <w:sz w:val="20"/>
                <w:szCs w:val="20"/>
                <w:color w:val="auto"/>
                <w:w w:val="86"/>
              </w:rPr>
              <w:t>Pension and</w:t>
            </w:r>
          </w:p>
        </w:tc>
        <w:tc>
          <w:tcPr>
            <w:tcW w:w="140" w:type="dxa"/>
            <w:vAlign w:val="bottom"/>
          </w:tcPr>
          <w:p>
            <w:pPr>
              <w:spacing w:after="0"/>
              <w:rPr>
                <w:sz w:val="19"/>
                <w:szCs w:val="19"/>
                <w:color w:val="auto"/>
              </w:rPr>
            </w:pPr>
          </w:p>
        </w:tc>
        <w:tc>
          <w:tcPr>
            <w:tcW w:w="2220" w:type="dxa"/>
            <w:vAlign w:val="bottom"/>
            <w:gridSpan w:val="2"/>
          </w:tcPr>
          <w:p>
            <w:pPr>
              <w:jc w:val="center"/>
              <w:ind w:right="340"/>
              <w:spacing w:after="0"/>
              <w:rPr>
                <w:sz w:val="20"/>
                <w:szCs w:val="20"/>
                <w:color w:val="auto"/>
              </w:rPr>
            </w:pPr>
            <w:r>
              <w:rPr>
                <w:rFonts w:ascii="Arial" w:cs="Arial" w:eastAsia="Arial" w:hAnsi="Arial"/>
                <w:sz w:val="20"/>
                <w:szCs w:val="20"/>
                <w:color w:val="auto"/>
                <w:w w:val="91"/>
              </w:rPr>
              <w:t>Forward Starting</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gridSpan w:val="2"/>
          </w:tcPr>
          <w:p>
            <w:pPr>
              <w:jc w:val="center"/>
              <w:ind w:right="440"/>
              <w:spacing w:after="0"/>
              <w:rPr>
                <w:sz w:val="20"/>
                <w:szCs w:val="20"/>
                <w:color w:val="auto"/>
              </w:rPr>
            </w:pPr>
            <w:r>
              <w:rPr>
                <w:rFonts w:ascii="Arial" w:cs="Arial" w:eastAsia="Arial" w:hAnsi="Arial"/>
                <w:sz w:val="20"/>
                <w:szCs w:val="20"/>
                <w:color w:val="auto"/>
                <w:w w:val="91"/>
              </w:rPr>
              <w:t>Net Noncurrent</w:t>
            </w:r>
          </w:p>
        </w:tc>
      </w:tr>
      <w:tr>
        <w:trPr>
          <w:trHeight w:val="230"/>
        </w:trPr>
        <w:tc>
          <w:tcPr>
            <w:tcW w:w="4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gridSpan w:val="2"/>
          </w:tcPr>
          <w:p>
            <w:pPr>
              <w:jc w:val="center"/>
              <w:ind w:right="520"/>
              <w:spacing w:after="0"/>
              <w:rPr>
                <w:sz w:val="20"/>
                <w:szCs w:val="20"/>
                <w:color w:val="auto"/>
              </w:rPr>
            </w:pPr>
            <w:r>
              <w:rPr>
                <w:rFonts w:ascii="Arial" w:cs="Arial" w:eastAsia="Arial" w:hAnsi="Arial"/>
                <w:sz w:val="20"/>
                <w:szCs w:val="20"/>
                <w:color w:val="auto"/>
                <w:w w:val="89"/>
              </w:rPr>
              <w:t>Postretirement</w:t>
            </w:r>
          </w:p>
        </w:tc>
        <w:tc>
          <w:tcPr>
            <w:tcW w:w="140" w:type="dxa"/>
            <w:vAlign w:val="bottom"/>
          </w:tcPr>
          <w:p>
            <w:pPr>
              <w:spacing w:after="0"/>
              <w:rPr>
                <w:sz w:val="19"/>
                <w:szCs w:val="19"/>
                <w:color w:val="auto"/>
              </w:rPr>
            </w:pPr>
          </w:p>
        </w:tc>
        <w:tc>
          <w:tcPr>
            <w:tcW w:w="2220" w:type="dxa"/>
            <w:vAlign w:val="bottom"/>
            <w:gridSpan w:val="2"/>
          </w:tcPr>
          <w:p>
            <w:pPr>
              <w:jc w:val="center"/>
              <w:ind w:right="340"/>
              <w:spacing w:after="0"/>
              <w:rPr>
                <w:sz w:val="20"/>
                <w:szCs w:val="20"/>
                <w:color w:val="auto"/>
              </w:rPr>
            </w:pPr>
            <w:r>
              <w:rPr>
                <w:rFonts w:ascii="Arial" w:cs="Arial" w:eastAsia="Arial" w:hAnsi="Arial"/>
                <w:sz w:val="20"/>
                <w:szCs w:val="20"/>
                <w:color w:val="auto"/>
                <w:w w:val="87"/>
              </w:rPr>
              <w:t>Interest Rate</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gridSpan w:val="2"/>
          </w:tcPr>
          <w:p>
            <w:pPr>
              <w:jc w:val="center"/>
              <w:ind w:right="460"/>
              <w:spacing w:after="0"/>
              <w:rPr>
                <w:sz w:val="20"/>
                <w:szCs w:val="20"/>
                <w:color w:val="auto"/>
              </w:rPr>
            </w:pPr>
            <w:r>
              <w:rPr>
                <w:rFonts w:ascii="Arial" w:cs="Arial" w:eastAsia="Arial" w:hAnsi="Arial"/>
                <w:sz w:val="20"/>
                <w:szCs w:val="20"/>
                <w:color w:val="auto"/>
                <w:w w:val="90"/>
              </w:rPr>
              <w:t>Deferred Tax</w:t>
            </w:r>
          </w:p>
        </w:tc>
      </w:tr>
      <w:tr>
        <w:trPr>
          <w:trHeight w:val="246"/>
        </w:trPr>
        <w:tc>
          <w:tcPr>
            <w:tcW w:w="47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center"/>
              <w:ind w:right="141"/>
              <w:spacing w:after="0"/>
              <w:rPr>
                <w:sz w:val="20"/>
                <w:szCs w:val="20"/>
                <w:color w:val="auto"/>
              </w:rPr>
            </w:pPr>
            <w:r>
              <w:rPr>
                <w:rFonts w:ascii="Arial" w:cs="Arial" w:eastAsia="Arial" w:hAnsi="Arial"/>
                <w:sz w:val="20"/>
                <w:szCs w:val="20"/>
                <w:color w:val="auto"/>
                <w:w w:val="91"/>
              </w:rPr>
              <w:t>Benefit Plans</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center"/>
              <w:ind w:right="61"/>
              <w:spacing w:after="0"/>
              <w:rPr>
                <w:sz w:val="20"/>
                <w:szCs w:val="20"/>
                <w:color w:val="auto"/>
              </w:rPr>
            </w:pPr>
            <w:r>
              <w:rPr>
                <w:rFonts w:ascii="Arial" w:cs="Arial" w:eastAsia="Arial" w:hAnsi="Arial"/>
                <w:sz w:val="20"/>
                <w:szCs w:val="20"/>
                <w:color w:val="auto"/>
                <w:w w:val="87"/>
              </w:rPr>
              <w:t>Swap</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ind w:right="221"/>
              <w:spacing w:after="0"/>
              <w:rPr>
                <w:sz w:val="20"/>
                <w:szCs w:val="20"/>
                <w:color w:val="auto"/>
              </w:rPr>
            </w:pPr>
            <w:r>
              <w:rPr>
                <w:rFonts w:ascii="Arial" w:cs="Arial" w:eastAsia="Arial" w:hAnsi="Arial"/>
                <w:sz w:val="20"/>
                <w:szCs w:val="20"/>
                <w:color w:val="auto"/>
                <w:w w:val="86"/>
              </w:rPr>
              <w:t>Assets</w:t>
            </w:r>
          </w:p>
        </w:tc>
        <w:tc>
          <w:tcPr>
            <w:tcW w:w="120" w:type="dxa"/>
            <w:vAlign w:val="bottom"/>
          </w:tcPr>
          <w:p>
            <w:pPr>
              <w:spacing w:after="0"/>
              <w:rPr>
                <w:sz w:val="21"/>
                <w:szCs w:val="21"/>
                <w:color w:val="auto"/>
              </w:rPr>
            </w:pPr>
          </w:p>
        </w:tc>
      </w:tr>
      <w:tr>
        <w:trPr>
          <w:trHeight w:val="480"/>
        </w:trPr>
        <w:tc>
          <w:tcPr>
            <w:tcW w:w="474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7"/>
          </w:tcPr>
          <w:p>
            <w:pPr>
              <w:jc w:val="center"/>
              <w:ind w:left="1261"/>
              <w:spacing w:after="0"/>
              <w:rPr>
                <w:sz w:val="20"/>
                <w:szCs w:val="20"/>
                <w:color w:val="auto"/>
              </w:rPr>
            </w:pPr>
            <w:r>
              <w:rPr>
                <w:rFonts w:ascii="Arial" w:cs="Arial" w:eastAsia="Arial" w:hAnsi="Arial"/>
                <w:sz w:val="20"/>
                <w:szCs w:val="20"/>
                <w:color w:val="auto"/>
                <w:w w:val="89"/>
              </w:rPr>
              <w:t>Three-Months Ended September 30, 2018</w:t>
            </w: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r>
      <w:tr>
        <w:trPr>
          <w:trHeight w:val="237"/>
        </w:trPr>
        <w:tc>
          <w:tcPr>
            <w:tcW w:w="4740" w:type="dxa"/>
            <w:vAlign w:val="bottom"/>
            <w:shd w:val="clear" w:color="auto" w:fill="CFF0FC"/>
          </w:tcPr>
          <w:p>
            <w:pPr>
              <w:spacing w:after="0"/>
              <w:rPr>
                <w:sz w:val="20"/>
                <w:szCs w:val="20"/>
                <w:color w:val="auto"/>
              </w:rPr>
            </w:pPr>
            <w:r>
              <w:rPr>
                <w:rFonts w:ascii="Arial" w:cs="Arial" w:eastAsia="Arial" w:hAnsi="Arial"/>
                <w:sz w:val="20"/>
                <w:szCs w:val="20"/>
                <w:color w:val="auto"/>
              </w:rPr>
              <w:t>Balance at beginning of period</w:t>
            </w:r>
          </w:p>
        </w:tc>
        <w:tc>
          <w:tcPr>
            <w:tcW w:w="2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78,619</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2220" w:type="dxa"/>
            <w:vAlign w:val="bottom"/>
            <w:gridSpan w:val="2"/>
            <w:shd w:val="clear" w:color="auto" w:fill="CFF0FC"/>
          </w:tcPr>
          <w:p>
            <w:pPr>
              <w:jc w:val="right"/>
              <w:ind w:right="200"/>
              <w:spacing w:after="0"/>
              <w:rPr>
                <w:sz w:val="20"/>
                <w:szCs w:val="20"/>
                <w:color w:val="auto"/>
              </w:rPr>
            </w:pPr>
            <w:r>
              <w:rPr>
                <w:rFonts w:ascii="Arial" w:cs="Arial" w:eastAsia="Arial" w:hAnsi="Arial"/>
                <w:sz w:val="20"/>
                <w:szCs w:val="20"/>
                <w:color w:val="auto"/>
              </w:rPr>
              <w:t>—</w:t>
            </w:r>
          </w:p>
        </w:tc>
        <w:tc>
          <w:tcPr>
            <w:tcW w:w="420" w:type="dxa"/>
            <w:vAlign w:val="bottom"/>
            <w:gridSpan w:val="2"/>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78,619</w:t>
            </w:r>
          </w:p>
        </w:tc>
        <w:tc>
          <w:tcPr>
            <w:tcW w:w="120" w:type="dxa"/>
            <w:vAlign w:val="bottom"/>
            <w:shd w:val="clear" w:color="auto" w:fill="CFF0FC"/>
          </w:tcPr>
          <w:p>
            <w:pPr>
              <w:spacing w:after="0"/>
              <w:rPr>
                <w:sz w:val="20"/>
                <w:szCs w:val="20"/>
                <w:color w:val="auto"/>
              </w:rPr>
            </w:pPr>
          </w:p>
        </w:tc>
      </w:tr>
      <w:tr>
        <w:trPr>
          <w:trHeight w:val="243"/>
        </w:trPr>
        <w:tc>
          <w:tcPr>
            <w:tcW w:w="4740" w:type="dxa"/>
            <w:vAlign w:val="bottom"/>
          </w:tcPr>
          <w:p>
            <w:pPr>
              <w:spacing w:after="0"/>
              <w:rPr>
                <w:sz w:val="20"/>
                <w:szCs w:val="20"/>
                <w:color w:val="auto"/>
              </w:rPr>
            </w:pPr>
            <w:r>
              <w:rPr>
                <w:rFonts w:ascii="Arial" w:cs="Arial" w:eastAsia="Arial" w:hAnsi="Arial"/>
                <w:sz w:val="20"/>
                <w:szCs w:val="20"/>
                <w:color w:val="auto"/>
              </w:rPr>
              <w:t>Tax effect of other comprehensive earnings</w:t>
            </w:r>
          </w:p>
        </w:tc>
        <w:tc>
          <w:tcPr>
            <w:tcW w:w="220" w:type="dxa"/>
            <w:vAlign w:val="bottom"/>
          </w:tcPr>
          <w:p>
            <w:pPr>
              <w:spacing w:after="0"/>
              <w:rPr>
                <w:sz w:val="21"/>
                <w:szCs w:val="21"/>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20"/>
                <w:szCs w:val="20"/>
                <w:color w:val="auto"/>
              </w:rPr>
              <w:t>(1,326)</w:t>
            </w:r>
          </w:p>
        </w:tc>
        <w:tc>
          <w:tcPr>
            <w:tcW w:w="140" w:type="dxa"/>
            <w:vAlign w:val="bottom"/>
          </w:tcPr>
          <w:p>
            <w:pPr>
              <w:spacing w:after="0"/>
              <w:rPr>
                <w:sz w:val="21"/>
                <w:szCs w:val="21"/>
                <w:color w:val="auto"/>
              </w:rPr>
            </w:pPr>
          </w:p>
        </w:tc>
        <w:tc>
          <w:tcPr>
            <w:tcW w:w="222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20"/>
                <w:szCs w:val="20"/>
                <w:color w:val="auto"/>
              </w:rPr>
              <w:t>(1,326)</w:t>
            </w:r>
          </w:p>
        </w:tc>
      </w:tr>
      <w:tr>
        <w:trPr>
          <w:trHeight w:val="237"/>
        </w:trPr>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end of period</w:t>
            </w:r>
          </w:p>
        </w:tc>
        <w:tc>
          <w:tcPr>
            <w:tcW w:w="22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77,293</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21"/>
              <w:spacing w:after="0"/>
              <w:rPr>
                <w:sz w:val="20"/>
                <w:szCs w:val="20"/>
                <w:color w:val="auto"/>
              </w:rPr>
            </w:pPr>
            <w:r>
              <w:rPr>
                <w:rFonts w:ascii="Arial" w:cs="Arial" w:eastAsia="Arial" w:hAnsi="Arial"/>
                <w:sz w:val="20"/>
                <w:szCs w:val="20"/>
                <w:color w:val="auto"/>
                <w:w w:val="71"/>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77,293</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4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67"/>
        </w:trPr>
        <w:tc>
          <w:tcPr>
            <w:tcW w:w="474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7"/>
          </w:tcPr>
          <w:p>
            <w:pPr>
              <w:jc w:val="center"/>
              <w:ind w:left="1261"/>
              <w:spacing w:after="0"/>
              <w:rPr>
                <w:sz w:val="20"/>
                <w:szCs w:val="20"/>
                <w:color w:val="auto"/>
              </w:rPr>
            </w:pPr>
            <w:r>
              <w:rPr>
                <w:rFonts w:ascii="Arial" w:cs="Arial" w:eastAsia="Arial" w:hAnsi="Arial"/>
                <w:sz w:val="20"/>
                <w:szCs w:val="20"/>
                <w:color w:val="auto"/>
                <w:w w:val="89"/>
              </w:rPr>
              <w:t>Three-Months Ended September 30, 2017</w:t>
            </w: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r>
      <w:tr>
        <w:trPr>
          <w:trHeight w:val="237"/>
        </w:trPr>
        <w:tc>
          <w:tcPr>
            <w:tcW w:w="4740" w:type="dxa"/>
            <w:vAlign w:val="bottom"/>
            <w:shd w:val="clear" w:color="auto" w:fill="CFF0FC"/>
          </w:tcPr>
          <w:p>
            <w:pPr>
              <w:spacing w:after="0"/>
              <w:rPr>
                <w:sz w:val="20"/>
                <w:szCs w:val="20"/>
                <w:color w:val="auto"/>
              </w:rPr>
            </w:pPr>
            <w:r>
              <w:rPr>
                <w:rFonts w:ascii="Arial" w:cs="Arial" w:eastAsia="Arial" w:hAnsi="Arial"/>
                <w:sz w:val="20"/>
                <w:szCs w:val="20"/>
                <w:color w:val="auto"/>
              </w:rPr>
              <w:t>Balance at beginning of period</w:t>
            </w:r>
          </w:p>
        </w:tc>
        <w:tc>
          <w:tcPr>
            <w:tcW w:w="2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79,675</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2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464</w:t>
            </w:r>
          </w:p>
        </w:tc>
        <w:tc>
          <w:tcPr>
            <w:tcW w:w="18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80,139</w:t>
            </w:r>
          </w:p>
        </w:tc>
        <w:tc>
          <w:tcPr>
            <w:tcW w:w="120" w:type="dxa"/>
            <w:vAlign w:val="bottom"/>
            <w:shd w:val="clear" w:color="auto" w:fill="CFF0FC"/>
          </w:tcPr>
          <w:p>
            <w:pPr>
              <w:spacing w:after="0"/>
              <w:rPr>
                <w:sz w:val="20"/>
                <w:szCs w:val="20"/>
                <w:color w:val="auto"/>
              </w:rPr>
            </w:pPr>
          </w:p>
        </w:tc>
      </w:tr>
      <w:tr>
        <w:trPr>
          <w:trHeight w:val="243"/>
        </w:trPr>
        <w:tc>
          <w:tcPr>
            <w:tcW w:w="4740" w:type="dxa"/>
            <w:vAlign w:val="bottom"/>
          </w:tcPr>
          <w:p>
            <w:pPr>
              <w:spacing w:after="0"/>
              <w:rPr>
                <w:sz w:val="20"/>
                <w:szCs w:val="20"/>
                <w:color w:val="auto"/>
              </w:rPr>
            </w:pPr>
            <w:r>
              <w:rPr>
                <w:rFonts w:ascii="Arial" w:cs="Arial" w:eastAsia="Arial" w:hAnsi="Arial"/>
                <w:sz w:val="20"/>
                <w:szCs w:val="20"/>
                <w:color w:val="auto"/>
              </w:rPr>
              <w:t>Tax effect of other comprehensive earnings</w:t>
            </w:r>
          </w:p>
        </w:tc>
        <w:tc>
          <w:tcPr>
            <w:tcW w:w="220" w:type="dxa"/>
            <w:vAlign w:val="bottom"/>
          </w:tcPr>
          <w:p>
            <w:pPr>
              <w:spacing w:after="0"/>
              <w:rPr>
                <w:sz w:val="21"/>
                <w:szCs w:val="21"/>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20"/>
                <w:szCs w:val="20"/>
                <w:color w:val="auto"/>
              </w:rPr>
              <w:t>(1,193)</w:t>
            </w:r>
          </w:p>
        </w:tc>
        <w:tc>
          <w:tcPr>
            <w:tcW w:w="140" w:type="dxa"/>
            <w:vAlign w:val="bottom"/>
          </w:tcPr>
          <w:p>
            <w:pPr>
              <w:spacing w:after="0"/>
              <w:rPr>
                <w:sz w:val="21"/>
                <w:szCs w:val="21"/>
                <w:color w:val="auto"/>
              </w:rPr>
            </w:pPr>
          </w:p>
        </w:tc>
        <w:tc>
          <w:tcPr>
            <w:tcW w:w="2220" w:type="dxa"/>
            <w:vAlign w:val="bottom"/>
            <w:gridSpan w:val="2"/>
          </w:tcPr>
          <w:p>
            <w:pPr>
              <w:jc w:val="right"/>
              <w:ind w:right="120"/>
              <w:spacing w:after="0"/>
              <w:rPr>
                <w:sz w:val="20"/>
                <w:szCs w:val="20"/>
                <w:color w:val="auto"/>
              </w:rPr>
            </w:pPr>
            <w:r>
              <w:rPr>
                <w:rFonts w:ascii="Arial" w:cs="Arial" w:eastAsia="Arial" w:hAnsi="Arial"/>
                <w:sz w:val="20"/>
                <w:szCs w:val="20"/>
                <w:color w:val="auto"/>
              </w:rPr>
              <w:t>(147)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20"/>
                <w:szCs w:val="20"/>
                <w:color w:val="auto"/>
              </w:rPr>
              <w:t>(1,340)</w:t>
            </w:r>
          </w:p>
        </w:tc>
      </w:tr>
      <w:tr>
        <w:trPr>
          <w:trHeight w:val="237"/>
        </w:trPr>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end of period</w:t>
            </w:r>
          </w:p>
        </w:tc>
        <w:tc>
          <w:tcPr>
            <w:tcW w:w="22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78,482</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317</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21"/>
              <w:spacing w:after="0"/>
              <w:rPr>
                <w:sz w:val="20"/>
                <w:szCs w:val="20"/>
                <w:color w:val="auto"/>
              </w:rPr>
            </w:pPr>
            <w:r>
              <w:rPr>
                <w:rFonts w:ascii="Arial" w:cs="Arial" w:eastAsia="Arial" w:hAnsi="Arial"/>
                <w:sz w:val="20"/>
                <w:szCs w:val="20"/>
                <w:color w:val="auto"/>
                <w:w w:val="71"/>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78,799</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4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67"/>
        </w:trPr>
        <w:tc>
          <w:tcPr>
            <w:tcW w:w="474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7"/>
          </w:tcPr>
          <w:p>
            <w:pPr>
              <w:jc w:val="center"/>
              <w:ind w:left="1261"/>
              <w:spacing w:after="0"/>
              <w:rPr>
                <w:sz w:val="20"/>
                <w:szCs w:val="20"/>
                <w:color w:val="auto"/>
              </w:rPr>
            </w:pPr>
            <w:r>
              <w:rPr>
                <w:rFonts w:ascii="Arial" w:cs="Arial" w:eastAsia="Arial" w:hAnsi="Arial"/>
                <w:sz w:val="20"/>
                <w:szCs w:val="20"/>
                <w:color w:val="auto"/>
                <w:w w:val="89"/>
              </w:rPr>
              <w:t>Nine-Months Ended September 30, 2018</w:t>
            </w: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r>
      <w:tr>
        <w:trPr>
          <w:trHeight w:val="237"/>
        </w:trPr>
        <w:tc>
          <w:tcPr>
            <w:tcW w:w="4740" w:type="dxa"/>
            <w:vAlign w:val="bottom"/>
            <w:shd w:val="clear" w:color="auto" w:fill="CFF0FC"/>
          </w:tcPr>
          <w:p>
            <w:pPr>
              <w:spacing w:after="0"/>
              <w:rPr>
                <w:sz w:val="20"/>
                <w:szCs w:val="20"/>
                <w:color w:val="auto"/>
              </w:rPr>
            </w:pPr>
            <w:r>
              <w:rPr>
                <w:rFonts w:ascii="Arial" w:cs="Arial" w:eastAsia="Arial" w:hAnsi="Arial"/>
                <w:sz w:val="20"/>
                <w:szCs w:val="20"/>
                <w:color w:val="auto"/>
              </w:rPr>
              <w:t>Balance at beginning of period</w:t>
            </w:r>
          </w:p>
        </w:tc>
        <w:tc>
          <w:tcPr>
            <w:tcW w:w="2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79,938</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2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178</w:t>
            </w:r>
          </w:p>
        </w:tc>
        <w:tc>
          <w:tcPr>
            <w:tcW w:w="18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80,116</w:t>
            </w:r>
          </w:p>
        </w:tc>
        <w:tc>
          <w:tcPr>
            <w:tcW w:w="120" w:type="dxa"/>
            <w:vAlign w:val="bottom"/>
            <w:shd w:val="clear" w:color="auto" w:fill="CFF0FC"/>
          </w:tcPr>
          <w:p>
            <w:pPr>
              <w:spacing w:after="0"/>
              <w:rPr>
                <w:sz w:val="20"/>
                <w:szCs w:val="20"/>
                <w:color w:val="auto"/>
              </w:rPr>
            </w:pPr>
          </w:p>
        </w:tc>
      </w:tr>
      <w:tr>
        <w:trPr>
          <w:trHeight w:val="243"/>
        </w:trPr>
        <w:tc>
          <w:tcPr>
            <w:tcW w:w="4740" w:type="dxa"/>
            <w:vAlign w:val="bottom"/>
          </w:tcPr>
          <w:p>
            <w:pPr>
              <w:spacing w:after="0"/>
              <w:rPr>
                <w:sz w:val="20"/>
                <w:szCs w:val="20"/>
                <w:color w:val="auto"/>
              </w:rPr>
            </w:pPr>
            <w:r>
              <w:rPr>
                <w:rFonts w:ascii="Arial" w:cs="Arial" w:eastAsia="Arial" w:hAnsi="Arial"/>
                <w:sz w:val="20"/>
                <w:szCs w:val="20"/>
                <w:color w:val="auto"/>
              </w:rPr>
              <w:t>Tax effect of other comprehensive earnings</w:t>
            </w:r>
          </w:p>
        </w:tc>
        <w:tc>
          <w:tcPr>
            <w:tcW w:w="220" w:type="dxa"/>
            <w:vAlign w:val="bottom"/>
          </w:tcPr>
          <w:p>
            <w:pPr>
              <w:spacing w:after="0"/>
              <w:rPr>
                <w:sz w:val="21"/>
                <w:szCs w:val="21"/>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20"/>
                <w:szCs w:val="20"/>
                <w:color w:val="auto"/>
              </w:rPr>
              <w:t>(2,645)</w:t>
            </w:r>
          </w:p>
        </w:tc>
        <w:tc>
          <w:tcPr>
            <w:tcW w:w="140" w:type="dxa"/>
            <w:vAlign w:val="bottom"/>
          </w:tcPr>
          <w:p>
            <w:pPr>
              <w:spacing w:after="0"/>
              <w:rPr>
                <w:sz w:val="21"/>
                <w:szCs w:val="21"/>
                <w:color w:val="auto"/>
              </w:rPr>
            </w:pPr>
          </w:p>
        </w:tc>
        <w:tc>
          <w:tcPr>
            <w:tcW w:w="2220" w:type="dxa"/>
            <w:vAlign w:val="bottom"/>
            <w:gridSpan w:val="2"/>
          </w:tcPr>
          <w:p>
            <w:pPr>
              <w:jc w:val="right"/>
              <w:ind w:right="120"/>
              <w:spacing w:after="0"/>
              <w:rPr>
                <w:sz w:val="20"/>
                <w:szCs w:val="20"/>
                <w:color w:val="auto"/>
              </w:rPr>
            </w:pPr>
            <w:r>
              <w:rPr>
                <w:rFonts w:ascii="Arial" w:cs="Arial" w:eastAsia="Arial" w:hAnsi="Arial"/>
                <w:sz w:val="20"/>
                <w:szCs w:val="20"/>
                <w:color w:val="auto"/>
              </w:rPr>
              <w:t>(178)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20"/>
                <w:szCs w:val="20"/>
                <w:color w:val="auto"/>
              </w:rPr>
              <w:t>(2,823)</w:t>
            </w:r>
          </w:p>
        </w:tc>
      </w:tr>
      <w:tr>
        <w:trPr>
          <w:trHeight w:val="237"/>
        </w:trPr>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end of period</w:t>
            </w:r>
          </w:p>
        </w:tc>
        <w:tc>
          <w:tcPr>
            <w:tcW w:w="22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77,293</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21"/>
              <w:spacing w:after="0"/>
              <w:rPr>
                <w:sz w:val="20"/>
                <w:szCs w:val="20"/>
                <w:color w:val="auto"/>
              </w:rPr>
            </w:pPr>
            <w:r>
              <w:rPr>
                <w:rFonts w:ascii="Arial" w:cs="Arial" w:eastAsia="Arial" w:hAnsi="Arial"/>
                <w:sz w:val="20"/>
                <w:szCs w:val="20"/>
                <w:color w:val="auto"/>
                <w:w w:val="71"/>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77,293</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4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67"/>
        </w:trPr>
        <w:tc>
          <w:tcPr>
            <w:tcW w:w="474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7"/>
          </w:tcPr>
          <w:p>
            <w:pPr>
              <w:jc w:val="center"/>
              <w:ind w:left="1261"/>
              <w:spacing w:after="0"/>
              <w:rPr>
                <w:sz w:val="20"/>
                <w:szCs w:val="20"/>
                <w:color w:val="auto"/>
              </w:rPr>
            </w:pPr>
            <w:r>
              <w:rPr>
                <w:rFonts w:ascii="Arial" w:cs="Arial" w:eastAsia="Arial" w:hAnsi="Arial"/>
                <w:sz w:val="20"/>
                <w:szCs w:val="20"/>
                <w:color w:val="auto"/>
                <w:w w:val="89"/>
              </w:rPr>
              <w:t>Nine-Months Ended September 30, 2017</w:t>
            </w: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r>
      <w:tr>
        <w:trPr>
          <w:trHeight w:val="237"/>
        </w:trPr>
        <w:tc>
          <w:tcPr>
            <w:tcW w:w="4740" w:type="dxa"/>
            <w:vAlign w:val="bottom"/>
            <w:shd w:val="clear" w:color="auto" w:fill="CFF0FC"/>
          </w:tcPr>
          <w:p>
            <w:pPr>
              <w:spacing w:after="0"/>
              <w:rPr>
                <w:sz w:val="20"/>
                <w:szCs w:val="20"/>
                <w:color w:val="auto"/>
              </w:rPr>
            </w:pPr>
            <w:r>
              <w:rPr>
                <w:rFonts w:ascii="Arial" w:cs="Arial" w:eastAsia="Arial" w:hAnsi="Arial"/>
                <w:sz w:val="20"/>
                <w:szCs w:val="20"/>
                <w:color w:val="auto"/>
              </w:rPr>
              <w:t>Balance at beginning of period</w:t>
            </w:r>
          </w:p>
        </w:tc>
        <w:tc>
          <w:tcPr>
            <w:tcW w:w="22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82,044</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2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749</w:t>
            </w:r>
          </w:p>
        </w:tc>
        <w:tc>
          <w:tcPr>
            <w:tcW w:w="18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82,793</w:t>
            </w:r>
          </w:p>
        </w:tc>
        <w:tc>
          <w:tcPr>
            <w:tcW w:w="120" w:type="dxa"/>
            <w:vAlign w:val="bottom"/>
            <w:shd w:val="clear" w:color="auto" w:fill="CFF0FC"/>
          </w:tcPr>
          <w:p>
            <w:pPr>
              <w:spacing w:after="0"/>
              <w:rPr>
                <w:sz w:val="20"/>
                <w:szCs w:val="20"/>
                <w:color w:val="auto"/>
              </w:rPr>
            </w:pPr>
          </w:p>
        </w:tc>
      </w:tr>
      <w:tr>
        <w:trPr>
          <w:trHeight w:val="243"/>
        </w:trPr>
        <w:tc>
          <w:tcPr>
            <w:tcW w:w="4740" w:type="dxa"/>
            <w:vAlign w:val="bottom"/>
          </w:tcPr>
          <w:p>
            <w:pPr>
              <w:spacing w:after="0"/>
              <w:rPr>
                <w:sz w:val="20"/>
                <w:szCs w:val="20"/>
                <w:color w:val="auto"/>
              </w:rPr>
            </w:pPr>
            <w:r>
              <w:rPr>
                <w:rFonts w:ascii="Arial" w:cs="Arial" w:eastAsia="Arial" w:hAnsi="Arial"/>
                <w:sz w:val="20"/>
                <w:szCs w:val="20"/>
                <w:color w:val="auto"/>
              </w:rPr>
              <w:t>Tax effect of other comprehensive earnings</w:t>
            </w:r>
          </w:p>
        </w:tc>
        <w:tc>
          <w:tcPr>
            <w:tcW w:w="220" w:type="dxa"/>
            <w:vAlign w:val="bottom"/>
          </w:tcPr>
          <w:p>
            <w:pPr>
              <w:spacing w:after="0"/>
              <w:rPr>
                <w:sz w:val="21"/>
                <w:szCs w:val="21"/>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20"/>
                <w:szCs w:val="20"/>
                <w:color w:val="auto"/>
              </w:rPr>
              <w:t>(3,562)</w:t>
            </w:r>
          </w:p>
        </w:tc>
        <w:tc>
          <w:tcPr>
            <w:tcW w:w="140" w:type="dxa"/>
            <w:vAlign w:val="bottom"/>
          </w:tcPr>
          <w:p>
            <w:pPr>
              <w:spacing w:after="0"/>
              <w:rPr>
                <w:sz w:val="21"/>
                <w:szCs w:val="21"/>
                <w:color w:val="auto"/>
              </w:rPr>
            </w:pPr>
          </w:p>
        </w:tc>
        <w:tc>
          <w:tcPr>
            <w:tcW w:w="2220" w:type="dxa"/>
            <w:vAlign w:val="bottom"/>
            <w:gridSpan w:val="2"/>
          </w:tcPr>
          <w:p>
            <w:pPr>
              <w:jc w:val="right"/>
              <w:ind w:right="120"/>
              <w:spacing w:after="0"/>
              <w:rPr>
                <w:sz w:val="20"/>
                <w:szCs w:val="20"/>
                <w:color w:val="auto"/>
              </w:rPr>
            </w:pPr>
            <w:r>
              <w:rPr>
                <w:rFonts w:ascii="Arial" w:cs="Arial" w:eastAsia="Arial" w:hAnsi="Arial"/>
                <w:sz w:val="20"/>
                <w:szCs w:val="20"/>
                <w:color w:val="auto"/>
              </w:rPr>
              <w:t>(432)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20"/>
                <w:szCs w:val="20"/>
                <w:color w:val="auto"/>
              </w:rPr>
              <w:t>(3,994)</w:t>
            </w:r>
          </w:p>
        </w:tc>
      </w:tr>
      <w:tr>
        <w:trPr>
          <w:trHeight w:val="237"/>
        </w:trPr>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end of period</w:t>
            </w:r>
          </w:p>
        </w:tc>
        <w:tc>
          <w:tcPr>
            <w:tcW w:w="22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78,482</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317</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21"/>
              <w:spacing w:after="0"/>
              <w:rPr>
                <w:sz w:val="20"/>
                <w:szCs w:val="20"/>
                <w:color w:val="auto"/>
              </w:rPr>
            </w:pPr>
            <w:r>
              <w:rPr>
                <w:rFonts w:ascii="Arial" w:cs="Arial" w:eastAsia="Arial" w:hAnsi="Arial"/>
                <w:sz w:val="20"/>
                <w:szCs w:val="20"/>
                <w:color w:val="auto"/>
                <w:w w:val="71"/>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78,799</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4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13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2018</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72"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 Accounting Policies (continued)</w:t>
      </w:r>
    </w:p>
    <w:p>
      <w:pPr>
        <w:spacing w:after="0" w:line="107" w:lineRule="exact"/>
        <w:rPr>
          <w:rFonts w:ascii="Arial" w:cs="Arial" w:eastAsia="Arial" w:hAnsi="Arial"/>
          <w:sz w:val="20"/>
          <w:szCs w:val="20"/>
          <w:b w:val="1"/>
          <w:bCs w:val="1"/>
          <w:color w:val="auto"/>
        </w:rPr>
      </w:pPr>
    </w:p>
    <w:p>
      <w:pPr>
        <w:ind w:left="380" w:right="2380"/>
        <w:spacing w:after="0" w:line="379" w:lineRule="auto"/>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Consolidated Comprehensive Earnings/Loss and Accumulated Other Comprehensive Loss (continued) </w:t>
      </w:r>
      <w:r>
        <w:rPr>
          <w:rFonts w:ascii="Arial" w:cs="Arial" w:eastAsia="Arial" w:hAnsi="Arial"/>
          <w:sz w:val="20"/>
          <w:szCs w:val="20"/>
          <w:color w:val="auto"/>
        </w:rPr>
        <w:t>Reclassifications out of accumulated other comprehensive loss are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40" w:type="dxa"/>
            <w:vAlign w:val="bottom"/>
            <w:gridSpan w:val="5"/>
          </w:tcPr>
          <w:p>
            <w:pPr>
              <w:jc w:val="right"/>
              <w:ind w:right="480"/>
              <w:spacing w:after="0"/>
              <w:rPr>
                <w:sz w:val="20"/>
                <w:szCs w:val="20"/>
                <w:color w:val="auto"/>
              </w:rPr>
            </w:pPr>
            <w:r>
              <w:rPr>
                <w:rFonts w:ascii="Arial" w:cs="Arial" w:eastAsia="Arial" w:hAnsi="Arial"/>
                <w:sz w:val="20"/>
                <w:szCs w:val="20"/>
                <w:color w:val="auto"/>
                <w:w w:val="92"/>
              </w:rPr>
              <w:t>Three-Months Ended</w:t>
            </w:r>
          </w:p>
        </w:tc>
        <w:tc>
          <w:tcPr>
            <w:tcW w:w="200" w:type="dxa"/>
            <w:vAlign w:val="bottom"/>
          </w:tcPr>
          <w:p>
            <w:pPr>
              <w:spacing w:after="0"/>
              <w:rPr>
                <w:sz w:val="20"/>
                <w:szCs w:val="20"/>
                <w:color w:val="auto"/>
              </w:rPr>
            </w:pPr>
          </w:p>
        </w:tc>
        <w:tc>
          <w:tcPr>
            <w:tcW w:w="2080" w:type="dxa"/>
            <w:vAlign w:val="bottom"/>
            <w:gridSpan w:val="5"/>
          </w:tcPr>
          <w:p>
            <w:pPr>
              <w:jc w:val="right"/>
              <w:ind w:right="420"/>
              <w:spacing w:after="0"/>
              <w:rPr>
                <w:sz w:val="20"/>
                <w:szCs w:val="20"/>
                <w:color w:val="auto"/>
              </w:rPr>
            </w:pPr>
            <w:r>
              <w:rPr>
                <w:rFonts w:ascii="Arial" w:cs="Arial" w:eastAsia="Arial" w:hAnsi="Arial"/>
                <w:sz w:val="19"/>
                <w:szCs w:val="19"/>
                <w:color w:val="auto"/>
                <w:w w:val="97"/>
              </w:rPr>
              <w:t>Nine-Months Ended</w:t>
            </w:r>
          </w:p>
        </w:tc>
        <w:tc>
          <w:tcPr>
            <w:tcW w:w="3140" w:type="dxa"/>
            <w:vAlign w:val="bottom"/>
          </w:tcPr>
          <w:p>
            <w:pPr>
              <w:jc w:val="center"/>
              <w:ind w:left="45"/>
              <w:spacing w:after="0"/>
              <w:rPr>
                <w:sz w:val="20"/>
                <w:szCs w:val="20"/>
                <w:color w:val="auto"/>
              </w:rPr>
            </w:pPr>
            <w:r>
              <w:rPr>
                <w:rFonts w:ascii="Arial" w:cs="Arial" w:eastAsia="Arial" w:hAnsi="Arial"/>
                <w:sz w:val="19"/>
                <w:szCs w:val="19"/>
                <w:color w:val="auto"/>
                <w:w w:val="91"/>
              </w:rPr>
              <w:t>Affected line items in the consolidated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40" w:type="dxa"/>
            <w:vAlign w:val="bottom"/>
            <w:gridSpan w:val="5"/>
          </w:tcPr>
          <w:p>
            <w:pPr>
              <w:jc w:val="right"/>
              <w:ind w:right="780"/>
              <w:spacing w:after="0"/>
              <w:rPr>
                <w:sz w:val="20"/>
                <w:szCs w:val="20"/>
                <w:color w:val="auto"/>
              </w:rPr>
            </w:pPr>
            <w:r>
              <w:rPr>
                <w:rFonts w:ascii="Arial" w:cs="Arial" w:eastAsia="Arial" w:hAnsi="Arial"/>
                <w:sz w:val="19"/>
                <w:szCs w:val="19"/>
                <w:color w:val="auto"/>
              </w:rPr>
              <w:t>September 30,</w:t>
            </w:r>
          </w:p>
        </w:tc>
        <w:tc>
          <w:tcPr>
            <w:tcW w:w="20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9"/>
                <w:szCs w:val="19"/>
                <w:color w:val="auto"/>
              </w:rPr>
              <w:t>September 30,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tcPr>
          <w:p>
            <w:pPr>
              <w:jc w:val="center"/>
              <w:ind w:left="25"/>
              <w:spacing w:after="0"/>
              <w:rPr>
                <w:sz w:val="20"/>
                <w:szCs w:val="20"/>
                <w:color w:val="auto"/>
              </w:rPr>
            </w:pPr>
            <w:r>
              <w:rPr>
                <w:rFonts w:ascii="Arial" w:cs="Arial" w:eastAsia="Arial" w:hAnsi="Arial"/>
                <w:sz w:val="19"/>
                <w:szCs w:val="19"/>
                <w:color w:val="auto"/>
                <w:w w:val="88"/>
              </w:rPr>
              <w:t>statements of earnings and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9"/>
                <w:szCs w:val="19"/>
                <w:color w:val="auto"/>
              </w:rPr>
              <w:t>2018</w:t>
            </w:r>
          </w:p>
        </w:tc>
        <w:tc>
          <w:tcPr>
            <w:tcW w:w="2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9"/>
                <w:szCs w:val="19"/>
                <w:color w:val="auto"/>
              </w:rPr>
              <w:t>2017</w:t>
            </w:r>
          </w:p>
        </w:tc>
        <w:tc>
          <w:tcPr>
            <w:tcW w:w="24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9"/>
                <w:szCs w:val="19"/>
                <w:color w:val="auto"/>
              </w:rPr>
              <w:t>2018</w:t>
            </w: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gridSpan w:val="2"/>
          </w:tcPr>
          <w:p>
            <w:pPr>
              <w:jc w:val="right"/>
              <w:ind w:right="205"/>
              <w:spacing w:after="0"/>
              <w:rPr>
                <w:sz w:val="20"/>
                <w:szCs w:val="20"/>
                <w:color w:val="auto"/>
              </w:rPr>
            </w:pPr>
            <w:r>
              <w:rPr>
                <w:rFonts w:ascii="Arial" w:cs="Arial" w:eastAsia="Arial" w:hAnsi="Arial"/>
                <w:sz w:val="19"/>
                <w:szCs w:val="19"/>
                <w:color w:val="auto"/>
              </w:rPr>
              <w:t>2017</w:t>
            </w:r>
          </w:p>
        </w:tc>
        <w:tc>
          <w:tcPr>
            <w:tcW w:w="100" w:type="dxa"/>
            <w:vAlign w:val="bottom"/>
          </w:tcPr>
          <w:p>
            <w:pPr>
              <w:spacing w:after="0"/>
              <w:rPr>
                <w:sz w:val="19"/>
                <w:szCs w:val="19"/>
                <w:color w:val="auto"/>
              </w:rPr>
            </w:pPr>
          </w:p>
        </w:tc>
        <w:tc>
          <w:tcPr>
            <w:tcW w:w="3140" w:type="dxa"/>
            <w:vAlign w:val="bottom"/>
            <w:tcBorders>
              <w:bottom w:val="single" w:sz="8" w:color="auto"/>
            </w:tcBorders>
          </w:tcPr>
          <w:p>
            <w:pPr>
              <w:jc w:val="center"/>
              <w:ind w:left="45"/>
              <w:spacing w:after="0"/>
              <w:rPr>
                <w:sz w:val="20"/>
                <w:szCs w:val="20"/>
                <w:color w:val="auto"/>
              </w:rPr>
            </w:pPr>
            <w:r>
              <w:rPr>
                <w:rFonts w:ascii="Arial" w:cs="Arial" w:eastAsia="Arial" w:hAnsi="Arial"/>
                <w:sz w:val="19"/>
                <w:szCs w:val="19"/>
                <w:color w:val="auto"/>
                <w:w w:val="88"/>
              </w:rPr>
              <w:t>comprehensive earnings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60" w:type="dxa"/>
            <w:vAlign w:val="bottom"/>
            <w:gridSpan w:val="5"/>
          </w:tcPr>
          <w:p>
            <w:pPr>
              <w:jc w:val="right"/>
              <w:ind w:right="440"/>
              <w:spacing w:after="0"/>
              <w:rPr>
                <w:sz w:val="20"/>
                <w:szCs w:val="20"/>
                <w:color w:val="auto"/>
              </w:rPr>
            </w:pPr>
            <w:r>
              <w:rPr>
                <w:rFonts w:ascii="Arial" w:cs="Arial" w:eastAsia="Arial" w:hAnsi="Arial"/>
                <w:sz w:val="19"/>
                <w:szCs w:val="19"/>
                <w:i w:val="1"/>
                <w:iCs w:val="1"/>
                <w:color w:val="auto"/>
                <w:w w:val="94"/>
              </w:rPr>
              <w:t>(Dollars in Thousands)</w:t>
            </w: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9"/>
                <w:szCs w:val="19"/>
                <w:color w:val="auto"/>
                <w:w w:val="95"/>
              </w:rPr>
              <w:t>Pension and postretirement benefit plans</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9"/>
                <w:szCs w:val="19"/>
                <w:color w:val="auto"/>
              </w:rPr>
              <w:t>Settlement expense</w:t>
            </w:r>
          </w:p>
        </w:tc>
        <w:tc>
          <w:tcPr>
            <w:tcW w:w="4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2,692</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060" w:type="dxa"/>
            <w:vAlign w:val="bottom"/>
            <w:gridSpan w:val="2"/>
          </w:tcPr>
          <w:p>
            <w:pPr>
              <w:jc w:val="right"/>
              <w:ind w:right="260"/>
              <w:spacing w:after="0"/>
              <w:rPr>
                <w:sz w:val="20"/>
                <w:szCs w:val="20"/>
                <w:color w:val="auto"/>
              </w:rPr>
            </w:pPr>
            <w:r>
              <w:rPr>
                <w:rFonts w:ascii="Arial" w:cs="Arial" w:eastAsia="Arial" w:hAnsi="Arial"/>
                <w:sz w:val="19"/>
                <w:szCs w:val="19"/>
                <w:color w:val="auto"/>
              </w:rPr>
              <w:t>—</w:t>
            </w:r>
          </w:p>
        </w:tc>
        <w:tc>
          <w:tcPr>
            <w:tcW w:w="200" w:type="dxa"/>
            <w:vAlign w:val="bottom"/>
          </w:tcPr>
          <w:p>
            <w:pPr>
              <w:jc w:val="right"/>
              <w:ind w:right="5"/>
              <w:spacing w:after="0"/>
              <w:rPr>
                <w:sz w:val="20"/>
                <w:szCs w:val="20"/>
                <w:color w:val="auto"/>
              </w:rPr>
            </w:pPr>
            <w:r>
              <w:rPr>
                <w:rFonts w:ascii="Arial" w:cs="Arial" w:eastAsia="Arial" w:hAnsi="Arial"/>
                <w:sz w:val="19"/>
                <w:szCs w:val="19"/>
                <w:color w:val="auto"/>
                <w:w w:val="75"/>
              </w:rPr>
              <w:t>$</w:t>
            </w:r>
          </w:p>
        </w:tc>
        <w:tc>
          <w:tcPr>
            <w:tcW w:w="760" w:type="dxa"/>
            <w:vAlign w:val="bottom"/>
          </w:tcPr>
          <w:p>
            <w:pPr>
              <w:jc w:val="right"/>
              <w:spacing w:after="0"/>
              <w:rPr>
                <w:sz w:val="20"/>
                <w:szCs w:val="20"/>
                <w:color w:val="auto"/>
              </w:rPr>
            </w:pPr>
            <w:r>
              <w:rPr>
                <w:rFonts w:ascii="Arial" w:cs="Arial" w:eastAsia="Arial" w:hAnsi="Arial"/>
                <w:sz w:val="19"/>
                <w:szCs w:val="19"/>
                <w:color w:val="auto"/>
              </w:rPr>
              <w:t>2,692</w:t>
            </w:r>
          </w:p>
        </w:tc>
        <w:tc>
          <w:tcPr>
            <w:tcW w:w="240" w:type="dxa"/>
            <w:vAlign w:val="bottom"/>
          </w:tcPr>
          <w:p>
            <w:pPr>
              <w:spacing w:after="0"/>
              <w:rPr>
                <w:sz w:val="19"/>
                <w:szCs w:val="19"/>
                <w:color w:val="auto"/>
              </w:rPr>
            </w:pPr>
          </w:p>
        </w:tc>
        <w:tc>
          <w:tcPr>
            <w:tcW w:w="440" w:type="dxa"/>
            <w:vAlign w:val="bottom"/>
          </w:tcPr>
          <w:p>
            <w:pPr>
              <w:jc w:val="right"/>
              <w:ind w:right="245"/>
              <w:spacing w:after="0"/>
              <w:rPr>
                <w:sz w:val="20"/>
                <w:szCs w:val="20"/>
                <w:color w:val="auto"/>
              </w:rPr>
            </w:pPr>
            <w:r>
              <w:rPr>
                <w:rFonts w:ascii="Arial" w:cs="Arial" w:eastAsia="Arial" w:hAnsi="Arial"/>
                <w:sz w:val="19"/>
                <w:szCs w:val="19"/>
                <w:color w:val="auto"/>
                <w:w w:val="75"/>
              </w:rPr>
              <w:t>$</w:t>
            </w:r>
          </w:p>
        </w:tc>
        <w:tc>
          <w:tcPr>
            <w:tcW w:w="6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FF0FC"/>
          </w:tcPr>
          <w:p>
            <w:pPr>
              <w:ind w:left="240"/>
              <w:spacing w:after="0"/>
              <w:rPr>
                <w:sz w:val="20"/>
                <w:szCs w:val="20"/>
                <w:color w:val="auto"/>
              </w:rPr>
            </w:pPr>
            <w:r>
              <w:rPr>
                <w:rFonts w:ascii="Arial" w:cs="Arial" w:eastAsia="Arial" w:hAnsi="Arial"/>
                <w:sz w:val="19"/>
                <w:szCs w:val="19"/>
                <w:color w:val="auto"/>
              </w:rPr>
              <w:t>Amortization of:</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ind w:left="480"/>
              <w:spacing w:after="0"/>
              <w:rPr>
                <w:sz w:val="20"/>
                <w:szCs w:val="20"/>
                <w:color w:val="auto"/>
              </w:rPr>
            </w:pPr>
            <w:r>
              <w:rPr>
                <w:rFonts w:ascii="Arial" w:cs="Arial" w:eastAsia="Arial" w:hAnsi="Arial"/>
                <w:sz w:val="19"/>
                <w:szCs w:val="19"/>
                <w:color w:val="auto"/>
              </w:rPr>
              <w:t>Prior service credit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9"/>
                <w:szCs w:val="19"/>
                <w:color w:val="auto"/>
              </w:rPr>
              <w:t>(492)</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9"/>
                <w:szCs w:val="19"/>
                <w:color w:val="auto"/>
              </w:rPr>
              <w:t>(402)</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9"/>
                <w:szCs w:val="19"/>
                <w:color w:val="auto"/>
              </w:rPr>
              <w:t>(1,479)</w:t>
            </w:r>
          </w:p>
        </w:tc>
        <w:tc>
          <w:tcPr>
            <w:tcW w:w="4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9"/>
                <w:szCs w:val="19"/>
                <w:color w:val="auto"/>
                <w:w w:val="96"/>
              </w:rPr>
              <w:t>(1,070)</w:t>
            </w:r>
          </w:p>
        </w:tc>
        <w:tc>
          <w:tcPr>
            <w:tcW w:w="3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FF0FC"/>
          </w:tcPr>
          <w:p>
            <w:pPr>
              <w:ind w:left="480"/>
              <w:spacing w:after="0"/>
              <w:rPr>
                <w:sz w:val="20"/>
                <w:szCs w:val="20"/>
                <w:color w:val="auto"/>
              </w:rPr>
            </w:pPr>
            <w:r>
              <w:rPr>
                <w:rFonts w:ascii="Arial" w:cs="Arial" w:eastAsia="Arial" w:hAnsi="Arial"/>
                <w:sz w:val="19"/>
                <w:szCs w:val="19"/>
                <w:color w:val="auto"/>
              </w:rPr>
              <w:t>Actuarial loss</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3,153</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3,513</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9,463</w:t>
            </w:r>
          </w:p>
        </w:tc>
        <w:tc>
          <w:tcPr>
            <w:tcW w:w="24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85"/>
              </w:rPr>
              <w:t>10,370</w:t>
            </w:r>
          </w:p>
        </w:tc>
        <w:tc>
          <w:tcPr>
            <w:tcW w:w="100" w:type="dxa"/>
            <w:vAlign w:val="bottom"/>
            <w:shd w:val="clear" w:color="auto" w:fill="CFF0FC"/>
          </w:tcPr>
          <w:p>
            <w:pPr>
              <w:spacing w:after="0"/>
              <w:rPr>
                <w:sz w:val="19"/>
                <w:szCs w:val="19"/>
                <w:color w:val="auto"/>
              </w:rPr>
            </w:pPr>
          </w:p>
        </w:tc>
        <w:tc>
          <w:tcPr>
            <w:tcW w:w="3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5,353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3,111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10,676</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9"/>
                <w:szCs w:val="19"/>
                <w:color w:val="auto"/>
              </w:rPr>
              <w:t>9,300</w:t>
            </w:r>
          </w:p>
        </w:tc>
        <w:tc>
          <w:tcPr>
            <w:tcW w:w="100" w:type="dxa"/>
            <w:vAlign w:val="bottom"/>
          </w:tcPr>
          <w:p>
            <w:pPr>
              <w:spacing w:after="0"/>
              <w:rPr>
                <w:sz w:val="19"/>
                <w:szCs w:val="19"/>
                <w:color w:val="auto"/>
              </w:rPr>
            </w:pPr>
          </w:p>
        </w:tc>
        <w:tc>
          <w:tcPr>
            <w:tcW w:w="3140" w:type="dxa"/>
            <w:vAlign w:val="bottom"/>
          </w:tcPr>
          <w:p>
            <w:pPr>
              <w:ind w:left="140"/>
              <w:spacing w:after="0"/>
              <w:rPr>
                <w:sz w:val="20"/>
                <w:szCs w:val="20"/>
                <w:color w:val="auto"/>
              </w:rPr>
            </w:pPr>
            <w:r>
              <w:rPr>
                <w:rFonts w:ascii="Arial" w:cs="Arial" w:eastAsia="Arial" w:hAnsi="Arial"/>
                <w:sz w:val="19"/>
                <w:szCs w:val="19"/>
                <w:color w:val="auto"/>
              </w:rPr>
              <w:t>Other nonoperating income, net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FF0FC"/>
          </w:tcPr>
          <w:p>
            <w:pPr>
              <w:ind w:left="240"/>
              <w:spacing w:after="0"/>
              <w:rPr>
                <w:sz w:val="20"/>
                <w:szCs w:val="20"/>
                <w:color w:val="auto"/>
              </w:rPr>
            </w:pPr>
            <w:r>
              <w:rPr>
                <w:rFonts w:ascii="Arial" w:cs="Arial" w:eastAsia="Arial" w:hAnsi="Arial"/>
                <w:sz w:val="19"/>
                <w:szCs w:val="19"/>
                <w:color w:val="auto"/>
              </w:rPr>
              <w:t>Tax benefit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9"/>
                <w:szCs w:val="19"/>
                <w:color w:val="auto"/>
              </w:rPr>
              <w:t>(1,326)</w:t>
            </w: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9"/>
                <w:szCs w:val="19"/>
                <w:color w:val="auto"/>
              </w:rPr>
              <w:t>(1,193)</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9"/>
                <w:szCs w:val="19"/>
                <w:color w:val="auto"/>
              </w:rPr>
              <w:t>(2,645)</w:t>
            </w:r>
          </w:p>
        </w:tc>
        <w:tc>
          <w:tcPr>
            <w:tcW w:w="4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40"/>
              <w:spacing w:after="0"/>
              <w:rPr>
                <w:sz w:val="20"/>
                <w:szCs w:val="20"/>
                <w:color w:val="auto"/>
              </w:rPr>
            </w:pPr>
            <w:r>
              <w:rPr>
                <w:rFonts w:ascii="Arial" w:cs="Arial" w:eastAsia="Arial" w:hAnsi="Arial"/>
                <w:sz w:val="19"/>
                <w:szCs w:val="19"/>
                <w:color w:val="auto"/>
                <w:w w:val="96"/>
              </w:rPr>
              <w:t>(3,562)</w:t>
            </w:r>
          </w:p>
        </w:tc>
        <w:tc>
          <w:tcPr>
            <w:tcW w:w="3140" w:type="dxa"/>
            <w:vAlign w:val="bottom"/>
            <w:shd w:val="clear" w:color="auto" w:fill="CFF0FC"/>
          </w:tcPr>
          <w:p>
            <w:pPr>
              <w:ind w:left="140"/>
              <w:spacing w:after="0"/>
              <w:rPr>
                <w:sz w:val="20"/>
                <w:szCs w:val="20"/>
                <w:color w:val="auto"/>
              </w:rPr>
            </w:pPr>
            <w:r>
              <w:rPr>
                <w:rFonts w:ascii="Arial" w:cs="Arial" w:eastAsia="Arial" w:hAnsi="Arial"/>
                <w:sz w:val="19"/>
                <w:szCs w:val="19"/>
                <w:color w:val="auto"/>
              </w:rPr>
              <w:t>Income tax expense</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32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4,027</w:t>
            </w:r>
          </w:p>
        </w:tc>
        <w:tc>
          <w:tcPr>
            <w:tcW w:w="24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1,918</w:t>
            </w:r>
          </w:p>
        </w:tc>
        <w:tc>
          <w:tcPr>
            <w:tcW w:w="24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9"/>
                <w:szCs w:val="19"/>
                <w:color w:val="auto"/>
                <w:w w:val="7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8,031</w:t>
            </w:r>
          </w:p>
        </w:tc>
        <w:tc>
          <w:tcPr>
            <w:tcW w:w="240" w:type="dxa"/>
            <w:vAlign w:val="bottom"/>
            <w:tcBorders>
              <w:bottom w:val="single" w:sz="8" w:color="CFF0FC"/>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9"/>
                <w:szCs w:val="19"/>
                <w:color w:val="auto"/>
                <w:w w:val="7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5,738</w:t>
            </w:r>
          </w:p>
        </w:tc>
        <w:tc>
          <w:tcPr>
            <w:tcW w:w="100" w:type="dxa"/>
            <w:vAlign w:val="bottom"/>
            <w:tcBorders>
              <w:bottom w:val="single" w:sz="8" w:color="CFF0FC"/>
            </w:tcBorders>
          </w:tcPr>
          <w:p>
            <w:pPr>
              <w:spacing w:after="0"/>
              <w:rPr>
                <w:sz w:val="22"/>
                <w:szCs w:val="22"/>
                <w:color w:val="auto"/>
              </w:rPr>
            </w:pPr>
          </w:p>
        </w:tc>
        <w:tc>
          <w:tcPr>
            <w:tcW w:w="314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continue"/>
          </w:tcPr>
          <w:p>
            <w:pPr>
              <w:spacing w:after="0"/>
              <w:rPr>
                <w:sz w:val="18"/>
                <w:szCs w:val="18"/>
                <w:color w:val="auto"/>
              </w:rPr>
            </w:pPr>
          </w:p>
        </w:tc>
        <w:tc>
          <w:tcPr>
            <w:tcW w:w="3320" w:type="dxa"/>
            <w:vAlign w:val="bottom"/>
          </w:tcPr>
          <w:p>
            <w:pPr>
              <w:spacing w:after="0" w:line="207" w:lineRule="exact"/>
              <w:rPr>
                <w:sz w:val="20"/>
                <w:szCs w:val="20"/>
                <w:color w:val="auto"/>
              </w:rPr>
            </w:pPr>
            <w:r>
              <w:rPr>
                <w:rFonts w:ascii="Arial" w:cs="Arial" w:eastAsia="Arial" w:hAnsi="Arial"/>
                <w:sz w:val="19"/>
                <w:szCs w:val="19"/>
                <w:color w:val="auto"/>
              </w:rPr>
              <w:t>Unamortized value of terminated</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320" w:type="dxa"/>
            <w:vAlign w:val="bottom"/>
          </w:tcPr>
          <w:p>
            <w:pPr>
              <w:ind w:left="120"/>
              <w:spacing w:after="0"/>
              <w:rPr>
                <w:sz w:val="20"/>
                <w:szCs w:val="20"/>
                <w:color w:val="auto"/>
              </w:rPr>
            </w:pPr>
            <w:r>
              <w:rPr>
                <w:rFonts w:ascii="Arial" w:cs="Arial" w:eastAsia="Arial" w:hAnsi="Arial"/>
                <w:sz w:val="19"/>
                <w:szCs w:val="19"/>
                <w:color w:val="auto"/>
              </w:rPr>
              <w:t>forward starting interest rate swap</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FF0FC"/>
          </w:tcPr>
          <w:p>
            <w:pPr>
              <w:ind w:left="240"/>
              <w:spacing w:after="0"/>
              <w:rPr>
                <w:sz w:val="20"/>
                <w:szCs w:val="20"/>
                <w:color w:val="auto"/>
              </w:rPr>
            </w:pPr>
            <w:r>
              <w:rPr>
                <w:rFonts w:ascii="Arial" w:cs="Arial" w:eastAsia="Arial" w:hAnsi="Arial"/>
                <w:sz w:val="19"/>
                <w:szCs w:val="19"/>
                <w:color w:val="auto"/>
              </w:rPr>
              <w:t>Additional interest expense</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1040" w:type="dxa"/>
            <w:vAlign w:val="bottom"/>
            <w:gridSpan w:val="2"/>
            <w:shd w:val="clear" w:color="auto" w:fill="CFF0FC"/>
          </w:tcPr>
          <w:p>
            <w:pPr>
              <w:jc w:val="right"/>
              <w:ind w:right="260"/>
              <w:spacing w:after="0"/>
              <w:rPr>
                <w:sz w:val="20"/>
                <w:szCs w:val="20"/>
                <w:color w:val="auto"/>
              </w:rPr>
            </w:pPr>
            <w:r>
              <w:rPr>
                <w:rFonts w:ascii="Arial" w:cs="Arial" w:eastAsia="Arial" w:hAnsi="Arial"/>
                <w:sz w:val="19"/>
                <w:szCs w:val="19"/>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9"/>
                <w:szCs w:val="19"/>
                <w:color w:val="auto"/>
                <w:w w:val="75"/>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369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5"/>
              <w:spacing w:after="0"/>
              <w:rPr>
                <w:sz w:val="20"/>
                <w:szCs w:val="20"/>
                <w:color w:val="auto"/>
              </w:rPr>
            </w:pPr>
            <w:r>
              <w:rPr>
                <w:rFonts w:ascii="Arial" w:cs="Arial" w:eastAsia="Arial" w:hAnsi="Arial"/>
                <w:sz w:val="19"/>
                <w:szCs w:val="19"/>
                <w:color w:val="auto"/>
                <w:w w:val="75"/>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458</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45"/>
              <w:spacing w:after="0"/>
              <w:rPr>
                <w:sz w:val="20"/>
                <w:szCs w:val="20"/>
                <w:color w:val="auto"/>
              </w:rPr>
            </w:pPr>
            <w:r>
              <w:rPr>
                <w:rFonts w:ascii="Arial" w:cs="Arial" w:eastAsia="Arial" w:hAnsi="Arial"/>
                <w:sz w:val="19"/>
                <w:szCs w:val="19"/>
                <w:color w:val="auto"/>
                <w:w w:val="75"/>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1,089</w:t>
            </w:r>
          </w:p>
        </w:tc>
        <w:tc>
          <w:tcPr>
            <w:tcW w:w="100" w:type="dxa"/>
            <w:vAlign w:val="bottom"/>
            <w:shd w:val="clear" w:color="auto" w:fill="CFF0FC"/>
          </w:tcPr>
          <w:p>
            <w:pPr>
              <w:spacing w:after="0"/>
              <w:rPr>
                <w:sz w:val="19"/>
                <w:szCs w:val="19"/>
                <w:color w:val="auto"/>
              </w:rPr>
            </w:pPr>
          </w:p>
        </w:tc>
        <w:tc>
          <w:tcPr>
            <w:tcW w:w="3140" w:type="dxa"/>
            <w:vAlign w:val="bottom"/>
            <w:shd w:val="clear" w:color="auto" w:fill="CFF0FC"/>
          </w:tcPr>
          <w:p>
            <w:pPr>
              <w:ind w:left="140"/>
              <w:spacing w:after="0"/>
              <w:rPr>
                <w:sz w:val="20"/>
                <w:szCs w:val="20"/>
                <w:color w:val="auto"/>
              </w:rPr>
            </w:pPr>
            <w:r>
              <w:rPr>
                <w:rFonts w:ascii="Arial" w:cs="Arial" w:eastAsia="Arial" w:hAnsi="Arial"/>
                <w:sz w:val="19"/>
                <w:szCs w:val="19"/>
                <w:color w:val="auto"/>
              </w:rPr>
              <w:t>Interest expense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ind w:left="240"/>
              <w:spacing w:after="0"/>
              <w:rPr>
                <w:sz w:val="20"/>
                <w:szCs w:val="20"/>
                <w:color w:val="auto"/>
              </w:rPr>
            </w:pPr>
            <w:r>
              <w:rPr>
                <w:rFonts w:ascii="Arial" w:cs="Arial" w:eastAsia="Arial" w:hAnsi="Arial"/>
                <w:sz w:val="19"/>
                <w:szCs w:val="19"/>
                <w:color w:val="auto"/>
              </w:rPr>
              <w:t>Tax benefit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9"/>
                <w:szCs w:val="19"/>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9"/>
                <w:szCs w:val="19"/>
                <w:color w:val="auto"/>
              </w:rPr>
              <w:t>(147)</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9"/>
                <w:szCs w:val="19"/>
                <w:color w:val="auto"/>
              </w:rPr>
              <w:t>(178)</w:t>
            </w:r>
          </w:p>
        </w:tc>
        <w:tc>
          <w:tcPr>
            <w:tcW w:w="4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9"/>
                <w:szCs w:val="19"/>
                <w:color w:val="auto"/>
              </w:rPr>
              <w:t>(432)</w:t>
            </w:r>
          </w:p>
        </w:tc>
        <w:tc>
          <w:tcPr>
            <w:tcW w:w="3140" w:type="dxa"/>
            <w:vAlign w:val="bottom"/>
          </w:tcPr>
          <w:p>
            <w:pPr>
              <w:ind w:left="140"/>
              <w:spacing w:after="0"/>
              <w:rPr>
                <w:sz w:val="20"/>
                <w:szCs w:val="20"/>
                <w:color w:val="auto"/>
              </w:rPr>
            </w:pPr>
            <w:r>
              <w:rPr>
                <w:rFonts w:ascii="Arial" w:cs="Arial" w:eastAsia="Arial" w:hAnsi="Arial"/>
                <w:sz w:val="19"/>
                <w:szCs w:val="19"/>
                <w:color w:val="auto"/>
              </w:rPr>
              <w:t>Income tax expense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75"/>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75"/>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222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9"/>
                <w:szCs w:val="19"/>
                <w:color w:val="auto"/>
                <w:w w:val="75"/>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280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45"/>
              <w:spacing w:after="0"/>
              <w:rPr>
                <w:sz w:val="20"/>
                <w:szCs w:val="20"/>
                <w:color w:val="auto"/>
              </w:rPr>
            </w:pPr>
            <w:r>
              <w:rPr>
                <w:rFonts w:ascii="Arial" w:cs="Arial" w:eastAsia="Arial" w:hAnsi="Arial"/>
                <w:sz w:val="19"/>
                <w:szCs w:val="19"/>
                <w:color w:val="auto"/>
                <w:w w:val="75"/>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657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14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Earnings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-139700</wp:posOffset>
            </wp:positionV>
            <wp:extent cx="29070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94" w:lineRule="exact"/>
        <w:rPr>
          <w:sz w:val="20"/>
          <w:szCs w:val="20"/>
          <w:color w:val="auto"/>
        </w:rPr>
      </w:pPr>
    </w:p>
    <w:p>
      <w:pPr>
        <w:jc w:val="both"/>
        <w:ind w:left="380"/>
        <w:spacing w:after="0" w:line="256" w:lineRule="auto"/>
        <w:rPr>
          <w:sz w:val="20"/>
          <w:szCs w:val="20"/>
          <w:color w:val="auto"/>
        </w:rPr>
      </w:pPr>
      <w:r>
        <w:rPr>
          <w:rFonts w:ascii="Arial" w:cs="Arial" w:eastAsia="Arial" w:hAnsi="Arial"/>
          <w:sz w:val="19"/>
          <w:szCs w:val="19"/>
          <w:color w:val="auto"/>
        </w:rPr>
        <w:t>The numerator for basic and diluted earnings per common share is net earnings attributable to Martin Marietta Materials, Inc. reduced by dividends and undistributed earnings attributable to certain of the Company’s stock-based compensation. If there is a net loss, no amount of the undistributed loss is attributed to unvested participating securities. The denominator for basic earnings per common share is the weighted-average number of common shares outstanding during the period. Diluted earnings per common share are computed assuming that the weighted-average number of common shares is increased by the conversion, using the treasury stock method, of awards to be issued to employees and nonemployee members of the Company’s Board of Directors under certain stock-based compensation arrangements if the conversion is dilutive. For the three- and nine-months ended September 30, 2018 and 2017, the diluted per-share computations reflect the number of common shares outstanding to include the number of additional shares that would have been outstanding if the potentially dilutive common shares had been issued.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14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2018</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72" w:lineRule="exact"/>
        <w:rPr>
          <w:sz w:val="20"/>
          <w:szCs w:val="20"/>
          <w:color w:val="auto"/>
        </w:rPr>
      </w:pPr>
    </w:p>
    <w:p>
      <w:pPr>
        <w:ind w:left="380" w:right="7400" w:hanging="372"/>
        <w:spacing w:after="0" w:line="394" w:lineRule="auto"/>
        <w:tabs>
          <w:tab w:leader="none" w:pos="378"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 Earnings per Common Share</w:t>
      </w:r>
    </w:p>
    <w:p>
      <w:pPr>
        <w:spacing w:after="0" w:line="1"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20"/>
          <w:szCs w:val="20"/>
          <w:color w:val="auto"/>
        </w:rPr>
        <w:t>The following table reconciles the numerator and denominator for basic and diluted earnings per common share: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60" w:type="dxa"/>
            <w:vAlign w:val="bottom"/>
            <w:gridSpan w:val="5"/>
          </w:tcPr>
          <w:p>
            <w:pPr>
              <w:jc w:val="center"/>
              <w:ind w:right="520"/>
              <w:spacing w:after="0"/>
              <w:rPr>
                <w:sz w:val="20"/>
                <w:szCs w:val="20"/>
                <w:color w:val="auto"/>
              </w:rPr>
            </w:pPr>
            <w:r>
              <w:rPr>
                <w:rFonts w:ascii="Arial" w:cs="Arial" w:eastAsia="Arial" w:hAnsi="Arial"/>
                <w:sz w:val="20"/>
                <w:szCs w:val="20"/>
                <w:color w:val="auto"/>
                <w:w w:val="89"/>
              </w:rPr>
              <w:t>Three-Months Ended</w:t>
            </w:r>
          </w:p>
        </w:tc>
        <w:tc>
          <w:tcPr>
            <w:tcW w:w="260" w:type="dxa"/>
            <w:vAlign w:val="bottom"/>
          </w:tcPr>
          <w:p>
            <w:pPr>
              <w:spacing w:after="0"/>
              <w:rPr>
                <w:sz w:val="21"/>
                <w:szCs w:val="21"/>
                <w:color w:val="auto"/>
              </w:rPr>
            </w:pPr>
          </w:p>
        </w:tc>
        <w:tc>
          <w:tcPr>
            <w:tcW w:w="2640" w:type="dxa"/>
            <w:vAlign w:val="bottom"/>
            <w:gridSpan w:val="5"/>
          </w:tcPr>
          <w:p>
            <w:pPr>
              <w:jc w:val="center"/>
              <w:ind w:right="380"/>
              <w:spacing w:after="0"/>
              <w:rPr>
                <w:sz w:val="20"/>
                <w:szCs w:val="20"/>
                <w:color w:val="auto"/>
              </w:rPr>
            </w:pPr>
            <w:r>
              <w:rPr>
                <w:rFonts w:ascii="Arial" w:cs="Arial" w:eastAsia="Arial" w:hAnsi="Arial"/>
                <w:sz w:val="20"/>
                <w:szCs w:val="20"/>
                <w:color w:val="auto"/>
                <w:w w:val="91"/>
              </w:rPr>
              <w:t>Nine-Months Ended</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60" w:type="dxa"/>
            <w:vAlign w:val="bottom"/>
            <w:gridSpan w:val="5"/>
          </w:tcPr>
          <w:p>
            <w:pPr>
              <w:jc w:val="center"/>
              <w:ind w:right="500"/>
              <w:spacing w:after="0"/>
              <w:rPr>
                <w:sz w:val="20"/>
                <w:szCs w:val="20"/>
                <w:color w:val="auto"/>
              </w:rPr>
            </w:pPr>
            <w:r>
              <w:rPr>
                <w:rFonts w:ascii="Arial" w:cs="Arial" w:eastAsia="Arial" w:hAnsi="Arial"/>
                <w:sz w:val="20"/>
                <w:szCs w:val="20"/>
                <w:color w:val="auto"/>
                <w:w w:val="86"/>
              </w:rPr>
              <w:t>September 30,</w:t>
            </w:r>
          </w:p>
        </w:tc>
        <w:tc>
          <w:tcPr>
            <w:tcW w:w="260" w:type="dxa"/>
            <w:vAlign w:val="bottom"/>
          </w:tcPr>
          <w:p>
            <w:pPr>
              <w:spacing w:after="0"/>
              <w:rPr>
                <w:sz w:val="21"/>
                <w:szCs w:val="21"/>
                <w:color w:val="auto"/>
              </w:rPr>
            </w:pPr>
          </w:p>
        </w:tc>
        <w:tc>
          <w:tcPr>
            <w:tcW w:w="2640" w:type="dxa"/>
            <w:vAlign w:val="bottom"/>
            <w:gridSpan w:val="5"/>
          </w:tcPr>
          <w:p>
            <w:pPr>
              <w:jc w:val="center"/>
              <w:ind w:right="380"/>
              <w:spacing w:after="0"/>
              <w:rPr>
                <w:sz w:val="20"/>
                <w:szCs w:val="20"/>
                <w:color w:val="auto"/>
              </w:rPr>
            </w:pPr>
            <w:r>
              <w:rPr>
                <w:rFonts w:ascii="Arial" w:cs="Arial" w:eastAsia="Arial" w:hAnsi="Arial"/>
                <w:sz w:val="20"/>
                <w:szCs w:val="20"/>
                <w:color w:val="auto"/>
                <w:w w:val="86"/>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20"/>
                <w:szCs w:val="20"/>
                <w:color w:val="auto"/>
              </w:rPr>
              <w:t>2018</w:t>
            </w:r>
          </w:p>
        </w:tc>
        <w:tc>
          <w:tcPr>
            <w:tcW w:w="24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20"/>
                <w:szCs w:val="20"/>
                <w:color w:val="auto"/>
              </w:rPr>
              <w:t>2017</w:t>
            </w:r>
          </w:p>
        </w:tc>
        <w:tc>
          <w:tcPr>
            <w:tcW w:w="240" w:type="dxa"/>
            <w:vAlign w:val="bottom"/>
            <w:tcBorders>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20"/>
                <w:szCs w:val="20"/>
                <w:color w:val="auto"/>
              </w:rPr>
              <w:t>2018</w:t>
            </w:r>
          </w:p>
        </w:tc>
        <w:tc>
          <w:tcPr>
            <w:tcW w:w="24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20"/>
                <w:szCs w:val="20"/>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60" w:type="dxa"/>
            <w:vAlign w:val="bottom"/>
            <w:gridSpan w:val="5"/>
          </w:tcPr>
          <w:p>
            <w:pPr>
              <w:ind w:left="540"/>
              <w:spacing w:after="0"/>
              <w:rPr>
                <w:sz w:val="20"/>
                <w:szCs w:val="20"/>
                <w:color w:val="auto"/>
              </w:rPr>
            </w:pPr>
            <w:r>
              <w:rPr>
                <w:rFonts w:ascii="Arial" w:cs="Arial" w:eastAsia="Arial" w:hAnsi="Arial"/>
                <w:sz w:val="20"/>
                <w:szCs w:val="20"/>
                <w:i w:val="1"/>
                <w:iCs w:val="1"/>
                <w:color w:val="auto"/>
              </w:rPr>
              <w:t>(In Thousands)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Net earnings attributable to Martin Marietta</w:t>
            </w: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900" w:type="dxa"/>
            <w:vAlign w:val="bottom"/>
            <w:shd w:val="clear" w:color="auto" w:fill="CFF0FC"/>
          </w:tcPr>
          <w:p>
            <w:pPr>
              <w:ind w:left="140"/>
              <w:spacing w:after="0"/>
              <w:rPr>
                <w:sz w:val="20"/>
                <w:szCs w:val="20"/>
                <w:color w:val="auto"/>
              </w:rPr>
            </w:pPr>
            <w:r>
              <w:rPr>
                <w:rFonts w:ascii="Arial" w:cs="Arial" w:eastAsia="Arial" w:hAnsi="Arial"/>
                <w:sz w:val="20"/>
                <w:szCs w:val="20"/>
                <w:color w:val="auto"/>
              </w:rPr>
              <w:t>Materials, Inc.</w:t>
            </w: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180,221</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151,546</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375,621</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336,159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00" w:type="dxa"/>
            <w:vAlign w:val="bottom"/>
          </w:tcPr>
          <w:p>
            <w:pPr>
              <w:spacing w:after="0" w:line="227" w:lineRule="exact"/>
              <w:rPr>
                <w:sz w:val="20"/>
                <w:szCs w:val="20"/>
                <w:color w:val="auto"/>
              </w:rPr>
            </w:pPr>
            <w:r>
              <w:rPr>
                <w:rFonts w:ascii="Arial" w:cs="Arial" w:eastAsia="Arial" w:hAnsi="Arial"/>
                <w:sz w:val="20"/>
                <w:szCs w:val="20"/>
                <w:color w:val="auto"/>
              </w:rPr>
              <w:t>Less: Distributed and undistributed earnings</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900" w:type="dxa"/>
            <w:vAlign w:val="bottom"/>
            <w:tcBorders>
              <w:bottom w:val="single" w:sz="8" w:color="CFF0FC"/>
            </w:tcBorders>
          </w:tcPr>
          <w:p>
            <w:pPr>
              <w:ind w:left="140"/>
              <w:spacing w:after="0"/>
              <w:rPr>
                <w:sz w:val="20"/>
                <w:szCs w:val="20"/>
                <w:color w:val="auto"/>
              </w:rPr>
            </w:pPr>
            <w:r>
              <w:rPr>
                <w:rFonts w:ascii="Arial" w:cs="Arial" w:eastAsia="Arial" w:hAnsi="Arial"/>
                <w:sz w:val="20"/>
                <w:szCs w:val="20"/>
                <w:color w:val="auto"/>
              </w:rPr>
              <w:t>attributable to unvested awards</w:t>
            </w:r>
          </w:p>
        </w:tc>
        <w:tc>
          <w:tcPr>
            <w:tcW w:w="58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271</w:t>
            </w:r>
          </w:p>
        </w:tc>
        <w:tc>
          <w:tcPr>
            <w:tcW w:w="2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399</w:t>
            </w:r>
          </w:p>
        </w:tc>
        <w:tc>
          <w:tcPr>
            <w:tcW w:w="2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672</w:t>
            </w:r>
          </w:p>
        </w:tc>
        <w:tc>
          <w:tcPr>
            <w:tcW w:w="2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00" w:type="dxa"/>
            <w:vAlign w:val="bottom"/>
            <w:shd w:val="clear" w:color="auto" w:fill="CFF0FC"/>
          </w:tcPr>
          <w:p>
            <w:pPr>
              <w:spacing w:after="0" w:line="220" w:lineRule="exact"/>
              <w:rPr>
                <w:sz w:val="20"/>
                <w:szCs w:val="20"/>
                <w:color w:val="auto"/>
              </w:rPr>
            </w:pPr>
            <w:r>
              <w:rPr>
                <w:rFonts w:ascii="Arial" w:cs="Arial" w:eastAsia="Arial" w:hAnsi="Arial"/>
                <w:sz w:val="20"/>
                <w:szCs w:val="20"/>
                <w:color w:val="auto"/>
              </w:rPr>
              <w:t>Basic and diluted net earnings available to common</w:t>
            </w: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FF0FC"/>
          </w:tcPr>
          <w:p>
            <w:pPr>
              <w:ind w:left="140"/>
              <w:spacing w:after="0"/>
              <w:rPr>
                <w:sz w:val="20"/>
                <w:szCs w:val="20"/>
                <w:color w:val="auto"/>
              </w:rPr>
            </w:pPr>
            <w:r>
              <w:rPr>
                <w:rFonts w:ascii="Arial" w:cs="Arial" w:eastAsia="Arial" w:hAnsi="Arial"/>
                <w:sz w:val="20"/>
                <w:szCs w:val="20"/>
                <w:color w:val="auto"/>
              </w:rPr>
              <w:t>shareholders attributable to Martin Marietta</w:t>
            </w: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900" w:type="dxa"/>
            <w:vAlign w:val="bottom"/>
            <w:shd w:val="clear" w:color="auto" w:fill="CFF0FC"/>
          </w:tcPr>
          <w:p>
            <w:pPr>
              <w:ind w:left="140"/>
              <w:spacing w:after="0"/>
              <w:rPr>
                <w:sz w:val="20"/>
                <w:szCs w:val="20"/>
                <w:color w:val="auto"/>
              </w:rPr>
            </w:pPr>
            <w:r>
              <w:rPr>
                <w:rFonts w:ascii="Arial" w:cs="Arial" w:eastAsia="Arial" w:hAnsi="Arial"/>
                <w:sz w:val="20"/>
                <w:szCs w:val="20"/>
                <w:color w:val="auto"/>
              </w:rPr>
              <w:t>Materials, Inc.</w:t>
            </w: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179,950</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151,147</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374,949</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335,159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4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20"/>
                <w:szCs w:val="20"/>
                <w:color w:val="auto"/>
              </w:rPr>
              <w:t>Basic weighted-average common shares outstanding</w:t>
            </w:r>
          </w:p>
        </w:tc>
        <w:tc>
          <w:tcPr>
            <w:tcW w:w="5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62,932</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62,896</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62,970</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62,940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Effect of dilutive employee and director awards</w:t>
            </w:r>
          </w:p>
        </w:tc>
        <w:tc>
          <w:tcPr>
            <w:tcW w:w="58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235</w:t>
            </w:r>
          </w:p>
        </w:tc>
        <w:tc>
          <w:tcPr>
            <w:tcW w:w="2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262</w:t>
            </w:r>
          </w:p>
        </w:tc>
        <w:tc>
          <w:tcPr>
            <w:tcW w:w="2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254</w:t>
            </w:r>
          </w:p>
        </w:tc>
        <w:tc>
          <w:tcPr>
            <w:tcW w:w="24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Diluted weighted-average common shares outstanding</w:t>
            </w:r>
          </w:p>
        </w:tc>
        <w:tc>
          <w:tcPr>
            <w:tcW w:w="5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63,167</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63,158</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63,224</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63,218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Revenue Recognition</w:t>
      </w:r>
    </w:p>
    <w:p>
      <w:pPr>
        <w:spacing w:after="0" w:line="113" w:lineRule="exact"/>
        <w:rPr>
          <w:rFonts w:ascii="Arial" w:cs="Arial" w:eastAsia="Arial" w:hAnsi="Arial"/>
          <w:sz w:val="20"/>
          <w:szCs w:val="20"/>
          <w:b w:val="1"/>
          <w:bCs w:val="1"/>
          <w:color w:val="auto"/>
        </w:rPr>
      </w:pPr>
    </w:p>
    <w:p>
      <w:pPr>
        <w:jc w:val="both"/>
        <w:ind w:left="380"/>
        <w:spacing w:after="0" w:line="270" w:lineRule="auto"/>
        <w:rPr>
          <w:rFonts w:ascii="Arial" w:cs="Arial" w:eastAsia="Arial" w:hAnsi="Arial"/>
          <w:sz w:val="20"/>
          <w:szCs w:val="20"/>
          <w:b w:val="1"/>
          <w:bCs w:val="1"/>
          <w:color w:val="auto"/>
        </w:rPr>
      </w:pPr>
      <w:r>
        <w:rPr>
          <w:rFonts w:ascii="Arial" w:cs="Arial" w:eastAsia="Arial" w:hAnsi="Arial"/>
          <w:sz w:val="18"/>
          <w:szCs w:val="18"/>
          <w:color w:val="auto"/>
        </w:rPr>
        <w:t>Total revenues include sales of products and services to customers, net of any discounts or allowances, and freight revenues. Product revenues are recognized when control of the promised good is transferred to the customer, typically when finished products are shipped. Intersegment and interproduct revenues are eliminated in consolidation. Service revenues are derived from the paving business and recognized using the percentage-of-completion method under the revenue-cost approach. Under the revenue-cost approach, recognized contract revenue is determined by multiplying the total estimated contract revenue by the estimated percentage of completion. Contract costs are recognized as incurred. The percentage of completion is determined on a contract-by-contract basis using project costs incurred to date as a percentage of total estimated project costs. The Company believes the revenue-cost approach is appropriate as the use of asphalt in a paving contract is relatively consistent with the performance of the paving service. Paving contracts, notably with governmental entities, may contain performance bonuses based on quality specifications. Given the uncertainty of meeting the criteria until the performance obligation is completed, performance bonuses are recognized as revenues when and if determined to be achieved. Performance bonuses are not material to the Company’s consolidated results of operations for the three- and nine-months ended September 30, 2018 and 2017. Freight revenues reflect delivery arranged by the Company using a third party on behalf of the customer and are recognized consistent with the timing of the product revenues.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15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2018</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72"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Revenue Recognition (continued)</w:t>
      </w:r>
    </w:p>
    <w:p>
      <w:pPr>
        <w:spacing w:after="0" w:line="113" w:lineRule="exact"/>
        <w:rPr>
          <w:rFonts w:ascii="Arial" w:cs="Arial" w:eastAsia="Arial" w:hAnsi="Arial"/>
          <w:sz w:val="20"/>
          <w:szCs w:val="20"/>
          <w:b w:val="1"/>
          <w:bCs w:val="1"/>
          <w:color w:val="auto"/>
        </w:rPr>
      </w:pPr>
    </w:p>
    <w:p>
      <w:pPr>
        <w:jc w:val="both"/>
        <w:ind w:left="380"/>
        <w:spacing w:after="0" w:line="260" w:lineRule="auto"/>
        <w:rPr>
          <w:rFonts w:ascii="Arial" w:cs="Arial" w:eastAsia="Arial" w:hAnsi="Arial"/>
          <w:sz w:val="20"/>
          <w:szCs w:val="20"/>
          <w:b w:val="1"/>
          <w:bCs w:val="1"/>
          <w:color w:val="auto"/>
        </w:rPr>
      </w:pPr>
      <w:r>
        <w:rPr>
          <w:rFonts w:ascii="Arial" w:cs="Arial" w:eastAsia="Arial" w:hAnsi="Arial"/>
          <w:sz w:val="19"/>
          <w:szCs w:val="19"/>
          <w:b w:val="1"/>
          <w:bCs w:val="1"/>
          <w:i w:val="1"/>
          <w:iCs w:val="1"/>
          <w:color w:val="auto"/>
        </w:rPr>
        <w:t xml:space="preserve">Performance Obligations. </w:t>
      </w:r>
      <w:r>
        <w:rPr>
          <w:rFonts w:ascii="Arial" w:cs="Arial" w:eastAsia="Arial" w:hAnsi="Arial"/>
          <w:sz w:val="19"/>
          <w:szCs w:val="19"/>
          <w:color w:val="auto"/>
        </w:rPr>
        <w:t>Performance obligations are contractual promises to transfer or provide a distinct good or service for a stated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price. The Company’s product sales agreements are single-performance obligations that are satisfied at a point in time. Performance obligations within paving service agreements are satisfied over time, primarily ranging from one day to 20 months. For product revenues and freight revenues, customer payment terms are generally 30 days from invoice date. Customer payments for the paving operations are based on a contractual billing schedule and are due 30 days from invoice date.</w:t>
      </w:r>
    </w:p>
    <w:p>
      <w:pPr>
        <w:spacing w:after="0" w:line="72" w:lineRule="exact"/>
        <w:rPr>
          <w:rFonts w:ascii="Arial" w:cs="Arial" w:eastAsia="Arial" w:hAnsi="Arial"/>
          <w:sz w:val="20"/>
          <w:szCs w:val="20"/>
          <w:b w:val="1"/>
          <w:bCs w:val="1"/>
          <w:color w:val="auto"/>
        </w:rPr>
      </w:pPr>
    </w:p>
    <w:p>
      <w:pPr>
        <w:jc w:val="both"/>
        <w:ind w:left="38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Future revenues from unsatisfied performance obligations at September 30, 2018 and 2017 were $111,721,000 and $107,953,000, respectively, where the remaining periods to complete these obligations ranged from one month to 27 months and one month to 21 months, respectively.</w:t>
      </w:r>
    </w:p>
    <w:p>
      <w:pPr>
        <w:spacing w:after="0" w:line="78" w:lineRule="exact"/>
        <w:rPr>
          <w:rFonts w:ascii="Arial" w:cs="Arial" w:eastAsia="Arial" w:hAnsi="Arial"/>
          <w:sz w:val="20"/>
          <w:szCs w:val="20"/>
          <w:b w:val="1"/>
          <w:bCs w:val="1"/>
          <w:color w:val="auto"/>
        </w:rPr>
      </w:pPr>
    </w:p>
    <w:p>
      <w:pPr>
        <w:jc w:val="both"/>
        <w:ind w:left="380"/>
        <w:spacing w:after="0" w:line="250" w:lineRule="auto"/>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 xml:space="preserve">Sales Taxes. </w:t>
      </w:r>
      <w:r>
        <w:rPr>
          <w:rFonts w:ascii="Arial" w:cs="Arial" w:eastAsia="Arial" w:hAnsi="Arial"/>
          <w:sz w:val="20"/>
          <w:szCs w:val="20"/>
          <w:color w:val="auto"/>
        </w:rPr>
        <w:t>The Company is deemed to be an agent when collecting sales taxes from customers. Sales taxes collected are initially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recorded as liabilities until remitted to taxing authorities and are not reflected in the consolidated statements of earnings as revenues and expenses.</w:t>
      </w:r>
    </w:p>
    <w:p>
      <w:pPr>
        <w:spacing w:after="0" w:line="78"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19"/>
          <w:szCs w:val="19"/>
          <w:b w:val="1"/>
          <w:bCs w:val="1"/>
          <w:i w:val="1"/>
          <w:iCs w:val="1"/>
          <w:color w:val="auto"/>
        </w:rPr>
        <w:t xml:space="preserve">Revenue by Category. </w:t>
      </w:r>
      <w:r>
        <w:rPr>
          <w:rFonts w:ascii="Arial" w:cs="Arial" w:eastAsia="Arial" w:hAnsi="Arial"/>
          <w:sz w:val="19"/>
          <w:szCs w:val="19"/>
          <w:color w:val="auto"/>
        </w:rPr>
        <w:t>The following table presents the Company’s total revenues by category for each reportable segment:</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900" w:type="dxa"/>
            <w:vAlign w:val="bottom"/>
            <w:gridSpan w:val="4"/>
          </w:tcPr>
          <w:p>
            <w:pPr>
              <w:ind w:left="100"/>
              <w:spacing w:after="0"/>
              <w:rPr>
                <w:sz w:val="20"/>
                <w:szCs w:val="20"/>
                <w:color w:val="auto"/>
              </w:rPr>
            </w:pPr>
            <w:r>
              <w:rPr>
                <w:rFonts w:ascii="Arial" w:cs="Arial" w:eastAsia="Arial" w:hAnsi="Arial"/>
                <w:sz w:val="20"/>
                <w:szCs w:val="20"/>
                <w:color w:val="auto"/>
                <w:w w:val="94"/>
              </w:rPr>
              <w:t>Three-Months Ended</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6"/>
        </w:trPr>
        <w:tc>
          <w:tcPr>
            <w:tcW w:w="2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20"/>
                <w:szCs w:val="20"/>
                <w:color w:val="auto"/>
                <w:w w:val="87"/>
              </w:rPr>
              <w:t>September 30, 2018</w:t>
            </w:r>
          </w:p>
        </w:tc>
        <w:tc>
          <w:tcPr>
            <w:tcW w:w="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center"/>
              <w:ind w:right="121"/>
              <w:spacing w:after="0" w:line="220" w:lineRule="exact"/>
              <w:rPr>
                <w:sz w:val="20"/>
                <w:szCs w:val="20"/>
                <w:color w:val="auto"/>
              </w:rPr>
            </w:pPr>
            <w:r>
              <w:rPr>
                <w:rFonts w:ascii="Arial" w:cs="Arial" w:eastAsia="Arial" w:hAnsi="Arial"/>
                <w:sz w:val="20"/>
                <w:szCs w:val="20"/>
                <w:color w:val="auto"/>
                <w:w w:val="88"/>
              </w:rPr>
              <w:t>Products and</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4380" w:type="dxa"/>
            <w:vAlign w:val="bottom"/>
            <w:gridSpan w:val="2"/>
          </w:tcPr>
          <w:p>
            <w:pPr>
              <w:spacing w:after="0"/>
              <w:rPr>
                <w:sz w:val="20"/>
                <w:szCs w:val="20"/>
                <w:color w:val="auto"/>
              </w:rPr>
            </w:pPr>
            <w:r>
              <w:rPr>
                <w:rFonts w:ascii="Arial" w:cs="Arial" w:eastAsia="Arial" w:hAnsi="Arial"/>
                <w:sz w:val="20"/>
                <w:szCs w:val="20"/>
                <w:i w:val="1"/>
                <w:iCs w:val="1"/>
                <w:color w:val="auto"/>
              </w:rPr>
              <w:t>(Dollars in Thousands)</w:t>
            </w:r>
          </w:p>
        </w:tc>
        <w:tc>
          <w:tcPr>
            <w:tcW w:w="1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center"/>
              <w:ind w:right="121"/>
              <w:spacing w:after="0"/>
              <w:rPr>
                <w:sz w:val="20"/>
                <w:szCs w:val="20"/>
                <w:color w:val="auto"/>
              </w:rPr>
            </w:pPr>
            <w:r>
              <w:rPr>
                <w:rFonts w:ascii="Arial" w:cs="Arial" w:eastAsia="Arial" w:hAnsi="Arial"/>
                <w:sz w:val="20"/>
                <w:szCs w:val="20"/>
                <w:color w:val="auto"/>
                <w:w w:val="88"/>
              </w:rPr>
              <w:t>Services</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20"/>
                <w:szCs w:val="20"/>
                <w:color w:val="auto"/>
                <w:w w:val="93"/>
              </w:rPr>
              <w:t>Freight</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gridSpan w:val="2"/>
          </w:tcPr>
          <w:p>
            <w:pPr>
              <w:ind w:left="260"/>
              <w:spacing w:after="0"/>
              <w:rPr>
                <w:sz w:val="20"/>
                <w:szCs w:val="20"/>
                <w:color w:val="auto"/>
              </w:rPr>
            </w:pPr>
            <w:r>
              <w:rPr>
                <w:rFonts w:ascii="Arial" w:cs="Arial" w:eastAsia="Arial" w:hAnsi="Arial"/>
                <w:sz w:val="20"/>
                <w:szCs w:val="20"/>
                <w:color w:val="auto"/>
              </w:rPr>
              <w:t>Total</w:t>
            </w:r>
          </w:p>
        </w:tc>
      </w:tr>
      <w:tr>
        <w:trPr>
          <w:trHeight w:val="237"/>
        </w:trPr>
        <w:tc>
          <w:tcPr>
            <w:tcW w:w="20" w:type="dxa"/>
            <w:vAlign w:val="bottom"/>
          </w:tcPr>
          <w:p>
            <w:pPr>
              <w:spacing w:after="0"/>
              <w:rPr>
                <w:sz w:val="20"/>
                <w:szCs w:val="20"/>
                <w:color w:val="auto"/>
              </w:rPr>
            </w:pPr>
          </w:p>
        </w:tc>
        <w:tc>
          <w:tcPr>
            <w:tcW w:w="4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20"/>
                <w:szCs w:val="20"/>
                <w:color w:val="auto"/>
              </w:rPr>
              <w:t>Mid-America Group</w:t>
            </w:r>
          </w:p>
        </w:tc>
        <w:tc>
          <w:tcPr>
            <w:tcW w:w="1900" w:type="dxa"/>
            <w:vAlign w:val="bottom"/>
            <w:tcBorders>
              <w:top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348,429</w:t>
            </w:r>
          </w:p>
        </w:tc>
        <w:tc>
          <w:tcPr>
            <w:tcW w:w="12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20"/>
                <w:szCs w:val="20"/>
                <w:color w:val="auto"/>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28,576</w:t>
            </w:r>
          </w:p>
        </w:tc>
        <w:tc>
          <w:tcPr>
            <w:tcW w:w="12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83"/>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377,005</w:t>
            </w:r>
          </w:p>
        </w:tc>
        <w:tc>
          <w:tcPr>
            <w:tcW w:w="100" w:type="dxa"/>
            <w:vAlign w:val="bottom"/>
            <w:tcBorders>
              <w:top w:val="single" w:sz="8" w:color="CFF0FC"/>
            </w:tcBorders>
            <w:shd w:val="clear" w:color="auto" w:fill="CFF0FC"/>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360" w:type="dxa"/>
            <w:vAlign w:val="bottom"/>
          </w:tcPr>
          <w:p>
            <w:pPr>
              <w:spacing w:after="0"/>
              <w:rPr>
                <w:sz w:val="20"/>
                <w:szCs w:val="20"/>
                <w:color w:val="auto"/>
              </w:rPr>
            </w:pPr>
            <w:r>
              <w:rPr>
                <w:rFonts w:ascii="Arial" w:cs="Arial" w:eastAsia="Arial" w:hAnsi="Arial"/>
                <w:sz w:val="20"/>
                <w:szCs w:val="20"/>
                <w:color w:val="auto"/>
              </w:rPr>
              <w:t>Southeast Group</w:t>
            </w:r>
          </w:p>
        </w:tc>
        <w:tc>
          <w:tcPr>
            <w:tcW w:w="1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121,661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3,886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125,547</w:t>
            </w: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West Group</w:t>
            </w:r>
          </w:p>
        </w:tc>
        <w:tc>
          <w:tcPr>
            <w:tcW w:w="170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603,763</w:t>
            </w:r>
          </w:p>
        </w:tc>
        <w:tc>
          <w:tcPr>
            <w:tcW w:w="12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39,802</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643,565</w:t>
            </w:r>
          </w:p>
        </w:tc>
        <w:tc>
          <w:tcPr>
            <w:tcW w:w="100" w:type="dxa"/>
            <w:vAlign w:val="bottom"/>
            <w:shd w:val="clear" w:color="auto" w:fill="CFF0FC"/>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20"/>
                <w:szCs w:val="20"/>
                <w:color w:val="auto"/>
              </w:rPr>
              <w:t>Total Building Materials Business</w:t>
            </w: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1,073,853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72,264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1,146,117</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170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68,365</w:t>
            </w:r>
          </w:p>
        </w:tc>
        <w:tc>
          <w:tcPr>
            <w:tcW w:w="12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5,158</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73,523</w:t>
            </w:r>
          </w:p>
        </w:tc>
        <w:tc>
          <w:tcPr>
            <w:tcW w:w="100" w:type="dxa"/>
            <w:vAlign w:val="bottom"/>
            <w:shd w:val="clear" w:color="auto" w:fill="CFF0FC"/>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3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w:t>
            </w:r>
          </w:p>
        </w:tc>
        <w:tc>
          <w:tcPr>
            <w:tcW w:w="1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1,142,218</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77,422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1,219,640</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3"/>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900" w:type="dxa"/>
            <w:vAlign w:val="bottom"/>
            <w:gridSpan w:val="4"/>
          </w:tcPr>
          <w:p>
            <w:pPr>
              <w:ind w:left="100"/>
              <w:spacing w:after="0"/>
              <w:rPr>
                <w:sz w:val="20"/>
                <w:szCs w:val="20"/>
                <w:color w:val="auto"/>
              </w:rPr>
            </w:pPr>
            <w:r>
              <w:rPr>
                <w:rFonts w:ascii="Arial" w:cs="Arial" w:eastAsia="Arial" w:hAnsi="Arial"/>
                <w:sz w:val="20"/>
                <w:szCs w:val="20"/>
                <w:color w:val="auto"/>
                <w:w w:val="94"/>
              </w:rPr>
              <w:t>Three-Months Ended</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2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20"/>
                <w:szCs w:val="20"/>
                <w:color w:val="auto"/>
                <w:w w:val="87"/>
              </w:rPr>
              <w:t>September 30, 2017</w:t>
            </w:r>
          </w:p>
        </w:tc>
        <w:tc>
          <w:tcPr>
            <w:tcW w:w="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center"/>
              <w:ind w:right="121"/>
              <w:spacing w:after="0" w:line="220" w:lineRule="exact"/>
              <w:rPr>
                <w:sz w:val="20"/>
                <w:szCs w:val="20"/>
                <w:color w:val="auto"/>
              </w:rPr>
            </w:pPr>
            <w:r>
              <w:rPr>
                <w:rFonts w:ascii="Arial" w:cs="Arial" w:eastAsia="Arial" w:hAnsi="Arial"/>
                <w:sz w:val="20"/>
                <w:szCs w:val="20"/>
                <w:color w:val="auto"/>
                <w:w w:val="88"/>
              </w:rPr>
              <w:t>Products and</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6"/>
        </w:trPr>
        <w:tc>
          <w:tcPr>
            <w:tcW w:w="4380" w:type="dxa"/>
            <w:vAlign w:val="bottom"/>
            <w:gridSpan w:val="2"/>
          </w:tcPr>
          <w:p>
            <w:pPr>
              <w:spacing w:after="0"/>
              <w:rPr>
                <w:sz w:val="20"/>
                <w:szCs w:val="20"/>
                <w:color w:val="auto"/>
              </w:rPr>
            </w:pPr>
            <w:r>
              <w:rPr>
                <w:rFonts w:ascii="Arial" w:cs="Arial" w:eastAsia="Arial" w:hAnsi="Arial"/>
                <w:sz w:val="20"/>
                <w:szCs w:val="20"/>
                <w:i w:val="1"/>
                <w:iCs w:val="1"/>
                <w:color w:val="auto"/>
              </w:rPr>
              <w:t>(Dollars in Thousands)</w:t>
            </w:r>
          </w:p>
        </w:tc>
        <w:tc>
          <w:tcPr>
            <w:tcW w:w="1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center"/>
              <w:ind w:right="121"/>
              <w:spacing w:after="0"/>
              <w:rPr>
                <w:sz w:val="20"/>
                <w:szCs w:val="20"/>
                <w:color w:val="auto"/>
              </w:rPr>
            </w:pPr>
            <w:r>
              <w:rPr>
                <w:rFonts w:ascii="Arial" w:cs="Arial" w:eastAsia="Arial" w:hAnsi="Arial"/>
                <w:sz w:val="20"/>
                <w:szCs w:val="20"/>
                <w:color w:val="auto"/>
                <w:w w:val="88"/>
              </w:rPr>
              <w:t>Services</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20"/>
                <w:szCs w:val="20"/>
                <w:color w:val="auto"/>
                <w:w w:val="93"/>
              </w:rPr>
              <w:t>Freight</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gridSpan w:val="2"/>
          </w:tcPr>
          <w:p>
            <w:pPr>
              <w:ind w:left="260"/>
              <w:spacing w:after="0"/>
              <w:rPr>
                <w:sz w:val="20"/>
                <w:szCs w:val="20"/>
                <w:color w:val="auto"/>
              </w:rPr>
            </w:pPr>
            <w:r>
              <w:rPr>
                <w:rFonts w:ascii="Arial" w:cs="Arial" w:eastAsia="Arial" w:hAnsi="Arial"/>
                <w:sz w:val="20"/>
                <w:szCs w:val="20"/>
                <w:color w:val="auto"/>
              </w:rPr>
              <w:t>Total</w:t>
            </w:r>
          </w:p>
        </w:tc>
      </w:tr>
      <w:tr>
        <w:trPr>
          <w:trHeight w:val="237"/>
        </w:trPr>
        <w:tc>
          <w:tcPr>
            <w:tcW w:w="20" w:type="dxa"/>
            <w:vAlign w:val="bottom"/>
          </w:tcPr>
          <w:p>
            <w:pPr>
              <w:spacing w:after="0"/>
              <w:rPr>
                <w:sz w:val="20"/>
                <w:szCs w:val="20"/>
                <w:color w:val="auto"/>
              </w:rPr>
            </w:pPr>
          </w:p>
        </w:tc>
        <w:tc>
          <w:tcPr>
            <w:tcW w:w="4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20"/>
                <w:szCs w:val="20"/>
                <w:color w:val="auto"/>
              </w:rPr>
              <w:t>Mid-America Group</w:t>
            </w:r>
          </w:p>
        </w:tc>
        <w:tc>
          <w:tcPr>
            <w:tcW w:w="1900" w:type="dxa"/>
            <w:vAlign w:val="bottom"/>
            <w:tcBorders>
              <w:top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287,085</w:t>
            </w:r>
          </w:p>
        </w:tc>
        <w:tc>
          <w:tcPr>
            <w:tcW w:w="12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20"/>
                <w:szCs w:val="20"/>
                <w:color w:val="auto"/>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21,387</w:t>
            </w:r>
          </w:p>
        </w:tc>
        <w:tc>
          <w:tcPr>
            <w:tcW w:w="12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83"/>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308,472</w:t>
            </w:r>
          </w:p>
        </w:tc>
        <w:tc>
          <w:tcPr>
            <w:tcW w:w="100" w:type="dxa"/>
            <w:vAlign w:val="bottom"/>
            <w:tcBorders>
              <w:top w:val="single" w:sz="8" w:color="CFF0FC"/>
            </w:tcBorders>
            <w:shd w:val="clear" w:color="auto" w:fill="CFF0FC"/>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360" w:type="dxa"/>
            <w:vAlign w:val="bottom"/>
          </w:tcPr>
          <w:p>
            <w:pPr>
              <w:spacing w:after="0"/>
              <w:rPr>
                <w:sz w:val="20"/>
                <w:szCs w:val="20"/>
                <w:color w:val="auto"/>
              </w:rPr>
            </w:pPr>
            <w:r>
              <w:rPr>
                <w:rFonts w:ascii="Arial" w:cs="Arial" w:eastAsia="Arial" w:hAnsi="Arial"/>
                <w:sz w:val="20"/>
                <w:szCs w:val="20"/>
                <w:color w:val="auto"/>
              </w:rPr>
              <w:t>Southeast Group</w:t>
            </w:r>
          </w:p>
        </w:tc>
        <w:tc>
          <w:tcPr>
            <w:tcW w:w="1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91,427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3,416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94,843</w:t>
            </w: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West Group</w:t>
            </w:r>
          </w:p>
        </w:tc>
        <w:tc>
          <w:tcPr>
            <w:tcW w:w="170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584,086</w:t>
            </w:r>
          </w:p>
        </w:tc>
        <w:tc>
          <w:tcPr>
            <w:tcW w:w="12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36,426</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620,512</w:t>
            </w:r>
          </w:p>
        </w:tc>
        <w:tc>
          <w:tcPr>
            <w:tcW w:w="100" w:type="dxa"/>
            <w:vAlign w:val="bottom"/>
            <w:shd w:val="clear" w:color="auto" w:fill="CFF0FC"/>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20"/>
                <w:szCs w:val="20"/>
                <w:color w:val="auto"/>
              </w:rPr>
              <w:t>Total Building Materials Business</w:t>
            </w: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20"/>
                <w:szCs w:val="20"/>
                <w:color w:val="auto"/>
              </w:rPr>
              <w:t>962,598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61,229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1,023,827</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170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59,889</w:t>
            </w:r>
          </w:p>
        </w:tc>
        <w:tc>
          <w:tcPr>
            <w:tcW w:w="120" w:type="dxa"/>
            <w:vAlign w:val="bottom"/>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4,016</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63,905</w:t>
            </w:r>
          </w:p>
        </w:tc>
        <w:tc>
          <w:tcPr>
            <w:tcW w:w="100" w:type="dxa"/>
            <w:vAlign w:val="bottom"/>
            <w:shd w:val="clear" w:color="auto" w:fill="CFF0FC"/>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3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w:t>
            </w:r>
          </w:p>
        </w:tc>
        <w:tc>
          <w:tcPr>
            <w:tcW w:w="1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1,022,487</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65,245</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1,087,732</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78" w:lineRule="exact"/>
        <w:rPr>
          <w:sz w:val="20"/>
          <w:szCs w:val="20"/>
          <w:color w:val="auto"/>
        </w:rPr>
      </w:pPr>
    </w:p>
    <w:p>
      <w:pPr>
        <w:ind w:left="380"/>
        <w:spacing w:after="0" w:line="260" w:lineRule="auto"/>
        <w:rPr>
          <w:sz w:val="20"/>
          <w:szCs w:val="20"/>
          <w:color w:val="auto"/>
        </w:rPr>
      </w:pPr>
      <w:r>
        <w:rPr>
          <w:rFonts w:ascii="Arial" w:cs="Arial" w:eastAsia="Arial" w:hAnsi="Arial"/>
          <w:sz w:val="20"/>
          <w:szCs w:val="20"/>
          <w:color w:val="auto"/>
        </w:rPr>
        <w:t>Service revenues, which include paving operations located in Colorado, were $82,232,000 and $94,503,000 for the three-months ended September 30, 2018 and 2017, respectively.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16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2018</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80"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Revenue Recognition (continued)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60" w:type="dxa"/>
            <w:vAlign w:val="bottom"/>
            <w:gridSpan w:val="2"/>
          </w:tcPr>
          <w:p>
            <w:pPr>
              <w:ind w:left="20"/>
              <w:spacing w:after="0"/>
              <w:rPr>
                <w:sz w:val="20"/>
                <w:szCs w:val="20"/>
                <w:color w:val="auto"/>
              </w:rPr>
            </w:pPr>
            <w:r>
              <w:rPr>
                <w:rFonts w:ascii="Arial" w:cs="Arial" w:eastAsia="Arial" w:hAnsi="Arial"/>
                <w:sz w:val="20"/>
                <w:szCs w:val="20"/>
                <w:color w:val="auto"/>
                <w:w w:val="91"/>
              </w:rPr>
              <w:t>Nine-Months Ended</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6"/>
        </w:trPr>
        <w:tc>
          <w:tcPr>
            <w:tcW w:w="20" w:type="dxa"/>
            <w:vAlign w:val="bottom"/>
          </w:tcPr>
          <w:p>
            <w:pPr>
              <w:spacing w:after="0"/>
              <w:rPr>
                <w:sz w:val="21"/>
                <w:szCs w:val="21"/>
                <w:color w:val="auto"/>
              </w:rPr>
            </w:pPr>
          </w:p>
        </w:tc>
        <w:tc>
          <w:tcPr>
            <w:tcW w:w="4360" w:type="dxa"/>
            <w:vAlign w:val="bottom"/>
            <w:tcBorders>
              <w:bottom w:val="single" w:sz="8" w:color="CFF0FC"/>
            </w:tcBorders>
          </w:tcPr>
          <w:p>
            <w:pPr>
              <w:spacing w:after="0"/>
              <w:rPr>
                <w:sz w:val="21"/>
                <w:szCs w:val="21"/>
                <w:color w:val="auto"/>
              </w:rPr>
            </w:pPr>
          </w:p>
        </w:tc>
        <w:tc>
          <w:tcPr>
            <w:tcW w:w="170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ind w:left="40"/>
              <w:spacing w:after="0"/>
              <w:rPr>
                <w:sz w:val="20"/>
                <w:szCs w:val="20"/>
                <w:color w:val="auto"/>
              </w:rPr>
            </w:pPr>
            <w:r>
              <w:rPr>
                <w:rFonts w:ascii="Arial" w:cs="Arial" w:eastAsia="Arial" w:hAnsi="Arial"/>
                <w:sz w:val="20"/>
                <w:szCs w:val="20"/>
                <w:color w:val="auto"/>
                <w:w w:val="88"/>
              </w:rPr>
              <w:t>September 30, 2018</w:t>
            </w:r>
          </w:p>
        </w:tc>
        <w:tc>
          <w:tcPr>
            <w:tcW w:w="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436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center"/>
              <w:ind w:right="340"/>
              <w:spacing w:after="0" w:line="220" w:lineRule="exact"/>
              <w:rPr>
                <w:sz w:val="20"/>
                <w:szCs w:val="20"/>
                <w:color w:val="auto"/>
              </w:rPr>
            </w:pPr>
            <w:r>
              <w:rPr>
                <w:rFonts w:ascii="Arial" w:cs="Arial" w:eastAsia="Arial" w:hAnsi="Arial"/>
                <w:sz w:val="20"/>
                <w:szCs w:val="20"/>
                <w:color w:val="auto"/>
                <w:w w:val="88"/>
              </w:rPr>
              <w:t>Products and</w:t>
            </w: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6"/>
        </w:trPr>
        <w:tc>
          <w:tcPr>
            <w:tcW w:w="20" w:type="dxa"/>
            <w:vAlign w:val="bottom"/>
          </w:tcPr>
          <w:p>
            <w:pPr>
              <w:spacing w:after="0"/>
              <w:rPr>
                <w:sz w:val="21"/>
                <w:szCs w:val="21"/>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20"/>
                <w:szCs w:val="20"/>
                <w:i w:val="1"/>
                <w:iCs w:val="1"/>
                <w:color w:val="auto"/>
              </w:rPr>
              <w:t>(Dollars in Thousands)</w:t>
            </w:r>
          </w:p>
        </w:tc>
        <w:tc>
          <w:tcPr>
            <w:tcW w:w="17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center"/>
              <w:ind w:right="340"/>
              <w:spacing w:after="0"/>
              <w:rPr>
                <w:sz w:val="20"/>
                <w:szCs w:val="20"/>
                <w:color w:val="auto"/>
              </w:rPr>
            </w:pPr>
            <w:r>
              <w:rPr>
                <w:rFonts w:ascii="Arial" w:cs="Arial" w:eastAsia="Arial" w:hAnsi="Arial"/>
                <w:sz w:val="20"/>
                <w:szCs w:val="20"/>
                <w:color w:val="auto"/>
                <w:w w:val="88"/>
              </w:rPr>
              <w:t>Services</w:t>
            </w:r>
          </w:p>
        </w:tc>
        <w:tc>
          <w:tcPr>
            <w:tcW w:w="32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441"/>
              <w:spacing w:after="0"/>
              <w:rPr>
                <w:sz w:val="20"/>
                <w:szCs w:val="20"/>
                <w:color w:val="auto"/>
              </w:rPr>
            </w:pPr>
            <w:r>
              <w:rPr>
                <w:rFonts w:ascii="Arial" w:cs="Arial" w:eastAsia="Arial" w:hAnsi="Arial"/>
                <w:sz w:val="20"/>
                <w:szCs w:val="20"/>
                <w:color w:val="auto"/>
              </w:rPr>
              <w:t>Freight</w:t>
            </w: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Total</w:t>
            </w:r>
          </w:p>
        </w:tc>
      </w:tr>
      <w:tr>
        <w:trPr>
          <w:trHeight w:val="237"/>
        </w:trPr>
        <w:tc>
          <w:tcPr>
            <w:tcW w:w="20" w:type="dxa"/>
            <w:vAlign w:val="bottom"/>
          </w:tcPr>
          <w:p>
            <w:pPr>
              <w:spacing w:after="0"/>
              <w:rPr>
                <w:sz w:val="20"/>
                <w:szCs w:val="20"/>
                <w:color w:val="auto"/>
              </w:rPr>
            </w:pPr>
          </w:p>
        </w:tc>
        <w:tc>
          <w:tcPr>
            <w:tcW w:w="436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Mid-America Group</w:t>
            </w:r>
          </w:p>
        </w:tc>
        <w:tc>
          <w:tcPr>
            <w:tcW w:w="19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841,897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64,480</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61"/>
              <w:spacing w:after="0"/>
              <w:rPr>
                <w:sz w:val="20"/>
                <w:szCs w:val="20"/>
                <w:color w:val="auto"/>
              </w:rPr>
            </w:pPr>
            <w:r>
              <w:rPr>
                <w:rFonts w:ascii="Arial" w:cs="Arial" w:eastAsia="Arial" w:hAnsi="Arial"/>
                <w:sz w:val="20"/>
                <w:szCs w:val="20"/>
                <w:color w:val="auto"/>
                <w:w w:val="71"/>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906,377</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20"/>
                <w:szCs w:val="20"/>
                <w:color w:val="auto"/>
              </w:rPr>
              <w:t>Southeast Group</w:t>
            </w:r>
          </w:p>
        </w:tc>
        <w:tc>
          <w:tcPr>
            <w:tcW w:w="17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308,306</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10,443</w:t>
            </w: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318,749</w:t>
            </w:r>
          </w:p>
        </w:tc>
        <w:tc>
          <w:tcPr>
            <w:tcW w:w="100" w:type="dxa"/>
            <w:vAlign w:val="bottom"/>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3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West Group</w:t>
            </w: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1,672,707</w:t>
            </w:r>
          </w:p>
        </w:tc>
        <w:tc>
          <w:tcPr>
            <w:tcW w:w="12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110,467</w:t>
            </w:r>
          </w:p>
        </w:tc>
        <w:tc>
          <w:tcPr>
            <w:tcW w:w="12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1,783,174</w:t>
            </w:r>
          </w:p>
        </w:tc>
        <w:tc>
          <w:tcPr>
            <w:tcW w:w="100" w:type="dxa"/>
            <w:vAlign w:val="bottom"/>
            <w:tcBorders>
              <w:bottom w:val="single" w:sz="8" w:color="CFF0FC"/>
            </w:tcBorders>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1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2,822,910</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185,390</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3,008,300</w:t>
            </w:r>
          </w:p>
        </w:tc>
        <w:tc>
          <w:tcPr>
            <w:tcW w:w="100" w:type="dxa"/>
            <w:vAlign w:val="bottom"/>
            <w:shd w:val="clear" w:color="auto" w:fill="CFF0FC"/>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3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Magnesia Specialties</w:t>
            </w: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201,390</w:t>
            </w:r>
          </w:p>
        </w:tc>
        <w:tc>
          <w:tcPr>
            <w:tcW w:w="12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14,357</w:t>
            </w:r>
          </w:p>
        </w:tc>
        <w:tc>
          <w:tcPr>
            <w:tcW w:w="12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215,747</w:t>
            </w:r>
          </w:p>
        </w:tc>
        <w:tc>
          <w:tcPr>
            <w:tcW w:w="100" w:type="dxa"/>
            <w:vAlign w:val="bottom"/>
            <w:tcBorders>
              <w:bottom w:val="single" w:sz="8" w:color="CFF0FC"/>
            </w:tcBorders>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190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3,024,300</w:t>
            </w: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199,747</w:t>
            </w: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61"/>
              <w:spacing w:after="0"/>
              <w:rPr>
                <w:sz w:val="20"/>
                <w:szCs w:val="20"/>
                <w:color w:val="auto"/>
              </w:rPr>
            </w:pPr>
            <w:r>
              <w:rPr>
                <w:rFonts w:ascii="Arial" w:cs="Arial" w:eastAsia="Arial" w:hAnsi="Arial"/>
                <w:sz w:val="20"/>
                <w:szCs w:val="20"/>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3,224,047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3"/>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ind w:left="20"/>
              <w:spacing w:after="0"/>
              <w:rPr>
                <w:sz w:val="20"/>
                <w:szCs w:val="20"/>
                <w:color w:val="auto"/>
              </w:rPr>
            </w:pPr>
            <w:r>
              <w:rPr>
                <w:rFonts w:ascii="Arial" w:cs="Arial" w:eastAsia="Arial" w:hAnsi="Arial"/>
                <w:sz w:val="20"/>
                <w:szCs w:val="20"/>
                <w:color w:val="auto"/>
                <w:w w:val="91"/>
              </w:rPr>
              <w:t>Nine-Months Ended</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20" w:type="dxa"/>
            <w:vAlign w:val="bottom"/>
          </w:tcPr>
          <w:p>
            <w:pPr>
              <w:spacing w:after="0"/>
              <w:rPr>
                <w:sz w:val="21"/>
                <w:szCs w:val="21"/>
                <w:color w:val="auto"/>
              </w:rPr>
            </w:pPr>
          </w:p>
        </w:tc>
        <w:tc>
          <w:tcPr>
            <w:tcW w:w="4360" w:type="dxa"/>
            <w:vAlign w:val="bottom"/>
            <w:tcBorders>
              <w:bottom w:val="single" w:sz="8" w:color="CFF0FC"/>
            </w:tcBorders>
          </w:tcPr>
          <w:p>
            <w:pPr>
              <w:spacing w:after="0"/>
              <w:rPr>
                <w:sz w:val="21"/>
                <w:szCs w:val="21"/>
                <w:color w:val="auto"/>
              </w:rPr>
            </w:pPr>
          </w:p>
        </w:tc>
        <w:tc>
          <w:tcPr>
            <w:tcW w:w="170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ind w:left="40"/>
              <w:spacing w:after="0"/>
              <w:rPr>
                <w:sz w:val="20"/>
                <w:szCs w:val="20"/>
                <w:color w:val="auto"/>
              </w:rPr>
            </w:pPr>
            <w:r>
              <w:rPr>
                <w:rFonts w:ascii="Arial" w:cs="Arial" w:eastAsia="Arial" w:hAnsi="Arial"/>
                <w:sz w:val="20"/>
                <w:szCs w:val="20"/>
                <w:color w:val="auto"/>
                <w:w w:val="88"/>
              </w:rPr>
              <w:t>September 30, 2017</w:t>
            </w:r>
          </w:p>
        </w:tc>
        <w:tc>
          <w:tcPr>
            <w:tcW w:w="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436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center"/>
              <w:ind w:right="340"/>
              <w:spacing w:after="0" w:line="220" w:lineRule="exact"/>
              <w:rPr>
                <w:sz w:val="20"/>
                <w:szCs w:val="20"/>
                <w:color w:val="auto"/>
              </w:rPr>
            </w:pPr>
            <w:r>
              <w:rPr>
                <w:rFonts w:ascii="Arial" w:cs="Arial" w:eastAsia="Arial" w:hAnsi="Arial"/>
                <w:sz w:val="20"/>
                <w:szCs w:val="20"/>
                <w:color w:val="auto"/>
                <w:w w:val="88"/>
              </w:rPr>
              <w:t>Products and</w:t>
            </w:r>
          </w:p>
        </w:tc>
        <w:tc>
          <w:tcPr>
            <w:tcW w:w="3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6"/>
        </w:trPr>
        <w:tc>
          <w:tcPr>
            <w:tcW w:w="20" w:type="dxa"/>
            <w:vAlign w:val="bottom"/>
          </w:tcPr>
          <w:p>
            <w:pPr>
              <w:spacing w:after="0"/>
              <w:rPr>
                <w:sz w:val="21"/>
                <w:szCs w:val="21"/>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20"/>
                <w:szCs w:val="20"/>
                <w:i w:val="1"/>
                <w:iCs w:val="1"/>
                <w:color w:val="auto"/>
              </w:rPr>
              <w:t>(Dollars in Thousands)</w:t>
            </w:r>
          </w:p>
        </w:tc>
        <w:tc>
          <w:tcPr>
            <w:tcW w:w="17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center"/>
              <w:ind w:right="340"/>
              <w:spacing w:after="0"/>
              <w:rPr>
                <w:sz w:val="20"/>
                <w:szCs w:val="20"/>
                <w:color w:val="auto"/>
              </w:rPr>
            </w:pPr>
            <w:r>
              <w:rPr>
                <w:rFonts w:ascii="Arial" w:cs="Arial" w:eastAsia="Arial" w:hAnsi="Arial"/>
                <w:sz w:val="20"/>
                <w:szCs w:val="20"/>
                <w:color w:val="auto"/>
                <w:w w:val="88"/>
              </w:rPr>
              <w:t>Services</w:t>
            </w:r>
          </w:p>
        </w:tc>
        <w:tc>
          <w:tcPr>
            <w:tcW w:w="32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441"/>
              <w:spacing w:after="0"/>
              <w:rPr>
                <w:sz w:val="20"/>
                <w:szCs w:val="20"/>
                <w:color w:val="auto"/>
              </w:rPr>
            </w:pPr>
            <w:r>
              <w:rPr>
                <w:rFonts w:ascii="Arial" w:cs="Arial" w:eastAsia="Arial" w:hAnsi="Arial"/>
                <w:sz w:val="20"/>
                <w:szCs w:val="20"/>
                <w:color w:val="auto"/>
              </w:rPr>
              <w:t>Freight</w:t>
            </w: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Total</w:t>
            </w:r>
          </w:p>
        </w:tc>
      </w:tr>
      <w:tr>
        <w:trPr>
          <w:trHeight w:val="237"/>
        </w:trPr>
        <w:tc>
          <w:tcPr>
            <w:tcW w:w="20" w:type="dxa"/>
            <w:vAlign w:val="bottom"/>
          </w:tcPr>
          <w:p>
            <w:pPr>
              <w:spacing w:after="0"/>
              <w:rPr>
                <w:sz w:val="20"/>
                <w:szCs w:val="20"/>
                <w:color w:val="auto"/>
              </w:rPr>
            </w:pPr>
          </w:p>
        </w:tc>
        <w:tc>
          <w:tcPr>
            <w:tcW w:w="436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Mid-America Group</w:t>
            </w:r>
          </w:p>
        </w:tc>
        <w:tc>
          <w:tcPr>
            <w:tcW w:w="19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20"/>
                <w:szCs w:val="20"/>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734,406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53,984</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61"/>
              <w:spacing w:after="0"/>
              <w:rPr>
                <w:sz w:val="20"/>
                <w:szCs w:val="20"/>
                <w:color w:val="auto"/>
              </w:rPr>
            </w:pPr>
            <w:r>
              <w:rPr>
                <w:rFonts w:ascii="Arial" w:cs="Arial" w:eastAsia="Arial" w:hAnsi="Arial"/>
                <w:sz w:val="20"/>
                <w:szCs w:val="20"/>
                <w:color w:val="auto"/>
                <w:w w:val="71"/>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788,390</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20"/>
                <w:szCs w:val="20"/>
                <w:color w:val="auto"/>
              </w:rPr>
              <w:t>Southeast Group</w:t>
            </w:r>
          </w:p>
        </w:tc>
        <w:tc>
          <w:tcPr>
            <w:tcW w:w="17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266,690</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10,784</w:t>
            </w:r>
          </w:p>
        </w:tc>
        <w:tc>
          <w:tcPr>
            <w:tcW w:w="1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277,474</w:t>
            </w:r>
          </w:p>
        </w:tc>
        <w:tc>
          <w:tcPr>
            <w:tcW w:w="100" w:type="dxa"/>
            <w:vAlign w:val="bottom"/>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3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West Group</w:t>
            </w: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1,620,632</w:t>
            </w:r>
          </w:p>
        </w:tc>
        <w:tc>
          <w:tcPr>
            <w:tcW w:w="12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106,110</w:t>
            </w:r>
          </w:p>
        </w:tc>
        <w:tc>
          <w:tcPr>
            <w:tcW w:w="12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1,726,742</w:t>
            </w:r>
          </w:p>
        </w:tc>
        <w:tc>
          <w:tcPr>
            <w:tcW w:w="100" w:type="dxa"/>
            <w:vAlign w:val="bottom"/>
            <w:tcBorders>
              <w:bottom w:val="single" w:sz="8" w:color="CFF0FC"/>
            </w:tcBorders>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360" w:type="dxa"/>
            <w:vAlign w:val="bottom"/>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1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2,621,728</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170,878</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2,792,606</w:t>
            </w:r>
          </w:p>
        </w:tc>
        <w:tc>
          <w:tcPr>
            <w:tcW w:w="100" w:type="dxa"/>
            <w:vAlign w:val="bottom"/>
            <w:shd w:val="clear" w:color="auto" w:fill="CFF0FC"/>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3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Magnesia Specialties</w:t>
            </w: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189,918</w:t>
            </w:r>
          </w:p>
        </w:tc>
        <w:tc>
          <w:tcPr>
            <w:tcW w:w="12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12,592</w:t>
            </w:r>
          </w:p>
        </w:tc>
        <w:tc>
          <w:tcPr>
            <w:tcW w:w="12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202,510</w:t>
            </w:r>
          </w:p>
        </w:tc>
        <w:tc>
          <w:tcPr>
            <w:tcW w:w="100" w:type="dxa"/>
            <w:vAlign w:val="bottom"/>
            <w:tcBorders>
              <w:bottom w:val="single" w:sz="8" w:color="CFF0FC"/>
            </w:tcBorders>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190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2,811,646</w:t>
            </w: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183,470</w:t>
            </w: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61"/>
              <w:spacing w:after="0"/>
              <w:rPr>
                <w:sz w:val="20"/>
                <w:szCs w:val="20"/>
                <w:color w:val="auto"/>
              </w:rPr>
            </w:pPr>
            <w:r>
              <w:rPr>
                <w:rFonts w:ascii="Arial" w:cs="Arial" w:eastAsia="Arial" w:hAnsi="Arial"/>
                <w:sz w:val="20"/>
                <w:szCs w:val="20"/>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2,995,116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left="380" w:right="20"/>
        <w:spacing w:after="0" w:line="260" w:lineRule="auto"/>
        <w:rPr>
          <w:sz w:val="20"/>
          <w:szCs w:val="20"/>
          <w:color w:val="auto"/>
        </w:rPr>
      </w:pPr>
      <w:r>
        <w:rPr>
          <w:rFonts w:ascii="Arial" w:cs="Arial" w:eastAsia="Arial" w:hAnsi="Arial"/>
          <w:sz w:val="20"/>
          <w:szCs w:val="20"/>
          <w:color w:val="auto"/>
        </w:rPr>
        <w:t>Services revenues, which include paving operations located in Colorado, were $162,944,000 and $179,553,000 for the nine-months ended September 30, 2018 and 2017, respectively.</w:t>
      </w:r>
    </w:p>
    <w:p>
      <w:pPr>
        <w:spacing w:after="0" w:line="69" w:lineRule="exact"/>
        <w:rPr>
          <w:sz w:val="20"/>
          <w:szCs w:val="20"/>
          <w:color w:val="auto"/>
        </w:rPr>
      </w:pPr>
    </w:p>
    <w:p>
      <w:pPr>
        <w:jc w:val="both"/>
        <w:ind w:left="380"/>
        <w:spacing w:after="0" w:line="243" w:lineRule="auto"/>
        <w:rPr>
          <w:sz w:val="20"/>
          <w:szCs w:val="20"/>
          <w:color w:val="auto"/>
        </w:rPr>
      </w:pPr>
      <w:r>
        <w:rPr>
          <w:rFonts w:ascii="Arial" w:cs="Arial" w:eastAsia="Arial" w:hAnsi="Arial"/>
          <w:sz w:val="20"/>
          <w:szCs w:val="20"/>
          <w:b w:val="1"/>
          <w:bCs w:val="1"/>
          <w:i w:val="1"/>
          <w:iCs w:val="1"/>
          <w:color w:val="auto"/>
        </w:rPr>
        <w:t xml:space="preserve">Contract Balances. </w:t>
      </w:r>
      <w:r>
        <w:rPr>
          <w:rFonts w:ascii="Arial" w:cs="Arial" w:eastAsia="Arial" w:hAnsi="Arial"/>
          <w:sz w:val="20"/>
          <w:szCs w:val="20"/>
          <w:color w:val="auto"/>
        </w:rPr>
        <w:t>Costs in excess of billings relate to the conditional right to consideration for completed contractual performance and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are contract assets on the consolidated balance sheets. Costs in excess of billings are reclassified to accounts receivable when the right to consideration becomes unconditional. Billings in excess of costs relate to customers invoiced in advance of contractual performance and are contract liabilities on the consolidated balance sheets. The following table presents information about the Company’s contract balances:</w:t>
      </w: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520" w:type="dxa"/>
            <w:vAlign w:val="bottom"/>
            <w:gridSpan w:val="2"/>
          </w:tcPr>
          <w:p>
            <w:pPr>
              <w:ind w:left="60"/>
              <w:spacing w:after="0" w:line="227" w:lineRule="exact"/>
              <w:rPr>
                <w:sz w:val="20"/>
                <w:szCs w:val="20"/>
                <w:color w:val="auto"/>
              </w:rPr>
            </w:pPr>
            <w:r>
              <w:rPr>
                <w:rFonts w:ascii="Arial" w:cs="Arial" w:eastAsia="Arial" w:hAnsi="Arial"/>
                <w:sz w:val="20"/>
                <w:szCs w:val="20"/>
                <w:color w:val="auto"/>
              </w:rPr>
              <w:t>September 30,</w:t>
            </w: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ind w:left="60"/>
              <w:spacing w:after="0" w:line="227" w:lineRule="exact"/>
              <w:rPr>
                <w:sz w:val="20"/>
                <w:szCs w:val="20"/>
                <w:color w:val="auto"/>
              </w:rPr>
            </w:pPr>
            <w:r>
              <w:rPr>
                <w:rFonts w:ascii="Arial" w:cs="Arial" w:eastAsia="Arial" w:hAnsi="Arial"/>
                <w:sz w:val="20"/>
                <w:szCs w:val="20"/>
                <w:color w:val="auto"/>
              </w:rPr>
              <w:t>September 30,</w:t>
            </w:r>
          </w:p>
        </w:tc>
      </w:tr>
      <w:tr>
        <w:trPr>
          <w:trHeight w:val="246"/>
        </w:trPr>
        <w:tc>
          <w:tcPr>
            <w:tcW w:w="4140" w:type="dxa"/>
            <w:vAlign w:val="bottom"/>
            <w:gridSpan w:val="2"/>
          </w:tcPr>
          <w:p>
            <w:pPr>
              <w:spacing w:after="0"/>
              <w:rPr>
                <w:sz w:val="20"/>
                <w:szCs w:val="20"/>
                <w:color w:val="auto"/>
              </w:rPr>
            </w:pPr>
            <w:r>
              <w:rPr>
                <w:rFonts w:ascii="Arial" w:cs="Arial" w:eastAsia="Arial" w:hAnsi="Arial"/>
                <w:sz w:val="20"/>
                <w:szCs w:val="20"/>
                <w:i w:val="1"/>
                <w:iCs w:val="1"/>
                <w:color w:val="auto"/>
              </w:rPr>
              <w:t>(Dollars in Thousands)</w:t>
            </w:r>
          </w:p>
        </w:tc>
        <w:tc>
          <w:tcPr>
            <w:tcW w:w="2220" w:type="dxa"/>
            <w:vAlign w:val="bottom"/>
          </w:tcPr>
          <w:p>
            <w:pPr>
              <w:spacing w:after="0"/>
              <w:rPr>
                <w:sz w:val="21"/>
                <w:szCs w:val="21"/>
                <w:color w:val="auto"/>
              </w:rPr>
            </w:pPr>
          </w:p>
        </w:tc>
        <w:tc>
          <w:tcPr>
            <w:tcW w:w="1420" w:type="dxa"/>
            <w:vAlign w:val="bottom"/>
          </w:tcPr>
          <w:p>
            <w:pPr>
              <w:jc w:val="right"/>
              <w:ind w:right="501"/>
              <w:spacing w:after="0"/>
              <w:rPr>
                <w:sz w:val="20"/>
                <w:szCs w:val="20"/>
                <w:color w:val="auto"/>
              </w:rPr>
            </w:pPr>
            <w:r>
              <w:rPr>
                <w:rFonts w:ascii="Arial" w:cs="Arial" w:eastAsia="Arial" w:hAnsi="Arial"/>
                <w:sz w:val="20"/>
                <w:szCs w:val="20"/>
                <w:color w:val="auto"/>
              </w:rPr>
              <w:t>2018</w:t>
            </w:r>
          </w:p>
        </w:tc>
        <w:tc>
          <w:tcPr>
            <w:tcW w:w="100" w:type="dxa"/>
            <w:vAlign w:val="bottom"/>
          </w:tcPr>
          <w:p>
            <w:pPr>
              <w:spacing w:after="0"/>
              <w:rPr>
                <w:sz w:val="21"/>
                <w:szCs w:val="21"/>
                <w:color w:val="auto"/>
              </w:rPr>
            </w:pPr>
          </w:p>
        </w:tc>
        <w:tc>
          <w:tcPr>
            <w:tcW w:w="1740" w:type="dxa"/>
            <w:vAlign w:val="bottom"/>
            <w:gridSpan w:val="2"/>
          </w:tcPr>
          <w:p>
            <w:pPr>
              <w:jc w:val="right"/>
              <w:ind w:right="1"/>
              <w:spacing w:after="0"/>
              <w:rPr>
                <w:sz w:val="20"/>
                <w:szCs w:val="20"/>
                <w:color w:val="auto"/>
              </w:rPr>
            </w:pPr>
            <w:r>
              <w:rPr>
                <w:rFonts w:ascii="Arial" w:cs="Arial" w:eastAsia="Arial" w:hAnsi="Arial"/>
                <w:sz w:val="20"/>
                <w:szCs w:val="20"/>
                <w:color w:val="auto"/>
                <w:w w:val="92"/>
              </w:rPr>
              <w:t>December 31, 2017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501"/>
              <w:spacing w:after="0"/>
              <w:rPr>
                <w:sz w:val="20"/>
                <w:szCs w:val="20"/>
                <w:color w:val="auto"/>
              </w:rPr>
            </w:pPr>
            <w:r>
              <w:rPr>
                <w:rFonts w:ascii="Arial" w:cs="Arial" w:eastAsia="Arial" w:hAnsi="Arial"/>
                <w:sz w:val="20"/>
                <w:szCs w:val="20"/>
                <w:color w:val="auto"/>
              </w:rPr>
              <w:t>2017</w:t>
            </w:r>
          </w:p>
        </w:tc>
        <w:tc>
          <w:tcPr>
            <w:tcW w:w="12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12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Costs in excess of billings</w:t>
            </w:r>
          </w:p>
        </w:tc>
        <w:tc>
          <w:tcPr>
            <w:tcW w:w="22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5,581</w:t>
            </w:r>
          </w:p>
        </w:tc>
        <w:tc>
          <w:tcPr>
            <w:tcW w:w="100" w:type="dxa"/>
            <w:vAlign w:val="bottom"/>
          </w:tcPr>
          <w:p>
            <w:pPr>
              <w:spacing w:after="0"/>
              <w:rPr>
                <w:sz w:val="20"/>
                <w:szCs w:val="20"/>
                <w:color w:val="auto"/>
              </w:rPr>
            </w:pPr>
          </w:p>
        </w:tc>
        <w:tc>
          <w:tcPr>
            <w:tcW w:w="700" w:type="dxa"/>
            <w:vAlign w:val="bottom"/>
            <w:tcBorders>
              <w:top w:val="single" w:sz="8" w:color="auto"/>
            </w:tcBorders>
          </w:tcPr>
          <w:p>
            <w:pPr>
              <w:jc w:val="right"/>
              <w:ind w:right="501"/>
              <w:spacing w:after="0"/>
              <w:rPr>
                <w:sz w:val="20"/>
                <w:szCs w:val="20"/>
                <w:color w:val="auto"/>
              </w:rPr>
            </w:pPr>
            <w:r>
              <w:rPr>
                <w:rFonts w:ascii="Arial" w:cs="Arial" w:eastAsia="Arial" w:hAnsi="Arial"/>
                <w:sz w:val="20"/>
                <w:szCs w:val="20"/>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1,310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8,727</w:t>
            </w:r>
          </w:p>
        </w:tc>
        <w:tc>
          <w:tcPr>
            <w:tcW w:w="12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20"/>
                <w:szCs w:val="20"/>
                <w:color w:val="auto"/>
              </w:rPr>
              <w:t>Billings in excess of costs</w:t>
            </w:r>
          </w:p>
        </w:tc>
        <w:tc>
          <w:tcPr>
            <w:tcW w:w="2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9,111</w:t>
            </w:r>
          </w:p>
        </w:tc>
        <w:tc>
          <w:tcPr>
            <w:tcW w:w="10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501"/>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7,204</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5,981</w:t>
            </w:r>
          </w:p>
        </w:tc>
        <w:tc>
          <w:tcPr>
            <w:tcW w:w="120" w:type="dxa"/>
            <w:vAlign w:val="bottom"/>
            <w:shd w:val="clear" w:color="auto" w:fill="CFF0FC"/>
          </w:tcPr>
          <w:p>
            <w:pPr>
              <w:spacing w:after="0"/>
              <w:rPr>
                <w:sz w:val="21"/>
                <w:szCs w:val="21"/>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17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2018</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80"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Revenue Recognition (continued)</w:t>
      </w:r>
    </w:p>
    <w:p>
      <w:pPr>
        <w:spacing w:after="0" w:line="113" w:lineRule="exact"/>
        <w:rPr>
          <w:rFonts w:ascii="Arial" w:cs="Arial" w:eastAsia="Arial" w:hAnsi="Arial"/>
          <w:sz w:val="20"/>
          <w:szCs w:val="20"/>
          <w:b w:val="1"/>
          <w:bCs w:val="1"/>
          <w:color w:val="auto"/>
        </w:rPr>
      </w:pPr>
    </w:p>
    <w:p>
      <w:pPr>
        <w:jc w:val="both"/>
        <w:ind w:left="38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Revenues recognized from the beginning balance of contract liabilities for the three-months ended September 30, 2018 and 2017 were $6,203,000 and $4,439,000, respectively, and for the nine-months ended September 30, 2018 and 2017 were $6,816,000 and $8,231,000, respectively.</w:t>
      </w:r>
    </w:p>
    <w:p>
      <w:pPr>
        <w:spacing w:after="0" w:line="78" w:lineRule="exact"/>
        <w:rPr>
          <w:rFonts w:ascii="Arial" w:cs="Arial" w:eastAsia="Arial" w:hAnsi="Arial"/>
          <w:sz w:val="20"/>
          <w:szCs w:val="20"/>
          <w:b w:val="1"/>
          <w:bCs w:val="1"/>
          <w:color w:val="auto"/>
        </w:rPr>
      </w:pPr>
    </w:p>
    <w:p>
      <w:pPr>
        <w:jc w:val="both"/>
        <w:ind w:left="380"/>
        <w:spacing w:after="0" w:line="291" w:lineRule="auto"/>
        <w:rPr>
          <w:rFonts w:ascii="Arial" w:cs="Arial" w:eastAsia="Arial" w:hAnsi="Arial"/>
          <w:sz w:val="20"/>
          <w:szCs w:val="20"/>
          <w:b w:val="1"/>
          <w:bCs w:val="1"/>
          <w:color w:val="auto"/>
        </w:rPr>
      </w:pPr>
      <w:r>
        <w:rPr>
          <w:rFonts w:ascii="Arial" w:cs="Arial" w:eastAsia="Arial" w:hAnsi="Arial"/>
          <w:sz w:val="18"/>
          <w:szCs w:val="18"/>
          <w:color w:val="auto"/>
        </w:rPr>
        <w:t>Retainage, which primarily relates to the paving services, represents amounts that have been billed to customers but payment withheld until final acceptance of the performance obligation by the customer. Included on the Company’s consolidated balance sheets, retainage was $8,733,000, $9,029,000 and $7,680,000 at September 30, 2018, December 31, 2017 and September 30, 2017, respectively.</w:t>
      </w:r>
    </w:p>
    <w:p>
      <w:pPr>
        <w:spacing w:after="0" w:line="43" w:lineRule="exact"/>
        <w:rPr>
          <w:rFonts w:ascii="Arial" w:cs="Arial" w:eastAsia="Arial" w:hAnsi="Arial"/>
          <w:sz w:val="20"/>
          <w:szCs w:val="20"/>
          <w:b w:val="1"/>
          <w:bCs w:val="1"/>
          <w:color w:val="auto"/>
        </w:rPr>
      </w:pPr>
    </w:p>
    <w:p>
      <w:pPr>
        <w:jc w:val="both"/>
        <w:ind w:left="380"/>
        <w:spacing w:after="0" w:line="321" w:lineRule="auto"/>
        <w:rPr>
          <w:rFonts w:ascii="Arial" w:cs="Arial" w:eastAsia="Arial" w:hAnsi="Arial"/>
          <w:sz w:val="20"/>
          <w:szCs w:val="20"/>
          <w:b w:val="1"/>
          <w:bCs w:val="1"/>
          <w:color w:val="auto"/>
        </w:rPr>
      </w:pPr>
      <w:r>
        <w:rPr>
          <w:rFonts w:ascii="Arial" w:cs="Arial" w:eastAsia="Arial" w:hAnsi="Arial"/>
          <w:sz w:val="16"/>
          <w:szCs w:val="16"/>
          <w:b w:val="1"/>
          <w:bCs w:val="1"/>
          <w:i w:val="1"/>
          <w:iCs w:val="1"/>
          <w:color w:val="auto"/>
        </w:rPr>
        <w:t xml:space="preserve">Warranties. </w:t>
      </w:r>
      <w:r>
        <w:rPr>
          <w:rFonts w:ascii="Arial" w:cs="Arial" w:eastAsia="Arial" w:hAnsi="Arial"/>
          <w:sz w:val="16"/>
          <w:szCs w:val="16"/>
          <w:color w:val="auto"/>
        </w:rPr>
        <w:t>The Company’s construction contracts generally contain warranty provisions typically for a period of nine months to one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after project completion and cover materials, design or workmanship defects. Historically, the Company has not experienced material costs for warranties. The ready mixed concrete product line carries longer warranty periods, for which the Company has accrued an estimate of warranty cost based on experience with the type of work and any known risks relative to the project. In total, warranty costs were not material to the Company’s consolidated results of operations for the three- and nine-months ended September 30, 2018 and 2017.</w:t>
      </w:r>
    </w:p>
    <w:p>
      <w:pPr>
        <w:spacing w:after="0" w:line="25" w:lineRule="exact"/>
        <w:rPr>
          <w:rFonts w:ascii="Arial" w:cs="Arial" w:eastAsia="Arial" w:hAnsi="Arial"/>
          <w:sz w:val="20"/>
          <w:szCs w:val="20"/>
          <w:b w:val="1"/>
          <w:bCs w:val="1"/>
          <w:color w:val="auto"/>
        </w:rPr>
      </w:pPr>
    </w:p>
    <w:p>
      <w:pPr>
        <w:jc w:val="both"/>
        <w:ind w:left="380"/>
        <w:spacing w:after="0" w:line="246" w:lineRule="auto"/>
        <w:rPr>
          <w:rFonts w:ascii="Arial" w:cs="Arial" w:eastAsia="Arial" w:hAnsi="Arial"/>
          <w:sz w:val="20"/>
          <w:szCs w:val="20"/>
          <w:b w:val="1"/>
          <w:bCs w:val="1"/>
          <w:color w:val="auto"/>
        </w:rPr>
      </w:pPr>
      <w:r>
        <w:rPr>
          <w:rFonts w:ascii="Arial" w:cs="Arial" w:eastAsia="Arial" w:hAnsi="Arial"/>
          <w:sz w:val="20"/>
          <w:szCs w:val="20"/>
          <w:b w:val="1"/>
          <w:bCs w:val="1"/>
          <w:i w:val="1"/>
          <w:iCs w:val="1"/>
          <w:color w:val="auto"/>
        </w:rPr>
        <w:t xml:space="preserve">Policy Elections. </w:t>
      </w:r>
      <w:r>
        <w:rPr>
          <w:rFonts w:ascii="Arial" w:cs="Arial" w:eastAsia="Arial" w:hAnsi="Arial"/>
          <w:sz w:val="20"/>
          <w:szCs w:val="20"/>
          <w:color w:val="auto"/>
        </w:rPr>
        <w:t>When the Company arranges third party freight to deliver products to customers, the Company has elected the delivery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to be a fulfillment activity rather than a separate performance obligation. Further, the Company acts as a principal in the delivery arrangements and, as required by the accounting standard, the related revenues and costs are presented gross and are included in the consolidated statements of earnings.</w:t>
      </w:r>
    </w:p>
    <w:p>
      <w:pPr>
        <w:spacing w:after="0" w:line="185" w:lineRule="exact"/>
        <w:rPr>
          <w:rFonts w:ascii="Arial" w:cs="Arial" w:eastAsia="Arial" w:hAnsi="Arial"/>
          <w:sz w:val="20"/>
          <w:szCs w:val="20"/>
          <w:b w:val="1"/>
          <w:bCs w:val="1"/>
          <w:color w:val="auto"/>
        </w:rPr>
      </w:pPr>
    </w:p>
    <w:p>
      <w:pPr>
        <w:ind w:left="380" w:hanging="372"/>
        <w:spacing w:after="0"/>
        <w:tabs>
          <w:tab w:leader="none" w:pos="38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Business Combination</w:t>
      </w:r>
    </w:p>
    <w:p>
      <w:pPr>
        <w:spacing w:after="0" w:line="113" w:lineRule="exact"/>
        <w:rPr>
          <w:rFonts w:ascii="Arial" w:cs="Arial" w:eastAsia="Arial" w:hAnsi="Arial"/>
          <w:sz w:val="20"/>
          <w:szCs w:val="20"/>
          <w:b w:val="1"/>
          <w:bCs w:val="1"/>
          <w:color w:val="auto"/>
        </w:rPr>
      </w:pPr>
    </w:p>
    <w:p>
      <w:pPr>
        <w:jc w:val="both"/>
        <w:ind w:left="380"/>
        <w:spacing w:after="0" w:line="255" w:lineRule="auto"/>
        <w:rPr>
          <w:rFonts w:ascii="Arial" w:cs="Arial" w:eastAsia="Arial" w:hAnsi="Arial"/>
          <w:sz w:val="20"/>
          <w:szCs w:val="20"/>
          <w:b w:val="1"/>
          <w:bCs w:val="1"/>
          <w:color w:val="auto"/>
        </w:rPr>
      </w:pPr>
      <w:r>
        <w:rPr>
          <w:rFonts w:ascii="Arial" w:cs="Arial" w:eastAsia="Arial" w:hAnsi="Arial"/>
          <w:sz w:val="19"/>
          <w:szCs w:val="19"/>
          <w:color w:val="auto"/>
        </w:rPr>
        <w:t>On April 27, 2018, the Company successfully completed its acquisition of Bluegrass Materials Company (Bluegrass), the largest privately-held, pure-play aggregates company in the United States. The final purchase price was $1,617,357,000, inclusive of the working capital true up. Bluegrass’ operations include 23 active sites with more than 125 years of reserves, collectively, in Georgia, South Carolina, Tennessee, Maryland, Kentucky and Pennsylvania. These operations complement the Company’s existing southeastern footprint in its Mid-America and Southeast Groups and provide new growth platforms within Maryland and Kentucky. The Company reached an agreement with the U.S. Department of Justice (DOJ), approved by the federal district court for the District of Columbia, which resolved all competition issues with respect to the acquisition. Under the terms of the agreement with the DOJ, Martin Marietta divested its heritage Forsyth aggregates quarry north of Atlanta, Georgia, and the legacy Bluegrass Beaver Creek aggregates quarry in western Maryland. In connection with the sale of its Forsyth quarry, the Company recognized a pretax gain of $14,785,000, which is included in acquisition-related expenses, net, in the consolidated statements of earnings and comprehensive earnings. There was no gain or loss on the Beaver Creek divestiture.</w:t>
      </w:r>
    </w:p>
    <w:p>
      <w:pPr>
        <w:spacing w:after="0" w:line="79" w:lineRule="exact"/>
        <w:rPr>
          <w:rFonts w:ascii="Arial" w:cs="Arial" w:eastAsia="Arial" w:hAnsi="Arial"/>
          <w:sz w:val="20"/>
          <w:szCs w:val="20"/>
          <w:b w:val="1"/>
          <w:bCs w:val="1"/>
          <w:color w:val="auto"/>
        </w:rPr>
      </w:pPr>
    </w:p>
    <w:p>
      <w:pPr>
        <w:jc w:val="both"/>
        <w:ind w:left="38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The Bluegrass acquisition was a stock transaction wherein the Company acquired 100% of the voting interest of the owners. The Company acquired accounts receivable; inventories; property, plant and equipment, which primarily consists of mineral reserves; intangible assets; prepaid and other assets; and assumed accounts payable; accrued liabilities and deferred tax liabilities, net. The Company did not assume any of Bluegrass’ outstanding debt.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18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2018</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80" w:lineRule="exact"/>
        <w:rPr>
          <w:sz w:val="20"/>
          <w:szCs w:val="20"/>
          <w:color w:val="auto"/>
        </w:rPr>
      </w:pPr>
    </w:p>
    <w:p>
      <w:pPr>
        <w:ind w:left="380" w:hanging="372"/>
        <w:spacing w:after="0"/>
        <w:tabs>
          <w:tab w:leader="none" w:pos="38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Business Combination (continued)</w:t>
      </w:r>
    </w:p>
    <w:p>
      <w:pPr>
        <w:spacing w:after="0" w:line="113" w:lineRule="exact"/>
        <w:rPr>
          <w:rFonts w:ascii="Arial" w:cs="Arial" w:eastAsia="Arial" w:hAnsi="Arial"/>
          <w:sz w:val="20"/>
          <w:szCs w:val="20"/>
          <w:b w:val="1"/>
          <w:bCs w:val="1"/>
          <w:color w:val="auto"/>
        </w:rPr>
      </w:pPr>
    </w:p>
    <w:p>
      <w:pPr>
        <w:jc w:val="both"/>
        <w:ind w:left="380"/>
        <w:spacing w:after="0" w:line="258" w:lineRule="auto"/>
        <w:rPr>
          <w:rFonts w:ascii="Arial" w:cs="Arial" w:eastAsia="Arial" w:hAnsi="Arial"/>
          <w:sz w:val="20"/>
          <w:szCs w:val="20"/>
          <w:b w:val="1"/>
          <w:bCs w:val="1"/>
          <w:color w:val="auto"/>
        </w:rPr>
      </w:pPr>
      <w:r>
        <w:rPr>
          <w:rFonts w:ascii="Arial" w:cs="Arial" w:eastAsia="Arial" w:hAnsi="Arial"/>
          <w:sz w:val="19"/>
          <w:szCs w:val="19"/>
          <w:color w:val="auto"/>
        </w:rPr>
        <w:t>The Company has determined preliminary fair values of the assets acquired and liabilities assumed. Although initial accounting for the business combination has been recorded, these amounts are subject to change during the measurement period which extends no longer than one year from consummation date based on additional reviews, such as asset verification and completion of deferred tax estimates based on the determination of the historic tax basis in assets acquired. Specific accounts subject to ongoing purchase accounting adjustments include, but are not limited to, property, plant and equipment; goodwill; and deferred income tax liabilities. Therefore, the measurement period remains open as of September 30, 2018. The following is a summary of the estimated fair values of the assets acquired and the liabilities assumed (dollars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200" w:type="dxa"/>
            <w:vAlign w:val="bottom"/>
            <w:gridSpan w:val="2"/>
          </w:tcPr>
          <w:p>
            <w:pPr>
              <w:spacing w:after="0"/>
              <w:rPr>
                <w:sz w:val="20"/>
                <w:szCs w:val="20"/>
                <w:color w:val="auto"/>
              </w:rPr>
            </w:pPr>
            <w:r>
              <w:rPr>
                <w:rFonts w:ascii="Arial" w:cs="Arial" w:eastAsia="Arial" w:hAnsi="Arial"/>
                <w:sz w:val="20"/>
                <w:szCs w:val="20"/>
                <w:color w:val="auto"/>
              </w:rPr>
              <w:t>Assets:</w:t>
            </w:r>
          </w:p>
        </w:tc>
        <w:tc>
          <w:tcPr>
            <w:tcW w:w="7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1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Cash</w:t>
            </w:r>
          </w:p>
        </w:tc>
        <w:tc>
          <w:tcPr>
            <w:tcW w:w="700" w:type="dxa"/>
            <w:vAlign w:val="bottom"/>
            <w:shd w:val="clear" w:color="auto" w:fill="CFF0FC"/>
          </w:tcPr>
          <w:p>
            <w:pPr>
              <w:jc w:val="right"/>
              <w:ind w:right="501"/>
              <w:spacing w:after="0"/>
              <w:rPr>
                <w:sz w:val="20"/>
                <w:szCs w:val="20"/>
                <w:color w:val="auto"/>
              </w:rPr>
            </w:pPr>
            <w:r>
              <w:rPr>
                <w:rFonts w:ascii="Arial" w:cs="Arial" w:eastAsia="Arial" w:hAnsi="Arial"/>
                <w:sz w:val="20"/>
                <w:szCs w:val="20"/>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1,159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180" w:type="dxa"/>
            <w:vAlign w:val="bottom"/>
          </w:tcPr>
          <w:p>
            <w:pPr>
              <w:ind w:left="240"/>
              <w:spacing w:after="0"/>
              <w:rPr>
                <w:sz w:val="20"/>
                <w:szCs w:val="20"/>
                <w:color w:val="auto"/>
              </w:rPr>
            </w:pPr>
            <w:r>
              <w:rPr>
                <w:rFonts w:ascii="Arial" w:cs="Arial" w:eastAsia="Arial" w:hAnsi="Arial"/>
                <w:sz w:val="20"/>
                <w:szCs w:val="20"/>
                <w:color w:val="auto"/>
              </w:rPr>
              <w:t>Receivables</w:t>
            </w:r>
          </w:p>
        </w:tc>
        <w:tc>
          <w:tcPr>
            <w:tcW w:w="7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25,479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1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Inventory</w:t>
            </w:r>
          </w:p>
        </w:tc>
        <w:tc>
          <w:tcPr>
            <w:tcW w:w="7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46,156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180" w:type="dxa"/>
            <w:vAlign w:val="bottom"/>
          </w:tcPr>
          <w:p>
            <w:pPr>
              <w:ind w:left="240"/>
              <w:spacing w:after="0"/>
              <w:rPr>
                <w:sz w:val="20"/>
                <w:szCs w:val="20"/>
                <w:color w:val="auto"/>
              </w:rPr>
            </w:pPr>
            <w:r>
              <w:rPr>
                <w:rFonts w:ascii="Arial" w:cs="Arial" w:eastAsia="Arial" w:hAnsi="Arial"/>
                <w:sz w:val="20"/>
                <w:szCs w:val="20"/>
                <w:color w:val="auto"/>
              </w:rPr>
              <w:t>Other current assets</w:t>
            </w:r>
          </w:p>
        </w:tc>
        <w:tc>
          <w:tcPr>
            <w:tcW w:w="7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1,029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1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Property, plant and equipment</w:t>
            </w:r>
          </w:p>
        </w:tc>
        <w:tc>
          <w:tcPr>
            <w:tcW w:w="7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1,522,386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180" w:type="dxa"/>
            <w:vAlign w:val="bottom"/>
          </w:tcPr>
          <w:p>
            <w:pPr>
              <w:ind w:left="240"/>
              <w:spacing w:after="0"/>
              <w:rPr>
                <w:sz w:val="20"/>
                <w:szCs w:val="20"/>
                <w:color w:val="auto"/>
              </w:rPr>
            </w:pPr>
            <w:r>
              <w:rPr>
                <w:rFonts w:ascii="Arial" w:cs="Arial" w:eastAsia="Arial" w:hAnsi="Arial"/>
                <w:sz w:val="20"/>
                <w:szCs w:val="20"/>
                <w:color w:val="auto"/>
              </w:rPr>
              <w:t>Intangible assets, other than goodwill</w:t>
            </w:r>
          </w:p>
        </w:tc>
        <w:tc>
          <w:tcPr>
            <w:tcW w:w="7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19,125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1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Goodwill</w:t>
            </w:r>
          </w:p>
        </w:tc>
        <w:tc>
          <w:tcPr>
            <w:tcW w:w="70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239,360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9200" w:type="dxa"/>
            <w:vAlign w:val="bottom"/>
            <w:gridSpan w:val="2"/>
          </w:tcPr>
          <w:p>
            <w:pPr>
              <w:spacing w:after="0"/>
              <w:rPr>
                <w:sz w:val="20"/>
                <w:szCs w:val="20"/>
                <w:color w:val="auto"/>
              </w:rPr>
            </w:pPr>
            <w:r>
              <w:rPr>
                <w:rFonts w:ascii="Arial" w:cs="Arial" w:eastAsia="Arial" w:hAnsi="Arial"/>
                <w:sz w:val="20"/>
                <w:szCs w:val="20"/>
                <w:color w:val="auto"/>
              </w:rPr>
              <w:t>Total assets</w:t>
            </w:r>
          </w:p>
        </w:tc>
        <w:tc>
          <w:tcPr>
            <w:tcW w:w="7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1,854,694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9"/>
        </w:trPr>
        <w:tc>
          <w:tcPr>
            <w:tcW w:w="9200" w:type="dxa"/>
            <w:vAlign w:val="bottom"/>
            <w:gridSpan w:val="2"/>
          </w:tcPr>
          <w:p>
            <w:pPr>
              <w:spacing w:after="0"/>
              <w:rPr>
                <w:sz w:val="20"/>
                <w:szCs w:val="20"/>
                <w:color w:val="auto"/>
              </w:rPr>
            </w:pPr>
            <w:r>
              <w:rPr>
                <w:rFonts w:ascii="Arial" w:cs="Arial" w:eastAsia="Arial" w:hAnsi="Arial"/>
                <w:sz w:val="20"/>
                <w:szCs w:val="20"/>
                <w:color w:val="auto"/>
              </w:rPr>
              <w:t>Liabilities:</w:t>
            </w: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1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Accounts payable and accrued expenses</w:t>
            </w:r>
          </w:p>
        </w:tc>
        <w:tc>
          <w:tcPr>
            <w:tcW w:w="7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17,893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180" w:type="dxa"/>
            <w:vAlign w:val="bottom"/>
          </w:tcPr>
          <w:p>
            <w:pPr>
              <w:ind w:left="240"/>
              <w:spacing w:after="0"/>
              <w:rPr>
                <w:sz w:val="20"/>
                <w:szCs w:val="20"/>
                <w:color w:val="auto"/>
              </w:rPr>
            </w:pPr>
            <w:r>
              <w:rPr>
                <w:rFonts w:ascii="Arial" w:cs="Arial" w:eastAsia="Arial" w:hAnsi="Arial"/>
                <w:sz w:val="20"/>
                <w:szCs w:val="20"/>
                <w:color w:val="auto"/>
              </w:rPr>
              <w:t>Deferred income tax liabilities, net</w:t>
            </w:r>
          </w:p>
        </w:tc>
        <w:tc>
          <w:tcPr>
            <w:tcW w:w="7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210,443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1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Noncontrolling interest</w:t>
            </w:r>
          </w:p>
        </w:tc>
        <w:tc>
          <w:tcPr>
            <w:tcW w:w="70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9,001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200" w:type="dxa"/>
            <w:vAlign w:val="bottom"/>
            <w:gridSpan w:val="2"/>
          </w:tcPr>
          <w:p>
            <w:pPr>
              <w:spacing w:after="0"/>
              <w:rPr>
                <w:sz w:val="20"/>
                <w:szCs w:val="20"/>
                <w:color w:val="auto"/>
              </w:rPr>
            </w:pPr>
            <w:r>
              <w:rPr>
                <w:rFonts w:ascii="Arial" w:cs="Arial" w:eastAsia="Arial" w:hAnsi="Arial"/>
                <w:sz w:val="20"/>
                <w:szCs w:val="20"/>
                <w:color w:val="auto"/>
              </w:rPr>
              <w:t>Total liabilities</w:t>
            </w:r>
          </w:p>
        </w:tc>
        <w:tc>
          <w:tcPr>
            <w:tcW w:w="7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237,337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91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9180" w:type="dxa"/>
            <w:vAlign w:val="bottom"/>
          </w:tcPr>
          <w:p>
            <w:pPr>
              <w:spacing w:after="0"/>
              <w:rPr>
                <w:sz w:val="20"/>
                <w:szCs w:val="20"/>
                <w:color w:val="auto"/>
              </w:rPr>
            </w:pPr>
            <w:r>
              <w:rPr>
                <w:rFonts w:ascii="Arial" w:cs="Arial" w:eastAsia="Arial" w:hAnsi="Arial"/>
                <w:sz w:val="20"/>
                <w:szCs w:val="20"/>
                <w:color w:val="auto"/>
              </w:rPr>
              <w:t>Total consideration</w:t>
            </w:r>
          </w:p>
        </w:tc>
        <w:tc>
          <w:tcPr>
            <w:tcW w:w="70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1,617,357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3" w:lineRule="exact"/>
        <w:rPr>
          <w:sz w:val="20"/>
          <w:szCs w:val="20"/>
          <w:color w:val="auto"/>
        </w:rPr>
      </w:pPr>
    </w:p>
    <w:p>
      <w:pPr>
        <w:jc w:val="both"/>
        <w:ind w:left="380"/>
        <w:spacing w:after="0" w:line="291" w:lineRule="auto"/>
        <w:rPr>
          <w:sz w:val="20"/>
          <w:szCs w:val="20"/>
          <w:color w:val="auto"/>
        </w:rPr>
      </w:pPr>
      <w:r>
        <w:rPr>
          <w:rFonts w:ascii="Arial" w:cs="Arial" w:eastAsia="Arial" w:hAnsi="Arial"/>
          <w:sz w:val="18"/>
          <w:szCs w:val="18"/>
          <w:color w:val="auto"/>
        </w:rPr>
        <w:t>Goodwill represents the excess purchase price over the fair values of assets operating synergies from the transaction, including expected overhead savings. generated by the transaction will be deductible for income tax purposes.</w:t>
      </w:r>
    </w:p>
    <w:p>
      <w:pPr>
        <w:spacing w:after="0" w:line="20" w:lineRule="exact"/>
        <w:rPr>
          <w:sz w:val="20"/>
          <w:szCs w:val="20"/>
          <w:color w:val="auto"/>
        </w:rPr>
      </w:pPr>
      <w:r>
        <w:rPr>
          <w:sz w:val="20"/>
          <w:szCs w:val="20"/>
          <w:color w:val="auto"/>
        </w:rPr>
        <w:br w:type="column"/>
      </w:r>
    </w:p>
    <w:p>
      <w:pPr>
        <w:jc w:val="right"/>
        <w:spacing w:after="0" w:line="316" w:lineRule="auto"/>
        <w:rPr>
          <w:sz w:val="20"/>
          <w:szCs w:val="20"/>
          <w:color w:val="auto"/>
        </w:rPr>
      </w:pPr>
      <w:r>
        <w:rPr>
          <w:rFonts w:ascii="Arial" w:cs="Arial" w:eastAsia="Arial" w:hAnsi="Arial"/>
          <w:sz w:val="18"/>
          <w:szCs w:val="18"/>
          <w:color w:val="auto"/>
        </w:rPr>
        <w:t>acquired and liabilities assumed and reflects projected It has not yet been determined if any of the goodwill</w:t>
      </w:r>
    </w:p>
    <w:p>
      <w:pPr>
        <w:spacing w:after="0" w:line="251" w:lineRule="exact"/>
        <w:rPr>
          <w:sz w:val="20"/>
          <w:szCs w:val="20"/>
          <w:color w:val="auto"/>
        </w:rPr>
      </w:pPr>
    </w:p>
    <w:p>
      <w:pPr>
        <w:sectPr>
          <w:pgSz w:w="11900" w:h="16838" w:orient="portrait"/>
          <w:cols w:equalWidth="0" w:num="2">
            <w:col w:w="6840" w:space="40"/>
            <w:col w:w="4540"/>
          </w:cols>
          <w:pgMar w:left="240" w:top="121" w:right="239" w:bottom="1440" w:gutter="0" w:footer="0" w:header="0"/>
          <w:type w:val="continuous"/>
        </w:sectPr>
      </w:pPr>
    </w:p>
    <w:p>
      <w:pPr>
        <w:jc w:val="both"/>
        <w:ind w:left="380"/>
        <w:spacing w:after="0" w:line="250" w:lineRule="auto"/>
        <w:rPr>
          <w:sz w:val="20"/>
          <w:szCs w:val="20"/>
          <w:color w:val="auto"/>
        </w:rPr>
      </w:pPr>
      <w:r>
        <w:rPr>
          <w:rFonts w:ascii="Arial" w:cs="Arial" w:eastAsia="Arial" w:hAnsi="Arial"/>
          <w:sz w:val="20"/>
          <w:szCs w:val="20"/>
          <w:color w:val="auto"/>
        </w:rPr>
        <w:t>Total revenues and earnings from operations attributable to acquired operations included in the consolidated earnings statements for the three-months ended September 30, 2018 were $68,656,000 and $11,531,000, respectively, and for the nine-months ended September 30, 2018 were $115,007,000 and $18,276,000, respectively.</w:t>
      </w:r>
    </w:p>
    <w:p>
      <w:pPr>
        <w:spacing w:after="0" w:line="78"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Acquisition-related expenses were $89,000 and $27,710,000 for the three- and nine-months ended September 30, 2018, respectively.</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19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2018</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72" w:lineRule="exact"/>
        <w:rPr>
          <w:sz w:val="20"/>
          <w:szCs w:val="20"/>
          <w:color w:val="auto"/>
        </w:rPr>
      </w:pPr>
    </w:p>
    <w:p>
      <w:pPr>
        <w:ind w:left="380" w:right="7540" w:hanging="372"/>
        <w:spacing w:after="0" w:line="394" w:lineRule="auto"/>
        <w:tabs>
          <w:tab w:leader="none" w:pos="378"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Combination (continued) </w:t>
      </w:r>
      <w:r>
        <w:rPr>
          <w:rFonts w:ascii="Arial" w:cs="Arial" w:eastAsia="Arial" w:hAnsi="Arial"/>
          <w:sz w:val="18"/>
          <w:szCs w:val="18"/>
          <w:u w:val="single" w:color="auto"/>
          <w:color w:val="auto"/>
        </w:rPr>
        <w:t>Unaudited Pro Forma Financial Information</w:t>
      </w:r>
    </w:p>
    <w:p>
      <w:pPr>
        <w:spacing w:after="0" w:line="1" w:lineRule="exact"/>
        <w:rPr>
          <w:rFonts w:ascii="Arial" w:cs="Arial" w:eastAsia="Arial" w:hAnsi="Arial"/>
          <w:sz w:val="18"/>
          <w:szCs w:val="18"/>
          <w:b w:val="1"/>
          <w:bCs w:val="1"/>
          <w:color w:val="auto"/>
        </w:rPr>
      </w:pPr>
    </w:p>
    <w:p>
      <w:pPr>
        <w:jc w:val="both"/>
        <w:ind w:left="380"/>
        <w:spacing w:after="0" w:line="243" w:lineRule="auto"/>
        <w:rPr>
          <w:rFonts w:ascii="Arial" w:cs="Arial" w:eastAsia="Arial" w:hAnsi="Arial"/>
          <w:sz w:val="18"/>
          <w:szCs w:val="18"/>
          <w:b w:val="1"/>
          <w:bCs w:val="1"/>
          <w:color w:val="auto"/>
        </w:rPr>
      </w:pPr>
      <w:r>
        <w:rPr>
          <w:rFonts w:ascii="Arial" w:cs="Arial" w:eastAsia="Arial" w:hAnsi="Arial"/>
          <w:sz w:val="20"/>
          <w:szCs w:val="20"/>
          <w:color w:val="auto"/>
        </w:rPr>
        <w:t>The unaudited pro forma financial information in the table below summarizes the combined results of operations for the Company and Bluegrass as though the companies were combined as of January 1, 2017. Financial information for periods prior to the April 27, 2018 acquisition date included in the pro forma earnings does not reflect any cost savings or associated costs to achieve such savings from operating efficiencies or synergies that result from the combination. Consistent with the assumed acquisition date of January 1, 2017, the pro forma financial results for the nine-months ended September 30, 2017 include acquisition-related expenses of $27,710,000, the $14,785,000 gain on the required divestiture of assets and the one-time $19,893,000 increase in cost of sales for the sale of acquired inventory.</w:t>
      </w:r>
    </w:p>
    <w:p>
      <w:pPr>
        <w:spacing w:after="0" w:line="85" w:lineRule="exact"/>
        <w:rPr>
          <w:sz w:val="20"/>
          <w:szCs w:val="20"/>
          <w:color w:val="auto"/>
        </w:rPr>
      </w:pPr>
    </w:p>
    <w:p>
      <w:pPr>
        <w:jc w:val="both"/>
        <w:ind w:left="380"/>
        <w:spacing w:after="0" w:line="259" w:lineRule="auto"/>
        <w:rPr>
          <w:sz w:val="20"/>
          <w:szCs w:val="20"/>
          <w:color w:val="auto"/>
        </w:rPr>
      </w:pPr>
      <w:r>
        <w:rPr>
          <w:rFonts w:ascii="Arial" w:cs="Arial" w:eastAsia="Arial" w:hAnsi="Arial"/>
          <w:sz w:val="19"/>
          <w:szCs w:val="19"/>
          <w:color w:val="auto"/>
        </w:rPr>
        <w:t>The pro forma financial statements do not purport to project the future financial position or operating results of the combined company. The pro forma financial information as presented below is for informational purposes only and is not indicative of the results of operations that would have been achieved if the acquisition had taken place at the beginning of fiscal year 2017.</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60" w:type="dxa"/>
            <w:vAlign w:val="bottom"/>
            <w:gridSpan w:val="5"/>
          </w:tcPr>
          <w:p>
            <w:pPr>
              <w:ind w:left="520"/>
              <w:spacing w:after="0"/>
              <w:rPr>
                <w:sz w:val="20"/>
                <w:szCs w:val="20"/>
                <w:color w:val="auto"/>
              </w:rPr>
            </w:pPr>
            <w:r>
              <w:rPr>
                <w:rFonts w:ascii="Arial" w:cs="Arial" w:eastAsia="Arial" w:hAnsi="Arial"/>
                <w:sz w:val="20"/>
                <w:szCs w:val="20"/>
                <w:color w:val="auto"/>
              </w:rPr>
              <w:t>Three-Months Ended</w:t>
            </w:r>
          </w:p>
        </w:tc>
        <w:tc>
          <w:tcPr>
            <w:tcW w:w="280" w:type="dxa"/>
            <w:vAlign w:val="bottom"/>
          </w:tcPr>
          <w:p>
            <w:pPr>
              <w:spacing w:after="0"/>
              <w:rPr>
                <w:sz w:val="20"/>
                <w:szCs w:val="20"/>
                <w:color w:val="auto"/>
              </w:rPr>
            </w:pPr>
          </w:p>
        </w:tc>
        <w:tc>
          <w:tcPr>
            <w:tcW w:w="2820" w:type="dxa"/>
            <w:vAlign w:val="bottom"/>
            <w:gridSpan w:val="5"/>
          </w:tcPr>
          <w:p>
            <w:pPr>
              <w:ind w:left="400"/>
              <w:spacing w:after="0"/>
              <w:rPr>
                <w:sz w:val="20"/>
                <w:szCs w:val="20"/>
                <w:color w:val="auto"/>
              </w:rPr>
            </w:pPr>
            <w:r>
              <w:rPr>
                <w:rFonts w:ascii="Arial" w:cs="Arial" w:eastAsia="Arial" w:hAnsi="Arial"/>
                <w:sz w:val="20"/>
                <w:szCs w:val="20"/>
                <w:color w:val="auto"/>
              </w:rPr>
              <w:t>Nine-Months Ended</w:t>
            </w:r>
          </w:p>
        </w:tc>
      </w:tr>
      <w:tr>
        <w:trPr>
          <w:trHeight w:val="246"/>
        </w:trPr>
        <w:tc>
          <w:tcPr>
            <w:tcW w:w="4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0" w:type="dxa"/>
            <w:vAlign w:val="bottom"/>
            <w:gridSpan w:val="3"/>
          </w:tcPr>
          <w:p>
            <w:pPr>
              <w:jc w:val="right"/>
              <w:spacing w:after="0"/>
              <w:rPr>
                <w:sz w:val="20"/>
                <w:szCs w:val="20"/>
                <w:color w:val="auto"/>
              </w:rPr>
            </w:pPr>
            <w:r>
              <w:rPr>
                <w:rFonts w:ascii="Arial" w:cs="Arial" w:eastAsia="Arial" w:hAnsi="Arial"/>
                <w:sz w:val="20"/>
                <w:szCs w:val="20"/>
                <w:color w:val="auto"/>
              </w:rPr>
              <w:t>September 30,</w:t>
            </w: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September 30,</w:t>
            </w:r>
          </w:p>
        </w:tc>
        <w:tc>
          <w:tcPr>
            <w:tcW w:w="9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46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2018</w:t>
            </w:r>
          </w:p>
        </w:tc>
        <w:tc>
          <w:tcPr>
            <w:tcW w:w="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2017</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2018</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color w:val="auto"/>
                <w:w w:val="89"/>
              </w:rPr>
              <w:t>2017</w:t>
            </w:r>
          </w:p>
        </w:tc>
        <w:tc>
          <w:tcPr>
            <w:tcW w:w="120" w:type="dxa"/>
            <w:vAlign w:val="bottom"/>
          </w:tcPr>
          <w:p>
            <w:pPr>
              <w:spacing w:after="0"/>
              <w:rPr>
                <w:sz w:val="20"/>
                <w:szCs w:val="20"/>
                <w:color w:val="auto"/>
              </w:rPr>
            </w:pPr>
          </w:p>
        </w:tc>
      </w:tr>
      <w:tr>
        <w:trPr>
          <w:trHeight w:val="233"/>
        </w:trPr>
        <w:tc>
          <w:tcPr>
            <w:tcW w:w="4620" w:type="dxa"/>
            <w:vAlign w:val="bottom"/>
          </w:tcPr>
          <w:p>
            <w:pPr>
              <w:spacing w:after="0"/>
              <w:rPr>
                <w:sz w:val="20"/>
                <w:szCs w:val="20"/>
                <w:color w:val="auto"/>
              </w:rPr>
            </w:pPr>
            <w:r>
              <w:rPr>
                <w:rFonts w:ascii="Arial" w:cs="Arial" w:eastAsia="Arial" w:hAnsi="Arial"/>
                <w:sz w:val="20"/>
                <w:szCs w:val="20"/>
                <w:i w:val="1"/>
                <w:iCs w:val="1"/>
                <w:color w:val="auto"/>
              </w:rPr>
              <w:t>(Dollars in Thousands, except per share data)</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6"/>
        </w:trPr>
        <w:tc>
          <w:tcPr>
            <w:tcW w:w="4620" w:type="dxa"/>
            <w:vAlign w:val="bottom"/>
          </w:tcPr>
          <w:p>
            <w:pPr>
              <w:spacing w:after="0"/>
              <w:rPr>
                <w:sz w:val="20"/>
                <w:szCs w:val="20"/>
                <w:color w:val="auto"/>
              </w:rPr>
            </w:pPr>
            <w:r>
              <w:rPr>
                <w:rFonts w:ascii="Arial" w:cs="Arial" w:eastAsia="Arial" w:hAnsi="Arial"/>
                <w:sz w:val="20"/>
                <w:szCs w:val="20"/>
                <w:color w:val="auto"/>
              </w:rPr>
              <w:t>Total revenues</w:t>
            </w:r>
          </w:p>
        </w:tc>
        <w:tc>
          <w:tcPr>
            <w:tcW w:w="340" w:type="dxa"/>
            <w:vAlign w:val="bottom"/>
          </w:tcPr>
          <w:p>
            <w:pPr>
              <w:jc w:val="right"/>
              <w:ind w:right="141"/>
              <w:spacing w:after="0"/>
              <w:rPr>
                <w:sz w:val="20"/>
                <w:szCs w:val="20"/>
                <w:color w:val="auto"/>
              </w:rPr>
            </w:pPr>
            <w:r>
              <w:rPr>
                <w:rFonts w:ascii="Arial" w:cs="Arial" w:eastAsia="Arial" w:hAnsi="Arial"/>
                <w:sz w:val="20"/>
                <w:szCs w:val="20"/>
                <w:color w:val="auto"/>
                <w:w w:val="71"/>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1,219,640</w:t>
            </w:r>
          </w:p>
        </w:tc>
        <w:tc>
          <w:tcPr>
            <w:tcW w:w="280" w:type="dxa"/>
            <w:vAlign w:val="bottom"/>
          </w:tcPr>
          <w:p>
            <w:pPr>
              <w:spacing w:after="0"/>
              <w:rPr>
                <w:sz w:val="21"/>
                <w:szCs w:val="21"/>
                <w:color w:val="auto"/>
              </w:rPr>
            </w:pPr>
          </w:p>
        </w:tc>
        <w:tc>
          <w:tcPr>
            <w:tcW w:w="500" w:type="dxa"/>
            <w:vAlign w:val="bottom"/>
          </w:tcPr>
          <w:p>
            <w:pPr>
              <w:jc w:val="right"/>
              <w:ind w:right="301"/>
              <w:spacing w:after="0"/>
              <w:rPr>
                <w:sz w:val="20"/>
                <w:szCs w:val="20"/>
                <w:color w:val="auto"/>
              </w:rPr>
            </w:pPr>
            <w:r>
              <w:rPr>
                <w:rFonts w:ascii="Arial" w:cs="Arial" w:eastAsia="Arial" w:hAnsi="Arial"/>
                <w:sz w:val="20"/>
                <w:szCs w:val="20"/>
                <w:color w:val="auto"/>
                <w:w w:val="71"/>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1,148,787</w:t>
            </w:r>
          </w:p>
        </w:tc>
        <w:tc>
          <w:tcPr>
            <w:tcW w:w="280" w:type="dxa"/>
            <w:vAlign w:val="bottom"/>
          </w:tcPr>
          <w:p>
            <w:pPr>
              <w:spacing w:after="0"/>
              <w:rPr>
                <w:sz w:val="21"/>
                <w:szCs w:val="21"/>
                <w:color w:val="auto"/>
              </w:rPr>
            </w:pPr>
          </w:p>
        </w:tc>
        <w:tc>
          <w:tcPr>
            <w:tcW w:w="280" w:type="dxa"/>
            <w:vAlign w:val="bottom"/>
          </w:tcPr>
          <w:p>
            <w:pPr>
              <w:jc w:val="right"/>
              <w:ind w:right="81"/>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3,279,455</w:t>
            </w:r>
          </w:p>
        </w:tc>
        <w:tc>
          <w:tcPr>
            <w:tcW w:w="740" w:type="dxa"/>
            <w:vAlign w:val="bottom"/>
            <w:gridSpan w:val="2"/>
          </w:tcPr>
          <w:p>
            <w:pPr>
              <w:jc w:val="right"/>
              <w:ind w:right="36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w w:val="98"/>
              </w:rPr>
              <w:t>3,154,563</w:t>
            </w:r>
          </w:p>
        </w:tc>
        <w:tc>
          <w:tcPr>
            <w:tcW w:w="120" w:type="dxa"/>
            <w:vAlign w:val="bottom"/>
          </w:tcPr>
          <w:p>
            <w:pPr>
              <w:spacing w:after="0"/>
              <w:rPr>
                <w:sz w:val="21"/>
                <w:szCs w:val="21"/>
                <w:color w:val="auto"/>
              </w:rPr>
            </w:pPr>
          </w:p>
        </w:tc>
      </w:tr>
      <w:tr>
        <w:trPr>
          <w:trHeight w:val="243"/>
        </w:trPr>
        <w:tc>
          <w:tcPr>
            <w:tcW w:w="4620" w:type="dxa"/>
            <w:vAlign w:val="bottom"/>
            <w:shd w:val="clear" w:color="auto" w:fill="CDF0FC"/>
          </w:tcPr>
          <w:p>
            <w:pPr>
              <w:spacing w:after="0"/>
              <w:rPr>
                <w:sz w:val="20"/>
                <w:szCs w:val="20"/>
                <w:color w:val="auto"/>
              </w:rPr>
            </w:pPr>
            <w:r>
              <w:rPr>
                <w:rFonts w:ascii="Arial" w:cs="Arial" w:eastAsia="Arial" w:hAnsi="Arial"/>
                <w:sz w:val="20"/>
                <w:szCs w:val="20"/>
                <w:color w:val="auto"/>
              </w:rPr>
              <w:t>Net earnings attributable to Martin Marietta</w:t>
            </w:r>
          </w:p>
        </w:tc>
        <w:tc>
          <w:tcPr>
            <w:tcW w:w="340" w:type="dxa"/>
            <w:vAlign w:val="bottom"/>
            <w:shd w:val="clear" w:color="auto" w:fill="CDF0FC"/>
          </w:tcPr>
          <w:p>
            <w:pPr>
              <w:jc w:val="right"/>
              <w:ind w:right="141"/>
              <w:spacing w:after="0"/>
              <w:rPr>
                <w:sz w:val="20"/>
                <w:szCs w:val="20"/>
                <w:color w:val="auto"/>
              </w:rPr>
            </w:pPr>
            <w:r>
              <w:rPr>
                <w:rFonts w:ascii="Arial" w:cs="Arial" w:eastAsia="Arial" w:hAnsi="Arial"/>
                <w:sz w:val="20"/>
                <w:szCs w:val="20"/>
                <w:color w:val="auto"/>
                <w:w w:val="71"/>
              </w:rPr>
              <w:t>$</w:t>
            </w:r>
          </w:p>
        </w:tc>
        <w:tc>
          <w:tcPr>
            <w:tcW w:w="1220" w:type="dxa"/>
            <w:vAlign w:val="bottom"/>
            <w:shd w:val="clear" w:color="auto" w:fill="CDF0FC"/>
          </w:tcPr>
          <w:p>
            <w:pPr>
              <w:jc w:val="right"/>
              <w:spacing w:after="0"/>
              <w:rPr>
                <w:sz w:val="20"/>
                <w:szCs w:val="20"/>
                <w:color w:val="auto"/>
              </w:rPr>
            </w:pPr>
            <w:r>
              <w:rPr>
                <w:rFonts w:ascii="Arial" w:cs="Arial" w:eastAsia="Arial" w:hAnsi="Arial"/>
                <w:sz w:val="20"/>
                <w:szCs w:val="20"/>
                <w:color w:val="auto"/>
              </w:rPr>
              <w:t>185,051</w:t>
            </w:r>
          </w:p>
        </w:tc>
        <w:tc>
          <w:tcPr>
            <w:tcW w:w="280" w:type="dxa"/>
            <w:vAlign w:val="bottom"/>
            <w:shd w:val="clear" w:color="auto" w:fill="CDF0FC"/>
          </w:tcPr>
          <w:p>
            <w:pPr>
              <w:spacing w:after="0"/>
              <w:rPr>
                <w:sz w:val="21"/>
                <w:szCs w:val="21"/>
                <w:color w:val="auto"/>
              </w:rPr>
            </w:pPr>
          </w:p>
        </w:tc>
        <w:tc>
          <w:tcPr>
            <w:tcW w:w="500" w:type="dxa"/>
            <w:vAlign w:val="bottom"/>
            <w:shd w:val="clear" w:color="auto" w:fill="CDF0FC"/>
          </w:tcPr>
          <w:p>
            <w:pPr>
              <w:jc w:val="right"/>
              <w:ind w:right="301"/>
              <w:spacing w:after="0"/>
              <w:rPr>
                <w:sz w:val="20"/>
                <w:szCs w:val="20"/>
                <w:color w:val="auto"/>
              </w:rPr>
            </w:pPr>
            <w:r>
              <w:rPr>
                <w:rFonts w:ascii="Arial" w:cs="Arial" w:eastAsia="Arial" w:hAnsi="Arial"/>
                <w:sz w:val="20"/>
                <w:szCs w:val="20"/>
                <w:color w:val="auto"/>
                <w:w w:val="71"/>
              </w:rPr>
              <w:t>$</w:t>
            </w:r>
          </w:p>
        </w:tc>
        <w:tc>
          <w:tcPr>
            <w:tcW w:w="1080" w:type="dxa"/>
            <w:vAlign w:val="bottom"/>
            <w:shd w:val="clear" w:color="auto" w:fill="CDF0FC"/>
          </w:tcPr>
          <w:p>
            <w:pPr>
              <w:jc w:val="right"/>
              <w:spacing w:after="0"/>
              <w:rPr>
                <w:sz w:val="20"/>
                <w:szCs w:val="20"/>
                <w:color w:val="auto"/>
              </w:rPr>
            </w:pPr>
            <w:r>
              <w:rPr>
                <w:rFonts w:ascii="Arial" w:cs="Arial" w:eastAsia="Arial" w:hAnsi="Arial"/>
                <w:sz w:val="20"/>
                <w:szCs w:val="20"/>
                <w:color w:val="auto"/>
              </w:rPr>
              <w:t>151,986</w:t>
            </w:r>
          </w:p>
        </w:tc>
        <w:tc>
          <w:tcPr>
            <w:tcW w:w="280" w:type="dxa"/>
            <w:vAlign w:val="bottom"/>
            <w:shd w:val="clear" w:color="auto" w:fill="CDF0FC"/>
          </w:tcPr>
          <w:p>
            <w:pPr>
              <w:spacing w:after="0"/>
              <w:rPr>
                <w:sz w:val="21"/>
                <w:szCs w:val="21"/>
                <w:color w:val="auto"/>
              </w:rPr>
            </w:pPr>
          </w:p>
        </w:tc>
        <w:tc>
          <w:tcPr>
            <w:tcW w:w="280" w:type="dxa"/>
            <w:vAlign w:val="bottom"/>
            <w:shd w:val="clear" w:color="auto" w:fill="CDF0FC"/>
          </w:tcPr>
          <w:p>
            <w:pPr>
              <w:jc w:val="right"/>
              <w:ind w:right="81"/>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DF0FC"/>
          </w:tcPr>
          <w:p>
            <w:pPr>
              <w:jc w:val="right"/>
              <w:spacing w:after="0"/>
              <w:rPr>
                <w:sz w:val="20"/>
                <w:szCs w:val="20"/>
                <w:color w:val="auto"/>
              </w:rPr>
            </w:pPr>
            <w:r>
              <w:rPr>
                <w:rFonts w:ascii="Arial" w:cs="Arial" w:eastAsia="Arial" w:hAnsi="Arial"/>
                <w:sz w:val="20"/>
                <w:szCs w:val="20"/>
                <w:color w:val="auto"/>
              </w:rPr>
              <w:t>399,113</w:t>
            </w:r>
          </w:p>
        </w:tc>
        <w:tc>
          <w:tcPr>
            <w:tcW w:w="740" w:type="dxa"/>
            <w:vAlign w:val="bottom"/>
            <w:gridSpan w:val="2"/>
            <w:shd w:val="clear" w:color="auto" w:fill="CDF0FC"/>
          </w:tcPr>
          <w:p>
            <w:pPr>
              <w:jc w:val="right"/>
              <w:ind w:right="360"/>
              <w:spacing w:after="0"/>
              <w:rPr>
                <w:sz w:val="20"/>
                <w:szCs w:val="20"/>
                <w:color w:val="auto"/>
              </w:rPr>
            </w:pPr>
            <w:r>
              <w:rPr>
                <w:rFonts w:ascii="Arial" w:cs="Arial" w:eastAsia="Arial" w:hAnsi="Arial"/>
                <w:sz w:val="20"/>
                <w:szCs w:val="20"/>
                <w:color w:val="auto"/>
              </w:rPr>
              <w:t>$</w:t>
            </w:r>
          </w:p>
        </w:tc>
        <w:tc>
          <w:tcPr>
            <w:tcW w:w="920" w:type="dxa"/>
            <w:vAlign w:val="bottom"/>
            <w:shd w:val="clear" w:color="auto" w:fill="CDF0FC"/>
          </w:tcPr>
          <w:p>
            <w:pPr>
              <w:jc w:val="right"/>
              <w:spacing w:after="0"/>
              <w:rPr>
                <w:sz w:val="20"/>
                <w:szCs w:val="20"/>
                <w:color w:val="auto"/>
              </w:rPr>
            </w:pPr>
            <w:r>
              <w:rPr>
                <w:rFonts w:ascii="Arial" w:cs="Arial" w:eastAsia="Arial" w:hAnsi="Arial"/>
                <w:sz w:val="20"/>
                <w:szCs w:val="20"/>
                <w:color w:val="auto"/>
              </w:rPr>
              <w:t>300,458</w:t>
            </w:r>
          </w:p>
        </w:tc>
        <w:tc>
          <w:tcPr>
            <w:tcW w:w="120" w:type="dxa"/>
            <w:vAlign w:val="bottom"/>
            <w:shd w:val="clear" w:color="auto" w:fill="CDF0FC"/>
          </w:tcPr>
          <w:p>
            <w:pPr>
              <w:spacing w:after="0"/>
              <w:rPr>
                <w:sz w:val="21"/>
                <w:szCs w:val="21"/>
                <w:color w:val="auto"/>
              </w:rPr>
            </w:pPr>
          </w:p>
        </w:tc>
      </w:tr>
      <w:tr>
        <w:trPr>
          <w:trHeight w:val="250"/>
        </w:trPr>
        <w:tc>
          <w:tcPr>
            <w:tcW w:w="4620" w:type="dxa"/>
            <w:vAlign w:val="bottom"/>
          </w:tcPr>
          <w:p>
            <w:pPr>
              <w:spacing w:after="0"/>
              <w:rPr>
                <w:sz w:val="20"/>
                <w:szCs w:val="20"/>
                <w:color w:val="auto"/>
              </w:rPr>
            </w:pPr>
            <w:r>
              <w:rPr>
                <w:rFonts w:ascii="Arial" w:cs="Arial" w:eastAsia="Arial" w:hAnsi="Arial"/>
                <w:sz w:val="20"/>
                <w:szCs w:val="20"/>
                <w:color w:val="auto"/>
              </w:rPr>
              <w:t>Diluted EPS</w:t>
            </w:r>
          </w:p>
        </w:tc>
        <w:tc>
          <w:tcPr>
            <w:tcW w:w="340" w:type="dxa"/>
            <w:vAlign w:val="bottom"/>
          </w:tcPr>
          <w:p>
            <w:pPr>
              <w:jc w:val="right"/>
              <w:ind w:right="141"/>
              <w:spacing w:after="0"/>
              <w:rPr>
                <w:sz w:val="20"/>
                <w:szCs w:val="20"/>
                <w:color w:val="auto"/>
              </w:rPr>
            </w:pPr>
            <w:r>
              <w:rPr>
                <w:rFonts w:ascii="Arial" w:cs="Arial" w:eastAsia="Arial" w:hAnsi="Arial"/>
                <w:sz w:val="20"/>
                <w:szCs w:val="20"/>
                <w:color w:val="auto"/>
                <w:w w:val="71"/>
              </w:rPr>
              <w:t>$</w:t>
            </w:r>
          </w:p>
        </w:tc>
        <w:tc>
          <w:tcPr>
            <w:tcW w:w="1220" w:type="dxa"/>
            <w:vAlign w:val="bottom"/>
          </w:tcPr>
          <w:p>
            <w:pPr>
              <w:jc w:val="right"/>
              <w:spacing w:after="0"/>
              <w:rPr>
                <w:sz w:val="20"/>
                <w:szCs w:val="20"/>
                <w:color w:val="auto"/>
              </w:rPr>
            </w:pPr>
            <w:r>
              <w:rPr>
                <w:rFonts w:ascii="Arial" w:cs="Arial" w:eastAsia="Arial" w:hAnsi="Arial"/>
                <w:sz w:val="20"/>
                <w:szCs w:val="20"/>
                <w:color w:val="auto"/>
              </w:rPr>
              <w:t>2.93</w:t>
            </w:r>
          </w:p>
        </w:tc>
        <w:tc>
          <w:tcPr>
            <w:tcW w:w="280" w:type="dxa"/>
            <w:vAlign w:val="bottom"/>
          </w:tcPr>
          <w:p>
            <w:pPr>
              <w:spacing w:after="0"/>
              <w:rPr>
                <w:sz w:val="21"/>
                <w:szCs w:val="21"/>
                <w:color w:val="auto"/>
              </w:rPr>
            </w:pPr>
          </w:p>
        </w:tc>
        <w:tc>
          <w:tcPr>
            <w:tcW w:w="500" w:type="dxa"/>
            <w:vAlign w:val="bottom"/>
          </w:tcPr>
          <w:p>
            <w:pPr>
              <w:jc w:val="right"/>
              <w:ind w:right="301"/>
              <w:spacing w:after="0"/>
              <w:rPr>
                <w:sz w:val="20"/>
                <w:szCs w:val="20"/>
                <w:color w:val="auto"/>
              </w:rPr>
            </w:pPr>
            <w:r>
              <w:rPr>
                <w:rFonts w:ascii="Arial" w:cs="Arial" w:eastAsia="Arial" w:hAnsi="Arial"/>
                <w:sz w:val="20"/>
                <w:szCs w:val="20"/>
                <w:color w:val="auto"/>
                <w:w w:val="71"/>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2.41</w:t>
            </w:r>
          </w:p>
        </w:tc>
        <w:tc>
          <w:tcPr>
            <w:tcW w:w="280" w:type="dxa"/>
            <w:vAlign w:val="bottom"/>
          </w:tcPr>
          <w:p>
            <w:pPr>
              <w:spacing w:after="0"/>
              <w:rPr>
                <w:sz w:val="21"/>
                <w:szCs w:val="21"/>
                <w:color w:val="auto"/>
              </w:rPr>
            </w:pPr>
          </w:p>
        </w:tc>
        <w:tc>
          <w:tcPr>
            <w:tcW w:w="280" w:type="dxa"/>
            <w:vAlign w:val="bottom"/>
          </w:tcPr>
          <w:p>
            <w:pPr>
              <w:jc w:val="right"/>
              <w:ind w:right="81"/>
              <w:spacing w:after="0"/>
              <w:rPr>
                <w:sz w:val="20"/>
                <w:szCs w:val="20"/>
                <w:color w:val="auto"/>
              </w:rPr>
            </w:pPr>
            <w:r>
              <w:rPr>
                <w:rFonts w:ascii="Arial" w:cs="Arial" w:eastAsia="Arial" w:hAnsi="Arial"/>
                <w:sz w:val="20"/>
                <w:szCs w:val="20"/>
                <w:color w:val="auto"/>
                <w:w w:val="71"/>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6.31</w:t>
            </w:r>
          </w:p>
        </w:tc>
        <w:tc>
          <w:tcPr>
            <w:tcW w:w="740" w:type="dxa"/>
            <w:vAlign w:val="bottom"/>
            <w:gridSpan w:val="2"/>
          </w:tcPr>
          <w:p>
            <w:pPr>
              <w:jc w:val="right"/>
              <w:ind w:right="360"/>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4.75</w:t>
            </w:r>
          </w:p>
        </w:tc>
        <w:tc>
          <w:tcPr>
            <w:tcW w:w="120" w:type="dxa"/>
            <w:vAlign w:val="bottom"/>
          </w:tcPr>
          <w:p>
            <w:pPr>
              <w:spacing w:after="0"/>
              <w:rPr>
                <w:sz w:val="21"/>
                <w:szCs w:val="21"/>
                <w:color w:val="auto"/>
              </w:rPr>
            </w:pPr>
          </w:p>
        </w:tc>
      </w:tr>
    </w:tbl>
    <w:p>
      <w:pPr>
        <w:spacing w:after="0" w:line="192" w:lineRule="exact"/>
        <w:rPr>
          <w:sz w:val="20"/>
          <w:szCs w:val="20"/>
          <w:color w:val="auto"/>
        </w:rPr>
      </w:pPr>
    </w:p>
    <w:p>
      <w:pPr>
        <w:ind w:left="380" w:right="640"/>
        <w:spacing w:after="0" w:line="260" w:lineRule="auto"/>
        <w:rPr>
          <w:sz w:val="20"/>
          <w:szCs w:val="20"/>
          <w:color w:val="auto"/>
        </w:rPr>
      </w:pPr>
      <w:r>
        <w:rPr>
          <w:rFonts w:ascii="Arial" w:cs="Arial" w:eastAsia="Arial" w:hAnsi="Arial"/>
          <w:sz w:val="20"/>
          <w:szCs w:val="20"/>
          <w:color w:val="auto"/>
        </w:rPr>
        <w:t>On August 31, 2018, the Company purchased the remaining noncontrolling interest in a consolidated joint venture where the initial controlling interest was acquired as part of the Bluegrass acquisition.</w:t>
      </w:r>
    </w:p>
    <w:p>
      <w:pPr>
        <w:spacing w:after="0" w:line="171" w:lineRule="exact"/>
        <w:rPr>
          <w:sz w:val="20"/>
          <w:szCs w:val="20"/>
          <w:color w:val="auto"/>
        </w:rPr>
      </w:pPr>
    </w:p>
    <w:p>
      <w:pPr>
        <w:ind w:left="380" w:hanging="372"/>
        <w:spacing w:after="0"/>
        <w:tabs>
          <w:tab w:leader="none" w:pos="38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Goodwill and Other Intangibles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3"/>
          </w:tcPr>
          <w:p>
            <w:pPr>
              <w:jc w:val="center"/>
              <w:ind w:right="260"/>
              <w:spacing w:after="0"/>
              <w:rPr>
                <w:sz w:val="20"/>
                <w:szCs w:val="20"/>
                <w:color w:val="auto"/>
              </w:rPr>
            </w:pPr>
            <w:r>
              <w:rPr>
                <w:rFonts w:ascii="Arial" w:cs="Arial" w:eastAsia="Arial" w:hAnsi="Arial"/>
                <w:sz w:val="20"/>
                <w:szCs w:val="20"/>
                <w:color w:val="auto"/>
                <w:w w:val="96"/>
              </w:rPr>
              <w:t>Mid-America</w:t>
            </w:r>
          </w:p>
        </w:tc>
        <w:tc>
          <w:tcPr>
            <w:tcW w:w="180" w:type="dxa"/>
            <w:vAlign w:val="bottom"/>
          </w:tcPr>
          <w:p>
            <w:pPr>
              <w:spacing w:after="0"/>
              <w:rPr>
                <w:sz w:val="21"/>
                <w:szCs w:val="21"/>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20"/>
                <w:szCs w:val="20"/>
                <w:color w:val="auto"/>
                <w:w w:val="90"/>
              </w:rPr>
              <w:t>Southeast</w:t>
            </w:r>
          </w:p>
        </w:tc>
        <w:tc>
          <w:tcPr>
            <w:tcW w:w="240" w:type="dxa"/>
            <w:vAlign w:val="bottom"/>
          </w:tcPr>
          <w:p>
            <w:pPr>
              <w:spacing w:after="0"/>
              <w:rPr>
                <w:sz w:val="21"/>
                <w:szCs w:val="21"/>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20"/>
                <w:szCs w:val="20"/>
                <w:color w:val="auto"/>
                <w:w w:val="87"/>
              </w:rPr>
              <w:t>West</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6"/>
        </w:trPr>
        <w:tc>
          <w:tcPr>
            <w:tcW w:w="5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20"/>
                <w:szCs w:val="20"/>
                <w:color w:val="auto"/>
                <w:w w:val="89"/>
              </w:rPr>
              <w:t>Group</w:t>
            </w:r>
          </w:p>
        </w:tc>
        <w:tc>
          <w:tcPr>
            <w:tcW w:w="180" w:type="dxa"/>
            <w:vAlign w:val="bottom"/>
          </w:tcPr>
          <w:p>
            <w:pPr>
              <w:spacing w:after="0"/>
              <w:rPr>
                <w:sz w:val="21"/>
                <w:szCs w:val="21"/>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20"/>
                <w:szCs w:val="20"/>
                <w:color w:val="auto"/>
              </w:rPr>
              <w:t>Group</w:t>
            </w:r>
          </w:p>
        </w:tc>
        <w:tc>
          <w:tcPr>
            <w:tcW w:w="240" w:type="dxa"/>
            <w:vAlign w:val="bottom"/>
          </w:tcPr>
          <w:p>
            <w:pPr>
              <w:spacing w:after="0"/>
              <w:rPr>
                <w:sz w:val="21"/>
                <w:szCs w:val="21"/>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20"/>
                <w:szCs w:val="20"/>
                <w:color w:val="auto"/>
                <w:w w:val="89"/>
              </w:rPr>
              <w:t>Group</w:t>
            </w:r>
          </w:p>
        </w:tc>
        <w:tc>
          <w:tcPr>
            <w:tcW w:w="280" w:type="dxa"/>
            <w:vAlign w:val="bottom"/>
          </w:tcPr>
          <w:p>
            <w:pPr>
              <w:spacing w:after="0"/>
              <w:rPr>
                <w:sz w:val="21"/>
                <w:szCs w:val="21"/>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20"/>
                <w:szCs w:val="20"/>
                <w:color w:val="auto"/>
              </w:rPr>
              <w:t>Total</w:t>
            </w:r>
          </w:p>
        </w:tc>
      </w:tr>
      <w:tr>
        <w:trPr>
          <w:trHeight w:val="237"/>
        </w:trPr>
        <w:tc>
          <w:tcPr>
            <w:tcW w:w="5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2840" w:type="dxa"/>
            <w:vAlign w:val="bottom"/>
            <w:tcBorders>
              <w:top w:val="single" w:sz="8" w:color="auto"/>
              <w:bottom w:val="single" w:sz="8" w:color="auto"/>
            </w:tcBorders>
            <w:gridSpan w:val="5"/>
          </w:tcPr>
          <w:p>
            <w:pPr>
              <w:ind w:left="300"/>
              <w:spacing w:after="0"/>
              <w:rPr>
                <w:sz w:val="20"/>
                <w:szCs w:val="20"/>
                <w:color w:val="auto"/>
              </w:rPr>
            </w:pPr>
            <w:r>
              <w:rPr>
                <w:rFonts w:ascii="Arial" w:cs="Arial" w:eastAsia="Arial" w:hAnsi="Arial"/>
                <w:sz w:val="20"/>
                <w:szCs w:val="20"/>
                <w:i w:val="1"/>
                <w:iCs w:val="1"/>
                <w:color w:val="auto"/>
              </w:rPr>
              <w:t>(Dollars in Thousands)</w:t>
            </w:r>
          </w:p>
        </w:tc>
        <w:tc>
          <w:tcPr>
            <w:tcW w:w="2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360" w:type="dxa"/>
            <w:vAlign w:val="bottom"/>
          </w:tcPr>
          <w:p>
            <w:pPr>
              <w:spacing w:after="0"/>
              <w:rPr>
                <w:sz w:val="20"/>
                <w:szCs w:val="20"/>
                <w:color w:val="auto"/>
              </w:rPr>
            </w:pPr>
            <w:r>
              <w:rPr>
                <w:rFonts w:ascii="Arial" w:cs="Arial" w:eastAsia="Arial" w:hAnsi="Arial"/>
                <w:sz w:val="20"/>
                <w:szCs w:val="20"/>
                <w:color w:val="auto"/>
              </w:rPr>
              <w:t>Balance at January 1, 2018</w:t>
            </w:r>
          </w:p>
        </w:tc>
        <w:tc>
          <w:tcPr>
            <w:tcW w:w="38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281,403</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50,346</w:t>
            </w:r>
          </w:p>
        </w:tc>
        <w:tc>
          <w:tcPr>
            <w:tcW w:w="240" w:type="dxa"/>
            <w:vAlign w:val="bottom"/>
          </w:tcPr>
          <w:p>
            <w:pPr>
              <w:spacing w:after="0"/>
              <w:rPr>
                <w:sz w:val="20"/>
                <w:szCs w:val="20"/>
                <w:color w:val="auto"/>
              </w:rPr>
            </w:pPr>
          </w:p>
        </w:tc>
        <w:tc>
          <w:tcPr>
            <w:tcW w:w="240" w:type="dxa"/>
            <w:vAlign w:val="bottom"/>
          </w:tcPr>
          <w:p>
            <w:pPr>
              <w:jc w:val="right"/>
              <w:ind w:right="41"/>
              <w:spacing w:after="0"/>
              <w:rPr>
                <w:sz w:val="20"/>
                <w:szCs w:val="20"/>
                <w:color w:val="auto"/>
              </w:rPr>
            </w:pPr>
            <w:r>
              <w:rPr>
                <w:rFonts w:ascii="Arial" w:cs="Arial" w:eastAsia="Arial" w:hAnsi="Arial"/>
                <w:sz w:val="20"/>
                <w:szCs w:val="20"/>
                <w:color w:val="auto"/>
                <w:w w:val="71"/>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1,828,541</w:t>
            </w:r>
          </w:p>
        </w:tc>
        <w:tc>
          <w:tcPr>
            <w:tcW w:w="240" w:type="dxa"/>
            <w:vAlign w:val="bottom"/>
          </w:tcPr>
          <w:p>
            <w:pPr>
              <w:spacing w:after="0"/>
              <w:rPr>
                <w:sz w:val="20"/>
                <w:szCs w:val="20"/>
                <w:color w:val="auto"/>
              </w:rPr>
            </w:pPr>
          </w:p>
        </w:tc>
        <w:tc>
          <w:tcPr>
            <w:tcW w:w="280" w:type="dxa"/>
            <w:vAlign w:val="bottom"/>
          </w:tcPr>
          <w:p>
            <w:pPr>
              <w:jc w:val="right"/>
              <w:ind w:right="81"/>
              <w:spacing w:after="0"/>
              <w:rPr>
                <w:sz w:val="20"/>
                <w:szCs w:val="20"/>
                <w:color w:val="auto"/>
              </w:rPr>
            </w:pPr>
            <w:r>
              <w:rPr>
                <w:rFonts w:ascii="Arial" w:cs="Arial" w:eastAsia="Arial" w:hAnsi="Arial"/>
                <w:sz w:val="20"/>
                <w:szCs w:val="20"/>
                <w:color w:val="auto"/>
                <w:w w:val="71"/>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2,160,290</w:t>
            </w:r>
          </w:p>
        </w:tc>
        <w:tc>
          <w:tcPr>
            <w:tcW w:w="100" w:type="dxa"/>
            <w:vAlign w:val="bottom"/>
          </w:tcPr>
          <w:p>
            <w:pPr>
              <w:spacing w:after="0"/>
              <w:rPr>
                <w:sz w:val="20"/>
                <w:szCs w:val="20"/>
                <w:color w:val="auto"/>
              </w:rPr>
            </w:pPr>
          </w:p>
        </w:tc>
      </w:tr>
      <w:tr>
        <w:trPr>
          <w:trHeight w:val="243"/>
        </w:trPr>
        <w:tc>
          <w:tcPr>
            <w:tcW w:w="5360" w:type="dxa"/>
            <w:vAlign w:val="bottom"/>
            <w:shd w:val="clear" w:color="auto" w:fill="CFF0FC"/>
          </w:tcPr>
          <w:p>
            <w:pPr>
              <w:spacing w:after="0"/>
              <w:rPr>
                <w:sz w:val="20"/>
                <w:szCs w:val="20"/>
                <w:color w:val="auto"/>
              </w:rPr>
            </w:pPr>
            <w:r>
              <w:rPr>
                <w:rFonts w:ascii="Arial" w:cs="Arial" w:eastAsia="Arial" w:hAnsi="Arial"/>
                <w:sz w:val="20"/>
                <w:szCs w:val="20"/>
                <w:color w:val="auto"/>
              </w:rPr>
              <w:t>Acquisitions</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147,333</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92,738</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240,071</w:t>
            </w:r>
          </w:p>
        </w:tc>
        <w:tc>
          <w:tcPr>
            <w:tcW w:w="100" w:type="dxa"/>
            <w:vAlign w:val="bottom"/>
            <w:shd w:val="clear" w:color="auto" w:fill="CFF0FC"/>
          </w:tcPr>
          <w:p>
            <w:pPr>
              <w:spacing w:after="0"/>
              <w:rPr>
                <w:sz w:val="21"/>
                <w:szCs w:val="21"/>
                <w:color w:val="auto"/>
              </w:rPr>
            </w:pPr>
          </w:p>
        </w:tc>
      </w:tr>
      <w:tr>
        <w:trPr>
          <w:trHeight w:val="243"/>
        </w:trPr>
        <w:tc>
          <w:tcPr>
            <w:tcW w:w="5360" w:type="dxa"/>
            <w:vAlign w:val="bottom"/>
          </w:tcPr>
          <w:p>
            <w:pPr>
              <w:spacing w:after="0"/>
              <w:rPr>
                <w:sz w:val="20"/>
                <w:szCs w:val="20"/>
                <w:color w:val="auto"/>
              </w:rPr>
            </w:pPr>
            <w:r>
              <w:rPr>
                <w:rFonts w:ascii="Arial" w:cs="Arial" w:eastAsia="Arial" w:hAnsi="Arial"/>
                <w:sz w:val="20"/>
                <w:szCs w:val="20"/>
                <w:color w:val="auto"/>
              </w:rPr>
              <w:t>Divestitures</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20"/>
                <w:szCs w:val="20"/>
                <w:color w:val="auto"/>
              </w:rPr>
              <w:t>(927)</w:t>
            </w:r>
          </w:p>
        </w:tc>
        <w:tc>
          <w:tcPr>
            <w:tcW w:w="24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20"/>
                <w:szCs w:val="20"/>
                <w:color w:val="auto"/>
              </w:rPr>
              <w:t>(927)</w:t>
            </w:r>
          </w:p>
        </w:tc>
      </w:tr>
      <w:tr>
        <w:trPr>
          <w:trHeight w:val="237"/>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Balance at September 30, 2018</w:t>
            </w: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428,736</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142,157</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1,828,541</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81"/>
              <w:spacing w:after="0"/>
              <w:rPr>
                <w:sz w:val="20"/>
                <w:szCs w:val="20"/>
                <w:color w:val="auto"/>
              </w:rPr>
            </w:pPr>
            <w:r>
              <w:rPr>
                <w:rFonts w:ascii="Arial" w:cs="Arial" w:eastAsia="Arial" w:hAnsi="Arial"/>
                <w:sz w:val="20"/>
                <w:szCs w:val="20"/>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2,399,434</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5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20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2018</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80" w:lineRule="exact"/>
        <w:rPr>
          <w:sz w:val="20"/>
          <w:szCs w:val="20"/>
          <w:color w:val="auto"/>
        </w:rPr>
      </w:pPr>
    </w:p>
    <w:p>
      <w:pPr>
        <w:ind w:left="380" w:hanging="372"/>
        <w:spacing w:after="0"/>
        <w:tabs>
          <w:tab w:leader="none" w:pos="38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Goodwill and Other Intangibles (continued)</w:t>
      </w:r>
    </w:p>
    <w:p>
      <w:pPr>
        <w:spacing w:after="0" w:line="113"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20"/>
          <w:szCs w:val="20"/>
          <w:color w:val="auto"/>
        </w:rPr>
        <w:t>Intangible assets subject to amortization consist of the following:</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center"/>
              <w:ind w:right="161"/>
              <w:spacing w:after="0"/>
              <w:rPr>
                <w:sz w:val="20"/>
                <w:szCs w:val="20"/>
                <w:color w:val="auto"/>
              </w:rPr>
            </w:pPr>
            <w:r>
              <w:rPr>
                <w:rFonts w:ascii="Arial" w:cs="Arial" w:eastAsia="Arial" w:hAnsi="Arial"/>
                <w:sz w:val="20"/>
                <w:szCs w:val="20"/>
                <w:color w:val="auto"/>
                <w:w w:val="86"/>
              </w:rPr>
              <w:t>Gross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4"/>
          </w:tcPr>
          <w:p>
            <w:pPr>
              <w:jc w:val="center"/>
              <w:ind w:right="220"/>
              <w:spacing w:after="0"/>
              <w:rPr>
                <w:sz w:val="20"/>
                <w:szCs w:val="20"/>
                <w:color w:val="auto"/>
              </w:rPr>
            </w:pPr>
            <w:r>
              <w:rPr>
                <w:rFonts w:ascii="Arial" w:cs="Arial" w:eastAsia="Arial" w:hAnsi="Arial"/>
                <w:sz w:val="20"/>
                <w:szCs w:val="20"/>
                <w:color w:val="auto"/>
                <w:w w:val="91"/>
              </w:rPr>
              <w:t>Accumulated</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20"/>
                <w:szCs w:val="20"/>
                <w:color w:val="auto"/>
                <w:w w:val="89"/>
              </w:rPr>
              <w:t>Net</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center"/>
              <w:ind w:right="141"/>
              <w:spacing w:after="0"/>
              <w:rPr>
                <w:sz w:val="20"/>
                <w:szCs w:val="20"/>
                <w:color w:val="auto"/>
              </w:rPr>
            </w:pPr>
            <w:r>
              <w:rPr>
                <w:rFonts w:ascii="Arial" w:cs="Arial" w:eastAsia="Arial" w:hAnsi="Arial"/>
                <w:sz w:val="20"/>
                <w:szCs w:val="20"/>
                <w:color w:val="auto"/>
                <w:w w:val="92"/>
              </w:rPr>
              <w:t>Amount</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4"/>
          </w:tcPr>
          <w:p>
            <w:pPr>
              <w:jc w:val="center"/>
              <w:ind w:right="220"/>
              <w:spacing w:after="0"/>
              <w:rPr>
                <w:sz w:val="20"/>
                <w:szCs w:val="20"/>
                <w:color w:val="auto"/>
              </w:rPr>
            </w:pPr>
            <w:r>
              <w:rPr>
                <w:rFonts w:ascii="Arial" w:cs="Arial" w:eastAsia="Arial" w:hAnsi="Arial"/>
                <w:sz w:val="20"/>
                <w:szCs w:val="20"/>
                <w:color w:val="auto"/>
                <w:w w:val="95"/>
              </w:rPr>
              <w:t>Amortization</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20"/>
                <w:szCs w:val="20"/>
                <w:color w:val="auto"/>
                <w:w w:val="88"/>
              </w:rPr>
              <w:t>Balance</w:t>
            </w:r>
          </w:p>
        </w:tc>
        <w:tc>
          <w:tcPr>
            <w:tcW w:w="0" w:type="dxa"/>
            <w:vAlign w:val="bottom"/>
          </w:tcPr>
          <w:p>
            <w:pPr>
              <w:spacing w:after="0"/>
              <w:rPr>
                <w:sz w:val="1"/>
                <w:szCs w:val="1"/>
                <w:color w:val="auto"/>
              </w:rPr>
            </w:pPr>
          </w:p>
        </w:tc>
      </w:tr>
      <w:tr>
        <w:trPr>
          <w:trHeight w:val="237"/>
        </w:trPr>
        <w:tc>
          <w:tcPr>
            <w:tcW w:w="5340" w:type="dxa"/>
            <w:vAlign w:val="bottom"/>
            <w:gridSpan w:val="2"/>
          </w:tcPr>
          <w:p>
            <w:pPr>
              <w:spacing w:after="0"/>
              <w:rPr>
                <w:sz w:val="20"/>
                <w:szCs w:val="20"/>
                <w:color w:val="auto"/>
              </w:rPr>
            </w:pPr>
            <w:r>
              <w:rPr>
                <w:rFonts w:ascii="Arial" w:cs="Arial" w:eastAsia="Arial" w:hAnsi="Arial"/>
                <w:sz w:val="20"/>
                <w:szCs w:val="20"/>
                <w:i w:val="1"/>
                <w:iCs w:val="1"/>
                <w:color w:val="auto"/>
              </w:rPr>
              <w:t>(Dollars in Thousands)</w:t>
            </w:r>
          </w:p>
        </w:tc>
        <w:tc>
          <w:tcPr>
            <w:tcW w:w="9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gridSpan w:val="6"/>
          </w:tcPr>
          <w:p>
            <w:pPr>
              <w:jc w:val="center"/>
              <w:ind w:left="101"/>
              <w:spacing w:after="0"/>
              <w:rPr>
                <w:sz w:val="20"/>
                <w:szCs w:val="20"/>
                <w:color w:val="auto"/>
              </w:rPr>
            </w:pPr>
            <w:r>
              <w:rPr>
                <w:rFonts w:ascii="Arial" w:cs="Arial" w:eastAsia="Arial" w:hAnsi="Arial"/>
                <w:sz w:val="20"/>
                <w:szCs w:val="20"/>
                <w:color w:val="auto"/>
                <w:w w:val="87"/>
              </w:rPr>
              <w:t>September 30, 2018</w:t>
            </w:r>
          </w:p>
        </w:tc>
        <w:tc>
          <w:tcPr>
            <w:tcW w:w="2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20"/>
                <w:szCs w:val="20"/>
                <w:color w:val="auto"/>
              </w:rPr>
              <w:t>Noncompetition agreements</w:t>
            </w:r>
          </w:p>
        </w:tc>
        <w:tc>
          <w:tcPr>
            <w:tcW w:w="1220" w:type="dxa"/>
            <w:vAlign w:val="bottom"/>
            <w:tcBorders>
              <w:top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12,024</w:t>
            </w:r>
          </w:p>
        </w:tc>
        <w:tc>
          <w:tcPr>
            <w:tcW w:w="4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0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20"/>
                <w:szCs w:val="20"/>
                <w:color w:val="auto"/>
              </w:rPr>
              <w:t>(11,105)</w:t>
            </w:r>
          </w:p>
        </w:tc>
        <w:tc>
          <w:tcPr>
            <w:tcW w:w="420" w:type="dxa"/>
            <w:vAlign w:val="bottom"/>
            <w:tcBorders>
              <w:top w:val="single" w:sz="8" w:color="auto"/>
            </w:tcBorders>
            <w:gridSpan w:val="2"/>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919</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20" w:type="dxa"/>
            <w:vAlign w:val="bottom"/>
          </w:tcPr>
          <w:p>
            <w:pPr>
              <w:spacing w:after="0"/>
              <w:rPr>
                <w:sz w:val="20"/>
                <w:szCs w:val="20"/>
                <w:color w:val="auto"/>
              </w:rPr>
            </w:pPr>
            <w:r>
              <w:rPr>
                <w:rFonts w:ascii="Arial" w:cs="Arial" w:eastAsia="Arial" w:hAnsi="Arial"/>
                <w:sz w:val="20"/>
                <w:szCs w:val="20"/>
                <w:color w:val="auto"/>
              </w:rPr>
              <w:t>Customer relationships</w:t>
            </w: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56,530</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4"/>
          </w:tcPr>
          <w:p>
            <w:pPr>
              <w:jc w:val="right"/>
              <w:spacing w:after="0"/>
              <w:rPr>
                <w:sz w:val="20"/>
                <w:szCs w:val="20"/>
                <w:color w:val="auto"/>
              </w:rPr>
            </w:pPr>
            <w:r>
              <w:rPr>
                <w:rFonts w:ascii="Arial" w:cs="Arial" w:eastAsia="Arial" w:hAnsi="Arial"/>
                <w:sz w:val="20"/>
                <w:szCs w:val="20"/>
                <w:color w:val="auto"/>
              </w:rPr>
              <w:t>(18,325)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38,205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20"/>
                <w:szCs w:val="20"/>
                <w:color w:val="auto"/>
              </w:rPr>
              <w:t>Operating permits</w:t>
            </w: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458,952</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gridSpan w:val="4"/>
            <w:shd w:val="clear" w:color="auto" w:fill="CFF0FC"/>
          </w:tcPr>
          <w:p>
            <w:pPr>
              <w:jc w:val="right"/>
              <w:spacing w:after="0"/>
              <w:rPr>
                <w:sz w:val="20"/>
                <w:szCs w:val="20"/>
                <w:color w:val="auto"/>
              </w:rPr>
            </w:pPr>
            <w:r>
              <w:rPr>
                <w:rFonts w:ascii="Arial" w:cs="Arial" w:eastAsia="Arial" w:hAnsi="Arial"/>
                <w:sz w:val="20"/>
                <w:szCs w:val="20"/>
                <w:color w:val="auto"/>
              </w:rPr>
              <w:t>(31,375)</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427,577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20" w:type="dxa"/>
            <w:vAlign w:val="bottom"/>
          </w:tcPr>
          <w:p>
            <w:pPr>
              <w:spacing w:after="0"/>
              <w:rPr>
                <w:sz w:val="20"/>
                <w:szCs w:val="20"/>
                <w:color w:val="auto"/>
              </w:rPr>
            </w:pPr>
            <w:r>
              <w:rPr>
                <w:rFonts w:ascii="Arial" w:cs="Arial" w:eastAsia="Arial" w:hAnsi="Arial"/>
                <w:sz w:val="20"/>
                <w:szCs w:val="20"/>
                <w:color w:val="auto"/>
              </w:rPr>
              <w:t>Use rights and other</w:t>
            </w: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19,564</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4"/>
          </w:tcPr>
          <w:p>
            <w:pPr>
              <w:jc w:val="right"/>
              <w:spacing w:after="0"/>
              <w:rPr>
                <w:sz w:val="20"/>
                <w:szCs w:val="20"/>
                <w:color w:val="auto"/>
              </w:rPr>
            </w:pPr>
            <w:r>
              <w:rPr>
                <w:rFonts w:ascii="Arial" w:cs="Arial" w:eastAsia="Arial" w:hAnsi="Arial"/>
                <w:sz w:val="20"/>
                <w:szCs w:val="20"/>
                <w:color w:val="auto"/>
              </w:rPr>
              <w:t>(10,789)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8,775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20"/>
                <w:szCs w:val="20"/>
                <w:color w:val="auto"/>
              </w:rPr>
              <w:t>Trade names</w:t>
            </w: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12,800</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gridSpan w:val="4"/>
            <w:shd w:val="clear" w:color="auto" w:fill="CFF0FC"/>
          </w:tcPr>
          <w:p>
            <w:pPr>
              <w:jc w:val="right"/>
              <w:spacing w:after="0"/>
              <w:rPr>
                <w:sz w:val="20"/>
                <w:szCs w:val="20"/>
                <w:color w:val="auto"/>
              </w:rPr>
            </w:pPr>
            <w:r>
              <w:rPr>
                <w:rFonts w:ascii="Arial" w:cs="Arial" w:eastAsia="Arial" w:hAnsi="Arial"/>
                <w:sz w:val="20"/>
                <w:szCs w:val="20"/>
                <w:color w:val="auto"/>
              </w:rPr>
              <w:t>(9,387)</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3,413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2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Total</w:t>
            </w:r>
          </w:p>
        </w:tc>
        <w:tc>
          <w:tcPr>
            <w:tcW w:w="122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20"/>
                <w:szCs w:val="20"/>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559,870</w:t>
            </w: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20"/>
                <w:szCs w:val="20"/>
                <w:color w:val="auto"/>
              </w:rPr>
              <w:t>(80,981)</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478,889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Borders>
              <w:bottom w:val="single" w:sz="8" w:color="auto"/>
            </w:tcBorders>
            <w:gridSpan w:val="2"/>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20" w:type="dxa"/>
            <w:vAlign w:val="bottom"/>
          </w:tcPr>
          <w:p>
            <w:pPr>
              <w:spacing w:after="0"/>
              <w:rPr>
                <w:sz w:val="24"/>
                <w:szCs w:val="24"/>
                <w:color w:val="auto"/>
              </w:rPr>
            </w:pPr>
          </w:p>
        </w:tc>
        <w:tc>
          <w:tcPr>
            <w:tcW w:w="8200" w:type="dxa"/>
            <w:vAlign w:val="bottom"/>
            <w:gridSpan w:val="6"/>
          </w:tcPr>
          <w:p>
            <w:pPr>
              <w:ind w:left="360"/>
              <w:spacing w:after="0"/>
              <w:rPr>
                <w:sz w:val="20"/>
                <w:szCs w:val="20"/>
                <w:color w:val="auto"/>
              </w:rPr>
            </w:pPr>
            <w:r>
              <w:rPr>
                <w:rFonts w:ascii="Arial" w:cs="Arial" w:eastAsia="Arial" w:hAnsi="Arial"/>
                <w:sz w:val="20"/>
                <w:szCs w:val="20"/>
                <w:color w:val="auto"/>
                <w:w w:val="89"/>
              </w:rPr>
              <w:t>Intangible assets deemed to have an indefinite life and not being amortized consist of the following:</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center"/>
              <w:ind w:right="141"/>
              <w:spacing w:after="0"/>
              <w:rPr>
                <w:sz w:val="20"/>
                <w:szCs w:val="20"/>
                <w:color w:val="auto"/>
              </w:rPr>
            </w:pPr>
            <w:r>
              <w:rPr>
                <w:rFonts w:ascii="Arial" w:cs="Arial" w:eastAsia="Arial" w:hAnsi="Arial"/>
                <w:sz w:val="20"/>
                <w:szCs w:val="20"/>
                <w:color w:val="auto"/>
                <w:w w:val="95"/>
              </w:rPr>
              <w:t>Building</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center"/>
              <w:ind w:right="141"/>
              <w:spacing w:after="0"/>
              <w:rPr>
                <w:sz w:val="20"/>
                <w:szCs w:val="20"/>
                <w:color w:val="auto"/>
              </w:rPr>
            </w:pPr>
            <w:r>
              <w:rPr>
                <w:rFonts w:ascii="Arial" w:cs="Arial" w:eastAsia="Arial" w:hAnsi="Arial"/>
                <w:sz w:val="20"/>
                <w:szCs w:val="20"/>
                <w:color w:val="auto"/>
                <w:w w:val="93"/>
              </w:rPr>
              <w:t>Materials</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4"/>
          </w:tcPr>
          <w:p>
            <w:pPr>
              <w:jc w:val="center"/>
              <w:ind w:right="220"/>
              <w:spacing w:after="0"/>
              <w:rPr>
                <w:sz w:val="20"/>
                <w:szCs w:val="20"/>
                <w:color w:val="auto"/>
              </w:rPr>
            </w:pPr>
            <w:r>
              <w:rPr>
                <w:rFonts w:ascii="Arial" w:cs="Arial" w:eastAsia="Arial" w:hAnsi="Arial"/>
                <w:sz w:val="20"/>
                <w:szCs w:val="20"/>
                <w:color w:val="auto"/>
                <w:w w:val="89"/>
              </w:rPr>
              <w:t>Magnesia</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center"/>
              <w:ind w:right="161"/>
              <w:spacing w:after="0"/>
              <w:rPr>
                <w:sz w:val="20"/>
                <w:szCs w:val="20"/>
                <w:color w:val="auto"/>
              </w:rPr>
            </w:pPr>
            <w:r>
              <w:rPr>
                <w:rFonts w:ascii="Arial" w:cs="Arial" w:eastAsia="Arial" w:hAnsi="Arial"/>
                <w:sz w:val="20"/>
                <w:szCs w:val="20"/>
                <w:color w:val="auto"/>
                <w:w w:val="86"/>
              </w:rPr>
              <w:t>Business</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4"/>
          </w:tcPr>
          <w:p>
            <w:pPr>
              <w:jc w:val="center"/>
              <w:ind w:right="220"/>
              <w:spacing w:after="0"/>
              <w:rPr>
                <w:sz w:val="20"/>
                <w:szCs w:val="20"/>
                <w:color w:val="auto"/>
              </w:rPr>
            </w:pPr>
            <w:r>
              <w:rPr>
                <w:rFonts w:ascii="Arial" w:cs="Arial" w:eastAsia="Arial" w:hAnsi="Arial"/>
                <w:sz w:val="20"/>
                <w:szCs w:val="20"/>
                <w:color w:val="auto"/>
                <w:w w:val="88"/>
              </w:rPr>
              <w:t>Specialties</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20"/>
                <w:szCs w:val="20"/>
                <w:color w:val="auto"/>
                <w:w w:val="89"/>
              </w:rPr>
              <w:t>Total</w:t>
            </w:r>
          </w:p>
        </w:tc>
        <w:tc>
          <w:tcPr>
            <w:tcW w:w="0" w:type="dxa"/>
            <w:vAlign w:val="bottom"/>
          </w:tcPr>
          <w:p>
            <w:pPr>
              <w:spacing w:after="0"/>
              <w:rPr>
                <w:sz w:val="1"/>
                <w:szCs w:val="1"/>
                <w:color w:val="auto"/>
              </w:rPr>
            </w:pPr>
          </w:p>
        </w:tc>
      </w:tr>
      <w:tr>
        <w:trPr>
          <w:trHeight w:val="237"/>
        </w:trPr>
        <w:tc>
          <w:tcPr>
            <w:tcW w:w="5340" w:type="dxa"/>
            <w:vAlign w:val="bottom"/>
            <w:gridSpan w:val="2"/>
          </w:tcPr>
          <w:p>
            <w:pPr>
              <w:spacing w:after="0"/>
              <w:rPr>
                <w:sz w:val="20"/>
                <w:szCs w:val="20"/>
                <w:color w:val="auto"/>
              </w:rPr>
            </w:pPr>
            <w:r>
              <w:rPr>
                <w:rFonts w:ascii="Arial" w:cs="Arial" w:eastAsia="Arial" w:hAnsi="Arial"/>
                <w:sz w:val="20"/>
                <w:szCs w:val="20"/>
                <w:i w:val="1"/>
                <w:iCs w:val="1"/>
                <w:color w:val="auto"/>
              </w:rPr>
              <w:t>(Dollars in Thousands)</w:t>
            </w:r>
          </w:p>
        </w:tc>
        <w:tc>
          <w:tcPr>
            <w:tcW w:w="9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gridSpan w:val="6"/>
          </w:tcPr>
          <w:p>
            <w:pPr>
              <w:jc w:val="center"/>
              <w:ind w:left="101"/>
              <w:spacing w:after="0"/>
              <w:rPr>
                <w:sz w:val="20"/>
                <w:szCs w:val="20"/>
                <w:color w:val="auto"/>
              </w:rPr>
            </w:pPr>
            <w:r>
              <w:rPr>
                <w:rFonts w:ascii="Arial" w:cs="Arial" w:eastAsia="Arial" w:hAnsi="Arial"/>
                <w:sz w:val="20"/>
                <w:szCs w:val="20"/>
                <w:color w:val="auto"/>
                <w:w w:val="87"/>
              </w:rPr>
              <w:t>September 30, 2018</w:t>
            </w:r>
          </w:p>
        </w:tc>
        <w:tc>
          <w:tcPr>
            <w:tcW w:w="2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20"/>
                <w:szCs w:val="20"/>
                <w:color w:val="auto"/>
              </w:rPr>
              <w:t>Operating permits</w:t>
            </w:r>
          </w:p>
        </w:tc>
        <w:tc>
          <w:tcPr>
            <w:tcW w:w="1220" w:type="dxa"/>
            <w:vAlign w:val="bottom"/>
            <w:tcBorders>
              <w:top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6,600</w:t>
            </w:r>
          </w:p>
        </w:tc>
        <w:tc>
          <w:tcPr>
            <w:tcW w:w="4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20" w:type="dxa"/>
            <w:vAlign w:val="bottom"/>
            <w:tcBorders>
              <w:top w:val="single" w:sz="8" w:color="auto"/>
            </w:tcBorders>
            <w:shd w:val="clear" w:color="auto" w:fill="CFF0FC"/>
          </w:tcPr>
          <w:p>
            <w:pPr>
              <w:spacing w:after="0"/>
              <w:rPr>
                <w:sz w:val="20"/>
                <w:szCs w:val="20"/>
                <w:color w:val="auto"/>
              </w:rPr>
            </w:pPr>
          </w:p>
        </w:tc>
        <w:tc>
          <w:tcPr>
            <w:tcW w:w="380" w:type="dxa"/>
            <w:vAlign w:val="bottom"/>
            <w:tcBorders>
              <w:top w:val="single" w:sz="8" w:color="auto"/>
            </w:tcBorders>
            <w:gridSpan w:val="3"/>
            <w:shd w:val="clear" w:color="auto" w:fill="CFF0FC"/>
          </w:tcPr>
          <w:p>
            <w:pPr>
              <w:jc w:val="right"/>
              <w:ind w:right="80"/>
              <w:spacing w:after="0"/>
              <w:rPr>
                <w:sz w:val="20"/>
                <w:szCs w:val="20"/>
                <w:color w:val="auto"/>
              </w:rPr>
            </w:pPr>
            <w:r>
              <w:rPr>
                <w:rFonts w:ascii="Arial" w:cs="Arial" w:eastAsia="Arial" w:hAnsi="Arial"/>
                <w:sz w:val="20"/>
                <w:szCs w:val="20"/>
                <w:color w:val="auto"/>
              </w:rPr>
              <w:t>—</w:t>
            </w:r>
          </w:p>
        </w:tc>
        <w:tc>
          <w:tcPr>
            <w:tcW w:w="420" w:type="dxa"/>
            <w:vAlign w:val="bottom"/>
            <w:tcBorders>
              <w:top w:val="single" w:sz="8" w:color="auto"/>
            </w:tcBorders>
            <w:gridSpan w:val="2"/>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6,600</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20" w:type="dxa"/>
            <w:vAlign w:val="bottom"/>
          </w:tcPr>
          <w:p>
            <w:pPr>
              <w:spacing w:after="0"/>
              <w:rPr>
                <w:sz w:val="20"/>
                <w:szCs w:val="20"/>
                <w:color w:val="auto"/>
              </w:rPr>
            </w:pPr>
            <w:r>
              <w:rPr>
                <w:rFonts w:ascii="Arial" w:cs="Arial" w:eastAsia="Arial" w:hAnsi="Arial"/>
                <w:sz w:val="20"/>
                <w:szCs w:val="20"/>
                <w:color w:val="auto"/>
              </w:rPr>
              <w:t>Use rights</w:t>
            </w: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20,642</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gridSpan w:val="3"/>
          </w:tcPr>
          <w:p>
            <w:pPr>
              <w:jc w:val="right"/>
              <w:ind w:right="8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20,642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Trade names</w:t>
            </w:r>
          </w:p>
        </w:tc>
        <w:tc>
          <w:tcPr>
            <w:tcW w:w="98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280</w:t>
            </w:r>
          </w:p>
        </w:tc>
        <w:tc>
          <w:tcPr>
            <w:tcW w:w="28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20"/>
                <w:szCs w:val="20"/>
                <w:color w:val="auto"/>
              </w:rPr>
              <w:t>2,565</w:t>
            </w: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2,845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w:t>
            </w:r>
          </w:p>
        </w:tc>
        <w:tc>
          <w:tcPr>
            <w:tcW w:w="12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27,522</w:t>
            </w:r>
          </w:p>
        </w:tc>
        <w:tc>
          <w:tcPr>
            <w:tcW w:w="2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20"/>
                <w:szCs w:val="20"/>
                <w:color w:val="auto"/>
              </w:rPr>
              <w:t>2,565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30,087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20" w:type="dxa"/>
            <w:vAlign w:val="bottom"/>
          </w:tcPr>
          <w:p>
            <w:pPr>
              <w:spacing w:after="0"/>
              <w:rPr>
                <w:sz w:val="24"/>
                <w:szCs w:val="24"/>
                <w:color w:val="auto"/>
              </w:rPr>
            </w:pPr>
          </w:p>
        </w:tc>
        <w:tc>
          <w:tcPr>
            <w:tcW w:w="5320" w:type="dxa"/>
            <w:vAlign w:val="bottom"/>
          </w:tcPr>
          <w:p>
            <w:pPr>
              <w:ind w:left="360"/>
              <w:spacing w:after="0"/>
              <w:rPr>
                <w:sz w:val="20"/>
                <w:szCs w:val="20"/>
                <w:color w:val="auto"/>
              </w:rPr>
            </w:pPr>
            <w:r>
              <w:rPr>
                <w:rFonts w:ascii="Arial" w:cs="Arial" w:eastAsia="Arial" w:hAnsi="Arial"/>
                <w:sz w:val="20"/>
                <w:szCs w:val="20"/>
                <w:color w:val="auto"/>
              </w:rPr>
              <w:t>Intangibles acquired during the year are as follows:</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0" w:type="dxa"/>
            <w:vAlign w:val="bottom"/>
            <w:gridSpan w:val="4"/>
          </w:tcPr>
          <w:p>
            <w:pPr>
              <w:jc w:val="center"/>
              <w:ind w:right="80"/>
              <w:spacing w:after="0"/>
              <w:rPr>
                <w:sz w:val="20"/>
                <w:szCs w:val="20"/>
                <w:color w:val="auto"/>
              </w:rPr>
            </w:pPr>
            <w:r>
              <w:rPr>
                <w:rFonts w:ascii="Arial" w:cs="Arial" w:eastAsia="Arial" w:hAnsi="Arial"/>
                <w:sz w:val="20"/>
                <w:szCs w:val="20"/>
                <w:b w:val="1"/>
                <w:bCs w:val="1"/>
                <w:color w:val="auto"/>
                <w:w w:val="88"/>
              </w:rPr>
              <w:t>Weighted-average</w:t>
            </w:r>
          </w:p>
        </w:tc>
        <w:tc>
          <w:tcPr>
            <w:tcW w:w="0" w:type="dxa"/>
            <w:vAlign w:val="bottom"/>
          </w:tcPr>
          <w:p>
            <w:pPr>
              <w:spacing w:after="0"/>
              <w:rPr>
                <w:sz w:val="1"/>
                <w:szCs w:val="1"/>
                <w:color w:val="auto"/>
              </w:rPr>
            </w:pPr>
          </w:p>
        </w:tc>
      </w:tr>
      <w:tr>
        <w:trPr>
          <w:trHeight w:val="252"/>
        </w:trPr>
        <w:tc>
          <w:tcPr>
            <w:tcW w:w="5340" w:type="dxa"/>
            <w:vAlign w:val="bottom"/>
            <w:gridSpan w:val="2"/>
          </w:tcPr>
          <w:p>
            <w:pPr>
              <w:spacing w:after="0"/>
              <w:rPr>
                <w:sz w:val="20"/>
                <w:szCs w:val="20"/>
                <w:color w:val="auto"/>
              </w:rPr>
            </w:pPr>
            <w:r>
              <w:rPr>
                <w:rFonts w:ascii="Arial" w:cs="Arial" w:eastAsia="Arial" w:hAnsi="Arial"/>
                <w:sz w:val="20"/>
                <w:szCs w:val="20"/>
                <w:i w:val="1"/>
                <w:iCs w:val="1"/>
                <w:color w:val="auto"/>
              </w:rPr>
              <w:t>(Dollars in Thousands)</w:t>
            </w: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20" w:type="dxa"/>
            <w:vAlign w:val="bottom"/>
            <w:gridSpan w:val="6"/>
          </w:tcPr>
          <w:p>
            <w:pPr>
              <w:jc w:val="right"/>
              <w:ind w:right="920"/>
              <w:spacing w:after="0"/>
              <w:rPr>
                <w:sz w:val="20"/>
                <w:szCs w:val="20"/>
                <w:color w:val="auto"/>
              </w:rPr>
            </w:pPr>
            <w:r>
              <w:rPr>
                <w:rFonts w:ascii="Arial" w:cs="Arial" w:eastAsia="Arial" w:hAnsi="Arial"/>
                <w:sz w:val="20"/>
                <w:szCs w:val="20"/>
                <w:b w:val="1"/>
                <w:bCs w:val="1"/>
                <w:color w:val="auto"/>
              </w:rPr>
              <w:t>Amount</w:t>
            </w:r>
          </w:p>
        </w:tc>
        <w:tc>
          <w:tcPr>
            <w:tcW w:w="1800" w:type="dxa"/>
            <w:vAlign w:val="bottom"/>
            <w:gridSpan w:val="4"/>
          </w:tcPr>
          <w:p>
            <w:pPr>
              <w:jc w:val="center"/>
              <w:ind w:right="80"/>
              <w:spacing w:after="0"/>
              <w:rPr>
                <w:sz w:val="20"/>
                <w:szCs w:val="20"/>
                <w:color w:val="auto"/>
              </w:rPr>
            </w:pPr>
            <w:r>
              <w:rPr>
                <w:rFonts w:ascii="Arial" w:cs="Arial" w:eastAsia="Arial" w:hAnsi="Arial"/>
                <w:sz w:val="20"/>
                <w:szCs w:val="20"/>
                <w:b w:val="1"/>
                <w:bCs w:val="1"/>
                <w:color w:val="auto"/>
                <w:w w:val="90"/>
              </w:rPr>
              <w:t>amortization period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20"/>
                <w:szCs w:val="20"/>
                <w:color w:val="auto"/>
              </w:rPr>
              <w:t>Subject to amortization:</w:t>
            </w:r>
          </w:p>
        </w:tc>
        <w:tc>
          <w:tcPr>
            <w:tcW w:w="98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6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20" w:type="dxa"/>
            <w:vAlign w:val="bottom"/>
          </w:tcPr>
          <w:p>
            <w:pPr>
              <w:ind w:left="240"/>
              <w:spacing w:after="0"/>
              <w:rPr>
                <w:sz w:val="20"/>
                <w:szCs w:val="20"/>
                <w:color w:val="auto"/>
              </w:rPr>
            </w:pPr>
            <w:r>
              <w:rPr>
                <w:rFonts w:ascii="Arial" w:cs="Arial" w:eastAsia="Arial" w:hAnsi="Arial"/>
                <w:sz w:val="20"/>
                <w:szCs w:val="20"/>
                <w:color w:val="auto"/>
              </w:rPr>
              <w:t>Customer relationships</w:t>
            </w: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20,620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20"/>
                <w:szCs w:val="20"/>
                <w:color w:val="auto"/>
                <w:w w:val="88"/>
              </w:rPr>
              <w:t>12 years</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3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320" w:type="dxa"/>
            <w:vAlign w:val="bottom"/>
          </w:tcPr>
          <w:p>
            <w:pPr>
              <w:spacing w:after="0"/>
              <w:rPr>
                <w:sz w:val="20"/>
                <w:szCs w:val="20"/>
                <w:color w:val="auto"/>
              </w:rPr>
            </w:pPr>
            <w:r>
              <w:rPr>
                <w:rFonts w:ascii="Arial" w:cs="Arial" w:eastAsia="Arial" w:hAnsi="Arial"/>
                <w:sz w:val="20"/>
                <w:szCs w:val="20"/>
                <w:color w:val="auto"/>
              </w:rPr>
              <w:t>Not subject to amortization:</w:t>
            </w: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2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20"/>
                <w:szCs w:val="20"/>
                <w:color w:val="auto"/>
              </w:rPr>
              <w:t>Water rights</w:t>
            </w:r>
          </w:p>
        </w:tc>
        <w:tc>
          <w:tcPr>
            <w:tcW w:w="98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1,100</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center"/>
              <w:ind w:right="480"/>
              <w:spacing w:after="0"/>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w:t>
            </w: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color w:val="auto"/>
              </w:rPr>
              <w:t>$</w:t>
            </w: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21,720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21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2018</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180" w:lineRule="exact"/>
        <w:rPr>
          <w:sz w:val="20"/>
          <w:szCs w:val="20"/>
          <w:color w:val="auto"/>
        </w:rPr>
      </w:pPr>
    </w:p>
    <w:p>
      <w:pPr>
        <w:ind w:left="380" w:hanging="372"/>
        <w:spacing w:after="0"/>
        <w:tabs>
          <w:tab w:leader="none" w:pos="38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Goodwill and Other Intangibles (continued)</w:t>
      </w:r>
    </w:p>
    <w:p>
      <w:pPr>
        <w:spacing w:after="0" w:line="113"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Total amortization expense for intangible assets for the nine-months ended September 30, 2018 and 2017 was $10,549,000 and $10,710,000, respectively.</w:t>
      </w:r>
    </w:p>
    <w:p>
      <w:pPr>
        <w:spacing w:after="0" w:line="68"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The estimated amortization expense for intangible assets for the last three months of 2018 and for each of the next four years and thereafter is as follows: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(Dollars 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8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October - December 2018</w:t>
            </w:r>
          </w:p>
        </w:tc>
        <w:tc>
          <w:tcPr>
            <w:tcW w:w="18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81"/>
              <w:spacing w:after="0"/>
              <w:rPr>
                <w:sz w:val="20"/>
                <w:szCs w:val="20"/>
                <w:color w:val="auto"/>
              </w:rPr>
            </w:pPr>
            <w:r>
              <w:rPr>
                <w:rFonts w:ascii="Arial" w:cs="Arial" w:eastAsia="Arial" w:hAnsi="Arial"/>
                <w:sz w:val="20"/>
                <w:szCs w:val="20"/>
                <w:color w:val="auto"/>
              </w:rPr>
              <w:t>$</w:t>
            </w:r>
          </w:p>
        </w:tc>
        <w:tc>
          <w:tcPr>
            <w:tcW w:w="2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3,398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20"/>
                <w:szCs w:val="20"/>
                <w:color w:val="auto"/>
              </w:rPr>
              <w:t>2019</w:t>
            </w:r>
          </w:p>
        </w:tc>
        <w:tc>
          <w:tcPr>
            <w:tcW w:w="18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13,429</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860" w:type="dxa"/>
            <w:vAlign w:val="bottom"/>
          </w:tcPr>
          <w:p>
            <w:pPr>
              <w:spacing w:after="0"/>
              <w:rPr>
                <w:sz w:val="20"/>
                <w:szCs w:val="20"/>
                <w:color w:val="auto"/>
              </w:rPr>
            </w:pPr>
            <w:r>
              <w:rPr>
                <w:rFonts w:ascii="Arial" w:cs="Arial" w:eastAsia="Arial" w:hAnsi="Arial"/>
                <w:sz w:val="20"/>
                <w:szCs w:val="20"/>
                <w:color w:val="auto"/>
              </w:rPr>
              <w:t>2020</w:t>
            </w:r>
          </w:p>
        </w:tc>
        <w:tc>
          <w:tcPr>
            <w:tcW w:w="1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13,393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20"/>
                <w:szCs w:val="20"/>
                <w:color w:val="auto"/>
              </w:rPr>
              <w:t>2021</w:t>
            </w:r>
          </w:p>
        </w:tc>
        <w:tc>
          <w:tcPr>
            <w:tcW w:w="18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12,703</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860" w:type="dxa"/>
            <w:vAlign w:val="bottom"/>
          </w:tcPr>
          <w:p>
            <w:pPr>
              <w:spacing w:after="0"/>
              <w:rPr>
                <w:sz w:val="20"/>
                <w:szCs w:val="20"/>
                <w:color w:val="auto"/>
              </w:rPr>
            </w:pPr>
            <w:r>
              <w:rPr>
                <w:rFonts w:ascii="Arial" w:cs="Arial" w:eastAsia="Arial" w:hAnsi="Arial"/>
                <w:sz w:val="20"/>
                <w:szCs w:val="20"/>
                <w:color w:val="auto"/>
              </w:rPr>
              <w:t>2022</w:t>
            </w:r>
          </w:p>
        </w:tc>
        <w:tc>
          <w:tcPr>
            <w:tcW w:w="1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11,232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8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20"/>
                <w:szCs w:val="20"/>
                <w:color w:val="auto"/>
              </w:rPr>
              <w:t>Thereafter</w:t>
            </w:r>
          </w:p>
        </w:tc>
        <w:tc>
          <w:tcPr>
            <w:tcW w:w="188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424,734</w:t>
            </w: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Total</w:t>
            </w:r>
          </w:p>
        </w:tc>
        <w:tc>
          <w:tcPr>
            <w:tcW w:w="18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w:t>
            </w:r>
          </w:p>
        </w:tc>
        <w:tc>
          <w:tcPr>
            <w:tcW w:w="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478,889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60"/>
        </w:trPr>
        <w:tc>
          <w:tcPr>
            <w:tcW w:w="4880" w:type="dxa"/>
            <w:vAlign w:val="bottom"/>
            <w:gridSpan w:val="2"/>
          </w:tcPr>
          <w:p>
            <w:pPr>
              <w:spacing w:after="0"/>
              <w:rPr>
                <w:sz w:val="20"/>
                <w:szCs w:val="20"/>
                <w:color w:val="auto"/>
              </w:rPr>
            </w:pPr>
            <w:r>
              <w:rPr>
                <w:rFonts w:ascii="Arial" w:cs="Arial" w:eastAsia="Arial" w:hAnsi="Arial"/>
                <w:sz w:val="20"/>
                <w:szCs w:val="20"/>
                <w:b w:val="1"/>
                <w:bCs w:val="1"/>
                <w:color w:val="auto"/>
              </w:rPr>
              <w:t>5.  Inventories, Net</w:t>
            </w:r>
          </w:p>
        </w:tc>
        <w:tc>
          <w:tcPr>
            <w:tcW w:w="1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0"/>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500" w:type="dxa"/>
            <w:vAlign w:val="bottom"/>
            <w:gridSpan w:val="3"/>
          </w:tcPr>
          <w:p>
            <w:pPr>
              <w:jc w:val="right"/>
              <w:ind w:right="161"/>
              <w:spacing w:after="0"/>
              <w:rPr>
                <w:sz w:val="20"/>
                <w:szCs w:val="20"/>
                <w:color w:val="auto"/>
              </w:rPr>
            </w:pPr>
            <w:r>
              <w:rPr>
                <w:rFonts w:ascii="Arial" w:cs="Arial" w:eastAsia="Arial" w:hAnsi="Arial"/>
                <w:sz w:val="20"/>
                <w:szCs w:val="20"/>
                <w:color w:val="auto"/>
                <w:w w:val="92"/>
              </w:rPr>
              <w:t>September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20"/>
                <w:szCs w:val="20"/>
                <w:color w:val="auto"/>
                <w:w w:val="87"/>
              </w:rPr>
              <w:t>December 31,</w:t>
            </w:r>
          </w:p>
        </w:tc>
        <w:tc>
          <w:tcPr>
            <w:tcW w:w="1460" w:type="dxa"/>
            <w:vAlign w:val="bottom"/>
            <w:gridSpan w:val="4"/>
          </w:tcPr>
          <w:p>
            <w:pPr>
              <w:jc w:val="right"/>
              <w:ind w:right="220"/>
              <w:spacing w:after="0"/>
              <w:rPr>
                <w:sz w:val="20"/>
                <w:szCs w:val="20"/>
                <w:color w:val="auto"/>
              </w:rPr>
            </w:pPr>
            <w:r>
              <w:rPr>
                <w:rFonts w:ascii="Arial" w:cs="Arial" w:eastAsia="Arial" w:hAnsi="Arial"/>
                <w:sz w:val="20"/>
                <w:szCs w:val="20"/>
                <w:color w:val="auto"/>
                <w:w w:val="92"/>
              </w:rPr>
              <w:t>September 30,</w:t>
            </w:r>
          </w:p>
        </w:tc>
      </w:tr>
      <w:tr>
        <w:trPr>
          <w:trHeight w:val="246"/>
        </w:trPr>
        <w:tc>
          <w:tcPr>
            <w:tcW w:w="2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2018</w:t>
            </w: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2017</w:t>
            </w:r>
          </w:p>
        </w:tc>
        <w:tc>
          <w:tcPr>
            <w:tcW w:w="2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2017</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60" w:type="dxa"/>
            <w:vAlign w:val="bottom"/>
            <w:gridSpan w:val="5"/>
          </w:tcPr>
          <w:p>
            <w:pPr>
              <w:jc w:val="right"/>
              <w:spacing w:after="0"/>
              <w:rPr>
                <w:sz w:val="20"/>
                <w:szCs w:val="20"/>
                <w:color w:val="auto"/>
              </w:rPr>
            </w:pPr>
            <w:r>
              <w:rPr>
                <w:rFonts w:ascii="Arial" w:cs="Arial" w:eastAsia="Arial" w:hAnsi="Arial"/>
                <w:sz w:val="20"/>
                <w:szCs w:val="20"/>
                <w:i w:val="1"/>
                <w:iCs w:val="1"/>
                <w:color w:val="auto"/>
                <w:w w:val="91"/>
              </w:rPr>
              <w:t>(Dollars in Thousands)</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20"/>
                <w:szCs w:val="20"/>
                <w:color w:val="auto"/>
              </w:rPr>
              <w:t>Finished products</w:t>
            </w:r>
          </w:p>
        </w:tc>
        <w:tc>
          <w:tcPr>
            <w:tcW w:w="2160" w:type="dxa"/>
            <w:vAlign w:val="bottom"/>
            <w:gridSpan w:val="2"/>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610,663</w:t>
            </w:r>
          </w:p>
        </w:tc>
        <w:tc>
          <w:tcPr>
            <w:tcW w:w="16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552,999</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71"/>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526,404</w:t>
            </w:r>
          </w:p>
        </w:tc>
        <w:tc>
          <w:tcPr>
            <w:tcW w:w="100" w:type="dxa"/>
            <w:vAlign w:val="bottom"/>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860" w:type="dxa"/>
            <w:vAlign w:val="bottom"/>
          </w:tcPr>
          <w:p>
            <w:pPr>
              <w:spacing w:after="0"/>
              <w:rPr>
                <w:sz w:val="20"/>
                <w:szCs w:val="20"/>
                <w:color w:val="auto"/>
              </w:rPr>
            </w:pPr>
            <w:r>
              <w:rPr>
                <w:rFonts w:ascii="Arial" w:cs="Arial" w:eastAsia="Arial" w:hAnsi="Arial"/>
                <w:sz w:val="20"/>
                <w:szCs w:val="20"/>
                <w:color w:val="auto"/>
              </w:rPr>
              <w:t>Products in process and raw materials</w:t>
            </w:r>
          </w:p>
        </w:tc>
        <w:tc>
          <w:tcPr>
            <w:tcW w:w="1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61,891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62,761</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20"/>
                <w:szCs w:val="20"/>
                <w:color w:val="auto"/>
              </w:rPr>
              <w:t>62,449</w:t>
            </w: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20"/>
                <w:szCs w:val="20"/>
                <w:color w:val="auto"/>
              </w:rPr>
              <w:t>Supplies and expendable parts</w:t>
            </w:r>
          </w:p>
        </w:tc>
        <w:tc>
          <w:tcPr>
            <w:tcW w:w="188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139,409</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128,792</w:t>
            </w:r>
          </w:p>
        </w:tc>
        <w:tc>
          <w:tcPr>
            <w:tcW w:w="26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126,918</w:t>
            </w:r>
          </w:p>
        </w:tc>
        <w:tc>
          <w:tcPr>
            <w:tcW w:w="100" w:type="dxa"/>
            <w:vAlign w:val="bottom"/>
            <w:shd w:val="clear" w:color="auto" w:fill="CFF0FC"/>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811,963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744,552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20"/>
                <w:szCs w:val="20"/>
                <w:color w:val="auto"/>
              </w:rPr>
              <w:t>715,771</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860" w:type="dxa"/>
            <w:vAlign w:val="bottom"/>
            <w:shd w:val="clear" w:color="auto" w:fill="CFF0FC"/>
          </w:tcPr>
          <w:p>
            <w:pPr>
              <w:spacing w:after="0"/>
              <w:rPr>
                <w:sz w:val="20"/>
                <w:szCs w:val="20"/>
                <w:color w:val="auto"/>
              </w:rPr>
            </w:pPr>
            <w:r>
              <w:rPr>
                <w:rFonts w:ascii="Arial" w:cs="Arial" w:eastAsia="Arial" w:hAnsi="Arial"/>
                <w:sz w:val="20"/>
                <w:szCs w:val="20"/>
                <w:color w:val="auto"/>
              </w:rPr>
              <w:t>Less: Allowances</w:t>
            </w:r>
          </w:p>
        </w:tc>
        <w:tc>
          <w:tcPr>
            <w:tcW w:w="18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
              <w:spacing w:after="0"/>
              <w:rPr>
                <w:sz w:val="20"/>
                <w:szCs w:val="20"/>
                <w:color w:val="auto"/>
              </w:rPr>
            </w:pPr>
            <w:r>
              <w:rPr>
                <w:rFonts w:ascii="Arial" w:cs="Arial" w:eastAsia="Arial" w:hAnsi="Arial"/>
                <w:sz w:val="20"/>
                <w:szCs w:val="20"/>
                <w:color w:val="auto"/>
              </w:rPr>
              <w:t>(160,668)</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(143,961)</w:t>
            </w:r>
          </w:p>
        </w:tc>
        <w:tc>
          <w:tcPr>
            <w:tcW w:w="28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40"/>
              <w:spacing w:after="0"/>
              <w:rPr>
                <w:sz w:val="20"/>
                <w:szCs w:val="20"/>
                <w:color w:val="auto"/>
              </w:rPr>
            </w:pPr>
            <w:r>
              <w:rPr>
                <w:rFonts w:ascii="Arial" w:cs="Arial" w:eastAsia="Arial" w:hAnsi="Arial"/>
                <w:sz w:val="20"/>
                <w:szCs w:val="20"/>
                <w:color w:val="auto"/>
              </w:rPr>
              <w:t>(139,342)</w:t>
            </w:r>
          </w:p>
        </w:tc>
      </w:tr>
      <w:tr>
        <w:trPr>
          <w:trHeight w:val="237"/>
        </w:trPr>
        <w:tc>
          <w:tcPr>
            <w:tcW w:w="4880" w:type="dxa"/>
            <w:vAlign w:val="bottom"/>
            <w:gridSpan w:val="2"/>
          </w:tcPr>
          <w:p>
            <w:pPr>
              <w:spacing w:after="0"/>
              <w:rPr>
                <w:sz w:val="20"/>
                <w:szCs w:val="20"/>
                <w:color w:val="auto"/>
              </w:rPr>
            </w:pPr>
            <w:r>
              <w:rPr>
                <w:rFonts w:ascii="Arial" w:cs="Arial" w:eastAsia="Arial" w:hAnsi="Arial"/>
                <w:sz w:val="20"/>
                <w:szCs w:val="20"/>
                <w:color w:val="auto"/>
              </w:rPr>
              <w:t>Total</w:t>
            </w:r>
          </w:p>
        </w:tc>
        <w:tc>
          <w:tcPr>
            <w:tcW w:w="188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20"/>
                <w:szCs w:val="2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651,295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600,591</w:t>
            </w:r>
          </w:p>
        </w:tc>
        <w:tc>
          <w:tcPr>
            <w:tcW w:w="26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20"/>
                <w:szCs w:val="20"/>
                <w:color w:val="auto"/>
                <w:w w:val="71"/>
              </w:rPr>
              <w:t>$</w:t>
            </w: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576,429</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22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2018</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72" w:lineRule="exact"/>
        <w:rPr>
          <w:sz w:val="20"/>
          <w:szCs w:val="20"/>
          <w:color w:val="auto"/>
        </w:rPr>
      </w:pPr>
    </w:p>
    <w:p>
      <w:pPr>
        <w:ind w:left="380" w:hanging="372"/>
        <w:spacing w:after="0"/>
        <w:tabs>
          <w:tab w:leader="none" w:pos="38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Long-Term Debt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2"/>
          </w:tcPr>
          <w:p>
            <w:pPr>
              <w:jc w:val="right"/>
              <w:ind w:right="460"/>
              <w:spacing w:after="0"/>
              <w:rPr>
                <w:sz w:val="20"/>
                <w:szCs w:val="20"/>
                <w:color w:val="auto"/>
              </w:rPr>
            </w:pPr>
            <w:r>
              <w:rPr>
                <w:rFonts w:ascii="Arial" w:cs="Arial" w:eastAsia="Arial" w:hAnsi="Arial"/>
                <w:sz w:val="19"/>
                <w:szCs w:val="19"/>
                <w:color w:val="auto"/>
                <w:w w:val="89"/>
              </w:rPr>
              <w:t>September 30,</w:t>
            </w:r>
          </w:p>
        </w:tc>
        <w:tc>
          <w:tcPr>
            <w:tcW w:w="140" w:type="dxa"/>
            <w:vAlign w:val="bottom"/>
          </w:tcPr>
          <w:p>
            <w:pPr>
              <w:spacing w:after="0"/>
              <w:rPr>
                <w:sz w:val="19"/>
                <w:szCs w:val="19"/>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9"/>
                <w:szCs w:val="19"/>
                <w:color w:val="auto"/>
                <w:w w:val="88"/>
              </w:rPr>
              <w:t>December 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9"/>
                <w:szCs w:val="19"/>
                <w:color w:val="auto"/>
                <w:w w:val="85"/>
              </w:rPr>
              <w:t>September 30,</w:t>
            </w:r>
          </w:p>
        </w:tc>
      </w:tr>
      <w:tr>
        <w:trPr>
          <w:trHeight w:val="238"/>
        </w:trPr>
        <w:tc>
          <w:tcPr>
            <w:tcW w:w="6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65"/>
              <w:spacing w:after="0"/>
              <w:rPr>
                <w:sz w:val="20"/>
                <w:szCs w:val="20"/>
                <w:color w:val="auto"/>
              </w:rPr>
            </w:pPr>
            <w:r>
              <w:rPr>
                <w:rFonts w:ascii="Arial" w:cs="Arial" w:eastAsia="Arial" w:hAnsi="Arial"/>
                <w:sz w:val="19"/>
                <w:szCs w:val="19"/>
                <w:color w:val="auto"/>
              </w:rPr>
              <w:t>2018</w:t>
            </w: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25"/>
              <w:spacing w:after="0"/>
              <w:rPr>
                <w:sz w:val="20"/>
                <w:szCs w:val="20"/>
                <w:color w:val="auto"/>
              </w:rPr>
            </w:pPr>
            <w:r>
              <w:rPr>
                <w:rFonts w:ascii="Arial" w:cs="Arial" w:eastAsia="Arial" w:hAnsi="Arial"/>
                <w:sz w:val="19"/>
                <w:szCs w:val="19"/>
                <w:color w:val="auto"/>
              </w:rPr>
              <w:t>2017</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85"/>
              <w:spacing w:after="0"/>
              <w:rPr>
                <w:sz w:val="20"/>
                <w:szCs w:val="20"/>
                <w:color w:val="auto"/>
              </w:rPr>
            </w:pPr>
            <w:r>
              <w:rPr>
                <w:rFonts w:ascii="Arial" w:cs="Arial" w:eastAsia="Arial" w:hAnsi="Arial"/>
                <w:sz w:val="19"/>
                <w:szCs w:val="19"/>
                <w:color w:val="auto"/>
              </w:rPr>
              <w:t>2017</w:t>
            </w:r>
          </w:p>
        </w:tc>
        <w:tc>
          <w:tcPr>
            <w:tcW w:w="100" w:type="dxa"/>
            <w:vAlign w:val="bottom"/>
          </w:tcPr>
          <w:p>
            <w:pPr>
              <w:spacing w:after="0"/>
              <w:rPr>
                <w:sz w:val="20"/>
                <w:szCs w:val="20"/>
                <w:color w:val="auto"/>
              </w:rPr>
            </w:pPr>
          </w:p>
        </w:tc>
      </w:tr>
      <w:tr>
        <w:trPr>
          <w:trHeight w:val="223"/>
        </w:trPr>
        <w:tc>
          <w:tcPr>
            <w:tcW w:w="6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80" w:type="dxa"/>
            <w:vAlign w:val="bottom"/>
            <w:gridSpan w:val="5"/>
          </w:tcPr>
          <w:p>
            <w:pPr>
              <w:jc w:val="right"/>
              <w:ind w:right="80"/>
              <w:spacing w:after="0"/>
              <w:rPr>
                <w:sz w:val="20"/>
                <w:szCs w:val="20"/>
                <w:color w:val="auto"/>
              </w:rPr>
            </w:pPr>
            <w:r>
              <w:rPr>
                <w:rFonts w:ascii="Arial" w:cs="Arial" w:eastAsia="Arial" w:hAnsi="Arial"/>
                <w:sz w:val="19"/>
                <w:szCs w:val="19"/>
                <w:i w:val="1"/>
                <w:iCs w:val="1"/>
                <w:color w:val="auto"/>
              </w:rPr>
              <w:t>(Dollars in Thousands)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9"/>
                <w:szCs w:val="19"/>
                <w:color w:val="auto"/>
              </w:rPr>
              <w:t>6.60% Senior Notes, due 2018</w:t>
            </w:r>
          </w:p>
        </w:tc>
        <w:tc>
          <w:tcPr>
            <w:tcW w:w="140" w:type="dxa"/>
            <w:vAlign w:val="bottom"/>
            <w:shd w:val="clear" w:color="auto" w:fill="CFF0FC"/>
          </w:tcPr>
          <w:p>
            <w:pPr>
              <w:jc w:val="right"/>
              <w:spacing w:after="0"/>
              <w:rPr>
                <w:sz w:val="20"/>
                <w:szCs w:val="20"/>
                <w:color w:val="auto"/>
              </w:rPr>
            </w:pPr>
            <w:r>
              <w:rPr>
                <w:rFonts w:ascii="Arial" w:cs="Arial" w:eastAsia="Arial" w:hAnsi="Arial"/>
                <w:sz w:val="19"/>
                <w:szCs w:val="19"/>
                <w:color w:val="auto"/>
                <w:w w:val="75"/>
              </w:rPr>
              <w:t>$</w:t>
            </w:r>
          </w:p>
        </w:tc>
        <w:tc>
          <w:tcPr>
            <w:tcW w:w="1600" w:type="dxa"/>
            <w:vAlign w:val="bottom"/>
            <w:gridSpan w:val="2"/>
            <w:shd w:val="clear" w:color="auto" w:fill="CFF0FC"/>
          </w:tcPr>
          <w:p>
            <w:pPr>
              <w:jc w:val="right"/>
              <w:ind w:right="280"/>
              <w:spacing w:after="0"/>
              <w:rPr>
                <w:sz w:val="20"/>
                <w:szCs w:val="20"/>
                <w:color w:val="auto"/>
              </w:rPr>
            </w:pPr>
            <w:r>
              <w:rPr>
                <w:rFonts w:ascii="Arial" w:cs="Arial" w:eastAsia="Arial" w:hAnsi="Arial"/>
                <w:sz w:val="19"/>
                <w:szCs w:val="19"/>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9"/>
                <w:szCs w:val="19"/>
                <w:color w:val="auto"/>
                <w:w w:val="75"/>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299,871</w:t>
            </w:r>
          </w:p>
        </w:tc>
        <w:tc>
          <w:tcPr>
            <w:tcW w:w="1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9"/>
                <w:szCs w:val="19"/>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299,774</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9"/>
                <w:szCs w:val="19"/>
                <w:color w:val="auto"/>
              </w:rPr>
              <w:t>7% Debentures, due 2025</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124,249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9"/>
                <w:szCs w:val="19"/>
                <w:color w:val="auto"/>
              </w:rPr>
              <w:t>124,180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124,157</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9"/>
                <w:szCs w:val="19"/>
                <w:color w:val="auto"/>
              </w:rPr>
              <w:t>6.25% Senior Notes, due 2037</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228,079</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228,033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228,018</w:t>
            </w:r>
          </w:p>
        </w:tc>
        <w:tc>
          <w:tcPr>
            <w:tcW w:w="100" w:type="dxa"/>
            <w:vAlign w:val="bottom"/>
            <w:shd w:val="clear" w:color="auto" w:fill="CFF0FC"/>
          </w:tcPr>
          <w:p>
            <w:pPr>
              <w:spacing w:after="0"/>
              <w:rPr>
                <w:sz w:val="19"/>
                <w:szCs w:val="19"/>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9"/>
                <w:szCs w:val="19"/>
                <w:color w:val="auto"/>
              </w:rPr>
              <w:t>4.25% Senior Notes, due 2024</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396,251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9"/>
                <w:szCs w:val="19"/>
                <w:color w:val="auto"/>
              </w:rPr>
              <w:t>395,814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395,673</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9"/>
                <w:szCs w:val="19"/>
                <w:color w:val="auto"/>
              </w:rPr>
              <w:t>4.250% Senior Notes, due 2047</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591,499</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591,688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9"/>
                <w:szCs w:val="19"/>
                <w:color w:val="auto"/>
              </w:rPr>
              <w:t>—</w:t>
            </w:r>
          </w:p>
        </w:tc>
      </w:tr>
      <w:tr>
        <w:trPr>
          <w:trHeight w:val="230"/>
        </w:trPr>
        <w:tc>
          <w:tcPr>
            <w:tcW w:w="6600" w:type="dxa"/>
            <w:vAlign w:val="bottom"/>
          </w:tcPr>
          <w:p>
            <w:pPr>
              <w:spacing w:after="0"/>
              <w:rPr>
                <w:sz w:val="20"/>
                <w:szCs w:val="20"/>
                <w:color w:val="auto"/>
              </w:rPr>
            </w:pPr>
            <w:r>
              <w:rPr>
                <w:rFonts w:ascii="Arial" w:cs="Arial" w:eastAsia="Arial" w:hAnsi="Arial"/>
                <w:sz w:val="19"/>
                <w:szCs w:val="19"/>
                <w:color w:val="auto"/>
              </w:rPr>
              <w:t>3.500% Senior Notes, due 2027</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494,643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9"/>
                <w:szCs w:val="19"/>
                <w:color w:val="auto"/>
              </w:rPr>
              <w:t>494,352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9"/>
                <w:szCs w:val="19"/>
                <w:color w:val="auto"/>
              </w:rPr>
              <w:t>3.450% Senior Notes, due 2027</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296,861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296,628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296,551</w:t>
            </w:r>
          </w:p>
        </w:tc>
        <w:tc>
          <w:tcPr>
            <w:tcW w:w="100" w:type="dxa"/>
            <w:vAlign w:val="bottom"/>
            <w:shd w:val="clear" w:color="auto" w:fill="CFF0FC"/>
          </w:tcPr>
          <w:p>
            <w:pPr>
              <w:spacing w:after="0"/>
              <w:rPr>
                <w:sz w:val="19"/>
                <w:szCs w:val="19"/>
                <w:color w:val="auto"/>
              </w:rPr>
            </w:pPr>
          </w:p>
        </w:tc>
      </w:tr>
      <w:tr>
        <w:trPr>
          <w:trHeight w:val="207"/>
        </w:trPr>
        <w:tc>
          <w:tcPr>
            <w:tcW w:w="6600" w:type="dxa"/>
            <w:vAlign w:val="bottom"/>
          </w:tcPr>
          <w:p>
            <w:pPr>
              <w:spacing w:after="0" w:line="207" w:lineRule="exact"/>
              <w:rPr>
                <w:sz w:val="20"/>
                <w:szCs w:val="20"/>
                <w:color w:val="auto"/>
              </w:rPr>
            </w:pPr>
            <w:r>
              <w:rPr>
                <w:rFonts w:ascii="Arial" w:cs="Arial" w:eastAsia="Arial" w:hAnsi="Arial"/>
                <w:sz w:val="19"/>
                <w:szCs w:val="19"/>
                <w:color w:val="auto"/>
              </w:rPr>
              <w:t>Floating Rate Senior Notes, due 2019, interest rate of 2.84%</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tcPr>
          <w:p>
            <w:pPr>
              <w:ind w:left="140"/>
              <w:spacing w:after="0" w:line="216" w:lineRule="exact"/>
              <w:rPr>
                <w:sz w:val="20"/>
                <w:szCs w:val="20"/>
                <w:color w:val="auto"/>
              </w:rPr>
            </w:pPr>
            <w:r>
              <w:rPr>
                <w:rFonts w:ascii="Arial" w:cs="Arial" w:eastAsia="Arial" w:hAnsi="Arial"/>
                <w:sz w:val="19"/>
                <w:szCs w:val="19"/>
                <w:color w:val="auto"/>
              </w:rPr>
              <w:t>and 2.13% at September 30, 2018 and December 31, 2017,</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600" w:type="dxa"/>
            <w:vAlign w:val="bottom"/>
          </w:tcPr>
          <w:p>
            <w:pPr>
              <w:ind w:left="140"/>
              <w:spacing w:after="0"/>
              <w:rPr>
                <w:sz w:val="20"/>
                <w:szCs w:val="20"/>
                <w:color w:val="auto"/>
              </w:rPr>
            </w:pPr>
            <w:r>
              <w:rPr>
                <w:rFonts w:ascii="Arial" w:cs="Arial" w:eastAsia="Arial" w:hAnsi="Arial"/>
                <w:sz w:val="19"/>
                <w:szCs w:val="19"/>
                <w:color w:val="auto"/>
              </w:rPr>
              <w:t>respectively</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299,074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9"/>
                <w:szCs w:val="19"/>
                <w:color w:val="auto"/>
              </w:rPr>
              <w:t>298,102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r>
      <w:tr>
        <w:trPr>
          <w:trHeight w:val="207"/>
        </w:trPr>
        <w:tc>
          <w:tcPr>
            <w:tcW w:w="6600" w:type="dxa"/>
            <w:vAlign w:val="bottom"/>
            <w:shd w:val="clear" w:color="auto" w:fill="CFF0FC"/>
          </w:tcPr>
          <w:p>
            <w:pPr>
              <w:spacing w:after="0" w:line="207" w:lineRule="exact"/>
              <w:rPr>
                <w:sz w:val="20"/>
                <w:szCs w:val="20"/>
                <w:color w:val="auto"/>
              </w:rPr>
            </w:pPr>
            <w:r>
              <w:rPr>
                <w:rFonts w:ascii="Arial" w:cs="Arial" w:eastAsia="Arial" w:hAnsi="Arial"/>
                <w:sz w:val="19"/>
                <w:szCs w:val="19"/>
                <w:color w:val="auto"/>
              </w:rPr>
              <w:t>Floating Rate Notes, due 2020, interest rate of 2.96%, 2.10% and</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shd w:val="clear" w:color="auto" w:fill="CFF0FC"/>
          </w:tcPr>
          <w:p>
            <w:pPr>
              <w:ind w:left="140"/>
              <w:spacing w:after="0" w:line="216" w:lineRule="exact"/>
              <w:rPr>
                <w:sz w:val="20"/>
                <w:szCs w:val="20"/>
                <w:color w:val="auto"/>
              </w:rPr>
            </w:pPr>
            <w:r>
              <w:rPr>
                <w:rFonts w:ascii="Arial" w:cs="Arial" w:eastAsia="Arial" w:hAnsi="Arial"/>
                <w:sz w:val="19"/>
                <w:szCs w:val="19"/>
                <w:color w:val="auto"/>
              </w:rPr>
              <w:t>1.96% at September 30, 2018, December 31, 2017 and September</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8"/>
        </w:trPr>
        <w:tc>
          <w:tcPr>
            <w:tcW w:w="6600" w:type="dxa"/>
            <w:vAlign w:val="bottom"/>
            <w:shd w:val="clear" w:color="auto" w:fill="CFF0FC"/>
          </w:tcPr>
          <w:p>
            <w:pPr>
              <w:ind w:left="140"/>
              <w:spacing w:after="0"/>
              <w:rPr>
                <w:sz w:val="20"/>
                <w:szCs w:val="20"/>
                <w:color w:val="auto"/>
              </w:rPr>
            </w:pPr>
            <w:r>
              <w:rPr>
                <w:rFonts w:ascii="Arial" w:cs="Arial" w:eastAsia="Arial" w:hAnsi="Arial"/>
                <w:sz w:val="19"/>
                <w:szCs w:val="19"/>
                <w:color w:val="auto"/>
              </w:rPr>
              <w:t>30, 2017, respectively</w:t>
            </w:r>
          </w:p>
        </w:tc>
        <w:tc>
          <w:tcPr>
            <w:tcW w:w="1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298,773</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298,227</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298,046</w:t>
            </w:r>
          </w:p>
        </w:tc>
        <w:tc>
          <w:tcPr>
            <w:tcW w:w="100" w:type="dxa"/>
            <w:vAlign w:val="bottom"/>
            <w:shd w:val="clear" w:color="auto" w:fill="CFF0FC"/>
          </w:tcPr>
          <w:p>
            <w:pPr>
              <w:spacing w:after="0"/>
              <w:rPr>
                <w:sz w:val="20"/>
                <w:szCs w:val="20"/>
                <w:color w:val="auto"/>
              </w:rPr>
            </w:pPr>
          </w:p>
        </w:tc>
      </w:tr>
      <w:tr>
        <w:trPr>
          <w:trHeight w:val="207"/>
        </w:trPr>
        <w:tc>
          <w:tcPr>
            <w:tcW w:w="6600" w:type="dxa"/>
            <w:vAlign w:val="bottom"/>
          </w:tcPr>
          <w:p>
            <w:pPr>
              <w:spacing w:after="0" w:line="207" w:lineRule="exact"/>
              <w:rPr>
                <w:sz w:val="20"/>
                <w:szCs w:val="20"/>
                <w:color w:val="auto"/>
              </w:rPr>
            </w:pPr>
            <w:r>
              <w:rPr>
                <w:rFonts w:ascii="Arial" w:cs="Arial" w:eastAsia="Arial" w:hAnsi="Arial"/>
                <w:sz w:val="19"/>
                <w:szCs w:val="19"/>
                <w:color w:val="auto"/>
              </w:rPr>
              <w:t>Revolving Facility, due 2022, interest rate of 3.29% at</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600" w:type="dxa"/>
            <w:vAlign w:val="bottom"/>
          </w:tcPr>
          <w:p>
            <w:pPr>
              <w:ind w:left="140"/>
              <w:spacing w:after="0"/>
              <w:rPr>
                <w:sz w:val="20"/>
                <w:szCs w:val="20"/>
                <w:color w:val="auto"/>
              </w:rPr>
            </w:pPr>
            <w:r>
              <w:rPr>
                <w:rFonts w:ascii="Arial" w:cs="Arial" w:eastAsia="Arial" w:hAnsi="Arial"/>
                <w:sz w:val="19"/>
                <w:szCs w:val="19"/>
                <w:color w:val="auto"/>
              </w:rPr>
              <w:t>September 30, 2018</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100,000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r>
      <w:tr>
        <w:trPr>
          <w:trHeight w:val="207"/>
        </w:trPr>
        <w:tc>
          <w:tcPr>
            <w:tcW w:w="6600" w:type="dxa"/>
            <w:vAlign w:val="bottom"/>
            <w:shd w:val="clear" w:color="auto" w:fill="CFF0FC"/>
          </w:tcPr>
          <w:p>
            <w:pPr>
              <w:spacing w:after="0" w:line="207" w:lineRule="exact"/>
              <w:rPr>
                <w:sz w:val="20"/>
                <w:szCs w:val="20"/>
                <w:color w:val="auto"/>
              </w:rPr>
            </w:pPr>
            <w:r>
              <w:rPr>
                <w:rFonts w:ascii="Arial" w:cs="Arial" w:eastAsia="Arial" w:hAnsi="Arial"/>
                <w:sz w:val="19"/>
                <w:szCs w:val="19"/>
                <w:color w:val="auto"/>
              </w:rPr>
              <w:t>Trade Receivable Facility, interest rate of 2.83% and 1.96% at</w:t>
            </w: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8"/>
        </w:trPr>
        <w:tc>
          <w:tcPr>
            <w:tcW w:w="6600" w:type="dxa"/>
            <w:vAlign w:val="bottom"/>
            <w:shd w:val="clear" w:color="auto" w:fill="CFF0FC"/>
          </w:tcPr>
          <w:p>
            <w:pPr>
              <w:ind w:left="140"/>
              <w:spacing w:after="0"/>
              <w:rPr>
                <w:sz w:val="20"/>
                <w:szCs w:val="20"/>
                <w:color w:val="auto"/>
              </w:rPr>
            </w:pPr>
            <w:r>
              <w:rPr>
                <w:rFonts w:ascii="Arial" w:cs="Arial" w:eastAsia="Arial" w:hAnsi="Arial"/>
                <w:sz w:val="19"/>
                <w:szCs w:val="19"/>
                <w:color w:val="auto"/>
              </w:rPr>
              <w:t>September 30, 2018 and 2017, respectively</w:t>
            </w:r>
          </w:p>
        </w:tc>
        <w:tc>
          <w:tcPr>
            <w:tcW w:w="1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380,000</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9"/>
                <w:szCs w:val="19"/>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80,000</w:t>
            </w:r>
          </w:p>
        </w:tc>
        <w:tc>
          <w:tcPr>
            <w:tcW w:w="100" w:type="dxa"/>
            <w:vAlign w:val="bottom"/>
            <w:shd w:val="clear" w:color="auto" w:fill="CFF0FC"/>
          </w:tcPr>
          <w:p>
            <w:pPr>
              <w:spacing w:after="0"/>
              <w:rPr>
                <w:sz w:val="20"/>
                <w:szCs w:val="20"/>
                <w:color w:val="auto"/>
              </w:rPr>
            </w:pPr>
          </w:p>
        </w:tc>
      </w:tr>
      <w:tr>
        <w:trPr>
          <w:trHeight w:val="230"/>
        </w:trPr>
        <w:tc>
          <w:tcPr>
            <w:tcW w:w="6600" w:type="dxa"/>
            <w:vAlign w:val="bottom"/>
            <w:tcBorders>
              <w:bottom w:val="single" w:sz="8" w:color="CFF0FC"/>
            </w:tcBorders>
          </w:tcPr>
          <w:p>
            <w:pPr>
              <w:spacing w:after="0"/>
              <w:rPr>
                <w:sz w:val="20"/>
                <w:szCs w:val="20"/>
                <w:color w:val="auto"/>
              </w:rPr>
            </w:pPr>
            <w:r>
              <w:rPr>
                <w:rFonts w:ascii="Arial" w:cs="Arial" w:eastAsia="Arial" w:hAnsi="Arial"/>
                <w:sz w:val="19"/>
                <w:szCs w:val="19"/>
                <w:color w:val="auto"/>
              </w:rPr>
              <w:t>Other notes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269</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308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321</w:t>
            </w:r>
          </w:p>
        </w:tc>
        <w:tc>
          <w:tcPr>
            <w:tcW w:w="100" w:type="dxa"/>
            <w:vAlign w:val="bottom"/>
            <w:tcBorders>
              <w:bottom w:val="single" w:sz="8" w:color="CFF0FC"/>
            </w:tcBorders>
          </w:tcPr>
          <w:p>
            <w:pPr>
              <w:spacing w:after="0"/>
              <w:rPr>
                <w:sz w:val="19"/>
                <w:szCs w:val="19"/>
                <w:color w:val="auto"/>
              </w:rPr>
            </w:pPr>
          </w:p>
        </w:tc>
      </w:tr>
      <w:tr>
        <w:trPr>
          <w:trHeight w:val="223"/>
        </w:trPr>
        <w:tc>
          <w:tcPr>
            <w:tcW w:w="6600" w:type="dxa"/>
            <w:vAlign w:val="bottom"/>
            <w:shd w:val="clear" w:color="auto" w:fill="CFF0FC"/>
          </w:tcPr>
          <w:p>
            <w:pPr>
              <w:spacing w:after="0"/>
              <w:rPr>
                <w:sz w:val="20"/>
                <w:szCs w:val="20"/>
                <w:color w:val="auto"/>
              </w:rPr>
            </w:pPr>
            <w:r>
              <w:rPr>
                <w:rFonts w:ascii="Arial" w:cs="Arial" w:eastAsia="Arial" w:hAnsi="Arial"/>
                <w:sz w:val="19"/>
                <w:szCs w:val="19"/>
                <w:color w:val="auto"/>
              </w:rPr>
              <w:t>Total debt</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3,209,698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9"/>
                <w:szCs w:val="19"/>
                <w:color w:val="auto"/>
              </w:rPr>
              <w:t>3,027,203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9"/>
                <w:szCs w:val="19"/>
                <w:color w:val="auto"/>
              </w:rPr>
              <w:t>1,722,540</w:t>
            </w:r>
          </w:p>
        </w:tc>
        <w:tc>
          <w:tcPr>
            <w:tcW w:w="100" w:type="dxa"/>
            <w:vAlign w:val="bottom"/>
            <w:shd w:val="clear" w:color="auto" w:fill="CFF0FC"/>
          </w:tcPr>
          <w:p>
            <w:pPr>
              <w:spacing w:after="0"/>
              <w:rPr>
                <w:sz w:val="19"/>
                <w:szCs w:val="19"/>
                <w:color w:val="auto"/>
              </w:rPr>
            </w:pPr>
          </w:p>
        </w:tc>
      </w:tr>
      <w:tr>
        <w:trPr>
          <w:trHeight w:val="207"/>
        </w:trPr>
        <w:tc>
          <w:tcPr>
            <w:tcW w:w="6600" w:type="dxa"/>
            <w:vAlign w:val="bottom"/>
          </w:tcPr>
          <w:p>
            <w:pPr>
              <w:spacing w:after="0" w:line="207" w:lineRule="exact"/>
              <w:rPr>
                <w:sz w:val="20"/>
                <w:szCs w:val="20"/>
                <w:color w:val="auto"/>
              </w:rPr>
            </w:pPr>
            <w:r>
              <w:rPr>
                <w:rFonts w:ascii="Arial" w:cs="Arial" w:eastAsia="Arial" w:hAnsi="Arial"/>
                <w:sz w:val="19"/>
                <w:szCs w:val="19"/>
                <w:color w:val="auto"/>
              </w:rPr>
              <w:t>Less: Current maturities of long-term debt and short-term</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600" w:type="dxa"/>
            <w:vAlign w:val="bottom"/>
          </w:tcPr>
          <w:p>
            <w:pPr>
              <w:ind w:left="140"/>
              <w:spacing w:after="0"/>
              <w:rPr>
                <w:sz w:val="20"/>
                <w:szCs w:val="20"/>
                <w:color w:val="auto"/>
              </w:rPr>
            </w:pPr>
            <w:r>
              <w:rPr>
                <w:rFonts w:ascii="Arial" w:cs="Arial" w:eastAsia="Arial" w:hAnsi="Arial"/>
                <w:sz w:val="19"/>
                <w:szCs w:val="19"/>
                <w:color w:val="auto"/>
              </w:rPr>
              <w:t>facilities</w:t>
            </w:r>
          </w:p>
        </w:tc>
        <w:tc>
          <w:tcPr>
            <w:tcW w:w="14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9"/>
                <w:szCs w:val="19"/>
                <w:color w:val="auto"/>
              </w:rPr>
              <w:t>(380,041)</w:t>
            </w:r>
          </w:p>
        </w:tc>
        <w:tc>
          <w:tcPr>
            <w:tcW w:w="14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9"/>
                <w:szCs w:val="19"/>
                <w:color w:val="auto"/>
              </w:rPr>
              <w:t>(299,909)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9"/>
                <w:szCs w:val="19"/>
                <w:color w:val="auto"/>
              </w:rPr>
              <w:t>(80,038)</w:t>
            </w:r>
          </w:p>
        </w:tc>
      </w:tr>
      <w:tr>
        <w:trPr>
          <w:trHeight w:val="223"/>
        </w:trPr>
        <w:tc>
          <w:tcPr>
            <w:tcW w:w="6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9"/>
                <w:szCs w:val="19"/>
                <w:color w:val="auto"/>
              </w:rPr>
              <w:t>Long-term debt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75"/>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2,829,657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75"/>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2,727,294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w w:val="75"/>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9"/>
                <w:szCs w:val="19"/>
                <w:color w:val="auto"/>
              </w:rPr>
              <w:t>1,642,502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7" w:lineRule="exact"/>
        <w:rPr>
          <w:sz w:val="20"/>
          <w:szCs w:val="20"/>
          <w:color w:val="auto"/>
        </w:rPr>
      </w:pPr>
    </w:p>
    <w:p>
      <w:pPr>
        <w:jc w:val="both"/>
        <w:ind w:left="380"/>
        <w:spacing w:after="0" w:line="255" w:lineRule="auto"/>
        <w:rPr>
          <w:sz w:val="20"/>
          <w:szCs w:val="20"/>
          <w:color w:val="auto"/>
        </w:rPr>
      </w:pPr>
      <w:r>
        <w:rPr>
          <w:rFonts w:ascii="Arial" w:cs="Arial" w:eastAsia="Arial" w:hAnsi="Arial"/>
          <w:sz w:val="19"/>
          <w:szCs w:val="19"/>
          <w:color w:val="auto"/>
        </w:rPr>
        <w:t>On April 17, 2018, the Company, through a wholly-owned special-purpose subsidiary, increased its trade receivable securitization facility (the Trade Receivable Facility) to $400,000,000. The Trade Receivable Facility, with SunTrust Bank, Regions Bank, PNC Bank, N.A., The Bank of Tokyo-Mitsubishi UFJ, LTD. (New York Branch), and certain other lenders that may become a party to the facility from time to time, is backed by eligible trade receivables, as defined, and is limited to the lesser of the facility limit or the borrowing base, as defined, of $465,217,000, $338,784,000 and $402,754,000 at September 30, 2018, December 31, 2017 and September 30, 2017, respectively. These receivables are originated by the Company and then sold to the wholly-owned special-purpose subsidiary by the Company. The Company continues to be responsible for the servicing and administration of the receivables purchased by the wholly-owned special-purpose subsidiary. Borrowings under the Trade Receivable Facility bear interest at a rate equal to one-month London Inter-bank Offered Rate, or LIBOR, plus 0.725%, subject to change in the event that this rate no longer reflects the lender’s cost of lending. On September 25, 2018, the Company extended the maturity date of Trade Receivable Facility, which contains a cross-default provision to the Company’s other debt agreements, to September 25, 2019.</w:t>
      </w:r>
    </w:p>
    <w:p>
      <w:pPr>
        <w:spacing w:after="0" w:line="80" w:lineRule="exact"/>
        <w:rPr>
          <w:sz w:val="20"/>
          <w:szCs w:val="20"/>
          <w:color w:val="auto"/>
        </w:rPr>
      </w:pPr>
    </w:p>
    <w:p>
      <w:pPr>
        <w:ind w:left="380"/>
        <w:spacing w:after="0"/>
        <w:rPr>
          <w:sz w:val="20"/>
          <w:szCs w:val="20"/>
          <w:color w:val="auto"/>
        </w:rPr>
      </w:pPr>
      <w:r>
        <w:rPr>
          <w:rFonts w:ascii="Arial" w:cs="Arial" w:eastAsia="Arial" w:hAnsi="Arial"/>
          <w:sz w:val="20"/>
          <w:szCs w:val="20"/>
          <w:color w:val="auto"/>
        </w:rPr>
        <w:t>On April 16, 2018, the maturity date, the Company repaid the $300,000,000 of the 6.6% Senior Notes with cash on hand.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23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2018</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72" w:lineRule="exact"/>
        <w:rPr>
          <w:sz w:val="20"/>
          <w:szCs w:val="20"/>
          <w:color w:val="auto"/>
        </w:rPr>
      </w:pPr>
    </w:p>
    <w:p>
      <w:pPr>
        <w:ind w:left="380" w:hanging="372"/>
        <w:spacing w:after="0"/>
        <w:tabs>
          <w:tab w:leader="none" w:pos="38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Long-Term Debt (continued)</w:t>
      </w:r>
    </w:p>
    <w:p>
      <w:pPr>
        <w:spacing w:after="0" w:line="113" w:lineRule="exact"/>
        <w:rPr>
          <w:rFonts w:ascii="Arial" w:cs="Arial" w:eastAsia="Arial" w:hAnsi="Arial"/>
          <w:sz w:val="20"/>
          <w:szCs w:val="20"/>
          <w:b w:val="1"/>
          <w:bCs w:val="1"/>
          <w:color w:val="auto"/>
        </w:rPr>
      </w:pPr>
    </w:p>
    <w:p>
      <w:pPr>
        <w:jc w:val="both"/>
        <w:ind w:left="380"/>
        <w:spacing w:after="0" w:line="271" w:lineRule="auto"/>
        <w:rPr>
          <w:rFonts w:ascii="Arial" w:cs="Arial" w:eastAsia="Arial" w:hAnsi="Arial"/>
          <w:sz w:val="20"/>
          <w:szCs w:val="20"/>
          <w:b w:val="1"/>
          <w:bCs w:val="1"/>
          <w:color w:val="auto"/>
        </w:rPr>
      </w:pPr>
      <w:r>
        <w:rPr>
          <w:rFonts w:ascii="Arial" w:cs="Arial" w:eastAsia="Arial" w:hAnsi="Arial"/>
          <w:sz w:val="18"/>
          <w:szCs w:val="18"/>
          <w:color w:val="auto"/>
        </w:rPr>
        <w:t>The Company has a $700,000,000 five-year senior unsecured revolving facility (the Revolving Facility) with JPMorgan Chase Bank, N.A., as Administrative Agent, Branch Banking and Trust Company (BB&amp;T), Deutsche Bank Securities, Inc., SunTrust Bank and Wells Fargo Bank, N.A., as Co-Syndication Agents, and the lenders party thereto. The Revolving Facility requires the Company’s ratio of consolidated debt-to-consolidated earnings before interest, taxes, depreciation and amortization (EBITDA), as defined by the Revolving Facility, for the trailing-twelve months (the Ratio) to not exceed 3.50x as of the end of any fiscal quarter, provided that the Company may exclude from the Ratio debt incurred in connection with certain acquisitions during such quarter or the three preceding quarters so long as the Ratio calculated without such exclusion does not exceed 3.75x. Additionally, if no amounts are outstanding under both the Revolving Facility and the Trade Receivable Facility, consolidated debt, including debt for which the Company is a co-borrower, may be reduced by the Company’s unrestricted cash and cash equivalents in excess of $50,000,000, such reduction not to exceed $200,000,000, for purposes of the covenant calculation. The Company was in compliance with this Ratio at September 30, 2018.</w:t>
      </w:r>
    </w:p>
    <w:p>
      <w:pPr>
        <w:spacing w:after="0" w:line="66" w:lineRule="exact"/>
        <w:rPr>
          <w:rFonts w:ascii="Arial" w:cs="Arial" w:eastAsia="Arial" w:hAnsi="Arial"/>
          <w:sz w:val="20"/>
          <w:szCs w:val="20"/>
          <w:b w:val="1"/>
          <w:bCs w:val="1"/>
          <w:color w:val="auto"/>
        </w:rPr>
      </w:pPr>
    </w:p>
    <w:p>
      <w:pPr>
        <w:jc w:val="both"/>
        <w:ind w:left="38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Available borrowings under the Revolving Facility are reduced by any outstanding letters of credit issued by the Company under the Revolving Facility. The Company had $2,301,000 of outstanding letters of credit issued under the Revolving Facility at September 30, 2018 and December 31, 2017 and $1,963,000 at September 30, 2017.</w:t>
      </w:r>
    </w:p>
    <w:p>
      <w:pPr>
        <w:spacing w:after="0" w:line="78" w:lineRule="exact"/>
        <w:rPr>
          <w:rFonts w:ascii="Arial" w:cs="Arial" w:eastAsia="Arial" w:hAnsi="Arial"/>
          <w:sz w:val="20"/>
          <w:szCs w:val="20"/>
          <w:b w:val="1"/>
          <w:bCs w:val="1"/>
          <w:color w:val="auto"/>
        </w:rPr>
      </w:pPr>
    </w:p>
    <w:p>
      <w:pPr>
        <w:jc w:val="both"/>
        <w:ind w:left="380"/>
        <w:spacing w:after="0" w:line="244" w:lineRule="auto"/>
        <w:rPr>
          <w:rFonts w:ascii="Arial" w:cs="Arial" w:eastAsia="Arial" w:hAnsi="Arial"/>
          <w:sz w:val="20"/>
          <w:szCs w:val="20"/>
          <w:b w:val="1"/>
          <w:bCs w:val="1"/>
          <w:color w:val="auto"/>
        </w:rPr>
      </w:pPr>
      <w:r>
        <w:rPr>
          <w:rFonts w:ascii="Arial" w:cs="Arial" w:eastAsia="Arial" w:hAnsi="Arial"/>
          <w:sz w:val="20"/>
          <w:szCs w:val="20"/>
          <w:color w:val="auto"/>
        </w:rPr>
        <w:t>Accumulated other comprehensive loss includes the unamortized value of terminated forward starting interest rate swap agreements. The amortization of the terminated value of the forward starting interest rate swap agreements was complete with the maturity of the related debt in April 2018. For the nine-months ended September 30, 2018, the Company recognized $458,000 as additional interest expense. For the three- and nine-months ended September 30, 2017, the Company recognized $369,000 and $1,089,000, respectively, as additional interest expense.</w:t>
      </w:r>
    </w:p>
    <w:p>
      <w:pPr>
        <w:spacing w:after="0" w:line="188" w:lineRule="exact"/>
        <w:rPr>
          <w:rFonts w:ascii="Arial" w:cs="Arial" w:eastAsia="Arial" w:hAnsi="Arial"/>
          <w:sz w:val="20"/>
          <w:szCs w:val="20"/>
          <w:b w:val="1"/>
          <w:bCs w:val="1"/>
          <w:color w:val="auto"/>
        </w:rPr>
      </w:pPr>
    </w:p>
    <w:p>
      <w:pPr>
        <w:ind w:left="380" w:hanging="372"/>
        <w:spacing w:after="0"/>
        <w:tabs>
          <w:tab w:leader="none" w:pos="38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Instruments</w:t>
      </w:r>
    </w:p>
    <w:p>
      <w:pPr>
        <w:spacing w:after="0" w:line="113"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The Company’s financial instruments include cash equivalents, accounts receivable, notes receivable, bank overdrafts, accounts payable, publicly-registered long-term notes, debentures and other long-term debt.</w:t>
      </w:r>
    </w:p>
    <w:p>
      <w:pPr>
        <w:spacing w:after="0" w:line="68" w:lineRule="exact"/>
        <w:rPr>
          <w:rFonts w:ascii="Arial" w:cs="Arial" w:eastAsia="Arial" w:hAnsi="Arial"/>
          <w:sz w:val="20"/>
          <w:szCs w:val="20"/>
          <w:b w:val="1"/>
          <w:bCs w:val="1"/>
          <w:color w:val="auto"/>
        </w:rPr>
      </w:pPr>
    </w:p>
    <w:p>
      <w:pPr>
        <w:jc w:val="both"/>
        <w:ind w:left="38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Cash equivalents are placed primarily in money market funds, money market demand deposit accounts and Eurodollar time deposits. The Company’s cash equivalents have original maturities of less than three months. Due to the short maturity of these investments, they are carried on the consolidated balance sheets at cost, which approximates fair value.</w:t>
      </w:r>
    </w:p>
    <w:p>
      <w:pPr>
        <w:spacing w:after="0" w:line="78" w:lineRule="exact"/>
        <w:rPr>
          <w:rFonts w:ascii="Arial" w:cs="Arial" w:eastAsia="Arial" w:hAnsi="Arial"/>
          <w:sz w:val="20"/>
          <w:szCs w:val="20"/>
          <w:b w:val="1"/>
          <w:bCs w:val="1"/>
          <w:color w:val="auto"/>
        </w:rPr>
      </w:pPr>
    </w:p>
    <w:p>
      <w:pPr>
        <w:jc w:val="both"/>
        <w:ind w:left="38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Accounts receivable are due from a large number of customers, primarily in the construction industry, and are dispersed across wide geographic and economic regions. However, accounts receivable are more heavily concentrated in certain states (namely, Texas, Colorado, North Carolina, Iowa and Georgia). The estimated fair values of accounts receivable approximate their carrying amounts due to the short-term nature of the receivables.</w:t>
      </w:r>
    </w:p>
    <w:p>
      <w:pPr>
        <w:spacing w:after="0" w:line="83"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Notes receivable are not publicly traded. Management estimates that the fair value of notes receivable approximates the carrying amount due to the short-term nature of the receivables.</w:t>
      </w:r>
    </w:p>
    <w:p>
      <w:pPr>
        <w:spacing w:after="0" w:line="68" w:lineRule="exact"/>
        <w:rPr>
          <w:rFonts w:ascii="Arial" w:cs="Arial" w:eastAsia="Arial" w:hAnsi="Arial"/>
          <w:sz w:val="20"/>
          <w:szCs w:val="20"/>
          <w:b w:val="1"/>
          <w:bCs w:val="1"/>
          <w:color w:val="auto"/>
        </w:rPr>
      </w:pPr>
    </w:p>
    <w:p>
      <w:pPr>
        <w:ind w:left="380"/>
        <w:spacing w:after="0" w:line="287" w:lineRule="auto"/>
        <w:rPr>
          <w:rFonts w:ascii="Arial" w:cs="Arial" w:eastAsia="Arial" w:hAnsi="Arial"/>
          <w:sz w:val="20"/>
          <w:szCs w:val="20"/>
          <w:b w:val="1"/>
          <w:bCs w:val="1"/>
          <w:color w:val="auto"/>
        </w:rPr>
      </w:pPr>
      <w:r>
        <w:rPr>
          <w:rFonts w:ascii="Arial" w:cs="Arial" w:eastAsia="Arial" w:hAnsi="Arial"/>
          <w:sz w:val="19"/>
          <w:szCs w:val="19"/>
          <w:color w:val="auto"/>
        </w:rPr>
        <w:t>Bank overdrafts, when applicable, represent amounts to be funded to financial institutions for checks that have cleared the bank. The estimated fair value of bank overdrafts approximates its carrying value due to the short-term nature of the overdraft.</w:t>
      </w:r>
    </w:p>
    <w:p>
      <w:pPr>
        <w:spacing w:after="0" w:line="44"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Accounts payable represent amounts owed to suppliers and vendors. The estimated fair value of accounts payable approximates its carrying amount due to the short-term nature of the payables.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24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2018</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88" w:lineRule="exact"/>
        <w:rPr>
          <w:sz w:val="20"/>
          <w:szCs w:val="20"/>
          <w:color w:val="auto"/>
        </w:rPr>
      </w:pPr>
    </w:p>
    <w:p>
      <w:pPr>
        <w:ind w:left="380" w:hanging="372"/>
        <w:spacing w:after="0"/>
        <w:tabs>
          <w:tab w:leader="none" w:pos="38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Instruments (continued)</w:t>
      </w:r>
    </w:p>
    <w:p>
      <w:pPr>
        <w:spacing w:after="0" w:line="113" w:lineRule="exact"/>
        <w:rPr>
          <w:rFonts w:ascii="Arial" w:cs="Arial" w:eastAsia="Arial" w:hAnsi="Arial"/>
          <w:sz w:val="20"/>
          <w:szCs w:val="20"/>
          <w:b w:val="1"/>
          <w:bCs w:val="1"/>
          <w:color w:val="auto"/>
        </w:rPr>
      </w:pPr>
    </w:p>
    <w:p>
      <w:pPr>
        <w:jc w:val="both"/>
        <w:ind w:left="380"/>
        <w:spacing w:after="0" w:line="259" w:lineRule="auto"/>
        <w:rPr>
          <w:rFonts w:ascii="Arial" w:cs="Arial" w:eastAsia="Arial" w:hAnsi="Arial"/>
          <w:sz w:val="20"/>
          <w:szCs w:val="20"/>
          <w:b w:val="1"/>
          <w:bCs w:val="1"/>
          <w:color w:val="auto"/>
        </w:rPr>
      </w:pPr>
      <w:r>
        <w:rPr>
          <w:rFonts w:ascii="Arial" w:cs="Arial" w:eastAsia="Arial" w:hAnsi="Arial"/>
          <w:sz w:val="19"/>
          <w:szCs w:val="19"/>
          <w:color w:val="auto"/>
        </w:rPr>
        <w:t>The carrying values and fair values of the Company’s long-term debt were $3,209,698,000 and $3,144,615,000, respectively, at September 30, 2018; $3,027,203,000 and $3,144,902,000, respectively, at December 31, 2017; and $1,722,540,000 and $1,830,750,000, respectively, at September 30, 2017. The estimated fair value of the publicly-registered long-term notes was estimated based on Level 1 of the fair value hierarchy using quoted market prices. The estimated fair value of other borrowings, which primarily represents variable-rate debt, was based on Level 2 of the fair value hierarchy using quoted market prices for similar debt instruments, and approximates their carrying amounts as the interest rates reset periodically.</w:t>
      </w:r>
    </w:p>
    <w:p>
      <w:pPr>
        <w:spacing w:after="0" w:line="172" w:lineRule="exact"/>
        <w:rPr>
          <w:rFonts w:ascii="Arial" w:cs="Arial" w:eastAsia="Arial" w:hAnsi="Arial"/>
          <w:sz w:val="20"/>
          <w:szCs w:val="20"/>
          <w:b w:val="1"/>
          <w:bCs w:val="1"/>
          <w:color w:val="auto"/>
        </w:rPr>
      </w:pPr>
    </w:p>
    <w:p>
      <w:pPr>
        <w:ind w:left="380" w:hanging="372"/>
        <w:spacing w:after="0"/>
        <w:tabs>
          <w:tab w:leader="none" w:pos="38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113" w:lineRule="exact"/>
        <w:rPr>
          <w:rFonts w:ascii="Arial" w:cs="Arial" w:eastAsia="Arial" w:hAnsi="Arial"/>
          <w:sz w:val="20"/>
          <w:szCs w:val="20"/>
          <w:b w:val="1"/>
          <w:bCs w:val="1"/>
          <w:color w:val="auto"/>
        </w:rPr>
      </w:pPr>
    </w:p>
    <w:p>
      <w:pPr>
        <w:jc w:val="both"/>
        <w:ind w:left="380"/>
        <w:spacing w:after="0" w:line="270" w:lineRule="auto"/>
        <w:rPr>
          <w:rFonts w:ascii="Arial" w:cs="Arial" w:eastAsia="Arial" w:hAnsi="Arial"/>
          <w:sz w:val="20"/>
          <w:szCs w:val="20"/>
          <w:b w:val="1"/>
          <w:bCs w:val="1"/>
          <w:color w:val="auto"/>
        </w:rPr>
      </w:pPr>
      <w:r>
        <w:rPr>
          <w:rFonts w:ascii="Arial" w:cs="Arial" w:eastAsia="Arial" w:hAnsi="Arial"/>
          <w:sz w:val="18"/>
          <w:szCs w:val="18"/>
          <w:color w:val="auto"/>
        </w:rPr>
        <w:t>The Company’s effective income tax rate for the nine-months ended September 30, 2018 was 18.3%. The effective income tax rate reflects the effect of federal and state income taxes on earnings and the impact of differences in book and tax accounting arising from the net permanent tax benefits associated with the statutory depletion deduction for mineral reserves. For the nine-months ended September 30, 2018, the effective income tax rate also reflects a permanent net income tax benefit of $15,454,000 resulting primarily from (i) the Company making additional contributions of $125,000,000 for a total of $150,000,000 discretionary contributions to its qualified pension plan during the quarter ended September 30, 2018, which is deductible on the Company’s 2017 income tax return; and (ii) changes in the Company’s method of accounting for income tax purposes to accelerate the deduction of various expenses. Prior to the quarter ended September 30, 2018, the Company had included an estimate of $25,000,000 of discretionary pension plan contributions in its 2017 tax provision. The tax benefit resulted from the difference in the federal tax rate at which the deductions were claimed versus the tax rate at which the deferred tax assets were recorded at year end as a result of the Tax Reform Act (2017 Tax Act), net of the correlative effects of reduced deductions for domestic production deduction and percentage depletion. The enactment of the 2017 Tax Act reduced the federal statutory corporate income tax rate from 35% to 21% beginning in 2018. Therefore, the effective income tax rate of 26.2% for the nine-months ended September 30, 2017 is not comparable.</w:t>
      </w:r>
    </w:p>
    <w:p>
      <w:pPr>
        <w:spacing w:after="0" w:line="65" w:lineRule="exact"/>
        <w:rPr>
          <w:rFonts w:ascii="Arial" w:cs="Arial" w:eastAsia="Arial" w:hAnsi="Arial"/>
          <w:sz w:val="20"/>
          <w:szCs w:val="20"/>
          <w:b w:val="1"/>
          <w:bCs w:val="1"/>
          <w:color w:val="auto"/>
        </w:rPr>
      </w:pPr>
    </w:p>
    <w:p>
      <w:pPr>
        <w:jc w:val="both"/>
        <w:ind w:left="380"/>
        <w:spacing w:after="0" w:line="274" w:lineRule="auto"/>
        <w:rPr>
          <w:rFonts w:ascii="Arial" w:cs="Arial" w:eastAsia="Arial" w:hAnsi="Arial"/>
          <w:sz w:val="20"/>
          <w:szCs w:val="20"/>
          <w:b w:val="1"/>
          <w:bCs w:val="1"/>
          <w:color w:val="auto"/>
        </w:rPr>
      </w:pPr>
      <w:r>
        <w:rPr>
          <w:rFonts w:ascii="Arial" w:cs="Arial" w:eastAsia="Arial" w:hAnsi="Arial"/>
          <w:sz w:val="18"/>
          <w:szCs w:val="18"/>
          <w:color w:val="auto"/>
        </w:rPr>
        <w:t>The Securities and Exchange Commission issued Staff Accounting Bulletin No. 118 (SAB 118) to address situations when a registrant does not have the necessary information available, prepared or analyzed (including computations) in reasonable detail to complete the accounting for certain income tax effects of the 2017 Tax Act. As such, due to the timing of the enactment date and the Company’s reporting periods, the Company recognized provisional amounts for the remeasurement of deferred tax assets and liabilities, including the tax benefit mentioned above, and transition tax on undistributed foreign earnings as of September 30, 2018. In accordance with SAB 118, the Company may record additional provisional amounts during the measurement period not to extend beyond one year of the enactment date. The Company will complete its analysis after the filing of its federal and state corporate income tax returns in the fourth quarter.</w:t>
      </w:r>
    </w:p>
    <w:p>
      <w:pPr>
        <w:spacing w:after="0" w:line="61" w:lineRule="exact"/>
        <w:rPr>
          <w:rFonts w:ascii="Arial" w:cs="Arial" w:eastAsia="Arial" w:hAnsi="Arial"/>
          <w:sz w:val="20"/>
          <w:szCs w:val="20"/>
          <w:b w:val="1"/>
          <w:bCs w:val="1"/>
          <w:color w:val="auto"/>
        </w:rPr>
      </w:pPr>
    </w:p>
    <w:p>
      <w:pPr>
        <w:ind w:left="38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The Company records interest accrued in relation to unrecognized tax benefits as income tax expense. Penalties, if incurred, are recorded as operating expenses in the consolidated statements of earnings and comprehensive earnings.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25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2018</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88" w:lineRule="exact"/>
        <w:rPr>
          <w:sz w:val="20"/>
          <w:szCs w:val="20"/>
          <w:color w:val="auto"/>
        </w:rPr>
      </w:pPr>
    </w:p>
    <w:p>
      <w:pPr>
        <w:ind w:left="380" w:hanging="372"/>
        <w:spacing w:after="0"/>
        <w:tabs>
          <w:tab w:leader="none" w:pos="38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Pension and Postretirement Benefits</w:t>
      </w:r>
    </w:p>
    <w:p>
      <w:pPr>
        <w:spacing w:after="0" w:line="113" w:lineRule="exact"/>
        <w:rPr>
          <w:rFonts w:ascii="Arial" w:cs="Arial" w:eastAsia="Arial" w:hAnsi="Arial"/>
          <w:sz w:val="20"/>
          <w:szCs w:val="20"/>
          <w:b w:val="1"/>
          <w:bCs w:val="1"/>
          <w:color w:val="auto"/>
        </w:rPr>
      </w:pPr>
    </w:p>
    <w:p>
      <w:pPr>
        <w:ind w:left="380"/>
        <w:spacing w:after="0"/>
        <w:rPr>
          <w:rFonts w:ascii="Arial" w:cs="Arial" w:eastAsia="Arial" w:hAnsi="Arial"/>
          <w:sz w:val="20"/>
          <w:szCs w:val="20"/>
          <w:b w:val="1"/>
          <w:bCs w:val="1"/>
          <w:color w:val="auto"/>
        </w:rPr>
      </w:pPr>
      <w:r>
        <w:rPr>
          <w:rFonts w:ascii="Arial" w:cs="Arial" w:eastAsia="Arial" w:hAnsi="Arial"/>
          <w:sz w:val="19"/>
          <w:szCs w:val="19"/>
          <w:color w:val="auto"/>
        </w:rPr>
        <w:t>The estimated components of the recorded net periodic benefit cost (credit) for pension and postretirement benefits are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6"/>
          </w:tcPr>
          <w:p>
            <w:pPr>
              <w:jc w:val="center"/>
              <w:ind w:right="540"/>
              <w:spacing w:after="0"/>
              <w:rPr>
                <w:sz w:val="20"/>
                <w:szCs w:val="20"/>
                <w:color w:val="auto"/>
              </w:rPr>
            </w:pPr>
            <w:r>
              <w:rPr>
                <w:rFonts w:ascii="Arial" w:cs="Arial" w:eastAsia="Arial" w:hAnsi="Arial"/>
                <w:sz w:val="20"/>
                <w:szCs w:val="20"/>
                <w:color w:val="auto"/>
                <w:w w:val="88"/>
              </w:rPr>
              <w:t>Three-Months Ended September 30,</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color w:val="auto"/>
              </w:rPr>
              <w:t>Pension</w:t>
            </w:r>
          </w:p>
        </w:tc>
        <w:tc>
          <w:tcPr>
            <w:tcW w:w="13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5"/>
          </w:tcPr>
          <w:p>
            <w:pPr>
              <w:jc w:val="right"/>
              <w:ind w:right="741"/>
              <w:spacing w:after="0"/>
              <w:rPr>
                <w:sz w:val="20"/>
                <w:szCs w:val="20"/>
                <w:color w:val="auto"/>
              </w:rPr>
            </w:pPr>
            <w:r>
              <w:rPr>
                <w:rFonts w:ascii="Arial" w:cs="Arial" w:eastAsia="Arial" w:hAnsi="Arial"/>
                <w:sz w:val="20"/>
                <w:szCs w:val="20"/>
                <w:color w:val="auto"/>
              </w:rPr>
              <w:t>Postretirement Benefits</w:t>
            </w:r>
          </w:p>
        </w:tc>
        <w:tc>
          <w:tcPr>
            <w:tcW w:w="100" w:type="dxa"/>
            <w:vAlign w:val="bottom"/>
          </w:tcPr>
          <w:p>
            <w:pPr>
              <w:spacing w:after="0"/>
              <w:rPr>
                <w:sz w:val="20"/>
                <w:szCs w:val="20"/>
                <w:color w:val="auto"/>
              </w:rPr>
            </w:pPr>
          </w:p>
        </w:tc>
      </w:tr>
      <w:tr>
        <w:trPr>
          <w:trHeight w:val="237"/>
        </w:trPr>
        <w:tc>
          <w:tcPr>
            <w:tcW w:w="3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color w:val="auto"/>
              </w:rPr>
              <w:t>2018</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color w:val="auto"/>
              </w:rPr>
              <w:t>2017</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color w:val="auto"/>
              </w:rPr>
              <w:t>2018</w:t>
            </w: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color w:val="auto"/>
              </w:rPr>
              <w:t>2017</w:t>
            </w:r>
          </w:p>
        </w:tc>
        <w:tc>
          <w:tcPr>
            <w:tcW w:w="100" w:type="dxa"/>
            <w:vAlign w:val="bottom"/>
          </w:tcPr>
          <w:p>
            <w:pPr>
              <w:spacing w:after="0"/>
              <w:rPr>
                <w:sz w:val="20"/>
                <w:szCs w:val="20"/>
                <w:color w:val="auto"/>
              </w:rPr>
            </w:pPr>
          </w:p>
        </w:tc>
      </w:tr>
      <w:tr>
        <w:trPr>
          <w:trHeight w:val="237"/>
        </w:trPr>
        <w:tc>
          <w:tcPr>
            <w:tcW w:w="3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80" w:type="dxa"/>
            <w:vAlign w:val="bottom"/>
            <w:gridSpan w:val="6"/>
          </w:tcPr>
          <w:p>
            <w:pPr>
              <w:jc w:val="center"/>
              <w:ind w:right="540"/>
              <w:spacing w:after="0"/>
              <w:rPr>
                <w:sz w:val="20"/>
                <w:szCs w:val="20"/>
                <w:color w:val="auto"/>
              </w:rPr>
            </w:pPr>
            <w:r>
              <w:rPr>
                <w:rFonts w:ascii="Arial" w:cs="Arial" w:eastAsia="Arial" w:hAnsi="Arial"/>
                <w:sz w:val="20"/>
                <w:szCs w:val="20"/>
                <w:i w:val="1"/>
                <w:iCs w:val="1"/>
                <w:color w:val="auto"/>
                <w:w w:val="91"/>
              </w:rPr>
              <w:t>(Dollars in Thousands)</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980" w:type="dxa"/>
            <w:vAlign w:val="bottom"/>
            <w:shd w:val="clear" w:color="auto" w:fill="CFF0FC"/>
          </w:tcPr>
          <w:p>
            <w:pPr>
              <w:spacing w:after="0"/>
              <w:rPr>
                <w:sz w:val="20"/>
                <w:szCs w:val="20"/>
                <w:color w:val="auto"/>
              </w:rPr>
            </w:pPr>
            <w:r>
              <w:rPr>
                <w:rFonts w:ascii="Arial" w:cs="Arial" w:eastAsia="Arial" w:hAnsi="Arial"/>
                <w:sz w:val="20"/>
                <w:szCs w:val="20"/>
                <w:color w:val="auto"/>
              </w:rPr>
              <w:t>Service cost</w:t>
            </w:r>
          </w:p>
        </w:tc>
        <w:tc>
          <w:tcPr>
            <w:tcW w:w="3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7,911</w:t>
            </w:r>
          </w:p>
        </w:tc>
        <w:tc>
          <w:tcPr>
            <w:tcW w:w="18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7,457</w:t>
            </w:r>
          </w:p>
        </w:tc>
        <w:tc>
          <w:tcPr>
            <w:tcW w:w="18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161"/>
              <w:spacing w:after="0"/>
              <w:rPr>
                <w:sz w:val="20"/>
                <w:szCs w:val="20"/>
                <w:color w:val="auto"/>
              </w:rPr>
            </w:pPr>
            <w:r>
              <w:rPr>
                <w:rFonts w:ascii="Arial" w:cs="Arial" w:eastAsia="Arial" w:hAnsi="Arial"/>
                <w:sz w:val="20"/>
                <w:szCs w:val="20"/>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w:t>
            </w:r>
          </w:p>
        </w:tc>
        <w:tc>
          <w:tcPr>
            <w:tcW w:w="30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63"/>
              <w:spacing w:after="0"/>
              <w:rPr>
                <w:sz w:val="20"/>
                <w:szCs w:val="20"/>
                <w:color w:val="auto"/>
              </w:rPr>
            </w:pPr>
            <w:r>
              <w:rPr>
                <w:rFonts w:ascii="Arial" w:cs="Arial" w:eastAsia="Arial" w:hAnsi="Arial"/>
                <w:sz w:val="20"/>
                <w:szCs w:val="20"/>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w:t>
            </w:r>
          </w:p>
        </w:tc>
        <w:tc>
          <w:tcPr>
            <w:tcW w:w="100" w:type="dxa"/>
            <w:vAlign w:val="bottom"/>
            <w:shd w:val="clear" w:color="auto" w:fill="CFF0FC"/>
          </w:tcPr>
          <w:p>
            <w:pPr>
              <w:spacing w:after="0"/>
              <w:rPr>
                <w:sz w:val="21"/>
                <w:szCs w:val="21"/>
                <w:color w:val="auto"/>
              </w:rPr>
            </w:pPr>
          </w:p>
        </w:tc>
      </w:tr>
      <w:tr>
        <w:trPr>
          <w:trHeight w:val="243"/>
        </w:trPr>
        <w:tc>
          <w:tcPr>
            <w:tcW w:w="3980" w:type="dxa"/>
            <w:vAlign w:val="bottom"/>
          </w:tcPr>
          <w:p>
            <w:pPr>
              <w:spacing w:after="0"/>
              <w:rPr>
                <w:sz w:val="20"/>
                <w:szCs w:val="20"/>
                <w:color w:val="auto"/>
              </w:rPr>
            </w:pPr>
            <w:r>
              <w:rPr>
                <w:rFonts w:ascii="Arial" w:cs="Arial" w:eastAsia="Arial" w:hAnsi="Arial"/>
                <w:sz w:val="20"/>
                <w:szCs w:val="20"/>
                <w:color w:val="auto"/>
              </w:rPr>
              <w:t>Interest cost</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8,307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9,729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130</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182</w:t>
            </w:r>
          </w:p>
        </w:tc>
        <w:tc>
          <w:tcPr>
            <w:tcW w:w="100" w:type="dxa"/>
            <w:vAlign w:val="bottom"/>
          </w:tcPr>
          <w:p>
            <w:pPr>
              <w:spacing w:after="0"/>
              <w:rPr>
                <w:sz w:val="21"/>
                <w:szCs w:val="21"/>
                <w:color w:val="auto"/>
              </w:rPr>
            </w:pPr>
          </w:p>
        </w:tc>
      </w:tr>
      <w:tr>
        <w:trPr>
          <w:trHeight w:val="243"/>
        </w:trPr>
        <w:tc>
          <w:tcPr>
            <w:tcW w:w="3980" w:type="dxa"/>
            <w:vAlign w:val="bottom"/>
            <w:shd w:val="clear" w:color="auto" w:fill="CFF0FC"/>
          </w:tcPr>
          <w:p>
            <w:pPr>
              <w:spacing w:after="0"/>
              <w:rPr>
                <w:sz w:val="20"/>
                <w:szCs w:val="20"/>
                <w:color w:val="auto"/>
              </w:rPr>
            </w:pPr>
            <w:r>
              <w:rPr>
                <w:rFonts w:ascii="Arial" w:cs="Arial" w:eastAsia="Arial" w:hAnsi="Arial"/>
                <w:sz w:val="20"/>
                <w:szCs w:val="20"/>
                <w:color w:val="auto"/>
              </w:rPr>
              <w:t>Expected return on assets</w:t>
            </w:r>
          </w:p>
        </w:tc>
        <w:tc>
          <w:tcPr>
            <w:tcW w:w="3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(11,516)</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(10,691)</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300"/>
              <w:spacing w:after="0"/>
              <w:rPr>
                <w:sz w:val="20"/>
                <w:szCs w:val="20"/>
                <w:color w:val="auto"/>
              </w:rPr>
            </w:pPr>
            <w:r>
              <w:rPr>
                <w:rFonts w:ascii="Arial" w:cs="Arial" w:eastAsia="Arial" w:hAnsi="Arial"/>
                <w:sz w:val="20"/>
                <w:szCs w:val="20"/>
                <w:color w:val="auto"/>
              </w:rPr>
              <w:t>—</w:t>
            </w: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r>
      <w:tr>
        <w:trPr>
          <w:trHeight w:val="243"/>
        </w:trPr>
        <w:tc>
          <w:tcPr>
            <w:tcW w:w="3980" w:type="dxa"/>
            <w:vAlign w:val="bottom"/>
          </w:tcPr>
          <w:p>
            <w:pPr>
              <w:spacing w:after="0"/>
              <w:rPr>
                <w:sz w:val="20"/>
                <w:szCs w:val="20"/>
                <w:color w:val="auto"/>
              </w:rPr>
            </w:pPr>
            <w:r>
              <w:rPr>
                <w:rFonts w:ascii="Arial" w:cs="Arial" w:eastAsia="Arial" w:hAnsi="Arial"/>
                <w:sz w:val="20"/>
                <w:szCs w:val="20"/>
                <w:color w:val="auto"/>
              </w:rPr>
              <w:t>Amortization of:</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Prior service cost (credit)</w:t>
            </w: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(519)</w:t>
            </w: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(436)</w:t>
            </w:r>
          </w:p>
        </w:tc>
      </w:tr>
      <w:tr>
        <w:trPr>
          <w:trHeight w:val="243"/>
        </w:trPr>
        <w:tc>
          <w:tcPr>
            <w:tcW w:w="3980" w:type="dxa"/>
            <w:vAlign w:val="bottom"/>
          </w:tcPr>
          <w:p>
            <w:pPr>
              <w:ind w:left="260"/>
              <w:spacing w:after="0"/>
              <w:rPr>
                <w:sz w:val="20"/>
                <w:szCs w:val="20"/>
                <w:color w:val="auto"/>
              </w:rPr>
            </w:pPr>
            <w:r>
              <w:rPr>
                <w:rFonts w:ascii="Arial" w:cs="Arial" w:eastAsia="Arial" w:hAnsi="Arial"/>
                <w:sz w:val="20"/>
                <w:szCs w:val="20"/>
                <w:color w:val="auto"/>
              </w:rPr>
              <w:t>Actuarial loss (gain)</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3,206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3,604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20"/>
                <w:szCs w:val="20"/>
                <w:color w:val="auto"/>
              </w:rPr>
              <w:t>(53)</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20"/>
                <w:szCs w:val="20"/>
                <w:color w:val="auto"/>
              </w:rPr>
              <w:t>(91)</w:t>
            </w:r>
          </w:p>
        </w:tc>
      </w:tr>
      <w:tr>
        <w:trPr>
          <w:trHeight w:val="243"/>
        </w:trPr>
        <w:tc>
          <w:tcPr>
            <w:tcW w:w="3980" w:type="dxa"/>
            <w:vAlign w:val="bottom"/>
            <w:shd w:val="clear" w:color="auto" w:fill="CFF0FC"/>
          </w:tcPr>
          <w:p>
            <w:pPr>
              <w:spacing w:after="0"/>
              <w:rPr>
                <w:sz w:val="20"/>
                <w:szCs w:val="20"/>
                <w:color w:val="auto"/>
              </w:rPr>
            </w:pPr>
            <w:r>
              <w:rPr>
                <w:rFonts w:ascii="Arial" w:cs="Arial" w:eastAsia="Arial" w:hAnsi="Arial"/>
                <w:sz w:val="20"/>
                <w:szCs w:val="20"/>
                <w:color w:val="auto"/>
              </w:rPr>
              <w:t>Settlement charge</w:t>
            </w: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2,692</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300"/>
              <w:spacing w:after="0"/>
              <w:rPr>
                <w:sz w:val="20"/>
                <w:szCs w:val="20"/>
                <w:color w:val="auto"/>
              </w:rPr>
            </w:pPr>
            <w:r>
              <w:rPr>
                <w:rFonts w:ascii="Arial" w:cs="Arial" w:eastAsia="Arial" w:hAnsi="Arial"/>
                <w:sz w:val="20"/>
                <w:szCs w:val="20"/>
                <w:color w:val="auto"/>
              </w:rPr>
              <w:t>—</w:t>
            </w: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r>
      <w:tr>
        <w:trPr>
          <w:trHeight w:val="237"/>
        </w:trPr>
        <w:tc>
          <w:tcPr>
            <w:tcW w:w="3980" w:type="dxa"/>
            <w:vAlign w:val="bottom"/>
          </w:tcPr>
          <w:p>
            <w:pPr>
              <w:spacing w:after="0"/>
              <w:rPr>
                <w:sz w:val="20"/>
                <w:szCs w:val="20"/>
                <w:color w:val="auto"/>
              </w:rPr>
            </w:pPr>
            <w:r>
              <w:rPr>
                <w:rFonts w:ascii="Arial" w:cs="Arial" w:eastAsia="Arial" w:hAnsi="Arial"/>
                <w:sz w:val="20"/>
                <w:szCs w:val="20"/>
                <w:color w:val="auto"/>
              </w:rPr>
              <w:t>Net periodic benefit cost (credit)</w:t>
            </w:r>
          </w:p>
        </w:tc>
        <w:tc>
          <w:tcPr>
            <w:tcW w:w="36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20"/>
                <w:szCs w:val="20"/>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10,627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10,133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20"/>
                <w:szCs w:val="20"/>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(423)</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(325)</w:t>
            </w:r>
          </w:p>
        </w:tc>
        <w:tc>
          <w:tcPr>
            <w:tcW w:w="100" w:type="dxa"/>
            <w:vAlign w:val="bottom"/>
          </w:tcPr>
          <w:p>
            <w:pPr>
              <w:spacing w:after="0"/>
              <w:rPr>
                <w:sz w:val="20"/>
                <w:szCs w:val="20"/>
                <w:color w:val="auto"/>
              </w:rPr>
            </w:pPr>
          </w:p>
        </w:tc>
      </w:tr>
      <w:tr>
        <w:trPr>
          <w:trHeight w:val="20"/>
        </w:trPr>
        <w:tc>
          <w:tcPr>
            <w:tcW w:w="3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39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6"/>
          </w:tcPr>
          <w:p>
            <w:pPr>
              <w:jc w:val="center"/>
              <w:ind w:right="540"/>
              <w:spacing w:after="0"/>
              <w:rPr>
                <w:sz w:val="20"/>
                <w:szCs w:val="20"/>
                <w:color w:val="auto"/>
              </w:rPr>
            </w:pPr>
            <w:r>
              <w:rPr>
                <w:rFonts w:ascii="Arial" w:cs="Arial" w:eastAsia="Arial" w:hAnsi="Arial"/>
                <w:sz w:val="20"/>
                <w:szCs w:val="20"/>
                <w:color w:val="auto"/>
                <w:w w:val="89"/>
              </w:rPr>
              <w:t>Nine-Months Ended September 30,</w:t>
            </w: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3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color w:val="auto"/>
              </w:rPr>
              <w:t>Pension</w:t>
            </w:r>
          </w:p>
        </w:tc>
        <w:tc>
          <w:tcPr>
            <w:tcW w:w="13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5"/>
          </w:tcPr>
          <w:p>
            <w:pPr>
              <w:jc w:val="right"/>
              <w:ind w:right="741"/>
              <w:spacing w:after="0"/>
              <w:rPr>
                <w:sz w:val="20"/>
                <w:szCs w:val="20"/>
                <w:color w:val="auto"/>
              </w:rPr>
            </w:pPr>
            <w:r>
              <w:rPr>
                <w:rFonts w:ascii="Arial" w:cs="Arial" w:eastAsia="Arial" w:hAnsi="Arial"/>
                <w:sz w:val="20"/>
                <w:szCs w:val="20"/>
                <w:color w:val="auto"/>
              </w:rPr>
              <w:t>Postretirement Benefits</w:t>
            </w:r>
          </w:p>
        </w:tc>
        <w:tc>
          <w:tcPr>
            <w:tcW w:w="100" w:type="dxa"/>
            <w:vAlign w:val="bottom"/>
          </w:tcPr>
          <w:p>
            <w:pPr>
              <w:spacing w:after="0"/>
              <w:rPr>
                <w:sz w:val="20"/>
                <w:szCs w:val="20"/>
                <w:color w:val="auto"/>
              </w:rPr>
            </w:pPr>
          </w:p>
        </w:tc>
      </w:tr>
      <w:tr>
        <w:trPr>
          <w:trHeight w:val="237"/>
        </w:trPr>
        <w:tc>
          <w:tcPr>
            <w:tcW w:w="3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color w:val="auto"/>
              </w:rPr>
              <w:t>2018</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color w:val="auto"/>
              </w:rPr>
              <w:t>2017</w:t>
            </w: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color w:val="auto"/>
              </w:rPr>
              <w:t>2018</w:t>
            </w: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color w:val="auto"/>
              </w:rPr>
              <w:t>2017</w:t>
            </w:r>
          </w:p>
        </w:tc>
        <w:tc>
          <w:tcPr>
            <w:tcW w:w="100" w:type="dxa"/>
            <w:vAlign w:val="bottom"/>
          </w:tcPr>
          <w:p>
            <w:pPr>
              <w:spacing w:after="0"/>
              <w:rPr>
                <w:sz w:val="20"/>
                <w:szCs w:val="20"/>
                <w:color w:val="auto"/>
              </w:rPr>
            </w:pPr>
          </w:p>
        </w:tc>
      </w:tr>
      <w:tr>
        <w:trPr>
          <w:trHeight w:val="237"/>
        </w:trPr>
        <w:tc>
          <w:tcPr>
            <w:tcW w:w="3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80" w:type="dxa"/>
            <w:vAlign w:val="bottom"/>
            <w:gridSpan w:val="6"/>
          </w:tcPr>
          <w:p>
            <w:pPr>
              <w:jc w:val="center"/>
              <w:ind w:right="540"/>
              <w:spacing w:after="0"/>
              <w:rPr>
                <w:sz w:val="20"/>
                <w:szCs w:val="20"/>
                <w:color w:val="auto"/>
              </w:rPr>
            </w:pPr>
            <w:r>
              <w:rPr>
                <w:rFonts w:ascii="Arial" w:cs="Arial" w:eastAsia="Arial" w:hAnsi="Arial"/>
                <w:sz w:val="20"/>
                <w:szCs w:val="20"/>
                <w:i w:val="1"/>
                <w:iCs w:val="1"/>
                <w:color w:val="auto"/>
                <w:w w:val="91"/>
              </w:rPr>
              <w:t>(Dollars in Thousands)</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980" w:type="dxa"/>
            <w:vAlign w:val="bottom"/>
            <w:shd w:val="clear" w:color="auto" w:fill="CFF0FC"/>
          </w:tcPr>
          <w:p>
            <w:pPr>
              <w:spacing w:after="0"/>
              <w:rPr>
                <w:sz w:val="20"/>
                <w:szCs w:val="20"/>
                <w:color w:val="auto"/>
              </w:rPr>
            </w:pPr>
            <w:r>
              <w:rPr>
                <w:rFonts w:ascii="Arial" w:cs="Arial" w:eastAsia="Arial" w:hAnsi="Arial"/>
                <w:sz w:val="20"/>
                <w:szCs w:val="20"/>
                <w:color w:val="auto"/>
              </w:rPr>
              <w:t>Service cost</w:t>
            </w:r>
          </w:p>
        </w:tc>
        <w:tc>
          <w:tcPr>
            <w:tcW w:w="3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23,732</w:t>
            </w:r>
          </w:p>
        </w:tc>
        <w:tc>
          <w:tcPr>
            <w:tcW w:w="18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20,060</w:t>
            </w:r>
          </w:p>
        </w:tc>
        <w:tc>
          <w:tcPr>
            <w:tcW w:w="18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161"/>
              <w:spacing w:after="0"/>
              <w:rPr>
                <w:sz w:val="20"/>
                <w:szCs w:val="20"/>
                <w:color w:val="auto"/>
              </w:rPr>
            </w:pPr>
            <w:r>
              <w:rPr>
                <w:rFonts w:ascii="Arial" w:cs="Arial" w:eastAsia="Arial" w:hAnsi="Arial"/>
                <w:sz w:val="20"/>
                <w:szCs w:val="20"/>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58</w:t>
            </w:r>
          </w:p>
        </w:tc>
        <w:tc>
          <w:tcPr>
            <w:tcW w:w="30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63"/>
              <w:spacing w:after="0"/>
              <w:rPr>
                <w:sz w:val="20"/>
                <w:szCs w:val="20"/>
                <w:color w:val="auto"/>
              </w:rPr>
            </w:pPr>
            <w:r>
              <w:rPr>
                <w:rFonts w:ascii="Arial" w:cs="Arial" w:eastAsia="Arial" w:hAnsi="Arial"/>
                <w:sz w:val="20"/>
                <w:szCs w:val="20"/>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60</w:t>
            </w:r>
          </w:p>
        </w:tc>
        <w:tc>
          <w:tcPr>
            <w:tcW w:w="100" w:type="dxa"/>
            <w:vAlign w:val="bottom"/>
            <w:shd w:val="clear" w:color="auto" w:fill="CFF0FC"/>
          </w:tcPr>
          <w:p>
            <w:pPr>
              <w:spacing w:after="0"/>
              <w:rPr>
                <w:sz w:val="21"/>
                <w:szCs w:val="21"/>
                <w:color w:val="auto"/>
              </w:rPr>
            </w:pPr>
          </w:p>
        </w:tc>
      </w:tr>
      <w:tr>
        <w:trPr>
          <w:trHeight w:val="243"/>
        </w:trPr>
        <w:tc>
          <w:tcPr>
            <w:tcW w:w="3980" w:type="dxa"/>
            <w:vAlign w:val="bottom"/>
          </w:tcPr>
          <w:p>
            <w:pPr>
              <w:spacing w:after="0"/>
              <w:rPr>
                <w:sz w:val="20"/>
                <w:szCs w:val="20"/>
                <w:color w:val="auto"/>
              </w:rPr>
            </w:pPr>
            <w:r>
              <w:rPr>
                <w:rFonts w:ascii="Arial" w:cs="Arial" w:eastAsia="Arial" w:hAnsi="Arial"/>
                <w:sz w:val="20"/>
                <w:szCs w:val="20"/>
                <w:color w:val="auto"/>
              </w:rPr>
              <w:t>Interest cost</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24,921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27,074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389</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547</w:t>
            </w:r>
          </w:p>
        </w:tc>
        <w:tc>
          <w:tcPr>
            <w:tcW w:w="100" w:type="dxa"/>
            <w:vAlign w:val="bottom"/>
          </w:tcPr>
          <w:p>
            <w:pPr>
              <w:spacing w:after="0"/>
              <w:rPr>
                <w:sz w:val="21"/>
                <w:szCs w:val="21"/>
                <w:color w:val="auto"/>
              </w:rPr>
            </w:pPr>
          </w:p>
        </w:tc>
      </w:tr>
      <w:tr>
        <w:trPr>
          <w:trHeight w:val="243"/>
        </w:trPr>
        <w:tc>
          <w:tcPr>
            <w:tcW w:w="3980" w:type="dxa"/>
            <w:vAlign w:val="bottom"/>
            <w:shd w:val="clear" w:color="auto" w:fill="CFF0FC"/>
          </w:tcPr>
          <w:p>
            <w:pPr>
              <w:spacing w:after="0"/>
              <w:rPr>
                <w:sz w:val="20"/>
                <w:szCs w:val="20"/>
                <w:color w:val="auto"/>
              </w:rPr>
            </w:pPr>
            <w:r>
              <w:rPr>
                <w:rFonts w:ascii="Arial" w:cs="Arial" w:eastAsia="Arial" w:hAnsi="Arial"/>
                <w:sz w:val="20"/>
                <w:szCs w:val="20"/>
                <w:color w:val="auto"/>
              </w:rPr>
              <w:t>Expected return on assets</w:t>
            </w:r>
          </w:p>
        </w:tc>
        <w:tc>
          <w:tcPr>
            <w:tcW w:w="3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(34,549)</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(29,818)</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300"/>
              <w:spacing w:after="0"/>
              <w:rPr>
                <w:sz w:val="20"/>
                <w:szCs w:val="20"/>
                <w:color w:val="auto"/>
              </w:rPr>
            </w:pPr>
            <w:r>
              <w:rPr>
                <w:rFonts w:ascii="Arial" w:cs="Arial" w:eastAsia="Arial" w:hAnsi="Arial"/>
                <w:sz w:val="20"/>
                <w:szCs w:val="20"/>
                <w:color w:val="auto"/>
              </w:rPr>
              <w:t>—</w:t>
            </w: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r>
      <w:tr>
        <w:trPr>
          <w:trHeight w:val="243"/>
        </w:trPr>
        <w:tc>
          <w:tcPr>
            <w:tcW w:w="3980" w:type="dxa"/>
            <w:vAlign w:val="bottom"/>
          </w:tcPr>
          <w:p>
            <w:pPr>
              <w:spacing w:after="0"/>
              <w:rPr>
                <w:sz w:val="20"/>
                <w:szCs w:val="20"/>
                <w:color w:val="auto"/>
              </w:rPr>
            </w:pPr>
            <w:r>
              <w:rPr>
                <w:rFonts w:ascii="Arial" w:cs="Arial" w:eastAsia="Arial" w:hAnsi="Arial"/>
                <w:sz w:val="20"/>
                <w:szCs w:val="20"/>
                <w:color w:val="auto"/>
              </w:rPr>
              <w:t>Amortization of:</w:t>
            </w: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Prior service cost (credit)</w:t>
            </w: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77</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237</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(1,556)</w:t>
            </w: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(1,307)</w:t>
            </w:r>
          </w:p>
        </w:tc>
      </w:tr>
      <w:tr>
        <w:trPr>
          <w:trHeight w:val="243"/>
        </w:trPr>
        <w:tc>
          <w:tcPr>
            <w:tcW w:w="3980" w:type="dxa"/>
            <w:vAlign w:val="bottom"/>
          </w:tcPr>
          <w:p>
            <w:pPr>
              <w:ind w:left="260"/>
              <w:spacing w:after="0"/>
              <w:rPr>
                <w:sz w:val="20"/>
                <w:szCs w:val="20"/>
                <w:color w:val="auto"/>
              </w:rPr>
            </w:pPr>
            <w:r>
              <w:rPr>
                <w:rFonts w:ascii="Arial" w:cs="Arial" w:eastAsia="Arial" w:hAnsi="Arial"/>
                <w:sz w:val="20"/>
                <w:szCs w:val="20"/>
                <w:color w:val="auto"/>
              </w:rPr>
              <w:t>Actuarial loss (gain)</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9,621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20"/>
                <w:szCs w:val="20"/>
                <w:color w:val="auto"/>
              </w:rPr>
              <w:t>10,643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20"/>
                <w:szCs w:val="20"/>
                <w:color w:val="auto"/>
              </w:rPr>
              <w:t>(158)</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20"/>
                <w:szCs w:val="20"/>
                <w:color w:val="auto"/>
              </w:rPr>
              <w:t>(273)</w:t>
            </w:r>
          </w:p>
        </w:tc>
      </w:tr>
      <w:tr>
        <w:trPr>
          <w:trHeight w:val="243"/>
        </w:trPr>
        <w:tc>
          <w:tcPr>
            <w:tcW w:w="3980" w:type="dxa"/>
            <w:vAlign w:val="bottom"/>
            <w:shd w:val="clear" w:color="auto" w:fill="CFF0FC"/>
          </w:tcPr>
          <w:p>
            <w:pPr>
              <w:spacing w:after="0"/>
              <w:rPr>
                <w:sz w:val="20"/>
                <w:szCs w:val="20"/>
                <w:color w:val="auto"/>
              </w:rPr>
            </w:pPr>
            <w:r>
              <w:rPr>
                <w:rFonts w:ascii="Arial" w:cs="Arial" w:eastAsia="Arial" w:hAnsi="Arial"/>
                <w:sz w:val="20"/>
                <w:szCs w:val="20"/>
                <w:color w:val="auto"/>
              </w:rPr>
              <w:t>Settlement charge</w:t>
            </w: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2,692</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1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300"/>
              <w:spacing w:after="0"/>
              <w:rPr>
                <w:sz w:val="20"/>
                <w:szCs w:val="20"/>
                <w:color w:val="auto"/>
              </w:rPr>
            </w:pPr>
            <w:r>
              <w:rPr>
                <w:rFonts w:ascii="Arial" w:cs="Arial" w:eastAsia="Arial" w:hAnsi="Arial"/>
                <w:sz w:val="20"/>
                <w:szCs w:val="20"/>
                <w:color w:val="auto"/>
              </w:rPr>
              <w:t>—</w:t>
            </w:r>
          </w:p>
        </w:tc>
        <w:tc>
          <w:tcPr>
            <w:tcW w:w="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r>
      <w:tr>
        <w:trPr>
          <w:trHeight w:val="237"/>
        </w:trPr>
        <w:tc>
          <w:tcPr>
            <w:tcW w:w="3980" w:type="dxa"/>
            <w:vAlign w:val="bottom"/>
          </w:tcPr>
          <w:p>
            <w:pPr>
              <w:spacing w:after="0"/>
              <w:rPr>
                <w:sz w:val="20"/>
                <w:szCs w:val="20"/>
                <w:color w:val="auto"/>
              </w:rPr>
            </w:pPr>
            <w:r>
              <w:rPr>
                <w:rFonts w:ascii="Arial" w:cs="Arial" w:eastAsia="Arial" w:hAnsi="Arial"/>
                <w:sz w:val="20"/>
                <w:szCs w:val="20"/>
                <w:color w:val="auto"/>
              </w:rPr>
              <w:t>Net periodic benefit cost (credit)</w:t>
            </w:r>
          </w:p>
        </w:tc>
        <w:tc>
          <w:tcPr>
            <w:tcW w:w="36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20"/>
                <w:szCs w:val="20"/>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26,494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28,196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20"/>
                <w:szCs w:val="20"/>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(1,267)</w:t>
            </w:r>
          </w:p>
        </w:tc>
        <w:tc>
          <w:tcPr>
            <w:tcW w:w="3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(973)</w:t>
            </w:r>
          </w:p>
        </w:tc>
        <w:tc>
          <w:tcPr>
            <w:tcW w:w="100" w:type="dxa"/>
            <w:vAlign w:val="bottom"/>
          </w:tcPr>
          <w:p>
            <w:pPr>
              <w:spacing w:after="0"/>
              <w:rPr>
                <w:sz w:val="20"/>
                <w:szCs w:val="20"/>
                <w:color w:val="auto"/>
              </w:rPr>
            </w:pPr>
          </w:p>
        </w:tc>
      </w:tr>
      <w:tr>
        <w:trPr>
          <w:trHeight w:val="20"/>
        </w:trPr>
        <w:tc>
          <w:tcPr>
            <w:tcW w:w="3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ind w:left="380" w:right="20"/>
        <w:spacing w:after="0" w:line="250" w:lineRule="auto"/>
        <w:rPr>
          <w:sz w:val="20"/>
          <w:szCs w:val="20"/>
          <w:color w:val="auto"/>
        </w:rPr>
      </w:pPr>
      <w:r>
        <w:rPr>
          <w:rFonts w:ascii="Arial" w:cs="Arial" w:eastAsia="Arial" w:hAnsi="Arial"/>
          <w:sz w:val="20"/>
          <w:szCs w:val="20"/>
          <w:color w:val="auto"/>
        </w:rPr>
        <w:t>The service cost component of net periodic benefit cost (credit) is included in cost of revenues – products and services and selling, general and administrative expenses while all other components are included in other nonoperating income, net, in the consolidated statements of earnings and comprehensive earnings.</w:t>
      </w:r>
    </w:p>
    <w:p>
      <w:pPr>
        <w:spacing w:after="0" w:line="78" w:lineRule="exact"/>
        <w:rPr>
          <w:sz w:val="20"/>
          <w:szCs w:val="20"/>
          <w:color w:val="auto"/>
        </w:rPr>
      </w:pPr>
    </w:p>
    <w:p>
      <w:pPr>
        <w:jc w:val="both"/>
        <w:ind w:left="380"/>
        <w:spacing w:after="0" w:line="246" w:lineRule="auto"/>
        <w:rPr>
          <w:sz w:val="20"/>
          <w:szCs w:val="20"/>
          <w:color w:val="auto"/>
        </w:rPr>
      </w:pPr>
      <w:r>
        <w:rPr>
          <w:rFonts w:ascii="Arial" w:cs="Arial" w:eastAsia="Arial" w:hAnsi="Arial"/>
          <w:sz w:val="20"/>
          <w:szCs w:val="20"/>
          <w:color w:val="auto"/>
        </w:rPr>
        <w:t>In the quarter ended September 30, 2018, the Company made $150,000,000 of discretionary contributions to its qualified pension plan. No additional contributions to the qualified pension plan are expected to be made for the remainder of 2018. The Company currently estimates that it will contribute a total of $12,400,000 for the year ending December 31, 2018 to satisfy required payments under the unfunded nonqualified pension plans.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26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2018</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72" w:lineRule="exact"/>
        <w:rPr>
          <w:sz w:val="20"/>
          <w:szCs w:val="20"/>
          <w:color w:val="auto"/>
        </w:rPr>
      </w:pPr>
    </w:p>
    <w:p>
      <w:pPr>
        <w:ind w:left="380" w:right="8000" w:hanging="372"/>
        <w:spacing w:after="0" w:line="394" w:lineRule="auto"/>
        <w:tabs>
          <w:tab w:leader="none" w:pos="378"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u w:val="single" w:color="auto"/>
          <w:color w:val="auto"/>
        </w:rPr>
        <w:t>Legal and Administrative Proceedings</w:t>
      </w:r>
    </w:p>
    <w:p>
      <w:pPr>
        <w:spacing w:after="0" w:line="1" w:lineRule="exact"/>
        <w:rPr>
          <w:rFonts w:ascii="Arial" w:cs="Arial" w:eastAsia="Arial" w:hAnsi="Arial"/>
          <w:sz w:val="18"/>
          <w:szCs w:val="18"/>
          <w:b w:val="1"/>
          <w:bCs w:val="1"/>
          <w:color w:val="auto"/>
        </w:rPr>
      </w:pPr>
    </w:p>
    <w:p>
      <w:pPr>
        <w:jc w:val="both"/>
        <w:ind w:left="380"/>
        <w:spacing w:after="0" w:line="263" w:lineRule="auto"/>
        <w:rPr>
          <w:rFonts w:ascii="Arial" w:cs="Arial" w:eastAsia="Arial" w:hAnsi="Arial"/>
          <w:sz w:val="18"/>
          <w:szCs w:val="18"/>
          <w:b w:val="1"/>
          <w:bCs w:val="1"/>
          <w:color w:val="auto"/>
        </w:rPr>
      </w:pPr>
      <w:r>
        <w:rPr>
          <w:rFonts w:ascii="Arial" w:cs="Arial" w:eastAsia="Arial" w:hAnsi="Arial"/>
          <w:sz w:val="19"/>
          <w:szCs w:val="19"/>
          <w:color w:val="auto"/>
        </w:rPr>
        <w:t>The Company is engaged in certain legal and administrative proceedings incidental to its normal business activities. In the opinion of management and counsel, based upon currently-available facts, it is remote that the ultimate outcome of any litigation and other proceedings, including those pertaining to environmental matters, relating to the Company and its subsidiaries, will have a material adverse effect on the overall results of the Company’s operations, its cash flows or its financial position.</w:t>
      </w:r>
    </w:p>
    <w:p>
      <w:pPr>
        <w:spacing w:after="0" w:line="176"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20"/>
          <w:szCs w:val="20"/>
          <w:u w:val="single" w:color="auto"/>
          <w:color w:val="auto"/>
        </w:rPr>
        <w:t>Borrowing Arrangements with Affiliate</w:t>
      </w:r>
    </w:p>
    <w:p>
      <w:pPr>
        <w:spacing w:after="0" w:line="107" w:lineRule="exact"/>
        <w:rPr>
          <w:rFonts w:ascii="Arial" w:cs="Arial" w:eastAsia="Arial" w:hAnsi="Arial"/>
          <w:sz w:val="18"/>
          <w:szCs w:val="18"/>
          <w:b w:val="1"/>
          <w:bCs w:val="1"/>
          <w:color w:val="auto"/>
        </w:rPr>
      </w:pPr>
    </w:p>
    <w:p>
      <w:pPr>
        <w:jc w:val="both"/>
        <w:ind w:left="380"/>
        <w:spacing w:after="0" w:line="246" w:lineRule="auto"/>
        <w:rPr>
          <w:rFonts w:ascii="Arial" w:cs="Arial" w:eastAsia="Arial" w:hAnsi="Arial"/>
          <w:sz w:val="18"/>
          <w:szCs w:val="18"/>
          <w:b w:val="1"/>
          <w:bCs w:val="1"/>
          <w:color w:val="auto"/>
        </w:rPr>
      </w:pPr>
      <w:r>
        <w:rPr>
          <w:rFonts w:ascii="Arial" w:cs="Arial" w:eastAsia="Arial" w:hAnsi="Arial"/>
          <w:sz w:val="20"/>
          <w:szCs w:val="20"/>
          <w:color w:val="auto"/>
        </w:rPr>
        <w:t>The Company is a co-borrower with an unconsolidated affiliate for a $15,500,000 revolving line of credit agreement with BB&amp;T with a maturity date of March 2020. The affiliate has agreed to reimburse and indemnify the Company for any payments and expenses the Company may incur from this agreement. The Company holds a lien on the affiliate’s membership interest in a joint venture as collateral for payment under the revolving line of credit.</w:t>
      </w:r>
    </w:p>
    <w:p>
      <w:pPr>
        <w:spacing w:after="0" w:line="83" w:lineRule="exact"/>
        <w:rPr>
          <w:rFonts w:ascii="Arial" w:cs="Arial" w:eastAsia="Arial" w:hAnsi="Arial"/>
          <w:sz w:val="18"/>
          <w:szCs w:val="18"/>
          <w:b w:val="1"/>
          <w:bCs w:val="1"/>
          <w:color w:val="auto"/>
        </w:rPr>
      </w:pPr>
    </w:p>
    <w:p>
      <w:pPr>
        <w:ind w:left="380"/>
        <w:spacing w:after="0" w:line="316" w:lineRule="auto"/>
        <w:rPr>
          <w:rFonts w:ascii="Arial" w:cs="Arial" w:eastAsia="Arial" w:hAnsi="Arial"/>
          <w:sz w:val="18"/>
          <w:szCs w:val="18"/>
          <w:b w:val="1"/>
          <w:bCs w:val="1"/>
          <w:color w:val="auto"/>
        </w:rPr>
      </w:pPr>
      <w:r>
        <w:rPr>
          <w:rFonts w:ascii="Arial" w:cs="Arial" w:eastAsia="Arial" w:hAnsi="Arial"/>
          <w:sz w:val="18"/>
          <w:szCs w:val="18"/>
          <w:color w:val="auto"/>
        </w:rPr>
        <w:t>In addition, the Company has a $6,000,000 interest-only loan, due December 31, 2019, outstanding from this unconsolidated affiliate as of September 30, 2018, December 31, 2017 and September 30, 2017. The interest rate is one-month LIBOR plus 1.75%.</w:t>
      </w:r>
    </w:p>
    <w:p>
      <w:pPr>
        <w:spacing w:after="0" w:line="22"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20"/>
          <w:szCs w:val="20"/>
          <w:u w:val="single" w:color="auto"/>
          <w:color w:val="auto"/>
        </w:rPr>
        <w:t>Employees</w:t>
      </w:r>
    </w:p>
    <w:p>
      <w:pPr>
        <w:spacing w:after="0" w:line="107" w:lineRule="exact"/>
        <w:rPr>
          <w:rFonts w:ascii="Arial" w:cs="Arial" w:eastAsia="Arial" w:hAnsi="Arial"/>
          <w:sz w:val="18"/>
          <w:szCs w:val="18"/>
          <w:b w:val="1"/>
          <w:bCs w:val="1"/>
          <w:color w:val="auto"/>
        </w:rPr>
      </w:pPr>
    </w:p>
    <w:p>
      <w:pPr>
        <w:jc w:val="both"/>
        <w:ind w:left="380"/>
        <w:spacing w:after="0" w:line="291" w:lineRule="auto"/>
        <w:rPr>
          <w:rFonts w:ascii="Arial" w:cs="Arial" w:eastAsia="Arial" w:hAnsi="Arial"/>
          <w:sz w:val="18"/>
          <w:szCs w:val="18"/>
          <w:b w:val="1"/>
          <w:bCs w:val="1"/>
          <w:color w:val="auto"/>
        </w:rPr>
      </w:pPr>
      <w:r>
        <w:rPr>
          <w:rFonts w:ascii="Arial" w:cs="Arial" w:eastAsia="Arial" w:hAnsi="Arial"/>
          <w:sz w:val="18"/>
          <w:szCs w:val="18"/>
          <w:color w:val="auto"/>
        </w:rPr>
        <w:t>The Company maintains collective bargaining agreements relating to the union employees within the Building Materials business and Magnesia Specialties segment. Of the Magnesia Specialties segment, 100% of its hourly employees are represented by labor unions. The Manistee collective bargaining agreement expires in August 2019; the Woodville collective bargaining agreement expires June 2022.</w:t>
      </w:r>
    </w:p>
    <w:p>
      <w:pPr>
        <w:spacing w:after="0" w:line="253" w:lineRule="exact"/>
        <w:rPr>
          <w:rFonts w:ascii="Arial" w:cs="Arial" w:eastAsia="Arial" w:hAnsi="Arial"/>
          <w:sz w:val="18"/>
          <w:szCs w:val="18"/>
          <w:b w:val="1"/>
          <w:bCs w:val="1"/>
          <w:color w:val="auto"/>
        </w:rPr>
      </w:pPr>
    </w:p>
    <w:p>
      <w:pPr>
        <w:ind w:left="380" w:hanging="372"/>
        <w:spacing w:after="0"/>
        <w:tabs>
          <w:tab w:leader="none" w:pos="38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Business Segments</w:t>
      </w:r>
    </w:p>
    <w:p>
      <w:pPr>
        <w:spacing w:after="0" w:line="59" w:lineRule="exact"/>
        <w:rPr>
          <w:rFonts w:ascii="Arial" w:cs="Arial" w:eastAsia="Arial" w:hAnsi="Arial"/>
          <w:sz w:val="20"/>
          <w:szCs w:val="20"/>
          <w:b w:val="1"/>
          <w:bCs w:val="1"/>
          <w:color w:val="auto"/>
        </w:rPr>
      </w:pPr>
    </w:p>
    <w:p>
      <w:pPr>
        <w:jc w:val="both"/>
        <w:ind w:left="380"/>
        <w:spacing w:after="0" w:line="257" w:lineRule="auto"/>
        <w:rPr>
          <w:rFonts w:ascii="Arial" w:cs="Arial" w:eastAsia="Arial" w:hAnsi="Arial"/>
          <w:sz w:val="20"/>
          <w:szCs w:val="20"/>
          <w:b w:val="1"/>
          <w:bCs w:val="1"/>
          <w:color w:val="auto"/>
        </w:rPr>
      </w:pPr>
      <w:r>
        <w:rPr>
          <w:rFonts w:ascii="Arial" w:cs="Arial" w:eastAsia="Arial" w:hAnsi="Arial"/>
          <w:sz w:val="19"/>
          <w:szCs w:val="19"/>
          <w:color w:val="auto"/>
        </w:rPr>
        <w:t>The Building Materials business contains three reportable business segments: Mid-America Group, Southeast Group and West Group. The Company also has a Magnesia Specialties segment. The Company’s evaluation of performance and allocation of resources are based primarily on earnings from operations. Consolidated earnings from operations include total revenues less cost of revenues; selling, general and administrative expenses; acquisition-related expenses, net; other operating income and expenses, net; and exclude interest expense; other nonoperating income and expenses, net; and taxes on income. Corporate loss from operations primarily includes depreciation on capitalized interest; unallocated expenses for corporate administrative functions; acquisition-related expenses, net; and other nonrecurring income and expenses excluded from the Company’s evaluation of business segment performance and resource allocation. All debt and related interest expense is held at Corporate.</w:t>
      </w:r>
    </w:p>
    <w:p>
      <w:pPr>
        <w:spacing w:after="0" w:line="73" w:lineRule="exact"/>
        <w:rPr>
          <w:rFonts w:ascii="Arial" w:cs="Arial" w:eastAsia="Arial" w:hAnsi="Arial"/>
          <w:sz w:val="20"/>
          <w:szCs w:val="20"/>
          <w:b w:val="1"/>
          <w:bCs w:val="1"/>
          <w:color w:val="auto"/>
        </w:rPr>
      </w:pPr>
    </w:p>
    <w:p>
      <w:pPr>
        <w:jc w:val="both"/>
        <w:ind w:left="380"/>
        <w:spacing w:after="0" w:line="263" w:lineRule="auto"/>
        <w:rPr>
          <w:rFonts w:ascii="Arial" w:cs="Arial" w:eastAsia="Arial" w:hAnsi="Arial"/>
          <w:sz w:val="20"/>
          <w:szCs w:val="20"/>
          <w:b w:val="1"/>
          <w:bCs w:val="1"/>
          <w:color w:val="auto"/>
        </w:rPr>
      </w:pPr>
      <w:r>
        <w:rPr>
          <w:rFonts w:ascii="Arial" w:cs="Arial" w:eastAsia="Arial" w:hAnsi="Arial"/>
          <w:sz w:val="19"/>
          <w:szCs w:val="19"/>
          <w:color w:val="auto"/>
        </w:rPr>
        <w:t>The following table displays selected financial data for the Company’s reportable business segments. The acquired Bluegrass operations are located in the Mid-America Group and Southeast Group. Total revenues, as well as the consolidated statements of earnings and comprehensive earnings, exclude intersegment revenues which represent sales from one segment to another segment, which are eliminated. Prior-year information has been reclassified to conform to current year revenue presentation.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27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2018</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Business Segments (continued)</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300" w:type="dxa"/>
            <w:vAlign w:val="bottom"/>
            <w:gridSpan w:val="4"/>
          </w:tcPr>
          <w:p>
            <w:pPr>
              <w:jc w:val="right"/>
              <w:spacing w:after="0"/>
              <w:rPr>
                <w:sz w:val="20"/>
                <w:szCs w:val="20"/>
                <w:color w:val="auto"/>
              </w:rPr>
            </w:pPr>
            <w:r>
              <w:rPr>
                <w:rFonts w:ascii="Arial" w:cs="Arial" w:eastAsia="Arial" w:hAnsi="Arial"/>
                <w:sz w:val="19"/>
                <w:szCs w:val="19"/>
                <w:color w:val="auto"/>
              </w:rPr>
              <w:t>Three-Months Ended</w:t>
            </w: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40" w:type="dxa"/>
            <w:vAlign w:val="bottom"/>
            <w:gridSpan w:val="5"/>
          </w:tcPr>
          <w:p>
            <w:pPr>
              <w:jc w:val="right"/>
              <w:spacing w:after="0"/>
              <w:rPr>
                <w:sz w:val="20"/>
                <w:szCs w:val="20"/>
                <w:color w:val="auto"/>
              </w:rPr>
            </w:pPr>
            <w:r>
              <w:rPr>
                <w:rFonts w:ascii="Arial" w:cs="Arial" w:eastAsia="Arial" w:hAnsi="Arial"/>
                <w:sz w:val="20"/>
                <w:szCs w:val="20"/>
                <w:color w:val="auto"/>
              </w:rPr>
              <w:t>Nine-Months Ended</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6"/>
        </w:trPr>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4"/>
          </w:tcPr>
          <w:p>
            <w:pPr>
              <w:jc w:val="right"/>
              <w:ind w:right="141"/>
              <w:spacing w:after="0"/>
              <w:rPr>
                <w:sz w:val="20"/>
                <w:szCs w:val="20"/>
                <w:color w:val="auto"/>
              </w:rPr>
            </w:pPr>
            <w:r>
              <w:rPr>
                <w:rFonts w:ascii="Arial" w:cs="Arial" w:eastAsia="Arial" w:hAnsi="Arial"/>
                <w:sz w:val="20"/>
                <w:szCs w:val="20"/>
                <w:color w:val="auto"/>
              </w:rPr>
              <w:t>September 30,</w:t>
            </w:r>
          </w:p>
        </w:tc>
        <w:tc>
          <w:tcPr>
            <w:tcW w:w="10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5"/>
          </w:tcPr>
          <w:p>
            <w:pPr>
              <w:jc w:val="right"/>
              <w:ind w:right="141"/>
              <w:spacing w:after="0"/>
              <w:rPr>
                <w:sz w:val="20"/>
                <w:szCs w:val="20"/>
                <w:color w:val="auto"/>
              </w:rPr>
            </w:pPr>
            <w:r>
              <w:rPr>
                <w:rFonts w:ascii="Arial" w:cs="Arial" w:eastAsia="Arial" w:hAnsi="Arial"/>
                <w:sz w:val="20"/>
                <w:szCs w:val="20"/>
                <w:color w:val="auto"/>
              </w:rPr>
              <w:t>September 30,</w:t>
            </w:r>
          </w:p>
        </w:tc>
        <w:tc>
          <w:tcPr>
            <w:tcW w:w="10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81"/>
              <w:spacing w:after="0"/>
              <w:rPr>
                <w:sz w:val="20"/>
                <w:szCs w:val="20"/>
                <w:color w:val="auto"/>
              </w:rPr>
            </w:pPr>
            <w:r>
              <w:rPr>
                <w:rFonts w:ascii="Arial" w:cs="Arial" w:eastAsia="Arial" w:hAnsi="Arial"/>
                <w:sz w:val="19"/>
                <w:szCs w:val="19"/>
                <w:color w:val="auto"/>
              </w:rPr>
              <w:t>2018</w:t>
            </w: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2017</w:t>
            </w: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color w:val="auto"/>
              </w:rPr>
              <w:t>2018</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81"/>
              <w:spacing w:after="0"/>
              <w:rPr>
                <w:sz w:val="20"/>
                <w:szCs w:val="20"/>
                <w:color w:val="auto"/>
              </w:rPr>
            </w:pPr>
            <w:r>
              <w:rPr>
                <w:rFonts w:ascii="Arial" w:cs="Arial" w:eastAsia="Arial" w:hAnsi="Arial"/>
                <w:sz w:val="20"/>
                <w:szCs w:val="20"/>
                <w:color w:val="auto"/>
                <w:w w:val="85"/>
              </w:rPr>
              <w:t>2017</w:t>
            </w:r>
          </w:p>
        </w:tc>
        <w:tc>
          <w:tcPr>
            <w:tcW w:w="120" w:type="dxa"/>
            <w:vAlign w:val="bottom"/>
          </w:tcPr>
          <w:p>
            <w:pPr>
              <w:spacing w:after="0"/>
              <w:rPr>
                <w:sz w:val="20"/>
                <w:szCs w:val="20"/>
                <w:color w:val="auto"/>
              </w:rPr>
            </w:pPr>
          </w:p>
        </w:tc>
      </w:tr>
      <w:tr>
        <w:trPr>
          <w:trHeight w:val="237"/>
        </w:trPr>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80" w:type="dxa"/>
            <w:vAlign w:val="bottom"/>
            <w:gridSpan w:val="9"/>
          </w:tcPr>
          <w:p>
            <w:pPr>
              <w:ind w:left="280"/>
              <w:spacing w:after="0"/>
              <w:rPr>
                <w:sz w:val="20"/>
                <w:szCs w:val="20"/>
                <w:color w:val="auto"/>
              </w:rPr>
            </w:pPr>
            <w:r>
              <w:rPr>
                <w:rFonts w:ascii="Arial" w:cs="Arial" w:eastAsia="Arial" w:hAnsi="Arial"/>
                <w:sz w:val="20"/>
                <w:szCs w:val="20"/>
                <w:i w:val="1"/>
                <w:iCs w:val="1"/>
                <w:color w:val="auto"/>
              </w:rPr>
              <w:t>(Dollars in Thousands)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3"/>
        </w:trPr>
        <w:tc>
          <w:tcPr>
            <w:tcW w:w="3500" w:type="dxa"/>
            <w:vAlign w:val="bottom"/>
            <w:gridSpan w:val="5"/>
            <w:shd w:val="clear" w:color="auto" w:fill="CFF0FC"/>
          </w:tcPr>
          <w:p>
            <w:pPr>
              <w:spacing w:after="0" w:line="203" w:lineRule="exact"/>
              <w:rPr>
                <w:sz w:val="20"/>
                <w:szCs w:val="20"/>
                <w:color w:val="auto"/>
              </w:rPr>
            </w:pPr>
            <w:r>
              <w:rPr>
                <w:rFonts w:ascii="Arial" w:cs="Arial" w:eastAsia="Arial" w:hAnsi="Arial"/>
                <w:sz w:val="19"/>
                <w:szCs w:val="19"/>
                <w:color w:val="auto"/>
              </w:rPr>
              <w:t>Total revenues:</w:t>
            </w:r>
          </w:p>
        </w:tc>
        <w:tc>
          <w:tcPr>
            <w:tcW w:w="3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
        </w:trPr>
        <w:tc>
          <w:tcPr>
            <w:tcW w:w="1120" w:type="dxa"/>
            <w:vAlign w:val="bottom"/>
            <w:tcBorders>
              <w:top w:val="single" w:sz="8" w:color="auto"/>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243"/>
        </w:trPr>
        <w:tc>
          <w:tcPr>
            <w:tcW w:w="3500" w:type="dxa"/>
            <w:vAlign w:val="bottom"/>
            <w:gridSpan w:val="5"/>
          </w:tcPr>
          <w:p>
            <w:pPr>
              <w:spacing w:after="0"/>
              <w:rPr>
                <w:sz w:val="20"/>
                <w:szCs w:val="20"/>
                <w:color w:val="auto"/>
              </w:rPr>
            </w:pPr>
            <w:r>
              <w:rPr>
                <w:rFonts w:ascii="Arial" w:cs="Arial" w:eastAsia="Arial" w:hAnsi="Arial"/>
                <w:sz w:val="19"/>
                <w:szCs w:val="19"/>
                <w:color w:val="auto"/>
              </w:rPr>
              <w:t>Mid-America Group</w:t>
            </w:r>
          </w:p>
        </w:tc>
        <w:tc>
          <w:tcPr>
            <w:tcW w:w="380" w:type="dxa"/>
            <w:vAlign w:val="bottom"/>
          </w:tcPr>
          <w:p>
            <w:pPr>
              <w:jc w:val="right"/>
              <w:ind w:right="181"/>
              <w:spacing w:after="0"/>
              <w:rPr>
                <w:sz w:val="20"/>
                <w:szCs w:val="20"/>
                <w:color w:val="auto"/>
              </w:rPr>
            </w:pPr>
            <w:r>
              <w:rPr>
                <w:rFonts w:ascii="Arial" w:cs="Arial" w:eastAsia="Arial" w:hAnsi="Arial"/>
                <w:sz w:val="20"/>
                <w:szCs w:val="20"/>
                <w:color w:val="auto"/>
                <w:w w:val="71"/>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377,005</w:t>
            </w:r>
          </w:p>
        </w:tc>
        <w:tc>
          <w:tcPr>
            <w:tcW w:w="300" w:type="dxa"/>
            <w:vAlign w:val="bottom"/>
          </w:tcPr>
          <w:p>
            <w:pPr>
              <w:spacing w:after="0"/>
              <w:rPr>
                <w:sz w:val="21"/>
                <w:szCs w:val="21"/>
                <w:color w:val="auto"/>
              </w:rPr>
            </w:pPr>
          </w:p>
        </w:tc>
        <w:tc>
          <w:tcPr>
            <w:tcW w:w="460" w:type="dxa"/>
            <w:vAlign w:val="bottom"/>
          </w:tcPr>
          <w:p>
            <w:pPr>
              <w:jc w:val="right"/>
              <w:ind w:right="261"/>
              <w:spacing w:after="0"/>
              <w:rPr>
                <w:sz w:val="20"/>
                <w:szCs w:val="20"/>
                <w:color w:val="auto"/>
              </w:rPr>
            </w:pPr>
            <w:r>
              <w:rPr>
                <w:rFonts w:ascii="Arial" w:cs="Arial" w:eastAsia="Arial" w:hAnsi="Arial"/>
                <w:sz w:val="20"/>
                <w:szCs w:val="20"/>
                <w:color w:val="auto"/>
                <w:w w:val="71"/>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308,472</w:t>
            </w:r>
          </w:p>
        </w:tc>
        <w:tc>
          <w:tcPr>
            <w:tcW w:w="300" w:type="dxa"/>
            <w:vAlign w:val="bottom"/>
          </w:tcPr>
          <w:p>
            <w:pPr>
              <w:spacing w:after="0"/>
              <w:rPr>
                <w:sz w:val="21"/>
                <w:szCs w:val="21"/>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20"/>
                <w:szCs w:val="20"/>
                <w:color w:val="auto"/>
                <w:w w:val="71"/>
              </w:rPr>
              <w:t>$</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906,377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788,390</w:t>
            </w:r>
          </w:p>
        </w:tc>
        <w:tc>
          <w:tcPr>
            <w:tcW w:w="120" w:type="dxa"/>
            <w:vAlign w:val="bottom"/>
          </w:tcPr>
          <w:p>
            <w:pPr>
              <w:spacing w:after="0"/>
              <w:rPr>
                <w:sz w:val="21"/>
                <w:szCs w:val="21"/>
                <w:color w:val="auto"/>
              </w:rPr>
            </w:pPr>
          </w:p>
        </w:tc>
      </w:tr>
      <w:tr>
        <w:trPr>
          <w:trHeight w:val="243"/>
        </w:trPr>
        <w:tc>
          <w:tcPr>
            <w:tcW w:w="3500" w:type="dxa"/>
            <w:vAlign w:val="bottom"/>
            <w:gridSpan w:val="5"/>
            <w:shd w:val="clear" w:color="auto" w:fill="CFF0FC"/>
          </w:tcPr>
          <w:p>
            <w:pPr>
              <w:spacing w:after="0"/>
              <w:rPr>
                <w:sz w:val="20"/>
                <w:szCs w:val="20"/>
                <w:color w:val="auto"/>
              </w:rPr>
            </w:pPr>
            <w:r>
              <w:rPr>
                <w:rFonts w:ascii="Arial" w:cs="Arial" w:eastAsia="Arial" w:hAnsi="Arial"/>
                <w:sz w:val="19"/>
                <w:szCs w:val="19"/>
                <w:color w:val="auto"/>
              </w:rPr>
              <w:t>Southeast Group</w:t>
            </w:r>
          </w:p>
        </w:tc>
        <w:tc>
          <w:tcPr>
            <w:tcW w:w="3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125,547</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94,843</w:t>
            </w: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318,749</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277,474</w:t>
            </w:r>
          </w:p>
        </w:tc>
        <w:tc>
          <w:tcPr>
            <w:tcW w:w="120" w:type="dxa"/>
            <w:vAlign w:val="bottom"/>
            <w:shd w:val="clear" w:color="auto" w:fill="CFF0FC"/>
          </w:tcPr>
          <w:p>
            <w:pPr>
              <w:spacing w:after="0"/>
              <w:rPr>
                <w:sz w:val="21"/>
                <w:szCs w:val="21"/>
                <w:color w:val="auto"/>
              </w:rPr>
            </w:pPr>
          </w:p>
        </w:tc>
      </w:tr>
      <w:tr>
        <w:trPr>
          <w:trHeight w:val="243"/>
        </w:trPr>
        <w:tc>
          <w:tcPr>
            <w:tcW w:w="3500" w:type="dxa"/>
            <w:vAlign w:val="bottom"/>
            <w:tcBorders>
              <w:bottom w:val="single" w:sz="8" w:color="CFF0FC"/>
            </w:tcBorders>
            <w:gridSpan w:val="5"/>
          </w:tcPr>
          <w:p>
            <w:pPr>
              <w:spacing w:after="0"/>
              <w:rPr>
                <w:sz w:val="20"/>
                <w:szCs w:val="20"/>
                <w:color w:val="auto"/>
              </w:rPr>
            </w:pPr>
            <w:r>
              <w:rPr>
                <w:rFonts w:ascii="Arial" w:cs="Arial" w:eastAsia="Arial" w:hAnsi="Arial"/>
                <w:sz w:val="19"/>
                <w:szCs w:val="19"/>
                <w:color w:val="auto"/>
              </w:rPr>
              <w:t>West Group</w:t>
            </w: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643,565</w:t>
            </w:r>
          </w:p>
        </w:tc>
        <w:tc>
          <w:tcPr>
            <w:tcW w:w="300" w:type="dxa"/>
            <w:vAlign w:val="bottom"/>
            <w:tcBorders>
              <w:bottom w:val="single" w:sz="8" w:color="CFF0FC"/>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620,512</w:t>
            </w:r>
          </w:p>
        </w:tc>
        <w:tc>
          <w:tcPr>
            <w:tcW w:w="300" w:type="dxa"/>
            <w:vAlign w:val="bottom"/>
            <w:tcBorders>
              <w:bottom w:val="single" w:sz="8" w:color="CFF0FC"/>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1,783,174</w:t>
            </w:r>
          </w:p>
        </w:tc>
        <w:tc>
          <w:tcPr>
            <w:tcW w:w="14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1,726,742</w:t>
            </w:r>
          </w:p>
        </w:tc>
        <w:tc>
          <w:tcPr>
            <w:tcW w:w="120" w:type="dxa"/>
            <w:vAlign w:val="bottom"/>
            <w:tcBorders>
              <w:bottom w:val="single" w:sz="8" w:color="CFF0FC"/>
            </w:tcBorders>
          </w:tcPr>
          <w:p>
            <w:pPr>
              <w:spacing w:after="0"/>
              <w:rPr>
                <w:sz w:val="21"/>
                <w:szCs w:val="21"/>
                <w:color w:val="auto"/>
              </w:rPr>
            </w:pPr>
          </w:p>
        </w:tc>
      </w:tr>
      <w:tr>
        <w:trPr>
          <w:trHeight w:val="237"/>
        </w:trPr>
        <w:tc>
          <w:tcPr>
            <w:tcW w:w="3500" w:type="dxa"/>
            <w:vAlign w:val="bottom"/>
            <w:gridSpan w:val="5"/>
            <w:shd w:val="clear" w:color="auto" w:fill="CFF0FC"/>
          </w:tcPr>
          <w:p>
            <w:pPr>
              <w:spacing w:after="0"/>
              <w:rPr>
                <w:sz w:val="20"/>
                <w:szCs w:val="20"/>
                <w:color w:val="auto"/>
              </w:rPr>
            </w:pPr>
            <w:r>
              <w:rPr>
                <w:rFonts w:ascii="Arial" w:cs="Arial" w:eastAsia="Arial" w:hAnsi="Arial"/>
                <w:sz w:val="19"/>
                <w:szCs w:val="19"/>
                <w:color w:val="auto"/>
              </w:rPr>
              <w:t>Total Building Materials Business</w:t>
            </w:r>
          </w:p>
        </w:tc>
        <w:tc>
          <w:tcPr>
            <w:tcW w:w="38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1,146,117</w:t>
            </w:r>
          </w:p>
        </w:tc>
        <w:tc>
          <w:tcPr>
            <w:tcW w:w="3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1,023,827</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3,008,300</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2,792,606</w:t>
            </w:r>
          </w:p>
        </w:tc>
        <w:tc>
          <w:tcPr>
            <w:tcW w:w="120" w:type="dxa"/>
            <w:vAlign w:val="bottom"/>
            <w:shd w:val="clear" w:color="auto" w:fill="CFF0FC"/>
          </w:tcPr>
          <w:p>
            <w:pPr>
              <w:spacing w:after="0"/>
              <w:rPr>
                <w:sz w:val="20"/>
                <w:szCs w:val="20"/>
                <w:color w:val="auto"/>
              </w:rPr>
            </w:pPr>
          </w:p>
        </w:tc>
      </w:tr>
      <w:tr>
        <w:trPr>
          <w:trHeight w:val="243"/>
        </w:trPr>
        <w:tc>
          <w:tcPr>
            <w:tcW w:w="3500" w:type="dxa"/>
            <w:vAlign w:val="bottom"/>
            <w:tcBorders>
              <w:bottom w:val="single" w:sz="8" w:color="CFF0FC"/>
            </w:tcBorders>
            <w:gridSpan w:val="5"/>
          </w:tcPr>
          <w:p>
            <w:pPr>
              <w:spacing w:after="0"/>
              <w:rPr>
                <w:sz w:val="20"/>
                <w:szCs w:val="20"/>
                <w:color w:val="auto"/>
              </w:rPr>
            </w:pPr>
            <w:r>
              <w:rPr>
                <w:rFonts w:ascii="Arial" w:cs="Arial" w:eastAsia="Arial" w:hAnsi="Arial"/>
                <w:sz w:val="19"/>
                <w:szCs w:val="19"/>
                <w:color w:val="auto"/>
              </w:rPr>
              <w:t>Magnesia Specialties</w:t>
            </w: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73,523</w:t>
            </w:r>
          </w:p>
        </w:tc>
        <w:tc>
          <w:tcPr>
            <w:tcW w:w="300" w:type="dxa"/>
            <w:vAlign w:val="bottom"/>
            <w:tcBorders>
              <w:bottom w:val="single" w:sz="8" w:color="CFF0FC"/>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63,905</w:t>
            </w:r>
          </w:p>
        </w:tc>
        <w:tc>
          <w:tcPr>
            <w:tcW w:w="300" w:type="dxa"/>
            <w:vAlign w:val="bottom"/>
            <w:tcBorders>
              <w:bottom w:val="single" w:sz="8" w:color="CFF0FC"/>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215,747</w:t>
            </w:r>
          </w:p>
        </w:tc>
        <w:tc>
          <w:tcPr>
            <w:tcW w:w="14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202,510</w:t>
            </w:r>
          </w:p>
        </w:tc>
        <w:tc>
          <w:tcPr>
            <w:tcW w:w="120" w:type="dxa"/>
            <w:vAlign w:val="bottom"/>
            <w:tcBorders>
              <w:bottom w:val="single" w:sz="8" w:color="CFF0FC"/>
            </w:tcBorders>
          </w:tcPr>
          <w:p>
            <w:pPr>
              <w:spacing w:after="0"/>
              <w:rPr>
                <w:sz w:val="21"/>
                <w:szCs w:val="21"/>
                <w:color w:val="auto"/>
              </w:rPr>
            </w:pPr>
          </w:p>
        </w:tc>
      </w:tr>
      <w:tr>
        <w:trPr>
          <w:trHeight w:val="237"/>
        </w:trPr>
        <w:tc>
          <w:tcPr>
            <w:tcW w:w="3500" w:type="dxa"/>
            <w:vAlign w:val="bottom"/>
            <w:tcBorders>
              <w:bottom w:val="single" w:sz="8" w:color="CFF0FC"/>
            </w:tcBorders>
            <w:gridSpan w:val="5"/>
            <w:shd w:val="clear" w:color="auto" w:fill="CFF0FC"/>
          </w:tcPr>
          <w:p>
            <w:pPr>
              <w:spacing w:after="0"/>
              <w:rPr>
                <w:sz w:val="20"/>
                <w:szCs w:val="20"/>
                <w:color w:val="auto"/>
              </w:rPr>
            </w:pPr>
            <w:r>
              <w:rPr>
                <w:rFonts w:ascii="Arial" w:cs="Arial" w:eastAsia="Arial" w:hAnsi="Arial"/>
                <w:sz w:val="19"/>
                <w:szCs w:val="19"/>
                <w:color w:val="auto"/>
              </w:rPr>
              <w:t>Total</w:t>
            </w:r>
          </w:p>
        </w:tc>
        <w:tc>
          <w:tcPr>
            <w:tcW w:w="380" w:type="dxa"/>
            <w:vAlign w:val="bottom"/>
            <w:tcBorders>
              <w:bottom w:val="single" w:sz="8" w:color="auto"/>
            </w:tcBorders>
            <w:shd w:val="clear" w:color="auto" w:fill="CFF0FC"/>
          </w:tcPr>
          <w:p>
            <w:pPr>
              <w:jc w:val="right"/>
              <w:ind w:right="181"/>
              <w:spacing w:after="0"/>
              <w:rPr>
                <w:sz w:val="20"/>
                <w:szCs w:val="20"/>
                <w:color w:val="auto"/>
              </w:rPr>
            </w:pPr>
            <w:r>
              <w:rPr>
                <w:rFonts w:ascii="Arial" w:cs="Arial" w:eastAsia="Arial" w:hAnsi="Arial"/>
                <w:sz w:val="20"/>
                <w:szCs w:val="20"/>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1,219,640</w:t>
            </w:r>
          </w:p>
        </w:tc>
        <w:tc>
          <w:tcPr>
            <w:tcW w:w="30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261"/>
              <w:spacing w:after="0"/>
              <w:rPr>
                <w:sz w:val="20"/>
                <w:szCs w:val="20"/>
                <w:color w:val="auto"/>
              </w:rPr>
            </w:pPr>
            <w:r>
              <w:rPr>
                <w:rFonts w:ascii="Arial" w:cs="Arial" w:eastAsia="Arial" w:hAnsi="Arial"/>
                <w:sz w:val="20"/>
                <w:szCs w:val="20"/>
                <w:color w:val="auto"/>
                <w:w w:val="71"/>
              </w:rPr>
              <w:t>$</w:t>
            </w:r>
          </w:p>
        </w:tc>
        <w:tc>
          <w:tcPr>
            <w:tcW w:w="2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1,087,732</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20"/>
                <w:szCs w:val="20"/>
                <w:color w:val="auto"/>
                <w:w w:val="71"/>
              </w:rPr>
              <w:t>$</w:t>
            </w:r>
          </w:p>
        </w:tc>
        <w:tc>
          <w:tcPr>
            <w:tcW w:w="16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3,224,047</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5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2,995,116</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4"/>
        </w:trPr>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2420" w:type="dxa"/>
            <w:vAlign w:val="bottom"/>
            <w:tcBorders>
              <w:bottom w:val="single" w:sz="8" w:color="auto"/>
            </w:tcBorders>
            <w:gridSpan w:val="3"/>
            <w:shd w:val="clear" w:color="auto" w:fill="CFF0FC"/>
          </w:tcPr>
          <w:p>
            <w:pPr>
              <w:spacing w:after="0" w:line="203" w:lineRule="exact"/>
              <w:rPr>
                <w:sz w:val="20"/>
                <w:szCs w:val="20"/>
                <w:color w:val="auto"/>
              </w:rPr>
            </w:pPr>
            <w:r>
              <w:rPr>
                <w:rFonts w:ascii="Arial" w:cs="Arial" w:eastAsia="Arial" w:hAnsi="Arial"/>
                <w:sz w:val="19"/>
                <w:szCs w:val="19"/>
                <w:color w:val="auto"/>
                <w:w w:val="87"/>
              </w:rPr>
              <w:t>Products and services revenues:</w:t>
            </w:r>
          </w:p>
        </w:tc>
        <w:tc>
          <w:tcPr>
            <w:tcW w:w="1080" w:type="dxa"/>
            <w:vAlign w:val="bottom"/>
            <w:tcBorders>
              <w:bottom w:val="single" w:sz="8" w:color="CFF0FC"/>
            </w:tcBorders>
            <w:gridSpan w:val="2"/>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r>
      <w:tr>
        <w:trPr>
          <w:trHeight w:val="243"/>
        </w:trPr>
        <w:tc>
          <w:tcPr>
            <w:tcW w:w="3500" w:type="dxa"/>
            <w:vAlign w:val="bottom"/>
            <w:gridSpan w:val="5"/>
          </w:tcPr>
          <w:p>
            <w:pPr>
              <w:spacing w:after="0"/>
              <w:rPr>
                <w:sz w:val="20"/>
                <w:szCs w:val="20"/>
                <w:color w:val="auto"/>
              </w:rPr>
            </w:pPr>
            <w:r>
              <w:rPr>
                <w:rFonts w:ascii="Arial" w:cs="Arial" w:eastAsia="Arial" w:hAnsi="Arial"/>
                <w:sz w:val="19"/>
                <w:szCs w:val="19"/>
                <w:color w:val="auto"/>
              </w:rPr>
              <w:t>Mid-America Group</w:t>
            </w:r>
          </w:p>
        </w:tc>
        <w:tc>
          <w:tcPr>
            <w:tcW w:w="380" w:type="dxa"/>
            <w:vAlign w:val="bottom"/>
          </w:tcPr>
          <w:p>
            <w:pPr>
              <w:jc w:val="right"/>
              <w:ind w:right="181"/>
              <w:spacing w:after="0"/>
              <w:rPr>
                <w:sz w:val="20"/>
                <w:szCs w:val="20"/>
                <w:color w:val="auto"/>
              </w:rPr>
            </w:pPr>
            <w:r>
              <w:rPr>
                <w:rFonts w:ascii="Arial" w:cs="Arial" w:eastAsia="Arial" w:hAnsi="Arial"/>
                <w:sz w:val="20"/>
                <w:szCs w:val="20"/>
                <w:color w:val="auto"/>
                <w:w w:val="71"/>
              </w:rPr>
              <w:t>$</w:t>
            </w:r>
          </w:p>
        </w:tc>
        <w:tc>
          <w:tcPr>
            <w:tcW w:w="1340" w:type="dxa"/>
            <w:vAlign w:val="bottom"/>
          </w:tcPr>
          <w:p>
            <w:pPr>
              <w:jc w:val="right"/>
              <w:spacing w:after="0"/>
              <w:rPr>
                <w:sz w:val="20"/>
                <w:szCs w:val="20"/>
                <w:color w:val="auto"/>
              </w:rPr>
            </w:pPr>
            <w:r>
              <w:rPr>
                <w:rFonts w:ascii="Arial" w:cs="Arial" w:eastAsia="Arial" w:hAnsi="Arial"/>
                <w:sz w:val="20"/>
                <w:szCs w:val="20"/>
                <w:color w:val="auto"/>
              </w:rPr>
              <w:t>348,429</w:t>
            </w:r>
          </w:p>
        </w:tc>
        <w:tc>
          <w:tcPr>
            <w:tcW w:w="300" w:type="dxa"/>
            <w:vAlign w:val="bottom"/>
          </w:tcPr>
          <w:p>
            <w:pPr>
              <w:spacing w:after="0"/>
              <w:rPr>
                <w:sz w:val="21"/>
                <w:szCs w:val="21"/>
                <w:color w:val="auto"/>
              </w:rPr>
            </w:pPr>
          </w:p>
        </w:tc>
        <w:tc>
          <w:tcPr>
            <w:tcW w:w="460" w:type="dxa"/>
            <w:vAlign w:val="bottom"/>
          </w:tcPr>
          <w:p>
            <w:pPr>
              <w:jc w:val="right"/>
              <w:ind w:right="261"/>
              <w:spacing w:after="0"/>
              <w:rPr>
                <w:sz w:val="20"/>
                <w:szCs w:val="20"/>
                <w:color w:val="auto"/>
              </w:rPr>
            </w:pPr>
            <w:r>
              <w:rPr>
                <w:rFonts w:ascii="Arial" w:cs="Arial" w:eastAsia="Arial" w:hAnsi="Arial"/>
                <w:sz w:val="20"/>
                <w:szCs w:val="20"/>
                <w:color w:val="auto"/>
                <w:w w:val="71"/>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287,085</w:t>
            </w:r>
          </w:p>
        </w:tc>
        <w:tc>
          <w:tcPr>
            <w:tcW w:w="300" w:type="dxa"/>
            <w:vAlign w:val="bottom"/>
          </w:tcPr>
          <w:p>
            <w:pPr>
              <w:spacing w:after="0"/>
              <w:rPr>
                <w:sz w:val="21"/>
                <w:szCs w:val="21"/>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20"/>
                <w:szCs w:val="20"/>
                <w:color w:val="auto"/>
                <w:w w:val="71"/>
              </w:rPr>
              <w:t>$</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841,897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734,406</w:t>
            </w:r>
          </w:p>
        </w:tc>
        <w:tc>
          <w:tcPr>
            <w:tcW w:w="120" w:type="dxa"/>
            <w:vAlign w:val="bottom"/>
          </w:tcPr>
          <w:p>
            <w:pPr>
              <w:spacing w:after="0"/>
              <w:rPr>
                <w:sz w:val="21"/>
                <w:szCs w:val="21"/>
                <w:color w:val="auto"/>
              </w:rPr>
            </w:pPr>
          </w:p>
        </w:tc>
      </w:tr>
      <w:tr>
        <w:trPr>
          <w:trHeight w:val="243"/>
        </w:trPr>
        <w:tc>
          <w:tcPr>
            <w:tcW w:w="3500" w:type="dxa"/>
            <w:vAlign w:val="bottom"/>
            <w:gridSpan w:val="5"/>
            <w:shd w:val="clear" w:color="auto" w:fill="CFF0FC"/>
          </w:tcPr>
          <w:p>
            <w:pPr>
              <w:spacing w:after="0"/>
              <w:rPr>
                <w:sz w:val="20"/>
                <w:szCs w:val="20"/>
                <w:color w:val="auto"/>
              </w:rPr>
            </w:pPr>
            <w:r>
              <w:rPr>
                <w:rFonts w:ascii="Arial" w:cs="Arial" w:eastAsia="Arial" w:hAnsi="Arial"/>
                <w:sz w:val="19"/>
                <w:szCs w:val="19"/>
                <w:color w:val="auto"/>
              </w:rPr>
              <w:t>Southeast Group</w:t>
            </w:r>
          </w:p>
        </w:tc>
        <w:tc>
          <w:tcPr>
            <w:tcW w:w="3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121,661</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91,427</w:t>
            </w: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308,306</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266,690</w:t>
            </w:r>
          </w:p>
        </w:tc>
        <w:tc>
          <w:tcPr>
            <w:tcW w:w="120" w:type="dxa"/>
            <w:vAlign w:val="bottom"/>
            <w:shd w:val="clear" w:color="auto" w:fill="CFF0FC"/>
          </w:tcPr>
          <w:p>
            <w:pPr>
              <w:spacing w:after="0"/>
              <w:rPr>
                <w:sz w:val="21"/>
                <w:szCs w:val="21"/>
                <w:color w:val="auto"/>
              </w:rPr>
            </w:pPr>
          </w:p>
        </w:tc>
      </w:tr>
      <w:tr>
        <w:trPr>
          <w:trHeight w:val="243"/>
        </w:trPr>
        <w:tc>
          <w:tcPr>
            <w:tcW w:w="3500" w:type="dxa"/>
            <w:vAlign w:val="bottom"/>
            <w:tcBorders>
              <w:bottom w:val="single" w:sz="8" w:color="CFF0FC"/>
            </w:tcBorders>
            <w:gridSpan w:val="5"/>
          </w:tcPr>
          <w:p>
            <w:pPr>
              <w:spacing w:after="0"/>
              <w:rPr>
                <w:sz w:val="20"/>
                <w:szCs w:val="20"/>
                <w:color w:val="auto"/>
              </w:rPr>
            </w:pPr>
            <w:r>
              <w:rPr>
                <w:rFonts w:ascii="Arial" w:cs="Arial" w:eastAsia="Arial" w:hAnsi="Arial"/>
                <w:sz w:val="19"/>
                <w:szCs w:val="19"/>
                <w:color w:val="auto"/>
              </w:rPr>
              <w:t>West Group</w:t>
            </w: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603,763</w:t>
            </w:r>
          </w:p>
        </w:tc>
        <w:tc>
          <w:tcPr>
            <w:tcW w:w="300" w:type="dxa"/>
            <w:vAlign w:val="bottom"/>
            <w:tcBorders>
              <w:bottom w:val="single" w:sz="8" w:color="CFF0FC"/>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584,086</w:t>
            </w:r>
          </w:p>
        </w:tc>
        <w:tc>
          <w:tcPr>
            <w:tcW w:w="300" w:type="dxa"/>
            <w:vAlign w:val="bottom"/>
            <w:tcBorders>
              <w:bottom w:val="single" w:sz="8" w:color="CFF0FC"/>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1,672,707</w:t>
            </w:r>
          </w:p>
        </w:tc>
        <w:tc>
          <w:tcPr>
            <w:tcW w:w="14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1,620,632</w:t>
            </w:r>
          </w:p>
        </w:tc>
        <w:tc>
          <w:tcPr>
            <w:tcW w:w="120" w:type="dxa"/>
            <w:vAlign w:val="bottom"/>
            <w:tcBorders>
              <w:bottom w:val="single" w:sz="8" w:color="CFF0FC"/>
            </w:tcBorders>
          </w:tcPr>
          <w:p>
            <w:pPr>
              <w:spacing w:after="0"/>
              <w:rPr>
                <w:sz w:val="21"/>
                <w:szCs w:val="21"/>
                <w:color w:val="auto"/>
              </w:rPr>
            </w:pPr>
          </w:p>
        </w:tc>
      </w:tr>
      <w:tr>
        <w:trPr>
          <w:trHeight w:val="237"/>
        </w:trPr>
        <w:tc>
          <w:tcPr>
            <w:tcW w:w="3500" w:type="dxa"/>
            <w:vAlign w:val="bottom"/>
            <w:gridSpan w:val="5"/>
            <w:shd w:val="clear" w:color="auto" w:fill="CFF0FC"/>
          </w:tcPr>
          <w:p>
            <w:pPr>
              <w:spacing w:after="0"/>
              <w:rPr>
                <w:sz w:val="20"/>
                <w:szCs w:val="20"/>
                <w:color w:val="auto"/>
              </w:rPr>
            </w:pPr>
            <w:r>
              <w:rPr>
                <w:rFonts w:ascii="Arial" w:cs="Arial" w:eastAsia="Arial" w:hAnsi="Arial"/>
                <w:sz w:val="19"/>
                <w:szCs w:val="19"/>
                <w:color w:val="auto"/>
              </w:rPr>
              <w:t>Total Building Materials Business</w:t>
            </w:r>
          </w:p>
        </w:tc>
        <w:tc>
          <w:tcPr>
            <w:tcW w:w="38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1,073,853</w:t>
            </w:r>
          </w:p>
        </w:tc>
        <w:tc>
          <w:tcPr>
            <w:tcW w:w="3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962,598</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2,822,910</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2,621,728</w:t>
            </w:r>
          </w:p>
        </w:tc>
        <w:tc>
          <w:tcPr>
            <w:tcW w:w="120" w:type="dxa"/>
            <w:vAlign w:val="bottom"/>
            <w:shd w:val="clear" w:color="auto" w:fill="CFF0FC"/>
          </w:tcPr>
          <w:p>
            <w:pPr>
              <w:spacing w:after="0"/>
              <w:rPr>
                <w:sz w:val="20"/>
                <w:szCs w:val="20"/>
                <w:color w:val="auto"/>
              </w:rPr>
            </w:pPr>
          </w:p>
        </w:tc>
      </w:tr>
      <w:tr>
        <w:trPr>
          <w:trHeight w:val="243"/>
        </w:trPr>
        <w:tc>
          <w:tcPr>
            <w:tcW w:w="3500" w:type="dxa"/>
            <w:vAlign w:val="bottom"/>
            <w:tcBorders>
              <w:bottom w:val="single" w:sz="8" w:color="CFF0FC"/>
            </w:tcBorders>
            <w:gridSpan w:val="5"/>
          </w:tcPr>
          <w:p>
            <w:pPr>
              <w:spacing w:after="0"/>
              <w:rPr>
                <w:sz w:val="20"/>
                <w:szCs w:val="20"/>
                <w:color w:val="auto"/>
              </w:rPr>
            </w:pPr>
            <w:r>
              <w:rPr>
                <w:rFonts w:ascii="Arial" w:cs="Arial" w:eastAsia="Arial" w:hAnsi="Arial"/>
                <w:sz w:val="19"/>
                <w:szCs w:val="19"/>
                <w:color w:val="auto"/>
              </w:rPr>
              <w:t>Magnesia Specialties</w:t>
            </w: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68,365</w:t>
            </w:r>
          </w:p>
        </w:tc>
        <w:tc>
          <w:tcPr>
            <w:tcW w:w="300" w:type="dxa"/>
            <w:vAlign w:val="bottom"/>
            <w:tcBorders>
              <w:bottom w:val="single" w:sz="8" w:color="CFF0FC"/>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59,889</w:t>
            </w:r>
          </w:p>
        </w:tc>
        <w:tc>
          <w:tcPr>
            <w:tcW w:w="300" w:type="dxa"/>
            <w:vAlign w:val="bottom"/>
            <w:tcBorders>
              <w:bottom w:val="single" w:sz="8" w:color="CFF0FC"/>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201,390</w:t>
            </w:r>
          </w:p>
        </w:tc>
        <w:tc>
          <w:tcPr>
            <w:tcW w:w="14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189,918</w:t>
            </w:r>
          </w:p>
        </w:tc>
        <w:tc>
          <w:tcPr>
            <w:tcW w:w="120" w:type="dxa"/>
            <w:vAlign w:val="bottom"/>
            <w:tcBorders>
              <w:bottom w:val="single" w:sz="8" w:color="CFF0FC"/>
            </w:tcBorders>
          </w:tcPr>
          <w:p>
            <w:pPr>
              <w:spacing w:after="0"/>
              <w:rPr>
                <w:sz w:val="21"/>
                <w:szCs w:val="21"/>
                <w:color w:val="auto"/>
              </w:rPr>
            </w:pPr>
          </w:p>
        </w:tc>
      </w:tr>
      <w:tr>
        <w:trPr>
          <w:trHeight w:val="237"/>
        </w:trPr>
        <w:tc>
          <w:tcPr>
            <w:tcW w:w="3500" w:type="dxa"/>
            <w:vAlign w:val="bottom"/>
            <w:tcBorders>
              <w:bottom w:val="single" w:sz="8" w:color="CFF0FC"/>
            </w:tcBorders>
            <w:gridSpan w:val="5"/>
            <w:shd w:val="clear" w:color="auto" w:fill="CFF0FC"/>
          </w:tcPr>
          <w:p>
            <w:pPr>
              <w:spacing w:after="0"/>
              <w:rPr>
                <w:sz w:val="20"/>
                <w:szCs w:val="20"/>
                <w:color w:val="auto"/>
              </w:rPr>
            </w:pPr>
            <w:r>
              <w:rPr>
                <w:rFonts w:ascii="Arial" w:cs="Arial" w:eastAsia="Arial" w:hAnsi="Arial"/>
                <w:sz w:val="19"/>
                <w:szCs w:val="19"/>
                <w:color w:val="auto"/>
              </w:rPr>
              <w:t>Total</w:t>
            </w:r>
          </w:p>
        </w:tc>
        <w:tc>
          <w:tcPr>
            <w:tcW w:w="380" w:type="dxa"/>
            <w:vAlign w:val="bottom"/>
            <w:tcBorders>
              <w:bottom w:val="single" w:sz="8" w:color="auto"/>
            </w:tcBorders>
            <w:shd w:val="clear" w:color="auto" w:fill="CFF0FC"/>
          </w:tcPr>
          <w:p>
            <w:pPr>
              <w:jc w:val="right"/>
              <w:ind w:right="181"/>
              <w:spacing w:after="0"/>
              <w:rPr>
                <w:sz w:val="20"/>
                <w:szCs w:val="20"/>
                <w:color w:val="auto"/>
              </w:rPr>
            </w:pPr>
            <w:r>
              <w:rPr>
                <w:rFonts w:ascii="Arial" w:cs="Arial" w:eastAsia="Arial" w:hAnsi="Arial"/>
                <w:sz w:val="20"/>
                <w:szCs w:val="20"/>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1,142,218</w:t>
            </w:r>
          </w:p>
        </w:tc>
        <w:tc>
          <w:tcPr>
            <w:tcW w:w="30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261"/>
              <w:spacing w:after="0"/>
              <w:rPr>
                <w:sz w:val="20"/>
                <w:szCs w:val="20"/>
                <w:color w:val="auto"/>
              </w:rPr>
            </w:pPr>
            <w:r>
              <w:rPr>
                <w:rFonts w:ascii="Arial" w:cs="Arial" w:eastAsia="Arial" w:hAnsi="Arial"/>
                <w:sz w:val="20"/>
                <w:szCs w:val="20"/>
                <w:color w:val="auto"/>
                <w:w w:val="71"/>
              </w:rPr>
              <w:t>$</w:t>
            </w:r>
          </w:p>
        </w:tc>
        <w:tc>
          <w:tcPr>
            <w:tcW w:w="2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1,022,487</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20"/>
                <w:szCs w:val="20"/>
                <w:color w:val="auto"/>
                <w:w w:val="71"/>
              </w:rPr>
              <w:t>$</w:t>
            </w:r>
          </w:p>
        </w:tc>
        <w:tc>
          <w:tcPr>
            <w:tcW w:w="16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3,024,300</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5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2,811,646</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4"/>
        </w:trPr>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3500" w:type="dxa"/>
            <w:vAlign w:val="bottom"/>
            <w:gridSpan w:val="5"/>
            <w:shd w:val="clear" w:color="auto" w:fill="CFF0FC"/>
          </w:tcPr>
          <w:p>
            <w:pPr>
              <w:spacing w:after="0" w:line="203" w:lineRule="exact"/>
              <w:rPr>
                <w:sz w:val="20"/>
                <w:szCs w:val="20"/>
                <w:color w:val="auto"/>
              </w:rPr>
            </w:pPr>
            <w:r>
              <w:rPr>
                <w:rFonts w:ascii="Arial" w:cs="Arial" w:eastAsia="Arial" w:hAnsi="Arial"/>
                <w:sz w:val="19"/>
                <w:szCs w:val="19"/>
                <w:color w:val="auto"/>
              </w:rPr>
              <w:t>Earnings (Loss) from operations:</w:t>
            </w: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3"/>
        </w:trPr>
        <w:tc>
          <w:tcPr>
            <w:tcW w:w="2460" w:type="dxa"/>
            <w:vAlign w:val="bottom"/>
            <w:tcBorders>
              <w:top w:val="single" w:sz="8" w:color="auto"/>
            </w:tcBorders>
            <w:gridSpan w:val="4"/>
          </w:tcPr>
          <w:p>
            <w:pPr>
              <w:spacing w:after="0"/>
              <w:rPr>
                <w:sz w:val="20"/>
                <w:szCs w:val="20"/>
                <w:color w:val="auto"/>
              </w:rPr>
            </w:pPr>
            <w:r>
              <w:rPr>
                <w:rFonts w:ascii="Arial" w:cs="Arial" w:eastAsia="Arial" w:hAnsi="Arial"/>
                <w:sz w:val="19"/>
                <w:szCs w:val="19"/>
                <w:color w:val="auto"/>
              </w:rPr>
              <w:t>Mid-America Group</w:t>
            </w:r>
          </w:p>
        </w:tc>
        <w:tc>
          <w:tcPr>
            <w:tcW w:w="1040" w:type="dxa"/>
            <w:vAlign w:val="bottom"/>
            <w:tcBorders>
              <w:top w:val="single" w:sz="8" w:color="CFF0FC"/>
            </w:tcBorders>
          </w:tcPr>
          <w:p>
            <w:pPr>
              <w:spacing w:after="0"/>
              <w:rPr>
                <w:sz w:val="21"/>
                <w:szCs w:val="21"/>
                <w:color w:val="auto"/>
              </w:rPr>
            </w:pPr>
          </w:p>
        </w:tc>
        <w:tc>
          <w:tcPr>
            <w:tcW w:w="380" w:type="dxa"/>
            <w:vAlign w:val="bottom"/>
            <w:tcBorders>
              <w:top w:val="single" w:sz="8" w:color="CFF0FC"/>
            </w:tcBorders>
          </w:tcPr>
          <w:p>
            <w:pPr>
              <w:jc w:val="right"/>
              <w:ind w:right="181"/>
              <w:spacing w:after="0"/>
              <w:rPr>
                <w:sz w:val="20"/>
                <w:szCs w:val="20"/>
                <w:color w:val="auto"/>
              </w:rPr>
            </w:pPr>
            <w:r>
              <w:rPr>
                <w:rFonts w:ascii="Arial" w:cs="Arial" w:eastAsia="Arial" w:hAnsi="Arial"/>
                <w:sz w:val="20"/>
                <w:szCs w:val="20"/>
                <w:color w:val="auto"/>
                <w:w w:val="71"/>
              </w:rPr>
              <w:t>$</w:t>
            </w:r>
          </w:p>
        </w:tc>
        <w:tc>
          <w:tcPr>
            <w:tcW w:w="134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120,344</w:t>
            </w:r>
          </w:p>
        </w:tc>
        <w:tc>
          <w:tcPr>
            <w:tcW w:w="300" w:type="dxa"/>
            <w:vAlign w:val="bottom"/>
            <w:tcBorders>
              <w:top w:val="single" w:sz="8" w:color="CFF0FC"/>
            </w:tcBorders>
          </w:tcPr>
          <w:p>
            <w:pPr>
              <w:spacing w:after="0"/>
              <w:rPr>
                <w:sz w:val="21"/>
                <w:szCs w:val="21"/>
                <w:color w:val="auto"/>
              </w:rPr>
            </w:pPr>
          </w:p>
        </w:tc>
        <w:tc>
          <w:tcPr>
            <w:tcW w:w="460" w:type="dxa"/>
            <w:vAlign w:val="bottom"/>
            <w:tcBorders>
              <w:top w:val="single" w:sz="8" w:color="CFF0FC"/>
            </w:tcBorders>
          </w:tcPr>
          <w:p>
            <w:pPr>
              <w:jc w:val="right"/>
              <w:ind w:right="261"/>
              <w:spacing w:after="0"/>
              <w:rPr>
                <w:sz w:val="20"/>
                <w:szCs w:val="20"/>
                <w:color w:val="auto"/>
              </w:rPr>
            </w:pPr>
            <w:r>
              <w:rPr>
                <w:rFonts w:ascii="Arial" w:cs="Arial" w:eastAsia="Arial" w:hAnsi="Arial"/>
                <w:sz w:val="20"/>
                <w:szCs w:val="20"/>
                <w:color w:val="auto"/>
                <w:w w:val="71"/>
              </w:rPr>
              <w:t>$</w:t>
            </w:r>
          </w:p>
        </w:tc>
        <w:tc>
          <w:tcPr>
            <w:tcW w:w="200" w:type="dxa"/>
            <w:vAlign w:val="bottom"/>
            <w:tcBorders>
              <w:top w:val="single" w:sz="8" w:color="CFF0FC"/>
            </w:tcBorders>
          </w:tcPr>
          <w:p>
            <w:pPr>
              <w:spacing w:after="0"/>
              <w:rPr>
                <w:sz w:val="21"/>
                <w:szCs w:val="21"/>
                <w:color w:val="auto"/>
              </w:rPr>
            </w:pPr>
          </w:p>
        </w:tc>
        <w:tc>
          <w:tcPr>
            <w:tcW w:w="106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106,235</w:t>
            </w:r>
          </w:p>
        </w:tc>
        <w:tc>
          <w:tcPr>
            <w:tcW w:w="300" w:type="dxa"/>
            <w:vAlign w:val="bottom"/>
            <w:tcBorders>
              <w:top w:val="single" w:sz="8" w:color="CFF0FC"/>
            </w:tcBorders>
          </w:tcPr>
          <w:p>
            <w:pPr>
              <w:spacing w:after="0"/>
              <w:rPr>
                <w:sz w:val="21"/>
                <w:szCs w:val="21"/>
                <w:color w:val="auto"/>
              </w:rPr>
            </w:pPr>
          </w:p>
        </w:tc>
        <w:tc>
          <w:tcPr>
            <w:tcW w:w="140" w:type="dxa"/>
            <w:vAlign w:val="bottom"/>
            <w:tcBorders>
              <w:top w:val="single" w:sz="8" w:color="CFF0FC"/>
            </w:tcBorders>
            <w:gridSpan w:val="2"/>
          </w:tcPr>
          <w:p>
            <w:pPr>
              <w:jc w:val="right"/>
              <w:ind w:right="40"/>
              <w:spacing w:after="0"/>
              <w:rPr>
                <w:sz w:val="20"/>
                <w:szCs w:val="20"/>
                <w:color w:val="auto"/>
              </w:rPr>
            </w:pPr>
            <w:r>
              <w:rPr>
                <w:rFonts w:ascii="Arial" w:cs="Arial" w:eastAsia="Arial" w:hAnsi="Arial"/>
                <w:sz w:val="20"/>
                <w:szCs w:val="20"/>
                <w:color w:val="auto"/>
                <w:w w:val="71"/>
              </w:rPr>
              <w:t>$</w:t>
            </w:r>
          </w:p>
        </w:tc>
        <w:tc>
          <w:tcPr>
            <w:tcW w:w="160" w:type="dxa"/>
            <w:vAlign w:val="bottom"/>
            <w:tcBorders>
              <w:top w:val="single" w:sz="8" w:color="CFF0FC"/>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120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235,221</w:t>
            </w:r>
          </w:p>
        </w:tc>
        <w:tc>
          <w:tcPr>
            <w:tcW w:w="140" w:type="dxa"/>
            <w:vAlign w:val="bottom"/>
            <w:tcBorders>
              <w:top w:val="single" w:sz="8" w:color="CFF0FC"/>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c>
          <w:tcPr>
            <w:tcW w:w="14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w w:val="71"/>
              </w:rPr>
              <w:t>$</w:t>
            </w:r>
          </w:p>
        </w:tc>
        <w:tc>
          <w:tcPr>
            <w:tcW w:w="520" w:type="dxa"/>
            <w:vAlign w:val="bottom"/>
            <w:tcBorders>
              <w:top w:val="single" w:sz="8" w:color="CFF0FC"/>
            </w:tcBorders>
          </w:tcPr>
          <w:p>
            <w:pPr>
              <w:spacing w:after="0"/>
              <w:rPr>
                <w:sz w:val="21"/>
                <w:szCs w:val="21"/>
                <w:color w:val="auto"/>
              </w:rPr>
            </w:pPr>
          </w:p>
        </w:tc>
        <w:tc>
          <w:tcPr>
            <w:tcW w:w="1080" w:type="dxa"/>
            <w:vAlign w:val="bottom"/>
            <w:tcBorders>
              <w:top w:val="single" w:sz="8" w:color="CFF0FC"/>
            </w:tcBorders>
          </w:tcPr>
          <w:p>
            <w:pPr>
              <w:jc w:val="right"/>
              <w:spacing w:after="0"/>
              <w:rPr>
                <w:sz w:val="20"/>
                <w:szCs w:val="20"/>
                <w:color w:val="auto"/>
              </w:rPr>
            </w:pPr>
            <w:r>
              <w:rPr>
                <w:rFonts w:ascii="Arial" w:cs="Arial" w:eastAsia="Arial" w:hAnsi="Arial"/>
                <w:sz w:val="20"/>
                <w:szCs w:val="20"/>
                <w:color w:val="auto"/>
              </w:rPr>
              <w:t>204,939</w:t>
            </w:r>
          </w:p>
        </w:tc>
        <w:tc>
          <w:tcPr>
            <w:tcW w:w="120" w:type="dxa"/>
            <w:vAlign w:val="bottom"/>
            <w:tcBorders>
              <w:top w:val="single" w:sz="8" w:color="CFF0FC"/>
            </w:tcBorders>
          </w:tcPr>
          <w:p>
            <w:pPr>
              <w:spacing w:after="0"/>
              <w:rPr>
                <w:sz w:val="21"/>
                <w:szCs w:val="21"/>
                <w:color w:val="auto"/>
              </w:rPr>
            </w:pPr>
          </w:p>
        </w:tc>
      </w:tr>
      <w:tr>
        <w:trPr>
          <w:trHeight w:val="243"/>
        </w:trPr>
        <w:tc>
          <w:tcPr>
            <w:tcW w:w="3500" w:type="dxa"/>
            <w:vAlign w:val="bottom"/>
            <w:gridSpan w:val="5"/>
            <w:shd w:val="clear" w:color="auto" w:fill="CFF0FC"/>
          </w:tcPr>
          <w:p>
            <w:pPr>
              <w:spacing w:after="0"/>
              <w:rPr>
                <w:sz w:val="20"/>
                <w:szCs w:val="20"/>
                <w:color w:val="auto"/>
              </w:rPr>
            </w:pPr>
            <w:r>
              <w:rPr>
                <w:rFonts w:ascii="Arial" w:cs="Arial" w:eastAsia="Arial" w:hAnsi="Arial"/>
                <w:sz w:val="19"/>
                <w:szCs w:val="19"/>
                <w:color w:val="auto"/>
              </w:rPr>
              <w:t>Southeast Group</w:t>
            </w:r>
          </w:p>
        </w:tc>
        <w:tc>
          <w:tcPr>
            <w:tcW w:w="38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26,372</w:t>
            </w: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17,882</w:t>
            </w:r>
          </w:p>
        </w:tc>
        <w:tc>
          <w:tcPr>
            <w:tcW w:w="3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60,464</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42,331</w:t>
            </w:r>
          </w:p>
        </w:tc>
        <w:tc>
          <w:tcPr>
            <w:tcW w:w="120" w:type="dxa"/>
            <w:vAlign w:val="bottom"/>
            <w:shd w:val="clear" w:color="auto" w:fill="CFF0FC"/>
          </w:tcPr>
          <w:p>
            <w:pPr>
              <w:spacing w:after="0"/>
              <w:rPr>
                <w:sz w:val="21"/>
                <w:szCs w:val="21"/>
                <w:color w:val="auto"/>
              </w:rPr>
            </w:pPr>
          </w:p>
        </w:tc>
      </w:tr>
      <w:tr>
        <w:trPr>
          <w:trHeight w:val="243"/>
        </w:trPr>
        <w:tc>
          <w:tcPr>
            <w:tcW w:w="3500" w:type="dxa"/>
            <w:vAlign w:val="bottom"/>
            <w:tcBorders>
              <w:bottom w:val="single" w:sz="8" w:color="CFF0FC"/>
            </w:tcBorders>
            <w:gridSpan w:val="5"/>
          </w:tcPr>
          <w:p>
            <w:pPr>
              <w:spacing w:after="0"/>
              <w:rPr>
                <w:sz w:val="20"/>
                <w:szCs w:val="20"/>
                <w:color w:val="auto"/>
              </w:rPr>
            </w:pPr>
            <w:r>
              <w:rPr>
                <w:rFonts w:ascii="Arial" w:cs="Arial" w:eastAsia="Arial" w:hAnsi="Arial"/>
                <w:sz w:val="19"/>
                <w:szCs w:val="19"/>
                <w:color w:val="auto"/>
              </w:rPr>
              <w:t>West Group</w:t>
            </w: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92,090</w:t>
            </w:r>
          </w:p>
        </w:tc>
        <w:tc>
          <w:tcPr>
            <w:tcW w:w="300" w:type="dxa"/>
            <w:vAlign w:val="bottom"/>
            <w:tcBorders>
              <w:bottom w:val="single" w:sz="8" w:color="CFF0FC"/>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96,522</w:t>
            </w:r>
          </w:p>
        </w:tc>
        <w:tc>
          <w:tcPr>
            <w:tcW w:w="300" w:type="dxa"/>
            <w:vAlign w:val="bottom"/>
            <w:tcBorders>
              <w:bottom w:val="single" w:sz="8" w:color="CFF0FC"/>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249,885</w:t>
            </w:r>
          </w:p>
        </w:tc>
        <w:tc>
          <w:tcPr>
            <w:tcW w:w="14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270,246</w:t>
            </w:r>
          </w:p>
        </w:tc>
        <w:tc>
          <w:tcPr>
            <w:tcW w:w="120" w:type="dxa"/>
            <w:vAlign w:val="bottom"/>
            <w:tcBorders>
              <w:bottom w:val="single" w:sz="8" w:color="CFF0FC"/>
            </w:tcBorders>
          </w:tcPr>
          <w:p>
            <w:pPr>
              <w:spacing w:after="0"/>
              <w:rPr>
                <w:sz w:val="21"/>
                <w:szCs w:val="21"/>
                <w:color w:val="auto"/>
              </w:rPr>
            </w:pPr>
          </w:p>
        </w:tc>
      </w:tr>
      <w:tr>
        <w:trPr>
          <w:trHeight w:val="237"/>
        </w:trPr>
        <w:tc>
          <w:tcPr>
            <w:tcW w:w="3500" w:type="dxa"/>
            <w:vAlign w:val="bottom"/>
            <w:gridSpan w:val="5"/>
            <w:shd w:val="clear" w:color="auto" w:fill="CFF0FC"/>
          </w:tcPr>
          <w:p>
            <w:pPr>
              <w:spacing w:after="0"/>
              <w:rPr>
                <w:sz w:val="20"/>
                <w:szCs w:val="20"/>
                <w:color w:val="auto"/>
              </w:rPr>
            </w:pPr>
            <w:r>
              <w:rPr>
                <w:rFonts w:ascii="Arial" w:cs="Arial" w:eastAsia="Arial" w:hAnsi="Arial"/>
                <w:sz w:val="19"/>
                <w:szCs w:val="19"/>
                <w:color w:val="auto"/>
              </w:rPr>
              <w:t>Total Building Materials Business</w:t>
            </w:r>
          </w:p>
        </w:tc>
        <w:tc>
          <w:tcPr>
            <w:tcW w:w="38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238,806</w:t>
            </w:r>
          </w:p>
        </w:tc>
        <w:tc>
          <w:tcPr>
            <w:tcW w:w="3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220,639</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545,570</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517,516</w:t>
            </w:r>
          </w:p>
        </w:tc>
        <w:tc>
          <w:tcPr>
            <w:tcW w:w="120" w:type="dxa"/>
            <w:vAlign w:val="bottom"/>
            <w:shd w:val="clear" w:color="auto" w:fill="CFF0FC"/>
          </w:tcPr>
          <w:p>
            <w:pPr>
              <w:spacing w:after="0"/>
              <w:rPr>
                <w:sz w:val="20"/>
                <w:szCs w:val="20"/>
                <w:color w:val="auto"/>
              </w:rPr>
            </w:pPr>
          </w:p>
        </w:tc>
      </w:tr>
      <w:tr>
        <w:trPr>
          <w:trHeight w:val="243"/>
        </w:trPr>
        <w:tc>
          <w:tcPr>
            <w:tcW w:w="3500" w:type="dxa"/>
            <w:vAlign w:val="bottom"/>
            <w:gridSpan w:val="5"/>
          </w:tcPr>
          <w:p>
            <w:pPr>
              <w:spacing w:after="0"/>
              <w:rPr>
                <w:sz w:val="20"/>
                <w:szCs w:val="20"/>
                <w:color w:val="auto"/>
              </w:rPr>
            </w:pPr>
            <w:r>
              <w:rPr>
                <w:rFonts w:ascii="Arial" w:cs="Arial" w:eastAsia="Arial" w:hAnsi="Arial"/>
                <w:sz w:val="19"/>
                <w:szCs w:val="19"/>
                <w:color w:val="auto"/>
              </w:rPr>
              <w:t>Magnesia Specialties</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23,301</w:t>
            </w: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17,590</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65,867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58,589</w:t>
            </w:r>
          </w:p>
        </w:tc>
        <w:tc>
          <w:tcPr>
            <w:tcW w:w="120" w:type="dxa"/>
            <w:vAlign w:val="bottom"/>
          </w:tcPr>
          <w:p>
            <w:pPr>
              <w:spacing w:after="0"/>
              <w:rPr>
                <w:sz w:val="21"/>
                <w:szCs w:val="21"/>
                <w:color w:val="auto"/>
              </w:rPr>
            </w:pPr>
          </w:p>
        </w:tc>
      </w:tr>
      <w:tr>
        <w:trPr>
          <w:trHeight w:val="243"/>
        </w:trPr>
        <w:tc>
          <w:tcPr>
            <w:tcW w:w="3500" w:type="dxa"/>
            <w:vAlign w:val="bottom"/>
            <w:gridSpan w:val="5"/>
            <w:shd w:val="clear" w:color="auto" w:fill="CFF0FC"/>
          </w:tcPr>
          <w:p>
            <w:pPr>
              <w:spacing w:after="0"/>
              <w:rPr>
                <w:sz w:val="20"/>
                <w:szCs w:val="20"/>
                <w:color w:val="auto"/>
              </w:rPr>
            </w:pPr>
            <w:r>
              <w:rPr>
                <w:rFonts w:ascii="Arial" w:cs="Arial" w:eastAsia="Arial" w:hAnsi="Arial"/>
                <w:sz w:val="19"/>
                <w:szCs w:val="19"/>
                <w:color w:val="auto"/>
              </w:rPr>
              <w:t>Corporate</w:t>
            </w:r>
          </w:p>
        </w:tc>
        <w:tc>
          <w:tcPr>
            <w:tcW w:w="38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(21,445)</w:t>
            </w:r>
          </w:p>
        </w:tc>
        <w:tc>
          <w:tcPr>
            <w:tcW w:w="4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20"/>
                <w:szCs w:val="20"/>
                <w:color w:val="auto"/>
              </w:rPr>
              <w:t>(11,265)</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20"/>
                <w:szCs w:val="20"/>
                <w:color w:val="auto"/>
              </w:rPr>
              <w:t>(67,741)</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(59,138)</w:t>
            </w:r>
          </w:p>
        </w:tc>
      </w:tr>
      <w:tr>
        <w:trPr>
          <w:trHeight w:val="237"/>
        </w:trPr>
        <w:tc>
          <w:tcPr>
            <w:tcW w:w="3500" w:type="dxa"/>
            <w:vAlign w:val="bottom"/>
            <w:gridSpan w:val="5"/>
          </w:tcPr>
          <w:p>
            <w:pPr>
              <w:spacing w:after="0"/>
              <w:rPr>
                <w:sz w:val="20"/>
                <w:szCs w:val="20"/>
                <w:color w:val="auto"/>
              </w:rPr>
            </w:pPr>
            <w:r>
              <w:rPr>
                <w:rFonts w:ascii="Arial" w:cs="Arial" w:eastAsia="Arial" w:hAnsi="Arial"/>
                <w:sz w:val="19"/>
                <w:szCs w:val="19"/>
                <w:color w:val="auto"/>
              </w:rPr>
              <w:t>Total</w:t>
            </w:r>
          </w:p>
        </w:tc>
        <w:tc>
          <w:tcPr>
            <w:tcW w:w="38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20"/>
                <w:szCs w:val="20"/>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240,662</w:t>
            </w:r>
          </w:p>
        </w:tc>
        <w:tc>
          <w:tcPr>
            <w:tcW w:w="3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20"/>
                <w:szCs w:val="20"/>
                <w:color w:val="auto"/>
                <w:w w:val="71"/>
              </w:rPr>
              <w:t>$</w:t>
            </w:r>
          </w:p>
        </w:tc>
        <w:tc>
          <w:tcPr>
            <w:tcW w:w="2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226,964</w:t>
            </w: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20"/>
                <w:szCs w:val="20"/>
                <w:color w:val="auto"/>
                <w:w w:val="71"/>
              </w:rPr>
              <w:t>$</w:t>
            </w:r>
          </w:p>
        </w:tc>
        <w:tc>
          <w:tcPr>
            <w:tcW w:w="16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543,696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5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516,967</w:t>
            </w:r>
          </w:p>
        </w:tc>
        <w:tc>
          <w:tcPr>
            <w:tcW w:w="120" w:type="dxa"/>
            <w:vAlign w:val="bottom"/>
          </w:tcPr>
          <w:p>
            <w:pPr>
              <w:spacing w:after="0"/>
              <w:rPr>
                <w:sz w:val="20"/>
                <w:szCs w:val="20"/>
                <w:color w:val="auto"/>
              </w:rPr>
            </w:pPr>
          </w:p>
        </w:tc>
      </w:tr>
      <w:tr>
        <w:trPr>
          <w:trHeight w:val="20"/>
        </w:trPr>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4"/>
        </w:trPr>
        <w:tc>
          <w:tcPr>
            <w:tcW w:w="1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gridSpan w:val="2"/>
          </w:tcPr>
          <w:p>
            <w:pPr>
              <w:spacing w:after="0"/>
              <w:rPr>
                <w:sz w:val="20"/>
                <w:szCs w:val="20"/>
                <w:color w:val="auto"/>
              </w:rPr>
            </w:pPr>
            <w:r>
              <w:rPr>
                <w:rFonts w:ascii="Arial" w:cs="Arial" w:eastAsia="Arial" w:hAnsi="Arial"/>
                <w:sz w:val="20"/>
                <w:szCs w:val="20"/>
                <w:color w:val="auto"/>
              </w:rPr>
              <w:t>September 30,</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20" w:type="dxa"/>
            <w:vAlign w:val="bottom"/>
            <w:gridSpan w:val="3"/>
          </w:tcPr>
          <w:p>
            <w:pPr>
              <w:jc w:val="right"/>
              <w:ind w:right="360"/>
              <w:spacing w:after="0"/>
              <w:rPr>
                <w:sz w:val="20"/>
                <w:szCs w:val="20"/>
                <w:color w:val="auto"/>
              </w:rPr>
            </w:pPr>
            <w:r>
              <w:rPr>
                <w:rFonts w:ascii="Arial" w:cs="Arial" w:eastAsia="Arial" w:hAnsi="Arial"/>
                <w:sz w:val="20"/>
                <w:szCs w:val="20"/>
                <w:color w:val="auto"/>
              </w:rPr>
              <w:t>September 30,</w:t>
            </w:r>
          </w:p>
        </w:tc>
      </w:tr>
      <w:tr>
        <w:trPr>
          <w:trHeight w:val="246"/>
        </w:trPr>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81"/>
              <w:spacing w:after="0"/>
              <w:rPr>
                <w:sz w:val="20"/>
                <w:szCs w:val="20"/>
                <w:color w:val="auto"/>
              </w:rPr>
            </w:pPr>
            <w:r>
              <w:rPr>
                <w:rFonts w:ascii="Arial" w:cs="Arial" w:eastAsia="Arial" w:hAnsi="Arial"/>
                <w:sz w:val="20"/>
                <w:szCs w:val="20"/>
                <w:color w:val="auto"/>
              </w:rPr>
              <w:t>2018</w:t>
            </w:r>
          </w:p>
        </w:tc>
        <w:tc>
          <w:tcPr>
            <w:tcW w:w="3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auto"/>
                <w:w w:val="96"/>
              </w:rPr>
              <w:t>December 31, 2017</w:t>
            </w: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2017</w:t>
            </w:r>
          </w:p>
        </w:tc>
        <w:tc>
          <w:tcPr>
            <w:tcW w:w="120" w:type="dxa"/>
            <w:vAlign w:val="bottom"/>
          </w:tcPr>
          <w:p>
            <w:pPr>
              <w:spacing w:after="0"/>
              <w:rPr>
                <w:sz w:val="21"/>
                <w:szCs w:val="21"/>
                <w:color w:val="auto"/>
              </w:rPr>
            </w:pPr>
          </w:p>
        </w:tc>
      </w:tr>
      <w:tr>
        <w:trPr>
          <w:trHeight w:val="196"/>
        </w:trPr>
        <w:tc>
          <w:tcPr>
            <w:tcW w:w="3500" w:type="dxa"/>
            <w:vAlign w:val="bottom"/>
            <w:gridSpan w:val="5"/>
          </w:tcPr>
          <w:p>
            <w:pPr>
              <w:spacing w:after="0" w:line="196" w:lineRule="exact"/>
              <w:rPr>
                <w:sz w:val="20"/>
                <w:szCs w:val="20"/>
                <w:color w:val="auto"/>
              </w:rPr>
            </w:pPr>
            <w:r>
              <w:rPr>
                <w:rFonts w:ascii="Arial" w:cs="Arial" w:eastAsia="Arial" w:hAnsi="Arial"/>
                <w:sz w:val="20"/>
                <w:szCs w:val="20"/>
                <w:color w:val="auto"/>
              </w:rPr>
              <w:t>Assets employed:</w:t>
            </w: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gridSpan w:val="5"/>
          </w:tcPr>
          <w:p>
            <w:pPr>
              <w:ind w:left="60"/>
              <w:spacing w:after="0" w:line="196" w:lineRule="exact"/>
              <w:rPr>
                <w:sz w:val="20"/>
                <w:szCs w:val="20"/>
                <w:color w:val="auto"/>
              </w:rPr>
            </w:pPr>
            <w:r>
              <w:rPr>
                <w:rFonts w:ascii="Arial" w:cs="Arial" w:eastAsia="Arial" w:hAnsi="Arial"/>
                <w:sz w:val="20"/>
                <w:szCs w:val="20"/>
                <w:i w:val="1"/>
                <w:iCs w:val="1"/>
                <w:color w:val="auto"/>
                <w:w w:val="92"/>
              </w:rPr>
              <w:t>(Dollars in thousands)</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1400" w:type="dxa"/>
            <w:vAlign w:val="bottom"/>
            <w:gridSpan w:val="2"/>
            <w:shd w:val="clear" w:color="auto" w:fill="000000"/>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4"/>
        </w:trPr>
        <w:tc>
          <w:tcPr>
            <w:tcW w:w="3500" w:type="dxa"/>
            <w:vAlign w:val="bottom"/>
            <w:gridSpan w:val="5"/>
          </w:tcPr>
          <w:p>
            <w:pPr>
              <w:spacing w:after="0"/>
              <w:rPr>
                <w:sz w:val="20"/>
                <w:szCs w:val="20"/>
                <w:color w:val="auto"/>
              </w:rPr>
            </w:pPr>
            <w:r>
              <w:rPr>
                <w:rFonts w:ascii="Arial" w:cs="Arial" w:eastAsia="Arial" w:hAnsi="Arial"/>
                <w:sz w:val="20"/>
                <w:szCs w:val="20"/>
                <w:color w:val="auto"/>
              </w:rPr>
              <w:t>Mid-America Group</w:t>
            </w:r>
          </w:p>
        </w:tc>
        <w:tc>
          <w:tcPr>
            <w:tcW w:w="3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gridSpan w:val="2"/>
          </w:tcPr>
          <w:p>
            <w:pPr>
              <w:jc w:val="right"/>
              <w:ind w:right="1"/>
              <w:spacing w:after="0"/>
              <w:rPr>
                <w:sz w:val="20"/>
                <w:szCs w:val="20"/>
                <w:color w:val="auto"/>
              </w:rPr>
            </w:pPr>
            <w:r>
              <w:rPr>
                <w:rFonts w:ascii="Arial" w:cs="Arial" w:eastAsia="Arial" w:hAnsi="Arial"/>
                <w:sz w:val="20"/>
                <w:szCs w:val="20"/>
                <w:color w:val="auto"/>
              </w:rPr>
              <w:t>$</w:t>
            </w: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2,802,054</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gridSpan w:val="2"/>
          </w:tcPr>
          <w:p>
            <w:pPr>
              <w:ind w:left="160"/>
              <w:spacing w:after="0"/>
              <w:rPr>
                <w:sz w:val="20"/>
                <w:szCs w:val="20"/>
                <w:color w:val="auto"/>
              </w:rPr>
            </w:pPr>
            <w:r>
              <w:rPr>
                <w:rFonts w:ascii="Arial" w:cs="Arial" w:eastAsia="Arial" w:hAnsi="Arial"/>
                <w:sz w:val="20"/>
                <w:szCs w:val="20"/>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20"/>
                <w:szCs w:val="20"/>
                <w:color w:val="auto"/>
              </w:rPr>
              <w:t>1,532,867</w:t>
            </w:r>
          </w:p>
        </w:tc>
        <w:tc>
          <w:tcPr>
            <w:tcW w:w="140" w:type="dxa"/>
            <w:vAlign w:val="bottom"/>
          </w:tcPr>
          <w:p>
            <w:pPr>
              <w:spacing w:after="0"/>
              <w:rPr>
                <w:sz w:val="22"/>
                <w:szCs w:val="22"/>
                <w:color w:val="auto"/>
              </w:rPr>
            </w:pPr>
          </w:p>
        </w:tc>
        <w:tc>
          <w:tcPr>
            <w:tcW w:w="660" w:type="dxa"/>
            <w:vAlign w:val="bottom"/>
            <w:gridSpan w:val="2"/>
          </w:tcPr>
          <w:p>
            <w:pPr>
              <w:jc w:val="right"/>
              <w:ind w:right="321"/>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1,538,594</w:t>
            </w:r>
          </w:p>
        </w:tc>
        <w:tc>
          <w:tcPr>
            <w:tcW w:w="120" w:type="dxa"/>
            <w:vAlign w:val="bottom"/>
          </w:tcPr>
          <w:p>
            <w:pPr>
              <w:spacing w:after="0"/>
              <w:rPr>
                <w:sz w:val="22"/>
                <w:szCs w:val="22"/>
                <w:color w:val="auto"/>
              </w:rPr>
            </w:pPr>
          </w:p>
        </w:tc>
      </w:tr>
      <w:tr>
        <w:trPr>
          <w:trHeight w:val="243"/>
        </w:trPr>
        <w:tc>
          <w:tcPr>
            <w:tcW w:w="3500" w:type="dxa"/>
            <w:vAlign w:val="bottom"/>
            <w:gridSpan w:val="5"/>
            <w:shd w:val="clear" w:color="auto" w:fill="CFF0FC"/>
          </w:tcPr>
          <w:p>
            <w:pPr>
              <w:spacing w:after="0"/>
              <w:rPr>
                <w:sz w:val="20"/>
                <w:szCs w:val="20"/>
                <w:color w:val="auto"/>
              </w:rPr>
            </w:pPr>
            <w:r>
              <w:rPr>
                <w:rFonts w:ascii="Arial" w:cs="Arial" w:eastAsia="Arial" w:hAnsi="Arial"/>
                <w:sz w:val="20"/>
                <w:szCs w:val="20"/>
                <w:color w:val="auto"/>
              </w:rPr>
              <w:t>Southeast Group</w:t>
            </w:r>
          </w:p>
        </w:tc>
        <w:tc>
          <w:tcPr>
            <w:tcW w:w="3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1,300,090</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616,344</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604,144</w:t>
            </w:r>
          </w:p>
        </w:tc>
        <w:tc>
          <w:tcPr>
            <w:tcW w:w="120" w:type="dxa"/>
            <w:vAlign w:val="bottom"/>
            <w:shd w:val="clear" w:color="auto" w:fill="CFF0FC"/>
          </w:tcPr>
          <w:p>
            <w:pPr>
              <w:spacing w:after="0"/>
              <w:rPr>
                <w:sz w:val="21"/>
                <w:szCs w:val="21"/>
                <w:color w:val="auto"/>
              </w:rPr>
            </w:pPr>
          </w:p>
        </w:tc>
      </w:tr>
      <w:tr>
        <w:trPr>
          <w:trHeight w:val="243"/>
        </w:trPr>
        <w:tc>
          <w:tcPr>
            <w:tcW w:w="3500" w:type="dxa"/>
            <w:vAlign w:val="bottom"/>
            <w:tcBorders>
              <w:bottom w:val="single" w:sz="8" w:color="CFF0FC"/>
            </w:tcBorders>
            <w:gridSpan w:val="5"/>
          </w:tcPr>
          <w:p>
            <w:pPr>
              <w:spacing w:after="0"/>
              <w:rPr>
                <w:sz w:val="20"/>
                <w:szCs w:val="20"/>
                <w:color w:val="auto"/>
              </w:rPr>
            </w:pPr>
            <w:r>
              <w:rPr>
                <w:rFonts w:ascii="Arial" w:cs="Arial" w:eastAsia="Arial" w:hAnsi="Arial"/>
                <w:sz w:val="20"/>
                <w:szCs w:val="20"/>
                <w:color w:val="auto"/>
              </w:rPr>
              <w:t>West Group</w:t>
            </w:r>
          </w:p>
        </w:tc>
        <w:tc>
          <w:tcPr>
            <w:tcW w:w="380" w:type="dxa"/>
            <w:vAlign w:val="bottom"/>
            <w:tcBorders>
              <w:bottom w:val="single" w:sz="8" w:color="CFF0FC"/>
            </w:tcBorders>
          </w:tcPr>
          <w:p>
            <w:pPr>
              <w:spacing w:after="0"/>
              <w:rPr>
                <w:sz w:val="21"/>
                <w:szCs w:val="21"/>
                <w:color w:val="auto"/>
              </w:rPr>
            </w:pPr>
          </w:p>
        </w:tc>
        <w:tc>
          <w:tcPr>
            <w:tcW w:w="134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46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5,032,662</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5,014,231</w:t>
            </w:r>
          </w:p>
        </w:tc>
        <w:tc>
          <w:tcPr>
            <w:tcW w:w="14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5,032,103</w:t>
            </w:r>
          </w:p>
        </w:tc>
        <w:tc>
          <w:tcPr>
            <w:tcW w:w="120" w:type="dxa"/>
            <w:vAlign w:val="bottom"/>
            <w:tcBorders>
              <w:bottom w:val="single" w:sz="8" w:color="CFF0FC"/>
            </w:tcBorders>
          </w:tcPr>
          <w:p>
            <w:pPr>
              <w:spacing w:after="0"/>
              <w:rPr>
                <w:sz w:val="21"/>
                <w:szCs w:val="21"/>
                <w:color w:val="auto"/>
              </w:rPr>
            </w:pPr>
          </w:p>
        </w:tc>
      </w:tr>
      <w:tr>
        <w:trPr>
          <w:trHeight w:val="237"/>
        </w:trPr>
        <w:tc>
          <w:tcPr>
            <w:tcW w:w="3500" w:type="dxa"/>
            <w:vAlign w:val="bottom"/>
            <w:gridSpan w:val="5"/>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38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9,134,806</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7,163,442</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7,174,841</w:t>
            </w:r>
          </w:p>
        </w:tc>
        <w:tc>
          <w:tcPr>
            <w:tcW w:w="120" w:type="dxa"/>
            <w:vAlign w:val="bottom"/>
            <w:shd w:val="clear" w:color="auto" w:fill="CFF0FC"/>
          </w:tcPr>
          <w:p>
            <w:pPr>
              <w:spacing w:after="0"/>
              <w:rPr>
                <w:sz w:val="20"/>
                <w:szCs w:val="20"/>
                <w:color w:val="auto"/>
              </w:rPr>
            </w:pPr>
          </w:p>
        </w:tc>
      </w:tr>
      <w:tr>
        <w:trPr>
          <w:trHeight w:val="243"/>
        </w:trPr>
        <w:tc>
          <w:tcPr>
            <w:tcW w:w="3500" w:type="dxa"/>
            <w:vAlign w:val="bottom"/>
            <w:gridSpan w:val="5"/>
          </w:tcPr>
          <w:p>
            <w:pPr>
              <w:spacing w:after="0"/>
              <w:rPr>
                <w:sz w:val="20"/>
                <w:szCs w:val="20"/>
                <w:color w:val="auto"/>
              </w:rPr>
            </w:pPr>
            <w:r>
              <w:rPr>
                <w:rFonts w:ascii="Arial" w:cs="Arial" w:eastAsia="Arial" w:hAnsi="Arial"/>
                <w:sz w:val="20"/>
                <w:szCs w:val="20"/>
                <w:color w:val="auto"/>
              </w:rPr>
              <w:t>Magnesia Specialties</w:t>
            </w: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20"/>
                <w:szCs w:val="20"/>
                <w:color w:val="auto"/>
              </w:rPr>
              <w:t>141,998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20"/>
                <w:szCs w:val="20"/>
                <w:color w:val="auto"/>
              </w:rPr>
              <w:t>152,257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148,581</w:t>
            </w:r>
          </w:p>
        </w:tc>
        <w:tc>
          <w:tcPr>
            <w:tcW w:w="120" w:type="dxa"/>
            <w:vAlign w:val="bottom"/>
          </w:tcPr>
          <w:p>
            <w:pPr>
              <w:spacing w:after="0"/>
              <w:rPr>
                <w:sz w:val="21"/>
                <w:szCs w:val="21"/>
                <w:color w:val="auto"/>
              </w:rPr>
            </w:pPr>
          </w:p>
        </w:tc>
      </w:tr>
      <w:tr>
        <w:trPr>
          <w:trHeight w:val="243"/>
        </w:trPr>
        <w:tc>
          <w:tcPr>
            <w:tcW w:w="3500" w:type="dxa"/>
            <w:vAlign w:val="bottom"/>
            <w:gridSpan w:val="5"/>
            <w:shd w:val="clear" w:color="auto" w:fill="CFF0FC"/>
          </w:tcPr>
          <w:p>
            <w:pPr>
              <w:spacing w:after="0"/>
              <w:rPr>
                <w:sz w:val="20"/>
                <w:szCs w:val="20"/>
                <w:color w:val="auto"/>
              </w:rPr>
            </w:pPr>
            <w:r>
              <w:rPr>
                <w:rFonts w:ascii="Arial" w:cs="Arial" w:eastAsia="Arial" w:hAnsi="Arial"/>
                <w:sz w:val="20"/>
                <w:szCs w:val="20"/>
                <w:color w:val="auto"/>
              </w:rPr>
              <w:t>Corporate</w:t>
            </w:r>
          </w:p>
        </w:tc>
        <w:tc>
          <w:tcPr>
            <w:tcW w:w="3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311,367</w:t>
            </w:r>
          </w:p>
        </w:tc>
        <w:tc>
          <w:tcPr>
            <w:tcW w:w="20" w:type="dxa"/>
            <w:vAlign w:val="bottom"/>
            <w:tcBorders>
              <w:bottom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1,676,812</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243,363</w:t>
            </w:r>
          </w:p>
        </w:tc>
        <w:tc>
          <w:tcPr>
            <w:tcW w:w="120" w:type="dxa"/>
            <w:vAlign w:val="bottom"/>
            <w:shd w:val="clear" w:color="auto" w:fill="CFF0FC"/>
          </w:tcPr>
          <w:p>
            <w:pPr>
              <w:spacing w:after="0"/>
              <w:rPr>
                <w:sz w:val="21"/>
                <w:szCs w:val="21"/>
                <w:color w:val="auto"/>
              </w:rPr>
            </w:pPr>
          </w:p>
        </w:tc>
      </w:tr>
      <w:tr>
        <w:trPr>
          <w:trHeight w:val="237"/>
        </w:trPr>
        <w:tc>
          <w:tcPr>
            <w:tcW w:w="3500" w:type="dxa"/>
            <w:vAlign w:val="bottom"/>
            <w:gridSpan w:val="5"/>
          </w:tcPr>
          <w:p>
            <w:pPr>
              <w:spacing w:after="0"/>
              <w:rPr>
                <w:sz w:val="20"/>
                <w:szCs w:val="20"/>
                <w:color w:val="auto"/>
              </w:rPr>
            </w:pPr>
            <w:r>
              <w:rPr>
                <w:rFonts w:ascii="Arial" w:cs="Arial" w:eastAsia="Arial" w:hAnsi="Arial"/>
                <w:sz w:val="20"/>
                <w:szCs w:val="20"/>
                <w:color w:val="auto"/>
              </w:rPr>
              <w:t>Total</w:t>
            </w:r>
          </w:p>
        </w:tc>
        <w:tc>
          <w:tcPr>
            <w:tcW w:w="3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71"/>
              </w:rPr>
              <w:t>$</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9,588,171</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w:t>
            </w: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8,992,511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7,566,785</w:t>
            </w:r>
          </w:p>
        </w:tc>
        <w:tc>
          <w:tcPr>
            <w:tcW w:w="120" w:type="dxa"/>
            <w:vAlign w:val="bottom"/>
          </w:tcPr>
          <w:p>
            <w:pPr>
              <w:spacing w:after="0"/>
              <w:rPr>
                <w:sz w:val="20"/>
                <w:szCs w:val="20"/>
                <w:color w:val="auto"/>
              </w:rPr>
            </w:pPr>
          </w:p>
        </w:tc>
      </w:tr>
      <w:tr>
        <w:trPr>
          <w:trHeight w:val="20"/>
        </w:trPr>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3" w:lineRule="exact"/>
        <w:rPr>
          <w:sz w:val="20"/>
          <w:szCs w:val="20"/>
          <w:color w:val="auto"/>
        </w:rPr>
      </w:pPr>
    </w:p>
    <w:p>
      <w:pPr>
        <w:ind w:left="380"/>
        <w:spacing w:after="0" w:line="260" w:lineRule="auto"/>
        <w:rPr>
          <w:sz w:val="20"/>
          <w:szCs w:val="20"/>
          <w:color w:val="auto"/>
        </w:rPr>
      </w:pPr>
      <w:r>
        <w:rPr>
          <w:rFonts w:ascii="Arial" w:cs="Arial" w:eastAsia="Arial" w:hAnsi="Arial"/>
          <w:sz w:val="20"/>
          <w:szCs w:val="20"/>
          <w:color w:val="auto"/>
        </w:rPr>
        <w:t>As of September 30, 2018, the increase in assets employed compared with September 30, 2017 primarily reflect the assets acquired from the Bluegrass acquisition completed in second quarter 2018.</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28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2018</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72" w:lineRule="exact"/>
        <w:rPr>
          <w:sz w:val="20"/>
          <w:szCs w:val="20"/>
          <w:color w:val="auto"/>
        </w:rPr>
      </w:pPr>
    </w:p>
    <w:p>
      <w:pPr>
        <w:ind w:left="380" w:hanging="372"/>
        <w:spacing w:after="0"/>
        <w:tabs>
          <w:tab w:leader="none" w:pos="38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Revenues and Gross Profit</w:t>
      </w:r>
    </w:p>
    <w:p>
      <w:pPr>
        <w:spacing w:after="0" w:line="113" w:lineRule="exact"/>
        <w:rPr>
          <w:rFonts w:ascii="Arial" w:cs="Arial" w:eastAsia="Arial" w:hAnsi="Arial"/>
          <w:sz w:val="20"/>
          <w:szCs w:val="20"/>
          <w:b w:val="1"/>
          <w:bCs w:val="1"/>
          <w:color w:val="auto"/>
        </w:rPr>
      </w:pPr>
    </w:p>
    <w:p>
      <w:pPr>
        <w:jc w:val="both"/>
        <w:ind w:left="380"/>
        <w:spacing w:after="0" w:line="250" w:lineRule="auto"/>
        <w:rPr>
          <w:rFonts w:ascii="Arial" w:cs="Arial" w:eastAsia="Arial" w:hAnsi="Arial"/>
          <w:sz w:val="20"/>
          <w:szCs w:val="20"/>
          <w:b w:val="1"/>
          <w:bCs w:val="1"/>
          <w:color w:val="auto"/>
        </w:rPr>
      </w:pPr>
      <w:r>
        <w:rPr>
          <w:rFonts w:ascii="Arial" w:cs="Arial" w:eastAsia="Arial" w:hAnsi="Arial"/>
          <w:sz w:val="20"/>
          <w:szCs w:val="20"/>
          <w:color w:val="auto"/>
        </w:rPr>
        <w:t>The Building Materials business includes the aggregates, cement, ready mixed concrete and asphalt and paving product lines. All cement, ready mixed concrete and asphalt and paving product lines reside in the West Group. The following table, which is reconciled to consolidated amounts, provides total revenues and gross profit by product line.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6"/>
          </w:tcPr>
          <w:p>
            <w:pPr>
              <w:jc w:val="right"/>
              <w:ind w:right="600"/>
              <w:spacing w:after="0"/>
              <w:rPr>
                <w:sz w:val="20"/>
                <w:szCs w:val="20"/>
                <w:color w:val="auto"/>
              </w:rPr>
            </w:pPr>
            <w:r>
              <w:rPr>
                <w:rFonts w:ascii="Arial" w:cs="Arial" w:eastAsia="Arial" w:hAnsi="Arial"/>
                <w:sz w:val="20"/>
                <w:szCs w:val="20"/>
                <w:color w:val="auto"/>
                <w:w w:val="98"/>
              </w:rPr>
              <w:t>Three-Months Ended</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60" w:type="dxa"/>
            <w:vAlign w:val="bottom"/>
            <w:gridSpan w:val="5"/>
          </w:tcPr>
          <w:p>
            <w:pPr>
              <w:jc w:val="right"/>
              <w:ind w:right="600"/>
              <w:spacing w:after="0"/>
              <w:rPr>
                <w:sz w:val="20"/>
                <w:szCs w:val="20"/>
                <w:color w:val="auto"/>
              </w:rPr>
            </w:pPr>
            <w:r>
              <w:rPr>
                <w:rFonts w:ascii="Arial" w:cs="Arial" w:eastAsia="Arial" w:hAnsi="Arial"/>
                <w:sz w:val="20"/>
                <w:szCs w:val="20"/>
                <w:color w:val="auto"/>
              </w:rPr>
              <w:t>Nine-Months Ended</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6"/>
          </w:tcPr>
          <w:p>
            <w:pPr>
              <w:jc w:val="right"/>
              <w:ind w:right="860"/>
              <w:spacing w:after="0"/>
              <w:rPr>
                <w:sz w:val="20"/>
                <w:szCs w:val="20"/>
                <w:color w:val="auto"/>
              </w:rPr>
            </w:pPr>
            <w:r>
              <w:rPr>
                <w:rFonts w:ascii="Arial" w:cs="Arial" w:eastAsia="Arial" w:hAnsi="Arial"/>
                <w:sz w:val="20"/>
                <w:szCs w:val="20"/>
                <w:color w:val="auto"/>
              </w:rPr>
              <w:t>September 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60" w:type="dxa"/>
            <w:vAlign w:val="bottom"/>
            <w:gridSpan w:val="5"/>
          </w:tcPr>
          <w:p>
            <w:pPr>
              <w:jc w:val="right"/>
              <w:ind w:right="840"/>
              <w:spacing w:after="0"/>
              <w:rPr>
                <w:sz w:val="20"/>
                <w:szCs w:val="20"/>
                <w:color w:val="auto"/>
              </w:rPr>
            </w:pPr>
            <w:r>
              <w:rPr>
                <w:rFonts w:ascii="Arial" w:cs="Arial" w:eastAsia="Arial" w:hAnsi="Arial"/>
                <w:sz w:val="20"/>
                <w:szCs w:val="20"/>
                <w:color w:val="auto"/>
              </w:rPr>
              <w:t>September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20"/>
                <w:szCs w:val="20"/>
                <w:color w:val="auto"/>
              </w:rPr>
              <w:t>2018</w:t>
            </w:r>
          </w:p>
        </w:tc>
        <w:tc>
          <w:tcPr>
            <w:tcW w:w="16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20"/>
                <w:szCs w:val="20"/>
                <w:color w:val="auto"/>
              </w:rPr>
              <w:t>2017</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20"/>
                <w:szCs w:val="20"/>
                <w:color w:val="auto"/>
              </w:rPr>
              <w:t>2018</w:t>
            </w:r>
          </w:p>
        </w:tc>
        <w:tc>
          <w:tcPr>
            <w:tcW w:w="24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20"/>
                <w:szCs w:val="20"/>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gridSpan w:val="6"/>
          </w:tcPr>
          <w:p>
            <w:pPr>
              <w:jc w:val="right"/>
              <w:ind w:right="600"/>
              <w:spacing w:after="0"/>
              <w:rPr>
                <w:sz w:val="20"/>
                <w:szCs w:val="20"/>
                <w:color w:val="auto"/>
              </w:rPr>
            </w:pPr>
            <w:r>
              <w:rPr>
                <w:rFonts w:ascii="Arial" w:cs="Arial" w:eastAsia="Arial" w:hAnsi="Arial"/>
                <w:sz w:val="20"/>
                <w:szCs w:val="20"/>
                <w:i w:val="1"/>
                <w:iCs w:val="1"/>
                <w:color w:val="auto"/>
                <w:w w:val="97"/>
              </w:rPr>
              <w:t>(Dollars in Thousands)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0" w:type="dxa"/>
            <w:vAlign w:val="bottom"/>
            <w:tcBorders>
              <w:bottom w:val="single" w:sz="8" w:color="auto"/>
            </w:tcBorders>
            <w:shd w:val="clear" w:color="auto" w:fill="CFF0FC"/>
          </w:tcPr>
          <w:p>
            <w:pPr>
              <w:spacing w:after="0" w:line="203" w:lineRule="exact"/>
              <w:rPr>
                <w:sz w:val="20"/>
                <w:szCs w:val="20"/>
                <w:color w:val="auto"/>
              </w:rPr>
            </w:pPr>
            <w:r>
              <w:rPr>
                <w:rFonts w:ascii="Arial" w:cs="Arial" w:eastAsia="Arial" w:hAnsi="Arial"/>
                <w:sz w:val="20"/>
                <w:szCs w:val="20"/>
                <w:color w:val="auto"/>
                <w:w w:val="85"/>
              </w:rPr>
              <w:t>Total revenues:</w:t>
            </w:r>
          </w:p>
        </w:tc>
        <w:tc>
          <w:tcPr>
            <w:tcW w:w="4700" w:type="dxa"/>
            <w:vAlign w:val="bottom"/>
            <w:tcBorders>
              <w:bottom w:val="single" w:sz="8" w:color="CFF0FC"/>
            </w:tcBorders>
            <w:gridSpan w:val="2"/>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3"/>
          </w:tcPr>
          <w:p>
            <w:pPr>
              <w:spacing w:after="0"/>
              <w:rPr>
                <w:sz w:val="20"/>
                <w:szCs w:val="20"/>
                <w:color w:val="auto"/>
              </w:rPr>
            </w:pPr>
            <w:r>
              <w:rPr>
                <w:rFonts w:ascii="Arial" w:cs="Arial" w:eastAsia="Arial" w:hAnsi="Arial"/>
                <w:sz w:val="20"/>
                <w:szCs w:val="20"/>
                <w:color w:val="auto"/>
              </w:rPr>
              <w:t>Building Materials Business:</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Products and services: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3"/>
          </w:tcPr>
          <w:p>
            <w:pPr>
              <w:ind w:left="240"/>
              <w:spacing w:after="0"/>
              <w:rPr>
                <w:sz w:val="20"/>
                <w:szCs w:val="20"/>
                <w:color w:val="auto"/>
              </w:rPr>
            </w:pPr>
            <w:r>
              <w:rPr>
                <w:rFonts w:ascii="Arial" w:cs="Arial" w:eastAsia="Arial" w:hAnsi="Arial"/>
                <w:sz w:val="20"/>
                <w:szCs w:val="20"/>
                <w:color w:val="auto"/>
              </w:rPr>
              <w:t>Aggregates</w:t>
            </w:r>
          </w:p>
        </w:tc>
        <w:tc>
          <w:tcPr>
            <w:tcW w:w="240" w:type="dxa"/>
            <w:vAlign w:val="bottom"/>
          </w:tcPr>
          <w:p>
            <w:pPr>
              <w:jc w:val="right"/>
              <w:ind w:right="41"/>
              <w:spacing w:after="0"/>
              <w:rPr>
                <w:sz w:val="20"/>
                <w:szCs w:val="20"/>
                <w:color w:val="auto"/>
              </w:rPr>
            </w:pPr>
            <w:r>
              <w:rPr>
                <w:rFonts w:ascii="Arial" w:cs="Arial" w:eastAsia="Arial" w:hAnsi="Arial"/>
                <w:sz w:val="20"/>
                <w:szCs w:val="20"/>
                <w:color w:val="auto"/>
                <w:w w:val="71"/>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687,800</w:t>
            </w:r>
          </w:p>
        </w:tc>
        <w:tc>
          <w:tcPr>
            <w:tcW w:w="160" w:type="dxa"/>
            <w:vAlign w:val="bottom"/>
          </w:tcPr>
          <w:p>
            <w:pPr>
              <w:spacing w:after="0"/>
              <w:rPr>
                <w:sz w:val="21"/>
                <w:szCs w:val="21"/>
                <w:color w:val="auto"/>
              </w:rPr>
            </w:pPr>
          </w:p>
        </w:tc>
        <w:tc>
          <w:tcPr>
            <w:tcW w:w="320" w:type="dxa"/>
            <w:vAlign w:val="bottom"/>
            <w:gridSpan w:val="2"/>
          </w:tcPr>
          <w:p>
            <w:pPr>
              <w:jc w:val="right"/>
              <w:ind w:right="41"/>
              <w:spacing w:after="0"/>
              <w:rPr>
                <w:sz w:val="20"/>
                <w:szCs w:val="20"/>
                <w:color w:val="auto"/>
              </w:rPr>
            </w:pPr>
            <w:r>
              <w:rPr>
                <w:rFonts w:ascii="Arial" w:cs="Arial" w:eastAsia="Arial" w:hAnsi="Arial"/>
                <w:sz w:val="20"/>
                <w:szCs w:val="20"/>
                <w:color w:val="auto"/>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590,312</w:t>
            </w:r>
          </w:p>
        </w:tc>
        <w:tc>
          <w:tcPr>
            <w:tcW w:w="160" w:type="dxa"/>
            <w:vAlign w:val="bottom"/>
          </w:tcPr>
          <w:p>
            <w:pPr>
              <w:spacing w:after="0"/>
              <w:rPr>
                <w:sz w:val="21"/>
                <w:szCs w:val="21"/>
                <w:color w:val="auto"/>
              </w:rPr>
            </w:pPr>
          </w:p>
        </w:tc>
        <w:tc>
          <w:tcPr>
            <w:tcW w:w="32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1,778,124</w:t>
            </w:r>
          </w:p>
        </w:tc>
        <w:tc>
          <w:tcPr>
            <w:tcW w:w="240" w:type="dxa"/>
            <w:vAlign w:val="bottom"/>
          </w:tcPr>
          <w:p>
            <w:pPr>
              <w:spacing w:after="0"/>
              <w:rPr>
                <w:sz w:val="21"/>
                <w:szCs w:val="21"/>
                <w:color w:val="auto"/>
              </w:rPr>
            </w:pPr>
          </w:p>
        </w:tc>
        <w:tc>
          <w:tcPr>
            <w:tcW w:w="240" w:type="dxa"/>
            <w:vAlign w:val="bottom"/>
          </w:tcPr>
          <w:p>
            <w:pPr>
              <w:jc w:val="right"/>
              <w:ind w:right="41"/>
              <w:spacing w:after="0"/>
              <w:rPr>
                <w:sz w:val="20"/>
                <w:szCs w:val="20"/>
                <w:color w:val="auto"/>
              </w:rPr>
            </w:pPr>
            <w:r>
              <w:rPr>
                <w:rFonts w:ascii="Arial" w:cs="Arial" w:eastAsia="Arial" w:hAnsi="Arial"/>
                <w:sz w:val="20"/>
                <w:szCs w:val="20"/>
                <w:color w:val="auto"/>
                <w:w w:val="71"/>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1,619,282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3"/>
            <w:shd w:val="clear" w:color="auto" w:fill="CFF0FC"/>
          </w:tcPr>
          <w:p>
            <w:pPr>
              <w:ind w:left="240"/>
              <w:spacing w:after="0"/>
              <w:rPr>
                <w:sz w:val="20"/>
                <w:szCs w:val="20"/>
                <w:color w:val="auto"/>
              </w:rPr>
            </w:pPr>
            <w:r>
              <w:rPr>
                <w:rFonts w:ascii="Arial" w:cs="Arial" w:eastAsia="Arial" w:hAnsi="Arial"/>
                <w:sz w:val="20"/>
                <w:szCs w:val="20"/>
                <w:color w:val="auto"/>
              </w:rPr>
              <w:t>Cement</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98,223</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88,470</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300,554</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280,961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3"/>
          </w:tcPr>
          <w:p>
            <w:pPr>
              <w:ind w:left="240"/>
              <w:spacing w:after="0"/>
              <w:rPr>
                <w:sz w:val="20"/>
                <w:szCs w:val="20"/>
                <w:color w:val="auto"/>
              </w:rPr>
            </w:pPr>
            <w:r>
              <w:rPr>
                <w:rFonts w:ascii="Arial" w:cs="Arial" w:eastAsia="Arial" w:hAnsi="Arial"/>
                <w:sz w:val="20"/>
                <w:szCs w:val="20"/>
                <w:color w:val="auto"/>
              </w:rPr>
              <w:t>Ready mixed concrete</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254,686</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240,222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750,424</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704,471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3"/>
            <w:shd w:val="clear" w:color="auto" w:fill="CFF0FC"/>
          </w:tcPr>
          <w:p>
            <w:pPr>
              <w:ind w:left="240"/>
              <w:spacing w:after="0"/>
              <w:rPr>
                <w:sz w:val="20"/>
                <w:szCs w:val="20"/>
                <w:color w:val="auto"/>
              </w:rPr>
            </w:pPr>
            <w:r>
              <w:rPr>
                <w:rFonts w:ascii="Arial" w:cs="Arial" w:eastAsia="Arial" w:hAnsi="Arial"/>
                <w:sz w:val="20"/>
                <w:szCs w:val="20"/>
                <w:color w:val="auto"/>
              </w:rPr>
              <w:t>Asphalt and paving services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99,983</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110,973</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199,489</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215,652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3"/>
          </w:tcPr>
          <w:p>
            <w:pPr>
              <w:ind w:left="240"/>
              <w:spacing w:after="0"/>
              <w:rPr>
                <w:sz w:val="20"/>
                <w:szCs w:val="20"/>
                <w:color w:val="auto"/>
              </w:rPr>
            </w:pPr>
            <w:r>
              <w:rPr>
                <w:rFonts w:ascii="Arial" w:cs="Arial" w:eastAsia="Arial" w:hAnsi="Arial"/>
                <w:sz w:val="20"/>
                <w:szCs w:val="20"/>
                <w:color w:val="auto"/>
              </w:rPr>
              <w:t>Less: interproduct revenues</w:t>
            </w:r>
          </w:p>
        </w:tc>
        <w:tc>
          <w:tcPr>
            <w:tcW w:w="24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20"/>
                <w:szCs w:val="20"/>
                <w:color w:val="auto"/>
              </w:rPr>
              <w:t>(66,839)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20"/>
                <w:szCs w:val="20"/>
                <w:color w:val="auto"/>
              </w:rPr>
              <w:t>(67,379)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20"/>
                <w:szCs w:val="20"/>
                <w:color w:val="auto"/>
              </w:rPr>
              <w:t>(205,681)</w:t>
            </w:r>
          </w:p>
        </w:tc>
        <w:tc>
          <w:tcPr>
            <w:tcW w:w="24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20"/>
                <w:szCs w:val="20"/>
                <w:color w:val="auto"/>
              </w:rPr>
              <w:t>(198,638)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00" w:type="dxa"/>
            <w:vAlign w:val="bottom"/>
            <w:tcBorders>
              <w:top w:val="single" w:sz="8" w:color="CFF0FC"/>
            </w:tcBorders>
            <w:gridSpan w:val="3"/>
            <w:shd w:val="clear" w:color="auto" w:fill="CFF0FC"/>
          </w:tcPr>
          <w:p>
            <w:pPr>
              <w:ind w:left="120"/>
              <w:spacing w:after="0"/>
              <w:rPr>
                <w:sz w:val="20"/>
                <w:szCs w:val="20"/>
                <w:color w:val="auto"/>
              </w:rPr>
            </w:pPr>
            <w:r>
              <w:rPr>
                <w:rFonts w:ascii="Arial" w:cs="Arial" w:eastAsia="Arial" w:hAnsi="Arial"/>
                <w:sz w:val="20"/>
                <w:szCs w:val="20"/>
                <w:color w:val="auto"/>
              </w:rPr>
              <w:t>Products and services</w:t>
            </w:r>
          </w:p>
        </w:tc>
        <w:tc>
          <w:tcPr>
            <w:tcW w:w="2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1,073,853</w:t>
            </w:r>
          </w:p>
        </w:tc>
        <w:tc>
          <w:tcPr>
            <w:tcW w:w="16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962,598</w:t>
            </w:r>
          </w:p>
        </w:tc>
        <w:tc>
          <w:tcPr>
            <w:tcW w:w="16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2,822,910</w:t>
            </w:r>
          </w:p>
        </w:tc>
        <w:tc>
          <w:tcPr>
            <w:tcW w:w="24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2,621,728</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tcBorders>
              <w:bottom w:val="single" w:sz="8" w:color="CFF0FC"/>
            </w:tcBorders>
            <w:gridSpan w:val="3"/>
          </w:tcPr>
          <w:p>
            <w:pPr>
              <w:ind w:left="120"/>
              <w:spacing w:after="0"/>
              <w:rPr>
                <w:sz w:val="20"/>
                <w:szCs w:val="20"/>
                <w:color w:val="auto"/>
              </w:rPr>
            </w:pPr>
            <w:r>
              <w:rPr>
                <w:rFonts w:ascii="Arial" w:cs="Arial" w:eastAsia="Arial" w:hAnsi="Arial"/>
                <w:sz w:val="20"/>
                <w:szCs w:val="20"/>
                <w:color w:val="auto"/>
              </w:rPr>
              <w:t>Freight</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72,264</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61,229</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185,390</w:t>
            </w:r>
          </w:p>
        </w:tc>
        <w:tc>
          <w:tcPr>
            <w:tcW w:w="2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170,878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0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1,146,117</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1,023,827</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3,008,300</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2,792,606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3"/>
          </w:tcPr>
          <w:p>
            <w:pPr>
              <w:spacing w:after="0"/>
              <w:rPr>
                <w:sz w:val="20"/>
                <w:szCs w:val="20"/>
                <w:color w:val="auto"/>
              </w:rPr>
            </w:pPr>
            <w:r>
              <w:rPr>
                <w:rFonts w:ascii="Arial" w:cs="Arial" w:eastAsia="Arial" w:hAnsi="Arial"/>
                <w:sz w:val="20"/>
                <w:szCs w:val="20"/>
                <w:color w:val="auto"/>
              </w:rPr>
              <w:t>Magnesia Specialties:</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3"/>
            <w:shd w:val="clear" w:color="auto" w:fill="CFF0FC"/>
          </w:tcPr>
          <w:p>
            <w:pPr>
              <w:ind w:left="120"/>
              <w:spacing w:after="0"/>
              <w:rPr>
                <w:sz w:val="20"/>
                <w:szCs w:val="20"/>
                <w:color w:val="auto"/>
              </w:rPr>
            </w:pPr>
            <w:r>
              <w:rPr>
                <w:rFonts w:ascii="Arial" w:cs="Arial" w:eastAsia="Arial" w:hAnsi="Arial"/>
                <w:sz w:val="20"/>
                <w:szCs w:val="20"/>
                <w:color w:val="auto"/>
              </w:rPr>
              <w:t>Products and services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68,365</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59,889</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201,390</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189,918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tcBorders>
              <w:bottom w:val="single" w:sz="8" w:color="CFF0FC"/>
            </w:tcBorders>
            <w:gridSpan w:val="3"/>
          </w:tcPr>
          <w:p>
            <w:pPr>
              <w:ind w:left="120"/>
              <w:spacing w:after="0"/>
              <w:rPr>
                <w:sz w:val="20"/>
                <w:szCs w:val="20"/>
                <w:color w:val="auto"/>
              </w:rPr>
            </w:pPr>
            <w:r>
              <w:rPr>
                <w:rFonts w:ascii="Arial" w:cs="Arial" w:eastAsia="Arial" w:hAnsi="Arial"/>
                <w:sz w:val="20"/>
                <w:szCs w:val="20"/>
                <w:color w:val="auto"/>
              </w:rPr>
              <w:t>Freight</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5,158</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4,016</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14,357</w:t>
            </w:r>
          </w:p>
        </w:tc>
        <w:tc>
          <w:tcPr>
            <w:tcW w:w="2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12,592</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0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Total Magnesia Specialties</w:t>
            </w: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73,523</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63,905</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215,747</w:t>
            </w:r>
          </w:p>
        </w:tc>
        <w:tc>
          <w:tcPr>
            <w:tcW w:w="24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202,510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20" w:type="dxa"/>
            <w:vAlign w:val="bottom"/>
            <w:gridSpan w:val="4"/>
          </w:tcPr>
          <w:p>
            <w:pPr>
              <w:spacing w:after="0"/>
              <w:rPr>
                <w:sz w:val="20"/>
                <w:szCs w:val="20"/>
                <w:color w:val="auto"/>
              </w:rPr>
            </w:pPr>
            <w:r>
              <w:rPr>
                <w:rFonts w:ascii="Arial" w:cs="Arial" w:eastAsia="Arial" w:hAnsi="Arial"/>
                <w:sz w:val="20"/>
                <w:szCs w:val="20"/>
                <w:color w:val="auto"/>
              </w:rPr>
              <w:t>Total</w:t>
            </w: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1,219,640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1,087,732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3,224,047</w:t>
            </w:r>
          </w:p>
        </w:tc>
        <w:tc>
          <w:tcPr>
            <w:tcW w:w="240" w:type="dxa"/>
            <w:vAlign w:val="bottom"/>
          </w:tcPr>
          <w:p>
            <w:pPr>
              <w:spacing w:after="0"/>
              <w:rPr>
                <w:sz w:val="20"/>
                <w:szCs w:val="20"/>
                <w:color w:val="auto"/>
              </w:rPr>
            </w:pPr>
          </w:p>
        </w:tc>
        <w:tc>
          <w:tcPr>
            <w:tcW w:w="2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2,995,116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20" w:type="dxa"/>
            <w:vAlign w:val="bottom"/>
            <w:gridSpan w:val="4"/>
            <w:vMerge w:val="restart"/>
          </w:tcPr>
          <w:p>
            <w:pPr>
              <w:spacing w:after="0"/>
              <w:rPr>
                <w:sz w:val="20"/>
                <w:szCs w:val="20"/>
                <w:color w:val="auto"/>
              </w:rPr>
            </w:pPr>
            <w:r>
              <w:rPr>
                <w:rFonts w:ascii="Arial" w:cs="Arial" w:eastAsia="Arial" w:hAnsi="Arial"/>
                <w:sz w:val="20"/>
                <w:szCs w:val="20"/>
                <w:color w:val="auto"/>
              </w:rPr>
              <w:t>Gross profit (loss):</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2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00" w:type="dxa"/>
            <w:vAlign w:val="bottom"/>
            <w:gridSpan w:val="3"/>
            <w:shd w:val="clear" w:color="auto" w:fill="CFF0FC"/>
          </w:tcPr>
          <w:p>
            <w:pPr>
              <w:spacing w:after="0"/>
              <w:rPr>
                <w:sz w:val="20"/>
                <w:szCs w:val="20"/>
                <w:color w:val="auto"/>
              </w:rPr>
            </w:pPr>
            <w:r>
              <w:rPr>
                <w:rFonts w:ascii="Arial" w:cs="Arial" w:eastAsia="Arial" w:hAnsi="Arial"/>
                <w:sz w:val="20"/>
                <w:szCs w:val="20"/>
                <w:color w:val="auto"/>
              </w:rPr>
              <w:t>Building Materials Business: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3"/>
          </w:tcPr>
          <w:p>
            <w:pPr>
              <w:spacing w:after="0"/>
              <w:rPr>
                <w:sz w:val="20"/>
                <w:szCs w:val="20"/>
                <w:color w:val="auto"/>
              </w:rPr>
            </w:pPr>
            <w:r>
              <w:rPr>
                <w:rFonts w:ascii="Arial" w:cs="Arial" w:eastAsia="Arial" w:hAnsi="Arial"/>
                <w:sz w:val="20"/>
                <w:szCs w:val="20"/>
                <w:color w:val="auto"/>
              </w:rPr>
              <w:t>Products and services:</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3"/>
            <w:shd w:val="clear" w:color="auto" w:fill="CFF0FC"/>
          </w:tcPr>
          <w:p>
            <w:pPr>
              <w:ind w:left="240"/>
              <w:spacing w:after="0"/>
              <w:rPr>
                <w:sz w:val="20"/>
                <w:szCs w:val="20"/>
                <w:color w:val="auto"/>
              </w:rPr>
            </w:pPr>
            <w:r>
              <w:rPr>
                <w:rFonts w:ascii="Arial" w:cs="Arial" w:eastAsia="Arial" w:hAnsi="Arial"/>
                <w:sz w:val="20"/>
                <w:szCs w:val="20"/>
                <w:color w:val="auto"/>
              </w:rPr>
              <w:t>Aggregates</w:t>
            </w:r>
          </w:p>
        </w:tc>
        <w:tc>
          <w:tcPr>
            <w:tcW w:w="2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209,082</w:t>
            </w:r>
          </w:p>
        </w:tc>
        <w:tc>
          <w:tcPr>
            <w:tcW w:w="16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41"/>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187,065</w:t>
            </w:r>
          </w:p>
        </w:tc>
        <w:tc>
          <w:tcPr>
            <w:tcW w:w="16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460,624</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439,032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3"/>
          </w:tcPr>
          <w:p>
            <w:pPr>
              <w:ind w:left="240"/>
              <w:spacing w:after="0"/>
              <w:rPr>
                <w:sz w:val="20"/>
                <w:szCs w:val="20"/>
                <w:color w:val="auto"/>
              </w:rPr>
            </w:pPr>
            <w:r>
              <w:rPr>
                <w:rFonts w:ascii="Arial" w:cs="Arial" w:eastAsia="Arial" w:hAnsi="Arial"/>
                <w:sz w:val="20"/>
                <w:szCs w:val="20"/>
                <w:color w:val="auto"/>
              </w:rPr>
              <w:t>Cement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32,543</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27,459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97,582</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87,608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3"/>
            <w:shd w:val="clear" w:color="auto" w:fill="CFF0FC"/>
          </w:tcPr>
          <w:p>
            <w:pPr>
              <w:ind w:left="240"/>
              <w:spacing w:after="0"/>
              <w:rPr>
                <w:sz w:val="20"/>
                <w:szCs w:val="20"/>
                <w:color w:val="auto"/>
              </w:rPr>
            </w:pPr>
            <w:r>
              <w:rPr>
                <w:rFonts w:ascii="Arial" w:cs="Arial" w:eastAsia="Arial" w:hAnsi="Arial"/>
                <w:sz w:val="20"/>
                <w:szCs w:val="20"/>
                <w:color w:val="auto"/>
              </w:rPr>
              <w:t>Ready mixed concrete</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20,632</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23,913</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66,226</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70,542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tcBorders>
              <w:bottom w:val="single" w:sz="8" w:color="CFF0FC"/>
            </w:tcBorders>
            <w:gridSpan w:val="3"/>
          </w:tcPr>
          <w:p>
            <w:pPr>
              <w:ind w:left="240"/>
              <w:spacing w:after="0"/>
              <w:rPr>
                <w:sz w:val="20"/>
                <w:szCs w:val="20"/>
                <w:color w:val="auto"/>
              </w:rPr>
            </w:pPr>
            <w:r>
              <w:rPr>
                <w:rFonts w:ascii="Arial" w:cs="Arial" w:eastAsia="Arial" w:hAnsi="Arial"/>
                <w:sz w:val="20"/>
                <w:szCs w:val="20"/>
                <w:color w:val="auto"/>
              </w:rPr>
              <w:t>Asphalt and paving services</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25,606</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28,873</w:t>
            </w:r>
          </w:p>
        </w:tc>
        <w:tc>
          <w:tcPr>
            <w:tcW w:w="1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36,479</w:t>
            </w:r>
          </w:p>
        </w:tc>
        <w:tc>
          <w:tcPr>
            <w:tcW w:w="2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44,446</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00" w:type="dxa"/>
            <w:vAlign w:val="bottom"/>
            <w:gridSpan w:val="3"/>
            <w:shd w:val="clear" w:color="auto" w:fill="CFF0FC"/>
          </w:tcPr>
          <w:p>
            <w:pPr>
              <w:ind w:left="120"/>
              <w:spacing w:after="0"/>
              <w:rPr>
                <w:sz w:val="20"/>
                <w:szCs w:val="20"/>
                <w:color w:val="auto"/>
              </w:rPr>
            </w:pPr>
            <w:r>
              <w:rPr>
                <w:rFonts w:ascii="Arial" w:cs="Arial" w:eastAsia="Arial" w:hAnsi="Arial"/>
                <w:sz w:val="20"/>
                <w:szCs w:val="20"/>
                <w:color w:val="auto"/>
              </w:rPr>
              <w:t>Products and services</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287,863</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267,310</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660,911</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641,628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3"/>
          </w:tcPr>
          <w:p>
            <w:pPr>
              <w:ind w:left="120"/>
              <w:spacing w:after="0"/>
              <w:rPr>
                <w:sz w:val="20"/>
                <w:szCs w:val="20"/>
                <w:color w:val="auto"/>
              </w:rPr>
            </w:pPr>
            <w:r>
              <w:rPr>
                <w:rFonts w:ascii="Arial" w:cs="Arial" w:eastAsia="Arial" w:hAnsi="Arial"/>
                <w:sz w:val="20"/>
                <w:szCs w:val="20"/>
                <w:color w:val="auto"/>
              </w:rPr>
              <w:t>Freight</w:t>
            </w:r>
          </w:p>
        </w:tc>
        <w:tc>
          <w:tcPr>
            <w:tcW w:w="24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20"/>
                <w:szCs w:val="20"/>
                <w:color w:val="auto"/>
              </w:rPr>
              <w:t>(47)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1,012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432</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2,040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0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2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287,816</w:t>
            </w:r>
          </w:p>
        </w:tc>
        <w:tc>
          <w:tcPr>
            <w:tcW w:w="16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268,322</w:t>
            </w:r>
          </w:p>
        </w:tc>
        <w:tc>
          <w:tcPr>
            <w:tcW w:w="16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661,343</w:t>
            </w:r>
          </w:p>
        </w:tc>
        <w:tc>
          <w:tcPr>
            <w:tcW w:w="24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643,668</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3"/>
          </w:tcPr>
          <w:p>
            <w:pPr>
              <w:spacing w:after="0"/>
              <w:rPr>
                <w:sz w:val="20"/>
                <w:szCs w:val="20"/>
                <w:color w:val="auto"/>
              </w:rPr>
            </w:pPr>
            <w:r>
              <w:rPr>
                <w:rFonts w:ascii="Arial" w:cs="Arial" w:eastAsia="Arial" w:hAnsi="Arial"/>
                <w:sz w:val="20"/>
                <w:szCs w:val="20"/>
                <w:color w:val="auto"/>
              </w:rPr>
              <w:t>Magnesia Specialties:</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3"/>
            <w:shd w:val="clear" w:color="auto" w:fill="CFF0FC"/>
          </w:tcPr>
          <w:p>
            <w:pPr>
              <w:ind w:left="120"/>
              <w:spacing w:after="0"/>
              <w:rPr>
                <w:sz w:val="20"/>
                <w:szCs w:val="20"/>
                <w:color w:val="auto"/>
              </w:rPr>
            </w:pPr>
            <w:r>
              <w:rPr>
                <w:rFonts w:ascii="Arial" w:cs="Arial" w:eastAsia="Arial" w:hAnsi="Arial"/>
                <w:sz w:val="20"/>
                <w:szCs w:val="20"/>
                <w:color w:val="auto"/>
              </w:rPr>
              <w:t>Products and services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26,823</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21,272</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76,756</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69,425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3"/>
          </w:tcPr>
          <w:p>
            <w:pPr>
              <w:ind w:left="120"/>
              <w:spacing w:after="0"/>
              <w:rPr>
                <w:sz w:val="20"/>
                <w:szCs w:val="20"/>
                <w:color w:val="auto"/>
              </w:rPr>
            </w:pPr>
            <w:r>
              <w:rPr>
                <w:rFonts w:ascii="Arial" w:cs="Arial" w:eastAsia="Arial" w:hAnsi="Arial"/>
                <w:sz w:val="20"/>
                <w:szCs w:val="20"/>
                <w:color w:val="auto"/>
              </w:rPr>
              <w:t>Freight</w:t>
            </w:r>
          </w:p>
        </w:tc>
        <w:tc>
          <w:tcPr>
            <w:tcW w:w="24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20"/>
                <w:szCs w:val="20"/>
                <w:color w:val="auto"/>
              </w:rPr>
              <w:t>(1,076)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20"/>
                <w:szCs w:val="20"/>
                <w:color w:val="auto"/>
              </w:rPr>
              <w:t>(1,362)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20"/>
                <w:szCs w:val="20"/>
                <w:color w:val="auto"/>
              </w:rPr>
              <w:t>(3,280)</w:t>
            </w:r>
          </w:p>
        </w:tc>
        <w:tc>
          <w:tcPr>
            <w:tcW w:w="24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20"/>
                <w:szCs w:val="20"/>
                <w:color w:val="auto"/>
              </w:rPr>
              <w:t>(3,576)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0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20"/>
                <w:szCs w:val="20"/>
                <w:color w:val="auto"/>
              </w:rPr>
              <w:t>Total Magnesia Specialties</w:t>
            </w:r>
          </w:p>
        </w:tc>
        <w:tc>
          <w:tcPr>
            <w:tcW w:w="2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25,747</w:t>
            </w:r>
          </w:p>
        </w:tc>
        <w:tc>
          <w:tcPr>
            <w:tcW w:w="16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19,910</w:t>
            </w:r>
          </w:p>
        </w:tc>
        <w:tc>
          <w:tcPr>
            <w:tcW w:w="16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73,476</w:t>
            </w:r>
          </w:p>
        </w:tc>
        <w:tc>
          <w:tcPr>
            <w:tcW w:w="24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65,849</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gridSpan w:val="3"/>
          </w:tcPr>
          <w:p>
            <w:pPr>
              <w:spacing w:after="0"/>
              <w:rPr>
                <w:sz w:val="20"/>
                <w:szCs w:val="20"/>
                <w:color w:val="auto"/>
              </w:rPr>
            </w:pPr>
            <w:r>
              <w:rPr>
                <w:rFonts w:ascii="Arial" w:cs="Arial" w:eastAsia="Arial" w:hAnsi="Arial"/>
                <w:sz w:val="20"/>
                <w:szCs w:val="20"/>
                <w:color w:val="auto"/>
              </w:rPr>
              <w:t>Corporate</w:t>
            </w:r>
          </w:p>
        </w:tc>
        <w:tc>
          <w:tcPr>
            <w:tcW w:w="24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20"/>
                <w:szCs w:val="20"/>
                <w:color w:val="auto"/>
              </w:rPr>
              <w:t>(579)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3,446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4,474</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3,321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0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20"/>
                <w:szCs w:val="20"/>
                <w:color w:val="auto"/>
              </w:rPr>
              <w:t>Total</w:t>
            </w:r>
          </w:p>
        </w:tc>
        <w:tc>
          <w:tcPr>
            <w:tcW w:w="2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312,984</w:t>
            </w: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291,678</w:t>
            </w:r>
          </w:p>
        </w:tc>
        <w:tc>
          <w:tcPr>
            <w:tcW w:w="16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739,293</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712,838</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29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9"/>
          <w:szCs w:val="19"/>
          <w:color w:val="auto"/>
        </w:rPr>
        <w:t>MARTIN MARIETTA MATERIALS, INC. AND CONSOLIDATED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2018</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 NOTES TO CONSOLIDATED FINANCIAL STATEMENTS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Supplemental Cash Flow Information</w:t>
      </w:r>
    </w:p>
    <w:p>
      <w:pPr>
        <w:sectPr>
          <w:pgSz w:w="11900" w:h="16838" w:orient="portrait"/>
          <w:cols w:equalWidth="0" w:num="1">
            <w:col w:w="11420"/>
          </w:cols>
          <w:pgMar w:left="240" w:top="121" w:right="239" w:bottom="1440" w:gutter="0" w:footer="0" w:header="0"/>
        </w:sectPr>
      </w:pPr>
    </w:p>
    <w:p>
      <w:pPr>
        <w:spacing w:after="0" w:line="11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components of the change in other assets and liabilities, net,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color w:val="auto"/>
        </w:rPr>
        <w:t>Other current and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Accrued salaries, benefits and payroll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Accrued insurance and other taxes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Accrued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Accrued pension, postretirement and postemployment benefits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Other current and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91" w:lineRule="exact"/>
        <w:rPr>
          <w:sz w:val="20"/>
          <w:szCs w:val="20"/>
          <w:color w:val="auto"/>
        </w:rPr>
      </w:pPr>
    </w:p>
    <w:p>
      <w:pPr>
        <w:ind w:left="380"/>
        <w:spacing w:after="0"/>
        <w:rPr>
          <w:sz w:val="20"/>
          <w:szCs w:val="20"/>
          <w:color w:val="auto"/>
        </w:rPr>
      </w:pPr>
      <w:r>
        <w:rPr>
          <w:rFonts w:ascii="Arial" w:cs="Arial" w:eastAsia="Arial" w:hAnsi="Arial"/>
          <w:sz w:val="20"/>
          <w:szCs w:val="20"/>
          <w:color w:val="auto"/>
        </w:rPr>
        <w:t>Noncash investing and financing activities are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Nine-Months Ended</w:t>
      </w:r>
    </w:p>
    <w:p>
      <w:pPr>
        <w:spacing w:after="0" w:line="20"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20"/>
                <w:szCs w:val="20"/>
                <w:color w:val="auto"/>
              </w:rPr>
              <w:t>2018</w:t>
            </w:r>
          </w:p>
        </w:tc>
        <w:tc>
          <w:tcPr>
            <w:tcW w:w="2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20"/>
                <w:szCs w:val="20"/>
                <w:color w:val="auto"/>
              </w:rPr>
              <w:t>2017</w:t>
            </w:r>
          </w:p>
        </w:tc>
        <w:tc>
          <w:tcPr>
            <w:tcW w:w="60" w:type="dxa"/>
            <w:vAlign w:val="bottom"/>
          </w:tcPr>
          <w:p>
            <w:pPr>
              <w:spacing w:after="0"/>
              <w:rPr>
                <w:sz w:val="20"/>
                <w:szCs w:val="20"/>
                <w:color w:val="auto"/>
              </w:rPr>
            </w:pPr>
          </w:p>
        </w:tc>
      </w:tr>
      <w:tr>
        <w:trPr>
          <w:trHeight w:val="233"/>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20" w:type="dxa"/>
            <w:vAlign w:val="bottom"/>
            <w:gridSpan w:val="4"/>
          </w:tcPr>
          <w:p>
            <w:pPr>
              <w:jc w:val="center"/>
              <w:ind w:right="261"/>
              <w:spacing w:after="0"/>
              <w:rPr>
                <w:sz w:val="20"/>
                <w:szCs w:val="20"/>
                <w:color w:val="auto"/>
              </w:rPr>
            </w:pPr>
            <w:r>
              <w:rPr>
                <w:rFonts w:ascii="Arial" w:cs="Arial" w:eastAsia="Arial" w:hAnsi="Arial"/>
                <w:sz w:val="20"/>
                <w:szCs w:val="20"/>
                <w:i w:val="1"/>
                <w:iCs w:val="1"/>
                <w:color w:val="auto"/>
                <w:w w:val="91"/>
              </w:rPr>
              <w:t>(Dollars in Thousands)</w:t>
            </w:r>
          </w:p>
        </w:tc>
        <w:tc>
          <w:tcPr>
            <w:tcW w:w="60" w:type="dxa"/>
            <w:vAlign w:val="bottom"/>
          </w:tcPr>
          <w:p>
            <w:pPr>
              <w:spacing w:after="0"/>
              <w:rPr>
                <w:sz w:val="20"/>
                <w:szCs w:val="20"/>
                <w:color w:val="auto"/>
              </w:rPr>
            </w:pPr>
          </w:p>
        </w:tc>
      </w:tr>
      <w:tr>
        <w:trPr>
          <w:trHeight w:val="243"/>
        </w:trPr>
        <w:tc>
          <w:tcPr>
            <w:tcW w:w="340" w:type="dxa"/>
            <w:vAlign w:val="bottom"/>
            <w:gridSpan w:val="2"/>
          </w:tcPr>
          <w:p>
            <w:pPr>
              <w:jc w:val="right"/>
              <w:ind w:right="163"/>
              <w:spacing w:after="0"/>
              <w:rPr>
                <w:sz w:val="20"/>
                <w:szCs w:val="20"/>
                <w:color w:val="auto"/>
              </w:rPr>
            </w:pPr>
            <w:r>
              <w:rPr>
                <w:rFonts w:ascii="Arial" w:cs="Arial" w:eastAsia="Arial" w:hAnsi="Arial"/>
                <w:sz w:val="20"/>
                <w:szCs w:val="20"/>
                <w:color w:val="auto"/>
                <w:w w:val="71"/>
              </w:rPr>
              <w:t>$</w:t>
            </w:r>
          </w:p>
        </w:tc>
        <w:tc>
          <w:tcPr>
            <w:tcW w:w="1520" w:type="dxa"/>
            <w:vAlign w:val="bottom"/>
            <w:gridSpan w:val="2"/>
          </w:tcPr>
          <w:p>
            <w:pPr>
              <w:jc w:val="right"/>
              <w:ind w:right="220"/>
              <w:spacing w:after="0"/>
              <w:rPr>
                <w:sz w:val="20"/>
                <w:szCs w:val="20"/>
                <w:color w:val="auto"/>
              </w:rPr>
            </w:pPr>
            <w:r>
              <w:rPr>
                <w:rFonts w:ascii="Arial" w:cs="Arial" w:eastAsia="Arial" w:hAnsi="Arial"/>
                <w:sz w:val="20"/>
                <w:szCs w:val="20"/>
                <w:color w:val="auto"/>
              </w:rPr>
              <w:t>(32,572)</w:t>
            </w:r>
          </w:p>
        </w:tc>
        <w:tc>
          <w:tcPr>
            <w:tcW w:w="520" w:type="dxa"/>
            <w:vAlign w:val="bottom"/>
          </w:tcPr>
          <w:p>
            <w:pPr>
              <w:jc w:val="right"/>
              <w:ind w:right="321"/>
              <w:spacing w:after="0"/>
              <w:rPr>
                <w:sz w:val="20"/>
                <w:szCs w:val="20"/>
                <w:color w:val="auto"/>
              </w:rPr>
            </w:pPr>
            <w:r>
              <w:rPr>
                <w:rFonts w:ascii="Arial" w:cs="Arial" w:eastAsia="Arial" w:hAnsi="Arial"/>
                <w:sz w:val="20"/>
                <w:szCs w:val="20"/>
                <w:color w:val="auto"/>
                <w:w w:val="71"/>
              </w:rPr>
              <w:t>$</w:t>
            </w: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(29,342)</w:t>
            </w:r>
          </w:p>
        </w:tc>
      </w:tr>
      <w:tr>
        <w:trPr>
          <w:trHeight w:val="243"/>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5,986</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(6,234)</w:t>
            </w:r>
          </w:p>
        </w:tc>
      </w:tr>
      <w:tr>
        <w:trPr>
          <w:trHeight w:val="243"/>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4,555</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10,230</w:t>
            </w: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6,220</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16,393</w:t>
            </w: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20"/>
                <w:szCs w:val="20"/>
                <w:color w:val="auto"/>
              </w:rPr>
              <w:t>(131,963)</w:t>
            </w:r>
          </w:p>
        </w:tc>
        <w:tc>
          <w:tcPr>
            <w:tcW w:w="52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20"/>
                <w:szCs w:val="20"/>
                <w:color w:val="auto"/>
              </w:rPr>
              <w:t>(5,807)</w:t>
            </w:r>
          </w:p>
        </w:tc>
      </w:tr>
      <w:tr>
        <w:trPr>
          <w:trHeight w:val="246"/>
        </w:trPr>
        <w:tc>
          <w:tcPr>
            <w:tcW w:w="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2,769</w:t>
            </w:r>
          </w:p>
        </w:tc>
        <w:tc>
          <w:tcPr>
            <w:tcW w:w="28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49,244</w:t>
            </w:r>
          </w:p>
        </w:tc>
        <w:tc>
          <w:tcPr>
            <w:tcW w:w="60" w:type="dxa"/>
            <w:vAlign w:val="bottom"/>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3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(145,005)</w:t>
            </w:r>
          </w:p>
        </w:tc>
        <w:tc>
          <w:tcPr>
            <w:tcW w:w="280" w:type="dxa"/>
            <w:vAlign w:val="bottom"/>
          </w:tcPr>
          <w:p>
            <w:pPr>
              <w:spacing w:after="0"/>
              <w:rPr>
                <w:sz w:val="20"/>
                <w:szCs w:val="20"/>
                <w:color w:val="auto"/>
              </w:rPr>
            </w:pPr>
          </w:p>
        </w:tc>
        <w:tc>
          <w:tcPr>
            <w:tcW w:w="52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34,484</w:t>
            </w:r>
          </w:p>
        </w:tc>
        <w:tc>
          <w:tcPr>
            <w:tcW w:w="6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3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80" w:type="dxa"/>
            <w:vAlign w:val="bottom"/>
            <w:gridSpan w:val="5"/>
          </w:tcPr>
          <w:p>
            <w:pPr>
              <w:jc w:val="center"/>
              <w:ind w:right="420"/>
              <w:spacing w:after="0"/>
              <w:rPr>
                <w:sz w:val="20"/>
                <w:szCs w:val="20"/>
                <w:color w:val="auto"/>
              </w:rPr>
            </w:pPr>
            <w:r>
              <w:rPr>
                <w:rFonts w:ascii="Arial" w:cs="Arial" w:eastAsia="Arial" w:hAnsi="Arial"/>
                <w:sz w:val="20"/>
                <w:szCs w:val="20"/>
                <w:color w:val="auto"/>
                <w:w w:val="90"/>
              </w:rPr>
              <w:t>Nine-Months Ended</w:t>
            </w:r>
          </w:p>
        </w:tc>
      </w:tr>
      <w:tr>
        <w:trPr>
          <w:trHeight w:val="246"/>
        </w:trPr>
        <w:tc>
          <w:tcPr>
            <w:tcW w:w="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tcPr>
          <w:p>
            <w:pPr>
              <w:jc w:val="center"/>
              <w:ind w:left="641"/>
              <w:spacing w:after="0"/>
              <w:rPr>
                <w:sz w:val="20"/>
                <w:szCs w:val="20"/>
                <w:color w:val="auto"/>
              </w:rPr>
            </w:pPr>
            <w:r>
              <w:rPr>
                <w:rFonts w:ascii="Arial" w:cs="Arial" w:eastAsia="Arial" w:hAnsi="Arial"/>
                <w:sz w:val="20"/>
                <w:szCs w:val="20"/>
                <w:color w:val="auto"/>
                <w:w w:val="86"/>
              </w:rPr>
              <w:t>September 30,</w:t>
            </w:r>
          </w:p>
        </w:tc>
        <w:tc>
          <w:tcPr>
            <w:tcW w:w="10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501"/>
              <w:spacing w:after="0"/>
              <w:rPr>
                <w:sz w:val="20"/>
                <w:szCs w:val="20"/>
                <w:color w:val="auto"/>
              </w:rPr>
            </w:pPr>
            <w:r>
              <w:rPr>
                <w:rFonts w:ascii="Arial" w:cs="Arial" w:eastAsia="Arial" w:hAnsi="Arial"/>
                <w:sz w:val="20"/>
                <w:szCs w:val="20"/>
                <w:color w:val="auto"/>
              </w:rPr>
              <w:t>2018</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501"/>
              <w:spacing w:after="0"/>
              <w:rPr>
                <w:sz w:val="20"/>
                <w:szCs w:val="20"/>
                <w:color w:val="auto"/>
              </w:rPr>
            </w:pPr>
            <w:r>
              <w:rPr>
                <w:rFonts w:ascii="Arial" w:cs="Arial" w:eastAsia="Arial" w:hAnsi="Arial"/>
                <w:sz w:val="20"/>
                <w:szCs w:val="20"/>
                <w:color w:val="auto"/>
              </w:rPr>
              <w:t>2017</w:t>
            </w: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21951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ind w:left="800"/>
        <w:spacing w:after="0"/>
        <w:rPr>
          <w:sz w:val="20"/>
          <w:szCs w:val="20"/>
          <w:color w:val="auto"/>
        </w:rPr>
      </w:pPr>
      <w:r>
        <w:rPr>
          <w:rFonts w:ascii="Arial" w:cs="Arial" w:eastAsia="Arial" w:hAnsi="Arial"/>
          <w:sz w:val="20"/>
          <w:szCs w:val="20"/>
          <w:i w:val="1"/>
          <w:iCs w:val="1"/>
          <w:color w:val="auto"/>
        </w:rPr>
        <w:t>(Dollars in Thousands)</w:t>
      </w:r>
    </w:p>
    <w:p>
      <w:pPr>
        <w:spacing w:after="0" w:line="30" w:lineRule="exact"/>
        <w:rPr>
          <w:sz w:val="20"/>
          <w:szCs w:val="20"/>
          <w:color w:val="auto"/>
        </w:rPr>
      </w:pPr>
    </w:p>
    <w:p>
      <w:pPr>
        <w:sectPr>
          <w:pgSz w:w="11900" w:h="16838" w:orient="portrait"/>
          <w:cols w:equalWidth="0" w:num="2">
            <w:col w:w="7120" w:space="720"/>
            <w:col w:w="358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20"/>
                <w:szCs w:val="20"/>
                <w:color w:val="auto"/>
              </w:rPr>
              <w:t>Noncash investing and financing activities:</w:t>
            </w:r>
          </w:p>
        </w:tc>
        <w:tc>
          <w:tcPr>
            <w:tcW w:w="17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43"/>
        </w:trPr>
        <w:tc>
          <w:tcPr>
            <w:tcW w:w="6640" w:type="dxa"/>
            <w:vAlign w:val="bottom"/>
          </w:tcPr>
          <w:p>
            <w:pPr>
              <w:ind w:left="260"/>
              <w:spacing w:after="0"/>
              <w:rPr>
                <w:sz w:val="20"/>
                <w:szCs w:val="20"/>
                <w:color w:val="auto"/>
              </w:rPr>
            </w:pPr>
            <w:r>
              <w:rPr>
                <w:rFonts w:ascii="Arial" w:cs="Arial" w:eastAsia="Arial" w:hAnsi="Arial"/>
                <w:sz w:val="20"/>
                <w:szCs w:val="20"/>
                <w:color w:val="auto"/>
              </w:rPr>
              <w:t>Accrued liabilities for purchases of property, plant and equipment</w:t>
            </w:r>
          </w:p>
        </w:tc>
        <w:tc>
          <w:tcPr>
            <w:tcW w:w="1760" w:type="dxa"/>
            <w:vAlign w:val="bottom"/>
          </w:tcPr>
          <w:p>
            <w:pPr>
              <w:jc w:val="right"/>
              <w:ind w:right="36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61"/>
              <w:spacing w:after="0"/>
              <w:rPr>
                <w:sz w:val="20"/>
                <w:szCs w:val="20"/>
                <w:color w:val="auto"/>
              </w:rPr>
            </w:pPr>
            <w:r>
              <w:rPr>
                <w:rFonts w:ascii="Arial" w:cs="Arial" w:eastAsia="Arial" w:hAnsi="Arial"/>
                <w:sz w:val="20"/>
                <w:szCs w:val="20"/>
                <w:color w:val="auto"/>
              </w:rPr>
              <w:t>24,930</w:t>
            </w:r>
          </w:p>
        </w:tc>
        <w:tc>
          <w:tcPr>
            <w:tcW w:w="720" w:type="dxa"/>
            <w:vAlign w:val="bottom"/>
          </w:tcPr>
          <w:p>
            <w:pPr>
              <w:jc w:val="right"/>
              <w:ind w:right="381"/>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20,339</w:t>
            </w:r>
          </w:p>
        </w:tc>
      </w:tr>
      <w:tr>
        <w:trPr>
          <w:trHeight w:val="243"/>
        </w:trPr>
        <w:tc>
          <w:tcPr>
            <w:tcW w:w="66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Acquisition of assets through capital lease</w:t>
            </w:r>
          </w:p>
        </w:tc>
        <w:tc>
          <w:tcPr>
            <w:tcW w:w="1760" w:type="dxa"/>
            <w:vAlign w:val="bottom"/>
            <w:shd w:val="clear" w:color="auto" w:fill="CFF0FC"/>
          </w:tcPr>
          <w:p>
            <w:pPr>
              <w:jc w:val="right"/>
              <w:ind w:right="361"/>
              <w:spacing w:after="0"/>
              <w:rPr>
                <w:sz w:val="20"/>
                <w:szCs w:val="20"/>
                <w:color w:val="auto"/>
              </w:rPr>
            </w:pPr>
            <w:r>
              <w:rPr>
                <w:rFonts w:ascii="Arial" w:cs="Arial" w:eastAsia="Arial" w:hAnsi="Arial"/>
                <w:sz w:val="20"/>
                <w:szCs w:val="20"/>
                <w:color w:val="auto"/>
              </w:rPr>
              <w:t>$</w:t>
            </w:r>
          </w:p>
        </w:tc>
        <w:tc>
          <w:tcPr>
            <w:tcW w:w="11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449</w:t>
            </w:r>
          </w:p>
        </w:tc>
        <w:tc>
          <w:tcPr>
            <w:tcW w:w="720" w:type="dxa"/>
            <w:vAlign w:val="bottom"/>
            <w:shd w:val="clear" w:color="auto" w:fill="CFF0FC"/>
          </w:tcPr>
          <w:p>
            <w:pPr>
              <w:jc w:val="right"/>
              <w:ind w:right="381"/>
              <w:spacing w:after="0"/>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196</w:t>
            </w:r>
          </w:p>
        </w:tc>
      </w:tr>
      <w:tr>
        <w:trPr>
          <w:trHeight w:val="250"/>
        </w:trPr>
        <w:tc>
          <w:tcPr>
            <w:tcW w:w="6640" w:type="dxa"/>
            <w:vAlign w:val="bottom"/>
          </w:tcPr>
          <w:p>
            <w:pPr>
              <w:ind w:left="260"/>
              <w:spacing w:after="0"/>
              <w:rPr>
                <w:sz w:val="20"/>
                <w:szCs w:val="20"/>
                <w:color w:val="auto"/>
              </w:rPr>
            </w:pPr>
            <w:r>
              <w:rPr>
                <w:rFonts w:ascii="Arial" w:cs="Arial" w:eastAsia="Arial" w:hAnsi="Arial"/>
                <w:sz w:val="20"/>
                <w:szCs w:val="20"/>
                <w:color w:val="auto"/>
              </w:rPr>
              <w:t>Settlement of royalty obligation via asset sale</w:t>
            </w:r>
          </w:p>
        </w:tc>
        <w:tc>
          <w:tcPr>
            <w:tcW w:w="1760" w:type="dxa"/>
            <w:vAlign w:val="bottom"/>
          </w:tcPr>
          <w:p>
            <w:pPr>
              <w:jc w:val="right"/>
              <w:ind w:right="361"/>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720" w:type="dxa"/>
            <w:vAlign w:val="bottom"/>
          </w:tcPr>
          <w:p>
            <w:pPr>
              <w:jc w:val="right"/>
              <w:ind w:right="381"/>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41"/>
              <w:spacing w:after="0"/>
              <w:rPr>
                <w:sz w:val="20"/>
                <w:szCs w:val="20"/>
                <w:color w:val="auto"/>
              </w:rPr>
            </w:pPr>
            <w:r>
              <w:rPr>
                <w:rFonts w:ascii="Arial" w:cs="Arial" w:eastAsia="Arial" w:hAnsi="Arial"/>
                <w:sz w:val="20"/>
                <w:szCs w:val="20"/>
                <w:color w:val="auto"/>
              </w:rPr>
              <w:t>900</w:t>
            </w:r>
          </w:p>
        </w:tc>
      </w:tr>
    </w:tbl>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740" w:type="dxa"/>
            <w:vAlign w:val="bottom"/>
          </w:tcPr>
          <w:p>
            <w:pPr>
              <w:ind w:left="380"/>
              <w:spacing w:after="0"/>
              <w:rPr>
                <w:sz w:val="20"/>
                <w:szCs w:val="20"/>
                <w:color w:val="auto"/>
              </w:rPr>
            </w:pPr>
            <w:r>
              <w:rPr>
                <w:rFonts w:ascii="Arial" w:cs="Arial" w:eastAsia="Arial" w:hAnsi="Arial"/>
                <w:sz w:val="20"/>
                <w:szCs w:val="20"/>
                <w:color w:val="auto"/>
              </w:rPr>
              <w:t>Supplemental disclosures of cash flow information are as follows:</w:t>
            </w:r>
          </w:p>
        </w:tc>
        <w:tc>
          <w:tcPr>
            <w:tcW w:w="1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303"/>
        </w:trPr>
        <w:tc>
          <w:tcPr>
            <w:tcW w:w="6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40" w:type="dxa"/>
            <w:vAlign w:val="bottom"/>
            <w:gridSpan w:val="4"/>
          </w:tcPr>
          <w:p>
            <w:pPr>
              <w:jc w:val="center"/>
              <w:ind w:right="480"/>
              <w:spacing w:after="0"/>
              <w:rPr>
                <w:sz w:val="20"/>
                <w:szCs w:val="20"/>
                <w:color w:val="auto"/>
              </w:rPr>
            </w:pPr>
            <w:r>
              <w:rPr>
                <w:rFonts w:ascii="Arial" w:cs="Arial" w:eastAsia="Arial" w:hAnsi="Arial"/>
                <w:sz w:val="20"/>
                <w:szCs w:val="20"/>
                <w:color w:val="auto"/>
                <w:w w:val="90"/>
              </w:rPr>
              <w:t>Nine-Months Ended</w:t>
            </w:r>
          </w:p>
        </w:tc>
      </w:tr>
      <w:tr>
        <w:trPr>
          <w:trHeight w:val="246"/>
        </w:trPr>
        <w:tc>
          <w:tcPr>
            <w:tcW w:w="67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2"/>
          </w:tcPr>
          <w:p>
            <w:pPr>
              <w:jc w:val="center"/>
              <w:ind w:left="641"/>
              <w:spacing w:after="0"/>
              <w:rPr>
                <w:sz w:val="20"/>
                <w:szCs w:val="20"/>
                <w:color w:val="auto"/>
              </w:rPr>
            </w:pPr>
            <w:r>
              <w:rPr>
                <w:rFonts w:ascii="Arial" w:cs="Arial" w:eastAsia="Arial" w:hAnsi="Arial"/>
                <w:sz w:val="20"/>
                <w:szCs w:val="20"/>
                <w:color w:val="auto"/>
                <w:w w:val="86"/>
              </w:rPr>
              <w:t>September 30,</w:t>
            </w:r>
          </w:p>
        </w:tc>
        <w:tc>
          <w:tcPr>
            <w:tcW w:w="10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67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41"/>
              <w:spacing w:after="0"/>
              <w:rPr>
                <w:sz w:val="20"/>
                <w:szCs w:val="20"/>
                <w:color w:val="auto"/>
              </w:rPr>
            </w:pPr>
            <w:r>
              <w:rPr>
                <w:rFonts w:ascii="Arial" w:cs="Arial" w:eastAsia="Arial" w:hAnsi="Arial"/>
                <w:sz w:val="20"/>
                <w:szCs w:val="20"/>
                <w:color w:val="auto"/>
              </w:rPr>
              <w:t>2018</w:t>
            </w:r>
          </w:p>
        </w:tc>
        <w:tc>
          <w:tcPr>
            <w:tcW w:w="6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2017</w:t>
            </w:r>
          </w:p>
        </w:tc>
        <w:tc>
          <w:tcPr>
            <w:tcW w:w="120" w:type="dxa"/>
            <w:vAlign w:val="bottom"/>
          </w:tcPr>
          <w:p>
            <w:pPr>
              <w:spacing w:after="0"/>
              <w:rPr>
                <w:sz w:val="20"/>
                <w:szCs w:val="20"/>
                <w:color w:val="auto"/>
              </w:rPr>
            </w:pPr>
          </w:p>
        </w:tc>
      </w:tr>
      <w:tr>
        <w:trPr>
          <w:trHeight w:val="237"/>
        </w:trPr>
        <w:tc>
          <w:tcPr>
            <w:tcW w:w="67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20" w:type="dxa"/>
            <w:vAlign w:val="bottom"/>
            <w:gridSpan w:val="3"/>
          </w:tcPr>
          <w:p>
            <w:pPr>
              <w:jc w:val="center"/>
              <w:ind w:right="261"/>
              <w:spacing w:after="0"/>
              <w:rPr>
                <w:sz w:val="20"/>
                <w:szCs w:val="20"/>
                <w:color w:val="auto"/>
              </w:rPr>
            </w:pPr>
            <w:r>
              <w:rPr>
                <w:rFonts w:ascii="Arial" w:cs="Arial" w:eastAsia="Arial" w:hAnsi="Arial"/>
                <w:sz w:val="20"/>
                <w:szCs w:val="20"/>
                <w:i w:val="1"/>
                <w:iCs w:val="1"/>
                <w:color w:val="auto"/>
                <w:w w:val="91"/>
              </w:rPr>
              <w:t>(Dollars in Thousands)</w:t>
            </w:r>
          </w:p>
        </w:tc>
        <w:tc>
          <w:tcPr>
            <w:tcW w:w="120" w:type="dxa"/>
            <w:vAlign w:val="bottom"/>
          </w:tcPr>
          <w:p>
            <w:pPr>
              <w:spacing w:after="0"/>
              <w:rPr>
                <w:sz w:val="20"/>
                <w:szCs w:val="20"/>
                <w:color w:val="auto"/>
              </w:rPr>
            </w:pPr>
          </w:p>
        </w:tc>
      </w:tr>
      <w:tr>
        <w:trPr>
          <w:trHeight w:val="243"/>
        </w:trPr>
        <w:tc>
          <w:tcPr>
            <w:tcW w:w="6740" w:type="dxa"/>
            <w:vAlign w:val="bottom"/>
            <w:shd w:val="clear" w:color="auto" w:fill="CFF0FC"/>
          </w:tcPr>
          <w:p>
            <w:pPr>
              <w:spacing w:after="0"/>
              <w:rPr>
                <w:sz w:val="20"/>
                <w:szCs w:val="20"/>
                <w:color w:val="auto"/>
              </w:rPr>
            </w:pPr>
            <w:r>
              <w:rPr>
                <w:rFonts w:ascii="Arial" w:cs="Arial" w:eastAsia="Arial" w:hAnsi="Arial"/>
                <w:sz w:val="20"/>
                <w:szCs w:val="20"/>
                <w:color w:val="auto"/>
              </w:rPr>
              <w:t>Cash paid for interest</w:t>
            </w: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138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84,522</w:t>
            </w:r>
          </w:p>
        </w:tc>
        <w:tc>
          <w:tcPr>
            <w:tcW w:w="660" w:type="dxa"/>
            <w:vAlign w:val="bottom"/>
            <w:shd w:val="clear" w:color="auto" w:fill="CFF0FC"/>
          </w:tcPr>
          <w:p>
            <w:pPr>
              <w:jc w:val="right"/>
              <w:ind w:right="321"/>
              <w:spacing w:after="0"/>
              <w:rPr>
                <w:sz w:val="20"/>
                <w:szCs w:val="20"/>
                <w:color w:val="auto"/>
              </w:rPr>
            </w:pPr>
            <w:r>
              <w:rPr>
                <w:rFonts w:ascii="Arial" w:cs="Arial" w:eastAsia="Arial" w:hAnsi="Arial"/>
                <w:sz w:val="20"/>
                <w:szCs w:val="20"/>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49,564</w:t>
            </w:r>
          </w:p>
        </w:tc>
        <w:tc>
          <w:tcPr>
            <w:tcW w:w="120" w:type="dxa"/>
            <w:vAlign w:val="bottom"/>
            <w:shd w:val="clear" w:color="auto" w:fill="CFF0FC"/>
          </w:tcPr>
          <w:p>
            <w:pPr>
              <w:spacing w:after="0"/>
              <w:rPr>
                <w:sz w:val="21"/>
                <w:szCs w:val="21"/>
                <w:color w:val="auto"/>
              </w:rPr>
            </w:pPr>
          </w:p>
        </w:tc>
      </w:tr>
      <w:tr>
        <w:trPr>
          <w:trHeight w:val="250"/>
        </w:trPr>
        <w:tc>
          <w:tcPr>
            <w:tcW w:w="6740" w:type="dxa"/>
            <w:vAlign w:val="bottom"/>
          </w:tcPr>
          <w:p>
            <w:pPr>
              <w:spacing w:after="0"/>
              <w:rPr>
                <w:sz w:val="20"/>
                <w:szCs w:val="20"/>
                <w:color w:val="auto"/>
              </w:rPr>
            </w:pPr>
            <w:r>
              <w:rPr>
                <w:rFonts w:ascii="Arial" w:cs="Arial" w:eastAsia="Arial" w:hAnsi="Arial"/>
                <w:sz w:val="20"/>
                <w:szCs w:val="20"/>
                <w:color w:val="auto"/>
              </w:rPr>
              <w:t>Cash paid for income taxes</w:t>
            </w:r>
          </w:p>
        </w:tc>
        <w:tc>
          <w:tcPr>
            <w:tcW w:w="1440" w:type="dxa"/>
            <w:vAlign w:val="bottom"/>
            <w:gridSpan w:val="2"/>
          </w:tcPr>
          <w:p>
            <w:pPr>
              <w:jc w:val="right"/>
              <w:ind w:right="240"/>
              <w:spacing w:after="0"/>
              <w:rPr>
                <w:sz w:val="20"/>
                <w:szCs w:val="20"/>
                <w:color w:val="auto"/>
              </w:rPr>
            </w:pPr>
            <w:r>
              <w:rPr>
                <w:rFonts w:ascii="Arial" w:cs="Arial" w:eastAsia="Arial" w:hAnsi="Arial"/>
                <w:sz w:val="20"/>
                <w:szCs w:val="20"/>
                <w:color w:val="auto"/>
              </w:rPr>
              <w:t>$</w:t>
            </w:r>
          </w:p>
        </w:tc>
        <w:tc>
          <w:tcPr>
            <w:tcW w:w="1380" w:type="dxa"/>
            <w:vAlign w:val="bottom"/>
          </w:tcPr>
          <w:p>
            <w:pPr>
              <w:jc w:val="right"/>
              <w:ind w:right="61"/>
              <w:spacing w:after="0"/>
              <w:rPr>
                <w:sz w:val="20"/>
                <w:szCs w:val="20"/>
                <w:color w:val="auto"/>
              </w:rPr>
            </w:pPr>
            <w:r>
              <w:rPr>
                <w:rFonts w:ascii="Arial" w:cs="Arial" w:eastAsia="Arial" w:hAnsi="Arial"/>
                <w:sz w:val="20"/>
                <w:szCs w:val="20"/>
                <w:color w:val="auto"/>
              </w:rPr>
              <w:t>7,253</w:t>
            </w:r>
          </w:p>
        </w:tc>
        <w:tc>
          <w:tcPr>
            <w:tcW w:w="660" w:type="dxa"/>
            <w:vAlign w:val="bottom"/>
          </w:tcPr>
          <w:p>
            <w:pPr>
              <w:jc w:val="right"/>
              <w:ind w:right="321"/>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96,643</w:t>
            </w:r>
          </w:p>
        </w:tc>
        <w:tc>
          <w:tcPr>
            <w:tcW w:w="120" w:type="dxa"/>
            <w:vAlign w:val="bottom"/>
          </w:tcPr>
          <w:p>
            <w:pPr>
              <w:spacing w:after="0"/>
              <w:rPr>
                <w:sz w:val="21"/>
                <w:szCs w:val="21"/>
                <w:color w:val="auto"/>
              </w:rPr>
            </w:pPr>
          </w:p>
        </w:tc>
      </w:tr>
    </w:tbl>
    <w:p>
      <w:pPr>
        <w:spacing w:after="0" w:line="267" w:lineRule="exact"/>
        <w:rPr>
          <w:sz w:val="20"/>
          <w:szCs w:val="20"/>
          <w:color w:val="auto"/>
        </w:rPr>
      </w:pPr>
    </w:p>
    <w:p>
      <w:pPr>
        <w:ind w:left="380" w:hanging="372"/>
        <w:spacing w:after="0"/>
        <w:tabs>
          <w:tab w:leader="none" w:pos="38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Other operating expenses and income, net</w:t>
      </w:r>
    </w:p>
    <w:p>
      <w:pPr>
        <w:spacing w:after="0" w:line="113" w:lineRule="exact"/>
        <w:rPr>
          <w:rFonts w:ascii="Arial" w:cs="Arial" w:eastAsia="Arial" w:hAnsi="Arial"/>
          <w:sz w:val="20"/>
          <w:szCs w:val="20"/>
          <w:b w:val="1"/>
          <w:bCs w:val="1"/>
          <w:color w:val="auto"/>
        </w:rPr>
      </w:pPr>
    </w:p>
    <w:p>
      <w:pPr>
        <w:jc w:val="both"/>
        <w:ind w:left="380"/>
        <w:spacing w:after="0" w:line="243" w:lineRule="auto"/>
        <w:rPr>
          <w:rFonts w:ascii="Arial" w:cs="Arial" w:eastAsia="Arial" w:hAnsi="Arial"/>
          <w:sz w:val="20"/>
          <w:szCs w:val="20"/>
          <w:b w:val="1"/>
          <w:bCs w:val="1"/>
          <w:color w:val="auto"/>
        </w:rPr>
      </w:pPr>
      <w:r>
        <w:rPr>
          <w:rFonts w:ascii="Arial" w:cs="Arial" w:eastAsia="Arial" w:hAnsi="Arial"/>
          <w:sz w:val="20"/>
          <w:szCs w:val="20"/>
          <w:color w:val="auto"/>
        </w:rPr>
        <w:t>Other operating expenses and income, net, for the quarter ended September 30, 2018, include a $7,113,000 restructuring charge, which primarily consists of asset impairment charges and severance costs in the Company’s Southwest ready mixed concrete operations. These operations are reported in the West Group reportable segment. For the nine-months ended September 30, 2018, in addition to the restructuring charge, other operating expenses and income, net, includes a net gain on legal settlements of $7,677,000 and a gain on the sale of surplus land of $16,938,000. Other operating expenses, net, for the quarter ended September 30, 2017 include $12,425,000 of repair costs related to leased railcars.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30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2018</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Item 2. Management’s Discussion and Analysis of Financial Condition and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OVERVIEW</w:t>
      </w:r>
    </w:p>
    <w:p>
      <w:pPr>
        <w:spacing w:after="0" w:line="10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Martin Marietta Materials, Inc. (the Company or Martin Marietta) is a natural resource-based building materials company. The Company supplies aggregates (crushed stone, sand and gravel) through its network of more than 300 quarries, mines and distribution yards to its customers in 30 states, Canada, the Bahamas and the Caribbean Islands. In the western United States, Martin Marietta also provides cement and downstream products, namely, ready mixed concrete, asphalt and paving services, in vertically-integrated structured markets where the Company has a leading aggregates position. The Company’s heavy-side building materials are used in infrastructure, nonresidential and residential construction projects. Aggregates are also used in agricultural, utility and environmental applications and as railroad ballast. The aggregates, cement, ready mixed concrete and asphalt and paving product lines are reported collectively as the “Building Materials” business.</w:t>
      </w:r>
    </w:p>
    <w:p>
      <w:pPr>
        <w:spacing w:after="0" w:line="6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conducts its Building Materials business through three reportable business segments: Mid-America Group, Southeast Group and West Group.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BUILDING MATERIALS BUSINESS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12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20"/>
                <w:szCs w:val="20"/>
                <w:color w:val="auto"/>
                <w:w w:val="87"/>
              </w:rPr>
              <w:t>Reportable Segments</w:t>
            </w:r>
          </w:p>
        </w:tc>
        <w:tc>
          <w:tcPr>
            <w:tcW w:w="306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20"/>
                <w:szCs w:val="20"/>
                <w:color w:val="auto"/>
                <w:w w:val="94"/>
              </w:rPr>
              <w:t>Mid-America Group</w:t>
            </w:r>
          </w:p>
        </w:tc>
        <w:tc>
          <w:tcPr>
            <w:tcW w:w="276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20"/>
                <w:szCs w:val="20"/>
                <w:color w:val="auto"/>
                <w:w w:val="88"/>
              </w:rPr>
              <w:t>Southeast Group</w:t>
            </w:r>
          </w:p>
        </w:tc>
        <w:tc>
          <w:tcPr>
            <w:tcW w:w="348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8"/>
              </w:rPr>
              <w:t>West Group</w:t>
            </w:r>
          </w:p>
        </w:tc>
      </w:tr>
      <w:tr>
        <w:trPr>
          <w:trHeight w:val="206"/>
        </w:trPr>
        <w:tc>
          <w:tcPr>
            <w:tcW w:w="200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0"/>
              </w:rPr>
              <w:t>Operating Locations</w:t>
            </w:r>
          </w:p>
        </w:tc>
        <w:tc>
          <w:tcPr>
            <w:tcW w:w="120" w:type="dxa"/>
            <w:vAlign w:val="bottom"/>
          </w:tcPr>
          <w:p>
            <w:pPr>
              <w:spacing w:after="0"/>
              <w:rPr>
                <w:sz w:val="17"/>
                <w:szCs w:val="17"/>
                <w:color w:val="auto"/>
              </w:rPr>
            </w:pPr>
          </w:p>
        </w:tc>
        <w:tc>
          <w:tcPr>
            <w:tcW w:w="296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9"/>
              </w:rPr>
              <w:t>Indiana, Iowa, northern Kansas,</w:t>
            </w:r>
          </w:p>
        </w:tc>
        <w:tc>
          <w:tcPr>
            <w:tcW w:w="100" w:type="dxa"/>
            <w:vAlign w:val="bottom"/>
          </w:tcPr>
          <w:p>
            <w:pPr>
              <w:spacing w:after="0"/>
              <w:rPr>
                <w:sz w:val="17"/>
                <w:szCs w:val="17"/>
                <w:color w:val="auto"/>
              </w:rPr>
            </w:pPr>
          </w:p>
        </w:tc>
        <w:tc>
          <w:tcPr>
            <w:tcW w:w="266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91"/>
              </w:rPr>
              <w:t>Alabama, Florida, Georgia,</w:t>
            </w:r>
          </w:p>
        </w:tc>
        <w:tc>
          <w:tcPr>
            <w:tcW w:w="100" w:type="dxa"/>
            <w:vAlign w:val="bottom"/>
          </w:tcPr>
          <w:p>
            <w:pPr>
              <w:spacing w:after="0"/>
              <w:rPr>
                <w:sz w:val="17"/>
                <w:szCs w:val="17"/>
                <w:color w:val="auto"/>
              </w:rPr>
            </w:pPr>
          </w:p>
        </w:tc>
        <w:tc>
          <w:tcPr>
            <w:tcW w:w="3480" w:type="dxa"/>
            <w:vAlign w:val="bottom"/>
            <w:tcBorders>
              <w:top w:val="single" w:sz="8" w:color="auto"/>
            </w:tcBorders>
          </w:tcPr>
          <w:p>
            <w:pPr>
              <w:jc w:val="center"/>
              <w:spacing w:after="0" w:line="207" w:lineRule="exact"/>
              <w:rPr>
                <w:sz w:val="20"/>
                <w:szCs w:val="20"/>
                <w:color w:val="auto"/>
              </w:rPr>
            </w:pPr>
            <w:r>
              <w:rPr>
                <w:rFonts w:ascii="Arial" w:cs="Arial" w:eastAsia="Arial" w:hAnsi="Arial"/>
                <w:sz w:val="20"/>
                <w:szCs w:val="20"/>
                <w:color w:val="auto"/>
                <w:w w:val="88"/>
              </w:rPr>
              <w:t>Arkansas, Colorado, southern Kansas,</w:t>
            </w:r>
          </w:p>
        </w:tc>
      </w:tr>
      <w:tr>
        <w:trPr>
          <w:trHeight w:val="230"/>
        </w:trPr>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gridSpan w:val="2"/>
          </w:tcPr>
          <w:p>
            <w:pPr>
              <w:jc w:val="center"/>
              <w:ind w:right="100"/>
              <w:spacing w:after="0"/>
              <w:rPr>
                <w:sz w:val="20"/>
                <w:szCs w:val="20"/>
                <w:color w:val="auto"/>
              </w:rPr>
            </w:pPr>
            <w:r>
              <w:rPr>
                <w:rFonts w:ascii="Arial" w:cs="Arial" w:eastAsia="Arial" w:hAnsi="Arial"/>
                <w:sz w:val="20"/>
                <w:szCs w:val="20"/>
                <w:color w:val="auto"/>
                <w:w w:val="91"/>
              </w:rPr>
              <w:t>Kentucky, Maryland, Minnesota,</w:t>
            </w:r>
          </w:p>
        </w:tc>
        <w:tc>
          <w:tcPr>
            <w:tcW w:w="2760" w:type="dxa"/>
            <w:vAlign w:val="bottom"/>
            <w:gridSpan w:val="2"/>
          </w:tcPr>
          <w:p>
            <w:pPr>
              <w:jc w:val="center"/>
              <w:ind w:right="100"/>
              <w:spacing w:after="0"/>
              <w:rPr>
                <w:sz w:val="20"/>
                <w:szCs w:val="20"/>
                <w:color w:val="auto"/>
              </w:rPr>
            </w:pPr>
            <w:r>
              <w:rPr>
                <w:rFonts w:ascii="Arial" w:cs="Arial" w:eastAsia="Arial" w:hAnsi="Arial"/>
                <w:sz w:val="20"/>
                <w:szCs w:val="20"/>
                <w:color w:val="auto"/>
                <w:w w:val="86"/>
              </w:rPr>
              <w:t>Tennessee, Nova Scotia and the</w:t>
            </w:r>
          </w:p>
        </w:tc>
        <w:tc>
          <w:tcPr>
            <w:tcW w:w="3480" w:type="dxa"/>
            <w:vAlign w:val="bottom"/>
          </w:tcPr>
          <w:p>
            <w:pPr>
              <w:jc w:val="center"/>
              <w:spacing w:after="0"/>
              <w:rPr>
                <w:sz w:val="20"/>
                <w:szCs w:val="20"/>
                <w:color w:val="auto"/>
              </w:rPr>
            </w:pPr>
            <w:r>
              <w:rPr>
                <w:rFonts w:ascii="Arial" w:cs="Arial" w:eastAsia="Arial" w:hAnsi="Arial"/>
                <w:sz w:val="20"/>
                <w:szCs w:val="20"/>
                <w:color w:val="auto"/>
                <w:w w:val="88"/>
              </w:rPr>
              <w:t>Louisiana, western Nebraska, Nevada,</w:t>
            </w:r>
          </w:p>
        </w:tc>
      </w:tr>
      <w:tr>
        <w:trPr>
          <w:trHeight w:val="230"/>
        </w:trPr>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gridSpan w:val="2"/>
          </w:tcPr>
          <w:p>
            <w:pPr>
              <w:jc w:val="center"/>
              <w:ind w:right="100"/>
              <w:spacing w:after="0"/>
              <w:rPr>
                <w:sz w:val="20"/>
                <w:szCs w:val="20"/>
                <w:color w:val="auto"/>
              </w:rPr>
            </w:pPr>
            <w:r>
              <w:rPr>
                <w:rFonts w:ascii="Arial" w:cs="Arial" w:eastAsia="Arial" w:hAnsi="Arial"/>
                <w:sz w:val="20"/>
                <w:szCs w:val="20"/>
                <w:color w:val="auto"/>
                <w:w w:val="89"/>
              </w:rPr>
              <w:t>Missouri, eastern Nebraska, North</w:t>
            </w:r>
          </w:p>
        </w:tc>
        <w:tc>
          <w:tcPr>
            <w:tcW w:w="2760" w:type="dxa"/>
            <w:vAlign w:val="bottom"/>
            <w:gridSpan w:val="2"/>
          </w:tcPr>
          <w:p>
            <w:pPr>
              <w:jc w:val="center"/>
              <w:ind w:right="100"/>
              <w:spacing w:after="0"/>
              <w:rPr>
                <w:sz w:val="20"/>
                <w:szCs w:val="20"/>
                <w:color w:val="auto"/>
              </w:rPr>
            </w:pPr>
            <w:r>
              <w:rPr>
                <w:rFonts w:ascii="Arial" w:cs="Arial" w:eastAsia="Arial" w:hAnsi="Arial"/>
                <w:sz w:val="20"/>
                <w:szCs w:val="20"/>
                <w:color w:val="auto"/>
                <w:w w:val="87"/>
              </w:rPr>
              <w:t>Bahamas</w:t>
            </w:r>
          </w:p>
        </w:tc>
        <w:tc>
          <w:tcPr>
            <w:tcW w:w="3480" w:type="dxa"/>
            <w:vAlign w:val="bottom"/>
          </w:tcPr>
          <w:p>
            <w:pPr>
              <w:jc w:val="center"/>
              <w:spacing w:after="0"/>
              <w:rPr>
                <w:sz w:val="20"/>
                <w:szCs w:val="20"/>
                <w:color w:val="auto"/>
              </w:rPr>
            </w:pPr>
            <w:r>
              <w:rPr>
                <w:rFonts w:ascii="Arial" w:cs="Arial" w:eastAsia="Arial" w:hAnsi="Arial"/>
                <w:sz w:val="20"/>
                <w:szCs w:val="20"/>
                <w:color w:val="auto"/>
                <w:w w:val="89"/>
              </w:rPr>
              <w:t>Oklahoma, Texas, Utah and Wyoming</w:t>
            </w:r>
          </w:p>
        </w:tc>
      </w:tr>
      <w:tr>
        <w:trPr>
          <w:trHeight w:val="230"/>
        </w:trPr>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gridSpan w:val="2"/>
          </w:tcPr>
          <w:p>
            <w:pPr>
              <w:jc w:val="center"/>
              <w:ind w:right="100"/>
              <w:spacing w:after="0"/>
              <w:rPr>
                <w:sz w:val="20"/>
                <w:szCs w:val="20"/>
                <w:color w:val="auto"/>
              </w:rPr>
            </w:pPr>
            <w:r>
              <w:rPr>
                <w:rFonts w:ascii="Arial" w:cs="Arial" w:eastAsia="Arial" w:hAnsi="Arial"/>
                <w:sz w:val="20"/>
                <w:szCs w:val="20"/>
                <w:color w:val="auto"/>
                <w:w w:val="89"/>
              </w:rPr>
              <w:t>Carolina, Ohio, Pennsylvania, South</w:t>
            </w:r>
          </w:p>
        </w:tc>
        <w:tc>
          <w:tcPr>
            <w:tcW w:w="2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230"/>
        </w:trPr>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gridSpan w:val="2"/>
          </w:tcPr>
          <w:p>
            <w:pPr>
              <w:jc w:val="center"/>
              <w:ind w:right="100"/>
              <w:spacing w:after="0"/>
              <w:rPr>
                <w:sz w:val="20"/>
                <w:szCs w:val="20"/>
                <w:color w:val="auto"/>
              </w:rPr>
            </w:pPr>
            <w:r>
              <w:rPr>
                <w:rFonts w:ascii="Arial" w:cs="Arial" w:eastAsia="Arial" w:hAnsi="Arial"/>
                <w:sz w:val="20"/>
                <w:szCs w:val="20"/>
                <w:color w:val="auto"/>
                <w:w w:val="90"/>
              </w:rPr>
              <w:t>Carolina, Virginia, Washington and</w:t>
            </w:r>
          </w:p>
        </w:tc>
        <w:tc>
          <w:tcPr>
            <w:tcW w:w="2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250"/>
        </w:trPr>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60" w:type="dxa"/>
            <w:vAlign w:val="bottom"/>
            <w:gridSpan w:val="2"/>
          </w:tcPr>
          <w:p>
            <w:pPr>
              <w:jc w:val="center"/>
              <w:ind w:right="100"/>
              <w:spacing w:after="0"/>
              <w:rPr>
                <w:sz w:val="20"/>
                <w:szCs w:val="20"/>
                <w:color w:val="auto"/>
              </w:rPr>
            </w:pPr>
            <w:r>
              <w:rPr>
                <w:rFonts w:ascii="Arial" w:cs="Arial" w:eastAsia="Arial" w:hAnsi="Arial"/>
                <w:sz w:val="20"/>
                <w:szCs w:val="20"/>
                <w:color w:val="auto"/>
                <w:w w:val="91"/>
              </w:rPr>
              <w:t>West Virginia</w:t>
            </w:r>
          </w:p>
        </w:tc>
        <w:tc>
          <w:tcPr>
            <w:tcW w:w="2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80" w:type="dxa"/>
            <w:vAlign w:val="bottom"/>
          </w:tcPr>
          <w:p>
            <w:pPr>
              <w:spacing w:after="0"/>
              <w:rPr>
                <w:sz w:val="21"/>
                <w:szCs w:val="21"/>
                <w:color w:val="auto"/>
              </w:rPr>
            </w:pPr>
          </w:p>
        </w:tc>
      </w:tr>
      <w:tr>
        <w:trPr>
          <w:trHeight w:val="438"/>
        </w:trPr>
        <w:tc>
          <w:tcPr>
            <w:tcW w:w="2120" w:type="dxa"/>
            <w:vAlign w:val="bottom"/>
            <w:gridSpan w:val="2"/>
          </w:tcPr>
          <w:p>
            <w:pPr>
              <w:jc w:val="center"/>
              <w:ind w:right="100"/>
              <w:spacing w:after="0"/>
              <w:rPr>
                <w:sz w:val="20"/>
                <w:szCs w:val="20"/>
                <w:color w:val="auto"/>
              </w:rPr>
            </w:pPr>
            <w:r>
              <w:rPr>
                <w:rFonts w:ascii="Arial" w:cs="Arial" w:eastAsia="Arial" w:hAnsi="Arial"/>
                <w:sz w:val="20"/>
                <w:szCs w:val="20"/>
                <w:color w:val="auto"/>
                <w:w w:val="89"/>
              </w:rPr>
              <w:t>Product Lines</w:t>
            </w:r>
          </w:p>
        </w:tc>
        <w:tc>
          <w:tcPr>
            <w:tcW w:w="3060" w:type="dxa"/>
            <w:vAlign w:val="bottom"/>
            <w:gridSpan w:val="2"/>
          </w:tcPr>
          <w:p>
            <w:pPr>
              <w:jc w:val="center"/>
              <w:ind w:right="100"/>
              <w:spacing w:after="0"/>
              <w:rPr>
                <w:sz w:val="20"/>
                <w:szCs w:val="20"/>
                <w:color w:val="auto"/>
              </w:rPr>
            </w:pPr>
            <w:r>
              <w:rPr>
                <w:rFonts w:ascii="Arial" w:cs="Arial" w:eastAsia="Arial" w:hAnsi="Arial"/>
                <w:sz w:val="20"/>
                <w:szCs w:val="20"/>
                <w:color w:val="auto"/>
                <w:w w:val="89"/>
              </w:rPr>
              <w:t>Aggregates</w:t>
            </w:r>
          </w:p>
        </w:tc>
        <w:tc>
          <w:tcPr>
            <w:tcW w:w="2760" w:type="dxa"/>
            <w:vAlign w:val="bottom"/>
            <w:gridSpan w:val="2"/>
          </w:tcPr>
          <w:p>
            <w:pPr>
              <w:jc w:val="center"/>
              <w:ind w:right="100"/>
              <w:spacing w:after="0"/>
              <w:rPr>
                <w:sz w:val="20"/>
                <w:szCs w:val="20"/>
                <w:color w:val="auto"/>
              </w:rPr>
            </w:pPr>
            <w:r>
              <w:rPr>
                <w:rFonts w:ascii="Arial" w:cs="Arial" w:eastAsia="Arial" w:hAnsi="Arial"/>
                <w:sz w:val="20"/>
                <w:szCs w:val="20"/>
                <w:color w:val="auto"/>
                <w:w w:val="87"/>
              </w:rPr>
              <w:t>Aggregates</w:t>
            </w:r>
          </w:p>
        </w:tc>
        <w:tc>
          <w:tcPr>
            <w:tcW w:w="3480" w:type="dxa"/>
            <w:vAlign w:val="bottom"/>
          </w:tcPr>
          <w:p>
            <w:pPr>
              <w:jc w:val="center"/>
              <w:spacing w:after="0"/>
              <w:rPr>
                <w:sz w:val="20"/>
                <w:szCs w:val="20"/>
                <w:color w:val="auto"/>
              </w:rPr>
            </w:pPr>
            <w:r>
              <w:rPr>
                <w:rFonts w:ascii="Arial" w:cs="Arial" w:eastAsia="Arial" w:hAnsi="Arial"/>
                <w:sz w:val="20"/>
                <w:szCs w:val="20"/>
                <w:color w:val="auto"/>
                <w:w w:val="89"/>
              </w:rPr>
              <w:t>Aggregates, Cement, Ready Mixed</w:t>
            </w:r>
          </w:p>
        </w:tc>
      </w:tr>
      <w:tr>
        <w:trPr>
          <w:trHeight w:val="250"/>
        </w:trPr>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80" w:type="dxa"/>
            <w:vAlign w:val="bottom"/>
          </w:tcPr>
          <w:p>
            <w:pPr>
              <w:jc w:val="center"/>
              <w:spacing w:after="0"/>
              <w:rPr>
                <w:sz w:val="20"/>
                <w:szCs w:val="20"/>
                <w:color w:val="auto"/>
              </w:rPr>
            </w:pPr>
            <w:r>
              <w:rPr>
                <w:rFonts w:ascii="Arial" w:cs="Arial" w:eastAsia="Arial" w:hAnsi="Arial"/>
                <w:sz w:val="20"/>
                <w:szCs w:val="20"/>
                <w:color w:val="auto"/>
                <w:w w:val="89"/>
              </w:rPr>
              <w:t>Concrete, Asphalt and Paving</w:t>
            </w:r>
          </w:p>
        </w:tc>
      </w:tr>
      <w:tr>
        <w:trPr>
          <w:trHeight w:val="438"/>
        </w:trPr>
        <w:tc>
          <w:tcPr>
            <w:tcW w:w="2120" w:type="dxa"/>
            <w:vAlign w:val="bottom"/>
            <w:gridSpan w:val="2"/>
          </w:tcPr>
          <w:p>
            <w:pPr>
              <w:jc w:val="center"/>
              <w:ind w:right="100"/>
              <w:spacing w:after="0"/>
              <w:rPr>
                <w:sz w:val="20"/>
                <w:szCs w:val="20"/>
                <w:color w:val="auto"/>
              </w:rPr>
            </w:pPr>
            <w:r>
              <w:rPr>
                <w:rFonts w:ascii="Arial" w:cs="Arial" w:eastAsia="Arial" w:hAnsi="Arial"/>
                <w:sz w:val="20"/>
                <w:szCs w:val="20"/>
                <w:color w:val="auto"/>
                <w:w w:val="88"/>
              </w:rPr>
              <w:t>Plant Types</w:t>
            </w:r>
          </w:p>
        </w:tc>
        <w:tc>
          <w:tcPr>
            <w:tcW w:w="3060" w:type="dxa"/>
            <w:vAlign w:val="bottom"/>
            <w:gridSpan w:val="2"/>
          </w:tcPr>
          <w:p>
            <w:pPr>
              <w:jc w:val="center"/>
              <w:ind w:right="100"/>
              <w:spacing w:after="0"/>
              <w:rPr>
                <w:sz w:val="20"/>
                <w:szCs w:val="20"/>
                <w:color w:val="auto"/>
              </w:rPr>
            </w:pPr>
            <w:r>
              <w:rPr>
                <w:rFonts w:ascii="Arial" w:cs="Arial" w:eastAsia="Arial" w:hAnsi="Arial"/>
                <w:sz w:val="20"/>
                <w:szCs w:val="20"/>
                <w:color w:val="auto"/>
                <w:w w:val="91"/>
              </w:rPr>
              <w:t>Quarries, Mines and Distribution</w:t>
            </w:r>
          </w:p>
        </w:tc>
        <w:tc>
          <w:tcPr>
            <w:tcW w:w="2760" w:type="dxa"/>
            <w:vAlign w:val="bottom"/>
            <w:gridSpan w:val="2"/>
          </w:tcPr>
          <w:p>
            <w:pPr>
              <w:jc w:val="center"/>
              <w:ind w:right="100"/>
              <w:spacing w:after="0"/>
              <w:rPr>
                <w:sz w:val="20"/>
                <w:szCs w:val="20"/>
                <w:color w:val="auto"/>
              </w:rPr>
            </w:pPr>
            <w:r>
              <w:rPr>
                <w:rFonts w:ascii="Arial" w:cs="Arial" w:eastAsia="Arial" w:hAnsi="Arial"/>
                <w:sz w:val="20"/>
                <w:szCs w:val="20"/>
                <w:color w:val="auto"/>
                <w:w w:val="91"/>
              </w:rPr>
              <w:t>Quarries, Mines and Distribution</w:t>
            </w:r>
          </w:p>
        </w:tc>
        <w:tc>
          <w:tcPr>
            <w:tcW w:w="3480" w:type="dxa"/>
            <w:vAlign w:val="bottom"/>
          </w:tcPr>
          <w:p>
            <w:pPr>
              <w:jc w:val="center"/>
              <w:spacing w:after="0"/>
              <w:rPr>
                <w:sz w:val="20"/>
                <w:szCs w:val="20"/>
                <w:color w:val="auto"/>
              </w:rPr>
            </w:pPr>
            <w:r>
              <w:rPr>
                <w:rFonts w:ascii="Arial" w:cs="Arial" w:eastAsia="Arial" w:hAnsi="Arial"/>
                <w:sz w:val="20"/>
                <w:szCs w:val="20"/>
                <w:color w:val="auto"/>
                <w:w w:val="89"/>
              </w:rPr>
              <w:t>Quarries, Mines, Plants and</w:t>
            </w:r>
          </w:p>
        </w:tc>
      </w:tr>
      <w:tr>
        <w:trPr>
          <w:trHeight w:val="250"/>
        </w:trPr>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60" w:type="dxa"/>
            <w:vAlign w:val="bottom"/>
            <w:gridSpan w:val="2"/>
          </w:tcPr>
          <w:p>
            <w:pPr>
              <w:jc w:val="center"/>
              <w:ind w:right="100"/>
              <w:spacing w:after="0"/>
              <w:rPr>
                <w:sz w:val="20"/>
                <w:szCs w:val="20"/>
                <w:color w:val="auto"/>
              </w:rPr>
            </w:pPr>
            <w:r>
              <w:rPr>
                <w:rFonts w:ascii="Arial" w:cs="Arial" w:eastAsia="Arial" w:hAnsi="Arial"/>
                <w:sz w:val="20"/>
                <w:szCs w:val="20"/>
                <w:color w:val="auto"/>
                <w:w w:val="92"/>
              </w:rPr>
              <w:t>Facilities</w:t>
            </w:r>
          </w:p>
        </w:tc>
        <w:tc>
          <w:tcPr>
            <w:tcW w:w="2760" w:type="dxa"/>
            <w:vAlign w:val="bottom"/>
            <w:gridSpan w:val="2"/>
          </w:tcPr>
          <w:p>
            <w:pPr>
              <w:jc w:val="center"/>
              <w:ind w:right="100"/>
              <w:spacing w:after="0"/>
              <w:rPr>
                <w:sz w:val="20"/>
                <w:szCs w:val="20"/>
                <w:color w:val="auto"/>
              </w:rPr>
            </w:pPr>
            <w:r>
              <w:rPr>
                <w:rFonts w:ascii="Arial" w:cs="Arial" w:eastAsia="Arial" w:hAnsi="Arial"/>
                <w:sz w:val="20"/>
                <w:szCs w:val="20"/>
                <w:color w:val="auto"/>
                <w:w w:val="95"/>
              </w:rPr>
              <w:t>Facilities</w:t>
            </w:r>
          </w:p>
        </w:tc>
        <w:tc>
          <w:tcPr>
            <w:tcW w:w="3480" w:type="dxa"/>
            <w:vAlign w:val="bottom"/>
          </w:tcPr>
          <w:p>
            <w:pPr>
              <w:jc w:val="center"/>
              <w:spacing w:after="0"/>
              <w:rPr>
                <w:sz w:val="20"/>
                <w:szCs w:val="20"/>
                <w:color w:val="auto"/>
              </w:rPr>
            </w:pPr>
            <w:r>
              <w:rPr>
                <w:rFonts w:ascii="Arial" w:cs="Arial" w:eastAsia="Arial" w:hAnsi="Arial"/>
                <w:sz w:val="20"/>
                <w:szCs w:val="20"/>
                <w:color w:val="auto"/>
                <w:w w:val="94"/>
              </w:rPr>
              <w:t>Distribution Facilities</w:t>
            </w:r>
          </w:p>
        </w:tc>
      </w:tr>
      <w:tr>
        <w:trPr>
          <w:trHeight w:val="452"/>
        </w:trPr>
        <w:tc>
          <w:tcPr>
            <w:tcW w:w="2120" w:type="dxa"/>
            <w:vAlign w:val="bottom"/>
            <w:gridSpan w:val="2"/>
          </w:tcPr>
          <w:p>
            <w:pPr>
              <w:jc w:val="center"/>
              <w:ind w:right="20"/>
              <w:spacing w:after="0"/>
              <w:rPr>
                <w:sz w:val="20"/>
                <w:szCs w:val="20"/>
                <w:color w:val="auto"/>
              </w:rPr>
            </w:pPr>
            <w:r>
              <w:rPr>
                <w:rFonts w:ascii="Arial" w:cs="Arial" w:eastAsia="Arial" w:hAnsi="Arial"/>
                <w:sz w:val="20"/>
                <w:szCs w:val="20"/>
                <w:color w:val="auto"/>
                <w:w w:val="89"/>
              </w:rPr>
              <w:t>Modes of</w:t>
            </w:r>
          </w:p>
        </w:tc>
        <w:tc>
          <w:tcPr>
            <w:tcW w:w="3060" w:type="dxa"/>
            <w:vAlign w:val="bottom"/>
            <w:gridSpan w:val="2"/>
          </w:tcPr>
          <w:p>
            <w:pPr>
              <w:jc w:val="center"/>
              <w:ind w:right="80"/>
              <w:spacing w:after="0"/>
              <w:rPr>
                <w:sz w:val="20"/>
                <w:szCs w:val="20"/>
                <w:color w:val="auto"/>
              </w:rPr>
            </w:pPr>
            <w:r>
              <w:rPr>
                <w:rFonts w:ascii="Arial" w:cs="Arial" w:eastAsia="Arial" w:hAnsi="Arial"/>
                <w:sz w:val="20"/>
                <w:szCs w:val="20"/>
                <w:color w:val="auto"/>
                <w:w w:val="91"/>
              </w:rPr>
              <w:t>Truck and Rail</w:t>
            </w:r>
          </w:p>
        </w:tc>
        <w:tc>
          <w:tcPr>
            <w:tcW w:w="2760" w:type="dxa"/>
            <w:vAlign w:val="bottom"/>
            <w:gridSpan w:val="2"/>
          </w:tcPr>
          <w:p>
            <w:pPr>
              <w:jc w:val="center"/>
              <w:ind w:right="100"/>
              <w:spacing w:after="0"/>
              <w:rPr>
                <w:sz w:val="20"/>
                <w:szCs w:val="20"/>
                <w:color w:val="auto"/>
              </w:rPr>
            </w:pPr>
            <w:r>
              <w:rPr>
                <w:rFonts w:ascii="Arial" w:cs="Arial" w:eastAsia="Arial" w:hAnsi="Arial"/>
                <w:sz w:val="20"/>
                <w:szCs w:val="20"/>
                <w:color w:val="auto"/>
                <w:w w:val="89"/>
              </w:rPr>
              <w:t>Truck, Rail and Water</w:t>
            </w:r>
          </w:p>
        </w:tc>
        <w:tc>
          <w:tcPr>
            <w:tcW w:w="3480" w:type="dxa"/>
            <w:vAlign w:val="bottom"/>
          </w:tcPr>
          <w:p>
            <w:pPr>
              <w:jc w:val="center"/>
              <w:spacing w:after="0"/>
              <w:rPr>
                <w:sz w:val="20"/>
                <w:szCs w:val="20"/>
                <w:color w:val="auto"/>
              </w:rPr>
            </w:pPr>
            <w:r>
              <w:rPr>
                <w:rFonts w:ascii="Arial" w:cs="Arial" w:eastAsia="Arial" w:hAnsi="Arial"/>
                <w:sz w:val="20"/>
                <w:szCs w:val="20"/>
                <w:color w:val="auto"/>
                <w:w w:val="91"/>
              </w:rPr>
              <w:t>Truck and Rail</w:t>
            </w:r>
          </w:p>
        </w:tc>
      </w:tr>
      <w:tr>
        <w:trPr>
          <w:trHeight w:val="250"/>
        </w:trPr>
        <w:tc>
          <w:tcPr>
            <w:tcW w:w="2120" w:type="dxa"/>
            <w:vAlign w:val="bottom"/>
            <w:gridSpan w:val="2"/>
          </w:tcPr>
          <w:p>
            <w:pPr>
              <w:jc w:val="center"/>
              <w:spacing w:after="0"/>
              <w:rPr>
                <w:sz w:val="20"/>
                <w:szCs w:val="20"/>
                <w:color w:val="auto"/>
              </w:rPr>
            </w:pPr>
            <w:r>
              <w:rPr>
                <w:rFonts w:ascii="Arial" w:cs="Arial" w:eastAsia="Arial" w:hAnsi="Arial"/>
                <w:sz w:val="20"/>
                <w:szCs w:val="20"/>
                <w:color w:val="auto"/>
                <w:w w:val="89"/>
              </w:rPr>
              <w:t>Transportation</w:t>
            </w:r>
          </w:p>
        </w:tc>
        <w:tc>
          <w:tcPr>
            <w:tcW w:w="2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80" w:type="dxa"/>
            <w:vAlign w:val="bottom"/>
          </w:tcPr>
          <w:p>
            <w:pPr>
              <w:spacing w:after="0"/>
              <w:rPr>
                <w:sz w:val="21"/>
                <w:szCs w:val="21"/>
                <w:color w:val="auto"/>
              </w:rPr>
            </w:pPr>
          </w:p>
        </w:tc>
      </w:tr>
    </w:tbl>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also has a Magnesia Specialties business that produces magnesia-based chemicals products used in industrial, agricultural and environmental applications and dolomitic lime sold primarily to customers in the steel and mining industry.</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CRITICAL ACCOUNTING POLICIES</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Company outlined its critical accounting policies in its Annual Report on Form 10-K for the year ended December 31, 2017. There were no changes to the Company’s critical accounting policies during the nine-months ended September 30, 2018, other than the adoption of new accounting pronouncements as described in Note 1 to the consolidated financial statements included in Part I, Item 1 of this Quarterly Report on Form 10-Q.</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31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2018</w:t>
      </w:r>
    </w:p>
    <w:p>
      <w:pPr>
        <w:jc w:val="center"/>
        <w:spacing w:after="0"/>
        <w:rPr>
          <w:sz w:val="20"/>
          <w:szCs w:val="20"/>
          <w:color w:val="auto"/>
        </w:rPr>
      </w:pPr>
      <w:r>
        <w:rPr>
          <w:rFonts w:ascii="Arial" w:cs="Arial" w:eastAsia="Arial" w:hAnsi="Arial"/>
          <w:sz w:val="20"/>
          <w:szCs w:val="20"/>
          <w:color w:val="auto"/>
        </w:rPr>
        <w:t>(Continued)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RESULTS OF OPERATIONS</w:t>
      </w:r>
    </w:p>
    <w:p>
      <w:pPr>
        <w:spacing w:after="0" w:line="108"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The Building Materials business is significantly affected by weather patterns and seasonal changes. Production and shipment levels for aggregates, cement, ready mixed concrete and asphalt and paving materials correlate with general construction activity levels, most of which occur in the spring, summer and fall. Thus, production and shipment levels vary by quarter. Operations concentrated in the northern and midwestern United States generally experience more severe winter weather conditions than operations in the southeast and southwest. Excessive rainfall, and conversely excessive drought, can also jeopardize production, shipments and profitability in all markets served by the Company. Due to the potentially significant impact of weather on the Company’s operations, current period and year-to-date results are not indicative of expected performance for other interim periods or the full year.</w:t>
      </w:r>
    </w:p>
    <w:p>
      <w:pPr>
        <w:spacing w:after="0" w:line="7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Earnings before interest, income taxes, depreciation and amortization (EBITDA) is a widely accepted financial indicator of a company’s ability to service and/or incur indebtedness. EBITDA is not defined by generally accepted accounting principles and, as such, should not be construed as an alternative to net earnings, operating earnings or operating cash flow. However, the Company’s management believes that EBITDA may provide additional information with respect to the Company’s performance or ability to meet its future debt service, capital expenditures or working capital requirements. Because EBITDA excludes some, but not all, items that affect net earnings and may vary among companies, EBITDA as presented by the Company may not be comparable to similarly titled measures of other companies.</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color w:val="auto"/>
        </w:rPr>
        <w:t>A reconciliation of net earnings attributable to Martin Marietta Materials, Inc. to consolidated EBITDA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60" w:type="dxa"/>
            <w:vAlign w:val="bottom"/>
            <w:gridSpan w:val="5"/>
          </w:tcPr>
          <w:p>
            <w:pPr>
              <w:ind w:left="300"/>
              <w:spacing w:after="0"/>
              <w:rPr>
                <w:sz w:val="20"/>
                <w:szCs w:val="20"/>
                <w:color w:val="auto"/>
              </w:rPr>
            </w:pPr>
            <w:r>
              <w:rPr>
                <w:rFonts w:ascii="Arial" w:cs="Arial" w:eastAsia="Arial" w:hAnsi="Arial"/>
                <w:sz w:val="20"/>
                <w:szCs w:val="20"/>
                <w:color w:val="auto"/>
              </w:rPr>
              <w:t>Three-Months Ended</w:t>
            </w:r>
          </w:p>
        </w:tc>
        <w:tc>
          <w:tcPr>
            <w:tcW w:w="280" w:type="dxa"/>
            <w:vAlign w:val="bottom"/>
          </w:tcPr>
          <w:p>
            <w:pPr>
              <w:spacing w:after="0"/>
              <w:rPr>
                <w:sz w:val="21"/>
                <w:szCs w:val="21"/>
                <w:color w:val="auto"/>
              </w:rPr>
            </w:pPr>
          </w:p>
        </w:tc>
        <w:tc>
          <w:tcPr>
            <w:tcW w:w="2740" w:type="dxa"/>
            <w:vAlign w:val="bottom"/>
            <w:gridSpan w:val="6"/>
          </w:tcPr>
          <w:p>
            <w:pPr>
              <w:ind w:left="360"/>
              <w:spacing w:after="0"/>
              <w:rPr>
                <w:sz w:val="20"/>
                <w:szCs w:val="20"/>
                <w:color w:val="auto"/>
              </w:rPr>
            </w:pPr>
            <w:r>
              <w:rPr>
                <w:rFonts w:ascii="Arial" w:cs="Arial" w:eastAsia="Arial" w:hAnsi="Arial"/>
                <w:sz w:val="20"/>
                <w:szCs w:val="20"/>
                <w:color w:val="auto"/>
              </w:rPr>
              <w:t>Nine-Months Ended</w:t>
            </w:r>
          </w:p>
        </w:tc>
      </w:tr>
      <w:tr>
        <w:trPr>
          <w:trHeight w:val="246"/>
        </w:trPr>
        <w:tc>
          <w:tcPr>
            <w:tcW w:w="5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September 30,</w:t>
            </w:r>
          </w:p>
        </w:tc>
        <w:tc>
          <w:tcPr>
            <w:tcW w:w="8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20"/>
                <w:szCs w:val="20"/>
                <w:color w:val="auto"/>
              </w:rPr>
              <w:t>September 30,</w:t>
            </w:r>
          </w:p>
        </w:tc>
        <w:tc>
          <w:tcPr>
            <w:tcW w:w="8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5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2018</w:t>
            </w:r>
          </w:p>
        </w:tc>
        <w:tc>
          <w:tcPr>
            <w:tcW w:w="2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w w:val="85"/>
              </w:rPr>
              <w:t>2017</w:t>
            </w:r>
          </w:p>
        </w:tc>
        <w:tc>
          <w:tcPr>
            <w:tcW w:w="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rPr>
              <w:t>2018</w:t>
            </w: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auto"/>
                <w:w w:val="85"/>
              </w:rPr>
              <w:t>2017</w:t>
            </w:r>
          </w:p>
        </w:tc>
        <w:tc>
          <w:tcPr>
            <w:tcW w:w="120" w:type="dxa"/>
            <w:vAlign w:val="bottom"/>
          </w:tcPr>
          <w:p>
            <w:pPr>
              <w:spacing w:after="0"/>
              <w:rPr>
                <w:sz w:val="20"/>
                <w:szCs w:val="20"/>
                <w:color w:val="auto"/>
              </w:rPr>
            </w:pPr>
          </w:p>
        </w:tc>
      </w:tr>
      <w:tr>
        <w:trPr>
          <w:trHeight w:val="237"/>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700" w:type="dxa"/>
            <w:vAlign w:val="bottom"/>
            <w:gridSpan w:val="5"/>
          </w:tcPr>
          <w:p>
            <w:pPr>
              <w:ind w:left="100"/>
              <w:spacing w:after="0"/>
              <w:rPr>
                <w:sz w:val="20"/>
                <w:szCs w:val="20"/>
                <w:color w:val="auto"/>
              </w:rPr>
            </w:pPr>
            <w:r>
              <w:rPr>
                <w:rFonts w:ascii="Arial" w:cs="Arial" w:eastAsia="Arial" w:hAnsi="Arial"/>
                <w:sz w:val="20"/>
                <w:szCs w:val="20"/>
                <w:i w:val="1"/>
                <w:iCs w:val="1"/>
                <w:color w:val="auto"/>
              </w:rPr>
              <w:t>(Dollars in thousands)</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5260" w:type="dxa"/>
            <w:vAlign w:val="bottom"/>
            <w:shd w:val="clear" w:color="auto" w:fill="CFF0FC"/>
          </w:tcPr>
          <w:p>
            <w:pPr>
              <w:spacing w:after="0"/>
              <w:rPr>
                <w:sz w:val="20"/>
                <w:szCs w:val="20"/>
                <w:color w:val="auto"/>
              </w:rPr>
            </w:pPr>
            <w:r>
              <w:rPr>
                <w:rFonts w:ascii="Arial" w:cs="Arial" w:eastAsia="Arial" w:hAnsi="Arial"/>
                <w:sz w:val="20"/>
                <w:szCs w:val="20"/>
                <w:color w:val="auto"/>
              </w:rPr>
              <w:t>Net Earnings Attributable to Martin Marietta Materials, Inc.</w:t>
            </w:r>
          </w:p>
        </w:tc>
        <w:tc>
          <w:tcPr>
            <w:tcW w:w="2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180,221</w:t>
            </w: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61"/>
              <w:spacing w:after="0"/>
              <w:rPr>
                <w:sz w:val="20"/>
                <w:szCs w:val="20"/>
                <w:color w:val="auto"/>
              </w:rPr>
            </w:pPr>
            <w:r>
              <w:rPr>
                <w:rFonts w:ascii="Arial" w:cs="Arial" w:eastAsia="Arial" w:hAnsi="Arial"/>
                <w:sz w:val="20"/>
                <w:szCs w:val="2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151,546</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375,621</w:t>
            </w:r>
          </w:p>
        </w:tc>
        <w:tc>
          <w:tcPr>
            <w:tcW w:w="26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263"/>
              <w:spacing w:after="0"/>
              <w:rPr>
                <w:sz w:val="20"/>
                <w:szCs w:val="20"/>
                <w:color w:val="auto"/>
              </w:rPr>
            </w:pPr>
            <w:r>
              <w:rPr>
                <w:rFonts w:ascii="Arial" w:cs="Arial" w:eastAsia="Arial" w:hAnsi="Arial"/>
                <w:sz w:val="20"/>
                <w:szCs w:val="20"/>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336,159</w:t>
            </w:r>
          </w:p>
        </w:tc>
        <w:tc>
          <w:tcPr>
            <w:tcW w:w="120" w:type="dxa"/>
            <w:vAlign w:val="bottom"/>
            <w:shd w:val="clear" w:color="auto" w:fill="CFF0FC"/>
          </w:tcPr>
          <w:p>
            <w:pPr>
              <w:spacing w:after="0"/>
              <w:rPr>
                <w:sz w:val="21"/>
                <w:szCs w:val="21"/>
                <w:color w:val="auto"/>
              </w:rPr>
            </w:pPr>
          </w:p>
        </w:tc>
      </w:tr>
      <w:tr>
        <w:trPr>
          <w:trHeight w:val="243"/>
        </w:trPr>
        <w:tc>
          <w:tcPr>
            <w:tcW w:w="5260" w:type="dxa"/>
            <w:vAlign w:val="bottom"/>
          </w:tcPr>
          <w:p>
            <w:pPr>
              <w:spacing w:after="0"/>
              <w:rPr>
                <w:sz w:val="20"/>
                <w:szCs w:val="20"/>
                <w:color w:val="auto"/>
              </w:rPr>
            </w:pPr>
            <w:r>
              <w:rPr>
                <w:rFonts w:ascii="Arial" w:cs="Arial" w:eastAsia="Arial" w:hAnsi="Arial"/>
                <w:sz w:val="20"/>
                <w:szCs w:val="20"/>
                <w:color w:val="auto"/>
              </w:rPr>
              <w:t>Add back:</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52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Interest expense</w:t>
            </w: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35,468</w:t>
            </w: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23,141</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103,526</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68,037</w:t>
            </w:r>
          </w:p>
        </w:tc>
        <w:tc>
          <w:tcPr>
            <w:tcW w:w="120" w:type="dxa"/>
            <w:vAlign w:val="bottom"/>
            <w:shd w:val="clear" w:color="auto" w:fill="CFF0FC"/>
          </w:tcPr>
          <w:p>
            <w:pPr>
              <w:spacing w:after="0"/>
              <w:rPr>
                <w:sz w:val="21"/>
                <w:szCs w:val="21"/>
                <w:color w:val="auto"/>
              </w:rPr>
            </w:pPr>
          </w:p>
        </w:tc>
      </w:tr>
      <w:tr>
        <w:trPr>
          <w:trHeight w:val="243"/>
        </w:trPr>
        <w:tc>
          <w:tcPr>
            <w:tcW w:w="5260" w:type="dxa"/>
            <w:vAlign w:val="bottom"/>
          </w:tcPr>
          <w:p>
            <w:pPr>
              <w:ind w:left="260"/>
              <w:spacing w:after="0"/>
              <w:rPr>
                <w:sz w:val="20"/>
                <w:szCs w:val="20"/>
                <w:color w:val="auto"/>
              </w:rPr>
            </w:pPr>
            <w:r>
              <w:rPr>
                <w:rFonts w:ascii="Arial" w:cs="Arial" w:eastAsia="Arial" w:hAnsi="Arial"/>
                <w:sz w:val="20"/>
                <w:szCs w:val="20"/>
                <w:color w:val="auto"/>
              </w:rPr>
              <w:t>Income tax expense for controlling interests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29,051</w:t>
            </w: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52,744</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84,070</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119,247</w:t>
            </w:r>
          </w:p>
        </w:tc>
        <w:tc>
          <w:tcPr>
            <w:tcW w:w="120" w:type="dxa"/>
            <w:vAlign w:val="bottom"/>
          </w:tcPr>
          <w:p>
            <w:pPr>
              <w:spacing w:after="0"/>
              <w:rPr>
                <w:sz w:val="21"/>
                <w:szCs w:val="21"/>
                <w:color w:val="auto"/>
              </w:rPr>
            </w:pPr>
          </w:p>
        </w:tc>
      </w:tr>
      <w:tr>
        <w:trPr>
          <w:trHeight w:val="243"/>
        </w:trPr>
        <w:tc>
          <w:tcPr>
            <w:tcW w:w="5260" w:type="dxa"/>
            <w:vAlign w:val="bottom"/>
            <w:shd w:val="clear" w:color="auto" w:fill="CFF0FC"/>
          </w:tcPr>
          <w:p>
            <w:pPr>
              <w:ind w:left="260"/>
              <w:spacing w:after="0"/>
              <w:rPr>
                <w:sz w:val="20"/>
                <w:szCs w:val="20"/>
                <w:color w:val="auto"/>
              </w:rPr>
            </w:pPr>
            <w:r>
              <w:rPr>
                <w:rFonts w:ascii="Arial" w:cs="Arial" w:eastAsia="Arial" w:hAnsi="Arial"/>
                <w:sz w:val="20"/>
                <w:szCs w:val="20"/>
                <w:color w:val="auto"/>
              </w:rPr>
              <w:t>Depreciation, depletion and amortization expense</w:t>
            </w:r>
          </w:p>
        </w:tc>
        <w:tc>
          <w:tcPr>
            <w:tcW w:w="2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88,693</w:t>
            </w:r>
          </w:p>
        </w:tc>
        <w:tc>
          <w:tcPr>
            <w:tcW w:w="240" w:type="dxa"/>
            <w:vAlign w:val="bottom"/>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74,531</w:t>
            </w:r>
          </w:p>
        </w:tc>
        <w:tc>
          <w:tcPr>
            <w:tcW w:w="260" w:type="dxa"/>
            <w:vAlign w:val="bottom"/>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250,144</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218,531</w:t>
            </w:r>
          </w:p>
        </w:tc>
        <w:tc>
          <w:tcPr>
            <w:tcW w:w="120" w:type="dxa"/>
            <w:vAlign w:val="bottom"/>
            <w:shd w:val="clear" w:color="auto" w:fill="CFF0FC"/>
          </w:tcPr>
          <w:p>
            <w:pPr>
              <w:spacing w:after="0"/>
              <w:rPr>
                <w:sz w:val="21"/>
                <w:szCs w:val="21"/>
                <w:color w:val="auto"/>
              </w:rPr>
            </w:pPr>
          </w:p>
        </w:tc>
      </w:tr>
      <w:tr>
        <w:trPr>
          <w:trHeight w:val="237"/>
        </w:trPr>
        <w:tc>
          <w:tcPr>
            <w:tcW w:w="5260" w:type="dxa"/>
            <w:vAlign w:val="bottom"/>
          </w:tcPr>
          <w:p>
            <w:pPr>
              <w:spacing w:after="0"/>
              <w:rPr>
                <w:sz w:val="20"/>
                <w:szCs w:val="20"/>
                <w:color w:val="auto"/>
              </w:rPr>
            </w:pPr>
            <w:r>
              <w:rPr>
                <w:rFonts w:ascii="Arial" w:cs="Arial" w:eastAsia="Arial" w:hAnsi="Arial"/>
                <w:sz w:val="20"/>
                <w:szCs w:val="20"/>
                <w:color w:val="auto"/>
              </w:rPr>
              <w:t>Consolidated EBITDA</w:t>
            </w:r>
          </w:p>
        </w:tc>
        <w:tc>
          <w:tcPr>
            <w:tcW w:w="2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333,433</w:t>
            </w:r>
          </w:p>
        </w:tc>
        <w:tc>
          <w:tcPr>
            <w:tcW w:w="240" w:type="dxa"/>
            <w:vAlign w:val="bottom"/>
          </w:tcPr>
          <w:p>
            <w:pPr>
              <w:spacing w:after="0"/>
              <w:rPr>
                <w:sz w:val="20"/>
                <w:szCs w:val="20"/>
                <w:color w:val="auto"/>
              </w:rPr>
            </w:pPr>
          </w:p>
        </w:tc>
        <w:tc>
          <w:tcPr>
            <w:tcW w:w="460" w:type="dxa"/>
            <w:vAlign w:val="bottom"/>
            <w:tcBorders>
              <w:bottom w:val="single" w:sz="8" w:color="auto"/>
            </w:tcBorders>
          </w:tcPr>
          <w:p>
            <w:pPr>
              <w:jc w:val="right"/>
              <w:ind w:right="261"/>
              <w:spacing w:after="0"/>
              <w:rPr>
                <w:sz w:val="20"/>
                <w:szCs w:val="20"/>
                <w:color w:val="auto"/>
              </w:rPr>
            </w:pPr>
            <w:r>
              <w:rPr>
                <w:rFonts w:ascii="Arial" w:cs="Arial" w:eastAsia="Arial" w:hAnsi="Arial"/>
                <w:sz w:val="20"/>
                <w:szCs w:val="2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301,962</w:t>
            </w:r>
          </w:p>
        </w:tc>
        <w:tc>
          <w:tcPr>
            <w:tcW w:w="260" w:type="dxa"/>
            <w:vAlign w:val="bottom"/>
          </w:tcPr>
          <w:p>
            <w:pPr>
              <w:spacing w:after="0"/>
              <w:rPr>
                <w:sz w:val="20"/>
                <w:szCs w:val="20"/>
                <w:color w:val="auto"/>
              </w:rPr>
            </w:pPr>
          </w:p>
        </w:tc>
        <w:tc>
          <w:tcPr>
            <w:tcW w:w="28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813,361</w:t>
            </w: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741,974</w:t>
            </w:r>
          </w:p>
        </w:tc>
        <w:tc>
          <w:tcPr>
            <w:tcW w:w="120" w:type="dxa"/>
            <w:vAlign w:val="bottom"/>
          </w:tcPr>
          <w:p>
            <w:pPr>
              <w:spacing w:after="0"/>
              <w:rPr>
                <w:sz w:val="20"/>
                <w:szCs w:val="20"/>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Significant items for the quarter ended September 30, 2018 (unless noted, all comparisons are versus the prior-year quarter):</w:t>
      </w:r>
    </w:p>
    <w:p>
      <w:pPr>
        <w:spacing w:after="0" w:line="13" w:lineRule="exact"/>
        <w:rPr>
          <w:sz w:val="20"/>
          <w:szCs w:val="20"/>
          <w:color w:val="auto"/>
        </w:rPr>
      </w:pPr>
    </w:p>
    <w:p>
      <w:pPr>
        <w:ind w:left="760" w:hanging="374"/>
        <w:spacing w:after="0"/>
        <w:tabs>
          <w:tab w:leader="none" w:pos="760" w:val="left"/>
        </w:tabs>
        <w:numPr>
          <w:ilvl w:val="0"/>
          <w:numId w:val="28"/>
        </w:numPr>
        <w:rPr>
          <w:rFonts w:ascii="Arial" w:cs="Arial" w:eastAsia="Arial" w:hAnsi="Arial"/>
          <w:sz w:val="20"/>
          <w:szCs w:val="20"/>
          <w:color w:val="007DC6"/>
        </w:rPr>
      </w:pPr>
      <w:r>
        <w:rPr>
          <w:rFonts w:ascii="Arial" w:cs="Arial" w:eastAsia="Arial" w:hAnsi="Arial"/>
          <w:sz w:val="20"/>
          <w:szCs w:val="20"/>
          <w:color w:val="auto"/>
        </w:rPr>
        <w:t>Consolidated total revenues of $1.22 billion compared with $1.09 billion</w:t>
      </w:r>
    </w:p>
    <w:p>
      <w:pPr>
        <w:spacing w:after="0" w:line="2" w:lineRule="exact"/>
        <w:rPr>
          <w:rFonts w:ascii="Arial" w:cs="Arial" w:eastAsia="Arial" w:hAnsi="Arial"/>
          <w:sz w:val="20"/>
          <w:szCs w:val="20"/>
          <w:color w:val="007DC6"/>
        </w:rPr>
      </w:pPr>
    </w:p>
    <w:p>
      <w:pPr>
        <w:ind w:left="760" w:hanging="374"/>
        <w:spacing w:after="0" w:line="239" w:lineRule="auto"/>
        <w:tabs>
          <w:tab w:leader="none" w:pos="760" w:val="left"/>
        </w:tabs>
        <w:numPr>
          <w:ilvl w:val="0"/>
          <w:numId w:val="28"/>
        </w:numPr>
        <w:rPr>
          <w:rFonts w:ascii="Arial" w:cs="Arial" w:eastAsia="Arial" w:hAnsi="Arial"/>
          <w:sz w:val="20"/>
          <w:szCs w:val="20"/>
          <w:color w:val="007DC6"/>
        </w:rPr>
      </w:pPr>
      <w:r>
        <w:rPr>
          <w:rFonts w:ascii="Arial" w:cs="Arial" w:eastAsia="Arial" w:hAnsi="Arial"/>
          <w:sz w:val="20"/>
          <w:szCs w:val="20"/>
          <w:color w:val="auto"/>
        </w:rPr>
        <w:t>Building Materials business products and services revenues of $1.07 billion compared with $962.6 million and Magnesia Specialties products revenue of $68.4 million compared with $59.9 million</w:t>
      </w:r>
    </w:p>
    <w:p>
      <w:pPr>
        <w:spacing w:after="0" w:line="1" w:lineRule="exact"/>
        <w:rPr>
          <w:rFonts w:ascii="Arial" w:cs="Arial" w:eastAsia="Arial" w:hAnsi="Arial"/>
          <w:sz w:val="20"/>
          <w:szCs w:val="20"/>
          <w:color w:val="007DC6"/>
        </w:rPr>
      </w:pPr>
    </w:p>
    <w:p>
      <w:pPr>
        <w:ind w:left="760" w:hanging="374"/>
        <w:spacing w:after="0"/>
        <w:tabs>
          <w:tab w:leader="none" w:pos="760" w:val="left"/>
        </w:tabs>
        <w:numPr>
          <w:ilvl w:val="0"/>
          <w:numId w:val="28"/>
        </w:numPr>
        <w:rPr>
          <w:rFonts w:ascii="Arial" w:cs="Arial" w:eastAsia="Arial" w:hAnsi="Arial"/>
          <w:sz w:val="20"/>
          <w:szCs w:val="20"/>
          <w:color w:val="007DC6"/>
        </w:rPr>
      </w:pPr>
      <w:r>
        <w:rPr>
          <w:rFonts w:ascii="Arial" w:cs="Arial" w:eastAsia="Arial" w:hAnsi="Arial"/>
          <w:sz w:val="20"/>
          <w:szCs w:val="20"/>
          <w:color w:val="auto"/>
        </w:rPr>
        <w:t>Consolidated gross profit of $313.0 million compared with $291.7 million</w:t>
      </w:r>
    </w:p>
    <w:p>
      <w:pPr>
        <w:ind w:left="760" w:hanging="374"/>
        <w:spacing w:after="0"/>
        <w:tabs>
          <w:tab w:leader="none" w:pos="760" w:val="left"/>
        </w:tabs>
        <w:numPr>
          <w:ilvl w:val="0"/>
          <w:numId w:val="28"/>
        </w:numPr>
        <w:rPr>
          <w:rFonts w:ascii="Arial" w:cs="Arial" w:eastAsia="Arial" w:hAnsi="Arial"/>
          <w:sz w:val="20"/>
          <w:szCs w:val="20"/>
          <w:color w:val="007DC6"/>
        </w:rPr>
      </w:pPr>
      <w:r>
        <w:rPr>
          <w:rFonts w:ascii="Arial" w:cs="Arial" w:eastAsia="Arial" w:hAnsi="Arial"/>
          <w:sz w:val="20"/>
          <w:szCs w:val="20"/>
          <w:color w:val="auto"/>
        </w:rPr>
        <w:t>Consolidated earnings from operations of $240.7 million compared with $227.0 million</w:t>
      </w:r>
    </w:p>
    <w:p>
      <w:pPr>
        <w:ind w:left="760" w:hanging="374"/>
        <w:spacing w:after="0"/>
        <w:tabs>
          <w:tab w:leader="none" w:pos="760" w:val="left"/>
        </w:tabs>
        <w:numPr>
          <w:ilvl w:val="0"/>
          <w:numId w:val="28"/>
        </w:numPr>
        <w:rPr>
          <w:rFonts w:ascii="Arial" w:cs="Arial" w:eastAsia="Arial" w:hAnsi="Arial"/>
          <w:sz w:val="20"/>
          <w:szCs w:val="20"/>
          <w:color w:val="007DC6"/>
        </w:rPr>
      </w:pPr>
      <w:r>
        <w:rPr>
          <w:rFonts w:ascii="Arial" w:cs="Arial" w:eastAsia="Arial" w:hAnsi="Arial"/>
          <w:sz w:val="20"/>
          <w:szCs w:val="20"/>
          <w:color w:val="auto"/>
        </w:rPr>
        <w:t>Net earnings attributable to Martin Marietta of $180.2 million compared with $151.5 million</w:t>
      </w:r>
    </w:p>
    <w:p>
      <w:pPr>
        <w:ind w:left="760" w:hanging="374"/>
        <w:spacing w:after="0"/>
        <w:tabs>
          <w:tab w:leader="none" w:pos="760" w:val="left"/>
        </w:tabs>
        <w:numPr>
          <w:ilvl w:val="0"/>
          <w:numId w:val="28"/>
        </w:numPr>
        <w:rPr>
          <w:rFonts w:ascii="Arial" w:cs="Arial" w:eastAsia="Arial" w:hAnsi="Arial"/>
          <w:sz w:val="20"/>
          <w:szCs w:val="20"/>
          <w:color w:val="007DC6"/>
        </w:rPr>
      </w:pPr>
      <w:r>
        <w:rPr>
          <w:rFonts w:ascii="Arial" w:cs="Arial" w:eastAsia="Arial" w:hAnsi="Arial"/>
          <w:sz w:val="20"/>
          <w:szCs w:val="20"/>
          <w:color w:val="auto"/>
        </w:rPr>
        <w:t>EBITDA of $333.4 million compared with $302.0 million</w:t>
      </w:r>
    </w:p>
    <w:p>
      <w:pPr>
        <w:ind w:left="760" w:hanging="374"/>
        <w:spacing w:after="0"/>
        <w:tabs>
          <w:tab w:leader="none" w:pos="760" w:val="left"/>
        </w:tabs>
        <w:numPr>
          <w:ilvl w:val="0"/>
          <w:numId w:val="28"/>
        </w:numPr>
        <w:rPr>
          <w:rFonts w:ascii="Arial" w:cs="Arial" w:eastAsia="Arial" w:hAnsi="Arial"/>
          <w:sz w:val="20"/>
          <w:szCs w:val="20"/>
          <w:color w:val="007DC6"/>
        </w:rPr>
      </w:pPr>
      <w:r>
        <w:rPr>
          <w:rFonts w:ascii="Arial" w:cs="Arial" w:eastAsia="Arial" w:hAnsi="Arial"/>
          <w:sz w:val="20"/>
          <w:szCs w:val="20"/>
          <w:color w:val="auto"/>
        </w:rPr>
        <w:t>Earnings per diluted share of $2.85 compared with $2.39</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32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2018</w:t>
      </w:r>
    </w:p>
    <w:p>
      <w:pPr>
        <w:jc w:val="center"/>
        <w:spacing w:after="0"/>
        <w:rPr>
          <w:sz w:val="20"/>
          <w:szCs w:val="20"/>
          <w:color w:val="auto"/>
        </w:rPr>
      </w:pPr>
      <w:r>
        <w:rPr>
          <w:rFonts w:ascii="Arial" w:cs="Arial" w:eastAsia="Arial" w:hAnsi="Arial"/>
          <w:sz w:val="20"/>
          <w:szCs w:val="20"/>
          <w:color w:val="auto"/>
        </w:rPr>
        <w:t>(Continued)</w:t>
      </w:r>
    </w:p>
    <w:p>
      <w:pPr>
        <w:spacing w:after="0" w:line="34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following table presents total revenues, gross profit (loss), selling, general and administrative (SG&amp;A) expenses and earnings (loss) from operations data for the Company and its reportable segments by product line for the three-months ended September 30, 2018 and 2017. In each case, the data is stated as a percentage of total products and services revenues of the Company or the relevant segment or product line, as the case may be. Prior-year information has been reclassified to conform to current-year presentation.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9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64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20"/>
                <w:szCs w:val="20"/>
                <w:color w:val="auto"/>
                <w:w w:val="98"/>
              </w:rPr>
              <w:t>Three-Months Ended September 30,</w:t>
            </w:r>
          </w:p>
        </w:tc>
        <w:tc>
          <w:tcPr>
            <w:tcW w:w="1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3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2018</w:t>
            </w:r>
          </w:p>
        </w:tc>
        <w:tc>
          <w:tcPr>
            <w:tcW w:w="13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2017</w:t>
            </w: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641"/>
              <w:spacing w:after="0"/>
              <w:rPr>
                <w:sz w:val="20"/>
                <w:szCs w:val="20"/>
                <w:color w:val="auto"/>
              </w:rPr>
            </w:pPr>
            <w:r>
              <w:rPr>
                <w:rFonts w:ascii="Arial" w:cs="Arial" w:eastAsia="Arial" w:hAnsi="Arial"/>
                <w:sz w:val="20"/>
                <w:szCs w:val="20"/>
                <w:color w:val="auto"/>
              </w:rPr>
              <w:t>Amount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8"/>
              </w:rPr>
              <w:t>% of Revenues</w:t>
            </w: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20"/>
                <w:szCs w:val="20"/>
                <w:color w:val="auto"/>
              </w:rPr>
              <w:t>Amount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8"/>
              </w:rPr>
              <w:t>% of Revenues</w:t>
            </w:r>
          </w:p>
        </w:tc>
        <w:tc>
          <w:tcPr>
            <w:tcW w:w="100" w:type="dxa"/>
            <w:vAlign w:val="bottom"/>
          </w:tcPr>
          <w:p>
            <w:pPr>
              <w:spacing w:after="0"/>
              <w:rPr>
                <w:sz w:val="20"/>
                <w:szCs w:val="20"/>
                <w:color w:val="auto"/>
              </w:rPr>
            </w:pPr>
          </w:p>
        </w:tc>
      </w:tr>
      <w:tr>
        <w:trPr>
          <w:trHeight w:val="237"/>
        </w:trPr>
        <w:tc>
          <w:tcPr>
            <w:tcW w:w="3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60" w:type="dxa"/>
            <w:vAlign w:val="bottom"/>
            <w:gridSpan w:val="5"/>
          </w:tcPr>
          <w:p>
            <w:pPr>
              <w:jc w:val="right"/>
              <w:ind w:right="940"/>
              <w:spacing w:after="0"/>
              <w:rPr>
                <w:sz w:val="20"/>
                <w:szCs w:val="20"/>
                <w:color w:val="auto"/>
              </w:rPr>
            </w:pPr>
            <w:r>
              <w:rPr>
                <w:rFonts w:ascii="Arial" w:cs="Arial" w:eastAsia="Arial" w:hAnsi="Arial"/>
                <w:sz w:val="20"/>
                <w:szCs w:val="20"/>
                <w:i w:val="1"/>
                <w:iCs w:val="1"/>
                <w:color w:val="auto"/>
              </w:rPr>
              <w:t>(Dollars 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94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Total revenues:</w:t>
            </w: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3940" w:type="dxa"/>
            <w:vAlign w:val="bottom"/>
          </w:tcPr>
          <w:p>
            <w:pPr>
              <w:spacing w:after="0"/>
              <w:rPr>
                <w:sz w:val="20"/>
                <w:szCs w:val="20"/>
                <w:color w:val="auto"/>
              </w:rPr>
            </w:pPr>
            <w:r>
              <w:rPr>
                <w:rFonts w:ascii="Arial" w:cs="Arial" w:eastAsia="Arial" w:hAnsi="Arial"/>
                <w:sz w:val="20"/>
                <w:szCs w:val="20"/>
                <w:color w:val="auto"/>
              </w:rPr>
              <w:t>Building Materials Business:</w:t>
            </w: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40" w:type="dxa"/>
            <w:vAlign w:val="bottom"/>
            <w:shd w:val="clear" w:color="auto" w:fill="CFF0FC"/>
          </w:tcPr>
          <w:p>
            <w:pPr>
              <w:ind w:left="140"/>
              <w:spacing w:after="0"/>
              <w:rPr>
                <w:sz w:val="20"/>
                <w:szCs w:val="20"/>
                <w:color w:val="auto"/>
              </w:rPr>
            </w:pPr>
            <w:r>
              <w:rPr>
                <w:rFonts w:ascii="Arial" w:cs="Arial" w:eastAsia="Arial" w:hAnsi="Arial"/>
                <w:sz w:val="20"/>
                <w:szCs w:val="20"/>
                <w:color w:val="auto"/>
              </w:rPr>
              <w:t>Products and services</w:t>
            </w: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3940" w:type="dxa"/>
            <w:vAlign w:val="bottom"/>
          </w:tcPr>
          <w:p>
            <w:pPr>
              <w:ind w:left="380"/>
              <w:spacing w:after="0"/>
              <w:rPr>
                <w:sz w:val="20"/>
                <w:szCs w:val="20"/>
                <w:color w:val="auto"/>
              </w:rPr>
            </w:pPr>
            <w:r>
              <w:rPr>
                <w:rFonts w:ascii="Arial" w:cs="Arial" w:eastAsia="Arial" w:hAnsi="Arial"/>
                <w:sz w:val="20"/>
                <w:szCs w:val="20"/>
                <w:color w:val="auto"/>
              </w:rPr>
              <w:t>Mid-America Group</w:t>
            </w: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4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Aggregates</w:t>
            </w:r>
          </w:p>
        </w:tc>
        <w:tc>
          <w:tcPr>
            <w:tcW w:w="1280" w:type="dxa"/>
            <w:vAlign w:val="bottom"/>
            <w:gridSpan w:val="2"/>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348,429</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480" w:type="dxa"/>
            <w:vAlign w:val="bottom"/>
            <w:gridSpan w:val="2"/>
            <w:shd w:val="clear" w:color="auto" w:fill="CFF0FC"/>
          </w:tcPr>
          <w:p>
            <w:pPr>
              <w:jc w:val="right"/>
              <w:ind w:right="21"/>
              <w:spacing w:after="0"/>
              <w:rPr>
                <w:sz w:val="20"/>
                <w:szCs w:val="20"/>
                <w:color w:val="auto"/>
              </w:rPr>
            </w:pPr>
            <w:r>
              <w:rPr>
                <w:rFonts w:ascii="Arial" w:cs="Arial" w:eastAsia="Arial" w:hAnsi="Arial"/>
                <w:sz w:val="20"/>
                <w:szCs w:val="20"/>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287,085</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21"/>
                <w:szCs w:val="21"/>
                <w:color w:val="auto"/>
              </w:rPr>
            </w:pPr>
          </w:p>
        </w:tc>
      </w:tr>
      <w:tr>
        <w:trPr>
          <w:trHeight w:val="243"/>
        </w:trPr>
        <w:tc>
          <w:tcPr>
            <w:tcW w:w="3940" w:type="dxa"/>
            <w:vAlign w:val="bottom"/>
          </w:tcPr>
          <w:p>
            <w:pPr>
              <w:ind w:left="380"/>
              <w:spacing w:after="0"/>
              <w:rPr>
                <w:sz w:val="20"/>
                <w:szCs w:val="20"/>
                <w:color w:val="auto"/>
              </w:rPr>
            </w:pPr>
            <w:r>
              <w:rPr>
                <w:rFonts w:ascii="Arial" w:cs="Arial" w:eastAsia="Arial" w:hAnsi="Arial"/>
                <w:sz w:val="20"/>
                <w:szCs w:val="20"/>
                <w:color w:val="auto"/>
              </w:rPr>
              <w:t>Southeast Group</w:t>
            </w: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4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Aggregates</w:t>
            </w: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121,661</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91,427</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21"/>
                <w:szCs w:val="21"/>
                <w:color w:val="auto"/>
              </w:rPr>
            </w:pPr>
          </w:p>
        </w:tc>
      </w:tr>
      <w:tr>
        <w:trPr>
          <w:trHeight w:val="243"/>
        </w:trPr>
        <w:tc>
          <w:tcPr>
            <w:tcW w:w="3940" w:type="dxa"/>
            <w:vAlign w:val="bottom"/>
          </w:tcPr>
          <w:p>
            <w:pPr>
              <w:ind w:left="380"/>
              <w:spacing w:after="0"/>
              <w:rPr>
                <w:sz w:val="20"/>
                <w:szCs w:val="20"/>
                <w:color w:val="auto"/>
              </w:rPr>
            </w:pPr>
            <w:r>
              <w:rPr>
                <w:rFonts w:ascii="Arial" w:cs="Arial" w:eastAsia="Arial" w:hAnsi="Arial"/>
                <w:sz w:val="20"/>
                <w:szCs w:val="20"/>
                <w:color w:val="auto"/>
              </w:rPr>
              <w:t>West Group</w:t>
            </w: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4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Aggregates</w:t>
            </w: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217,710</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211,800</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21"/>
                <w:szCs w:val="21"/>
                <w:color w:val="auto"/>
              </w:rPr>
            </w:pPr>
          </w:p>
        </w:tc>
      </w:tr>
      <w:tr>
        <w:trPr>
          <w:trHeight w:val="243"/>
        </w:trPr>
        <w:tc>
          <w:tcPr>
            <w:tcW w:w="3940" w:type="dxa"/>
            <w:vAlign w:val="bottom"/>
          </w:tcPr>
          <w:p>
            <w:pPr>
              <w:ind w:left="620"/>
              <w:spacing w:after="0"/>
              <w:rPr>
                <w:sz w:val="20"/>
                <w:szCs w:val="20"/>
                <w:color w:val="auto"/>
              </w:rPr>
            </w:pPr>
            <w:r>
              <w:rPr>
                <w:rFonts w:ascii="Arial" w:cs="Arial" w:eastAsia="Arial" w:hAnsi="Arial"/>
                <w:sz w:val="20"/>
                <w:szCs w:val="20"/>
                <w:color w:val="auto"/>
              </w:rPr>
              <w:t>Cement</w:t>
            </w: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98,223</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88,470</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Pr>
          <w:p>
            <w:pPr>
              <w:spacing w:after="0"/>
              <w:rPr>
                <w:sz w:val="21"/>
                <w:szCs w:val="21"/>
                <w:color w:val="auto"/>
              </w:rPr>
            </w:pPr>
          </w:p>
        </w:tc>
      </w:tr>
      <w:tr>
        <w:trPr>
          <w:trHeight w:val="243"/>
        </w:trPr>
        <w:tc>
          <w:tcPr>
            <w:tcW w:w="3940" w:type="dxa"/>
            <w:vAlign w:val="bottom"/>
            <w:shd w:val="clear" w:color="auto" w:fill="CFF0FC"/>
          </w:tcPr>
          <w:p>
            <w:pPr>
              <w:ind w:left="620"/>
              <w:spacing w:after="0"/>
              <w:rPr>
                <w:sz w:val="20"/>
                <w:szCs w:val="20"/>
                <w:color w:val="auto"/>
              </w:rPr>
            </w:pPr>
            <w:r>
              <w:rPr>
                <w:rFonts w:ascii="Arial" w:cs="Arial" w:eastAsia="Arial" w:hAnsi="Arial"/>
                <w:sz w:val="20"/>
                <w:szCs w:val="20"/>
                <w:color w:val="auto"/>
              </w:rPr>
              <w:t>Ready mixed concrete</w:t>
            </w: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254,686</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240,222</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21"/>
                <w:szCs w:val="21"/>
                <w:color w:val="auto"/>
              </w:rPr>
            </w:pPr>
          </w:p>
        </w:tc>
      </w:tr>
      <w:tr>
        <w:trPr>
          <w:trHeight w:val="243"/>
        </w:trPr>
        <w:tc>
          <w:tcPr>
            <w:tcW w:w="3940" w:type="dxa"/>
            <w:vAlign w:val="bottom"/>
          </w:tcPr>
          <w:p>
            <w:pPr>
              <w:ind w:left="620"/>
              <w:spacing w:after="0"/>
              <w:rPr>
                <w:sz w:val="20"/>
                <w:szCs w:val="20"/>
                <w:color w:val="auto"/>
              </w:rPr>
            </w:pPr>
            <w:r>
              <w:rPr>
                <w:rFonts w:ascii="Arial" w:cs="Arial" w:eastAsia="Arial" w:hAnsi="Arial"/>
                <w:sz w:val="20"/>
                <w:szCs w:val="20"/>
                <w:color w:val="auto"/>
              </w:rPr>
              <w:t>Asphalt and paving</w:t>
            </w: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99,983</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110,973</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Pr>
          <w:p>
            <w:pPr>
              <w:spacing w:after="0"/>
              <w:rPr>
                <w:sz w:val="21"/>
                <w:szCs w:val="21"/>
                <w:color w:val="auto"/>
              </w:rPr>
            </w:pPr>
          </w:p>
        </w:tc>
      </w:tr>
      <w:tr>
        <w:trPr>
          <w:trHeight w:val="243"/>
        </w:trPr>
        <w:tc>
          <w:tcPr>
            <w:tcW w:w="3940" w:type="dxa"/>
            <w:vAlign w:val="bottom"/>
            <w:shd w:val="clear" w:color="auto" w:fill="CFF0FC"/>
          </w:tcPr>
          <w:p>
            <w:pPr>
              <w:ind w:left="380"/>
              <w:spacing w:after="0"/>
              <w:rPr>
                <w:sz w:val="20"/>
                <w:szCs w:val="20"/>
                <w:color w:val="auto"/>
              </w:rPr>
            </w:pPr>
            <w:r>
              <w:rPr>
                <w:rFonts w:ascii="Arial" w:cs="Arial" w:eastAsia="Arial" w:hAnsi="Arial"/>
                <w:sz w:val="20"/>
                <w:szCs w:val="20"/>
                <w:color w:val="auto"/>
              </w:rPr>
              <w:t>Less: Interproduct revenues</w:t>
            </w: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01"/>
              <w:spacing w:after="0"/>
              <w:rPr>
                <w:sz w:val="20"/>
                <w:szCs w:val="20"/>
                <w:color w:val="auto"/>
              </w:rPr>
            </w:pPr>
            <w:r>
              <w:rPr>
                <w:rFonts w:ascii="Arial" w:cs="Arial" w:eastAsia="Arial" w:hAnsi="Arial"/>
                <w:sz w:val="20"/>
                <w:szCs w:val="20"/>
                <w:color w:val="auto"/>
              </w:rPr>
              <w:t>(66,839)</w:t>
            </w: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(67,379)</w:t>
            </w: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3940" w:type="dxa"/>
            <w:vAlign w:val="bottom"/>
          </w:tcPr>
          <w:p>
            <w:pPr>
              <w:ind w:left="140"/>
              <w:spacing w:after="0"/>
              <w:rPr>
                <w:sz w:val="20"/>
                <w:szCs w:val="20"/>
                <w:color w:val="auto"/>
              </w:rPr>
            </w:pPr>
            <w:r>
              <w:rPr>
                <w:rFonts w:ascii="Arial" w:cs="Arial" w:eastAsia="Arial" w:hAnsi="Arial"/>
                <w:sz w:val="20"/>
                <w:szCs w:val="20"/>
                <w:color w:val="auto"/>
              </w:rPr>
              <w:t>Products and services</w:t>
            </w:r>
          </w:p>
        </w:tc>
        <w:tc>
          <w:tcPr>
            <w:tcW w:w="10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1,073,853</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962,598</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Pr>
          <w:p>
            <w:pPr>
              <w:spacing w:after="0"/>
              <w:rPr>
                <w:sz w:val="20"/>
                <w:szCs w:val="20"/>
                <w:color w:val="auto"/>
              </w:rPr>
            </w:pPr>
          </w:p>
        </w:tc>
      </w:tr>
      <w:tr>
        <w:trPr>
          <w:trHeight w:val="243"/>
        </w:trPr>
        <w:tc>
          <w:tcPr>
            <w:tcW w:w="3940" w:type="dxa"/>
            <w:vAlign w:val="bottom"/>
            <w:shd w:val="clear" w:color="auto" w:fill="CFF0FC"/>
          </w:tcPr>
          <w:p>
            <w:pPr>
              <w:ind w:left="140"/>
              <w:spacing w:after="0"/>
              <w:rPr>
                <w:sz w:val="20"/>
                <w:szCs w:val="20"/>
                <w:color w:val="auto"/>
              </w:rPr>
            </w:pPr>
            <w:r>
              <w:rPr>
                <w:rFonts w:ascii="Arial" w:cs="Arial" w:eastAsia="Arial" w:hAnsi="Arial"/>
                <w:sz w:val="20"/>
                <w:szCs w:val="20"/>
                <w:color w:val="auto"/>
              </w:rPr>
              <w:t>Freight</w:t>
            </w:r>
          </w:p>
        </w:tc>
        <w:tc>
          <w:tcPr>
            <w:tcW w:w="106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72,264</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61,229</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39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Total Building Materials Business</w:t>
            </w:r>
          </w:p>
        </w:tc>
        <w:tc>
          <w:tcPr>
            <w:tcW w:w="10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1,146,117</w:t>
            </w:r>
          </w:p>
        </w:tc>
        <w:tc>
          <w:tcPr>
            <w:tcW w:w="380" w:type="dxa"/>
            <w:vAlign w:val="bottom"/>
            <w:tcBorders>
              <w:bottom w:val="single" w:sz="8" w:color="CFF0FC"/>
            </w:tcBorders>
          </w:tcPr>
          <w:p>
            <w:pPr>
              <w:spacing w:after="0"/>
              <w:rPr>
                <w:sz w:val="20"/>
                <w:szCs w:val="20"/>
                <w:color w:val="auto"/>
              </w:rPr>
            </w:pPr>
          </w:p>
        </w:tc>
        <w:tc>
          <w:tcPr>
            <w:tcW w:w="130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1,023,827</w:t>
            </w:r>
          </w:p>
        </w:tc>
        <w:tc>
          <w:tcPr>
            <w:tcW w:w="32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Borders>
              <w:bottom w:val="single" w:sz="8" w:color="CFF0FC"/>
            </w:tcBorders>
          </w:tcPr>
          <w:p>
            <w:pPr>
              <w:spacing w:after="0"/>
              <w:rPr>
                <w:sz w:val="20"/>
                <w:szCs w:val="20"/>
                <w:color w:val="auto"/>
              </w:rPr>
            </w:pPr>
          </w:p>
        </w:tc>
      </w:tr>
      <w:tr>
        <w:trPr>
          <w:trHeight w:val="237"/>
        </w:trPr>
        <w:tc>
          <w:tcPr>
            <w:tcW w:w="3940" w:type="dxa"/>
            <w:vAlign w:val="bottom"/>
            <w:shd w:val="clear" w:color="auto" w:fill="CFF0FC"/>
          </w:tcPr>
          <w:p>
            <w:pPr>
              <w:spacing w:after="0"/>
              <w:rPr>
                <w:sz w:val="20"/>
                <w:szCs w:val="20"/>
                <w:color w:val="auto"/>
              </w:rPr>
            </w:pPr>
            <w:r>
              <w:rPr>
                <w:rFonts w:ascii="Arial" w:cs="Arial" w:eastAsia="Arial" w:hAnsi="Arial"/>
                <w:sz w:val="20"/>
                <w:szCs w:val="20"/>
                <w:color w:val="auto"/>
              </w:rPr>
              <w:t>Magnesia Specialties Business:</w:t>
            </w:r>
          </w:p>
        </w:tc>
        <w:tc>
          <w:tcPr>
            <w:tcW w:w="10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3940" w:type="dxa"/>
            <w:vAlign w:val="bottom"/>
          </w:tcPr>
          <w:p>
            <w:pPr>
              <w:ind w:left="140"/>
              <w:spacing w:after="0"/>
              <w:rPr>
                <w:sz w:val="20"/>
                <w:szCs w:val="20"/>
                <w:color w:val="auto"/>
              </w:rPr>
            </w:pPr>
            <w:r>
              <w:rPr>
                <w:rFonts w:ascii="Arial" w:cs="Arial" w:eastAsia="Arial" w:hAnsi="Arial"/>
                <w:sz w:val="20"/>
                <w:szCs w:val="20"/>
                <w:color w:val="auto"/>
              </w:rPr>
              <w:t>Products</w:t>
            </w: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68,365</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59,889</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Pr>
          <w:p>
            <w:pPr>
              <w:spacing w:after="0"/>
              <w:rPr>
                <w:sz w:val="21"/>
                <w:szCs w:val="21"/>
                <w:color w:val="auto"/>
              </w:rPr>
            </w:pPr>
          </w:p>
        </w:tc>
      </w:tr>
      <w:tr>
        <w:trPr>
          <w:trHeight w:val="243"/>
        </w:trPr>
        <w:tc>
          <w:tcPr>
            <w:tcW w:w="3940" w:type="dxa"/>
            <w:vAlign w:val="bottom"/>
            <w:shd w:val="clear" w:color="auto" w:fill="CFF0FC"/>
          </w:tcPr>
          <w:p>
            <w:pPr>
              <w:ind w:left="140"/>
              <w:spacing w:after="0"/>
              <w:rPr>
                <w:sz w:val="20"/>
                <w:szCs w:val="20"/>
                <w:color w:val="auto"/>
              </w:rPr>
            </w:pPr>
            <w:r>
              <w:rPr>
                <w:rFonts w:ascii="Arial" w:cs="Arial" w:eastAsia="Arial" w:hAnsi="Arial"/>
                <w:sz w:val="20"/>
                <w:szCs w:val="20"/>
                <w:color w:val="auto"/>
              </w:rPr>
              <w:t>Freight</w:t>
            </w:r>
          </w:p>
        </w:tc>
        <w:tc>
          <w:tcPr>
            <w:tcW w:w="106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5,158</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4,016</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39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Total Magnesia Specialties Business</w:t>
            </w:r>
          </w:p>
        </w:tc>
        <w:tc>
          <w:tcPr>
            <w:tcW w:w="10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73,523</w:t>
            </w:r>
          </w:p>
        </w:tc>
        <w:tc>
          <w:tcPr>
            <w:tcW w:w="380" w:type="dxa"/>
            <w:vAlign w:val="bottom"/>
            <w:tcBorders>
              <w:bottom w:val="single" w:sz="8" w:color="CFF0FC"/>
            </w:tcBorders>
          </w:tcPr>
          <w:p>
            <w:pPr>
              <w:spacing w:after="0"/>
              <w:rPr>
                <w:sz w:val="20"/>
                <w:szCs w:val="20"/>
                <w:color w:val="auto"/>
              </w:rPr>
            </w:pPr>
          </w:p>
        </w:tc>
        <w:tc>
          <w:tcPr>
            <w:tcW w:w="130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63,905</w:t>
            </w:r>
          </w:p>
        </w:tc>
        <w:tc>
          <w:tcPr>
            <w:tcW w:w="32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Borders>
              <w:bottom w:val="single" w:sz="8" w:color="CFF0FC"/>
            </w:tcBorders>
          </w:tcPr>
          <w:p>
            <w:pPr>
              <w:spacing w:after="0"/>
              <w:rPr>
                <w:sz w:val="20"/>
                <w:szCs w:val="20"/>
                <w:color w:val="auto"/>
              </w:rPr>
            </w:pPr>
          </w:p>
        </w:tc>
      </w:tr>
      <w:tr>
        <w:trPr>
          <w:trHeight w:val="237"/>
        </w:trPr>
        <w:tc>
          <w:tcPr>
            <w:tcW w:w="3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10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1,219,640</w:t>
            </w:r>
          </w:p>
        </w:tc>
        <w:tc>
          <w:tcPr>
            <w:tcW w:w="38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20"/>
                <w:szCs w:val="20"/>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1,087,732</w:t>
            </w:r>
          </w:p>
        </w:tc>
        <w:tc>
          <w:tcPr>
            <w:tcW w:w="32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3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33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2018</w:t>
      </w:r>
    </w:p>
    <w:p>
      <w:pPr>
        <w:jc w:val="center"/>
        <w:spacing w:after="0"/>
        <w:rPr>
          <w:sz w:val="20"/>
          <w:szCs w:val="20"/>
          <w:color w:val="auto"/>
        </w:rPr>
      </w:pPr>
      <w:r>
        <w:rPr>
          <w:rFonts w:ascii="Arial" w:cs="Arial" w:eastAsia="Arial" w:hAnsi="Arial"/>
          <w:sz w:val="20"/>
          <w:szCs w:val="20"/>
          <w:color w:val="auto"/>
        </w:rPr>
        <w:t>(Continued)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640" w:type="dxa"/>
            <w:vAlign w:val="bottom"/>
            <w:tcBorders>
              <w:bottom w:val="single" w:sz="8" w:color="auto"/>
            </w:tcBorders>
            <w:gridSpan w:val="7"/>
          </w:tcPr>
          <w:p>
            <w:pPr>
              <w:jc w:val="right"/>
              <w:ind w:right="420"/>
              <w:spacing w:after="0"/>
              <w:rPr>
                <w:sz w:val="20"/>
                <w:szCs w:val="20"/>
                <w:color w:val="auto"/>
              </w:rPr>
            </w:pPr>
            <w:r>
              <w:rPr>
                <w:rFonts w:ascii="Arial" w:cs="Arial" w:eastAsia="Arial" w:hAnsi="Arial"/>
                <w:sz w:val="20"/>
                <w:szCs w:val="20"/>
                <w:color w:val="auto"/>
                <w:w w:val="98"/>
              </w:rPr>
              <w:t>Three-Months Ended September 30,</w:t>
            </w:r>
          </w:p>
        </w:tc>
        <w:tc>
          <w:tcPr>
            <w:tcW w:w="1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2018</w:t>
            </w:r>
          </w:p>
        </w:tc>
        <w:tc>
          <w:tcPr>
            <w:tcW w:w="13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2017</w:t>
            </w: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641"/>
              <w:spacing w:after="0"/>
              <w:rPr>
                <w:sz w:val="20"/>
                <w:szCs w:val="20"/>
                <w:color w:val="auto"/>
              </w:rPr>
            </w:pPr>
            <w:r>
              <w:rPr>
                <w:rFonts w:ascii="Arial" w:cs="Arial" w:eastAsia="Arial" w:hAnsi="Arial"/>
                <w:sz w:val="20"/>
                <w:szCs w:val="20"/>
                <w:color w:val="auto"/>
              </w:rPr>
              <w:t>Amount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8"/>
              </w:rPr>
              <w:t>% of Revenues</w:t>
            </w: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20"/>
                <w:szCs w:val="20"/>
                <w:color w:val="auto"/>
              </w:rPr>
              <w:t>Amount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8"/>
              </w:rPr>
              <w:t>% of Revenues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32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Gross profit (loss):</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60" w:type="dxa"/>
            <w:vAlign w:val="bottom"/>
            <w:gridSpan w:val="6"/>
          </w:tcPr>
          <w:p>
            <w:pPr>
              <w:jc w:val="right"/>
              <w:ind w:right="940"/>
              <w:spacing w:after="0"/>
              <w:rPr>
                <w:sz w:val="20"/>
                <w:szCs w:val="20"/>
                <w:color w:val="auto"/>
              </w:rPr>
            </w:pPr>
            <w:r>
              <w:rPr>
                <w:rFonts w:ascii="Arial" w:cs="Arial" w:eastAsia="Arial" w:hAnsi="Arial"/>
                <w:sz w:val="20"/>
                <w:szCs w:val="20"/>
                <w:i w:val="1"/>
                <w:iCs w:val="1"/>
                <w:color w:val="auto"/>
              </w:rPr>
              <w:t>(Dollars in Thousands)</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320" w:type="dxa"/>
            <w:vAlign w:val="bottom"/>
            <w:gridSpan w:val="2"/>
            <w:vMerge w:val="continue"/>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20"/>
                <w:szCs w:val="20"/>
                <w:color w:val="auto"/>
              </w:rPr>
              <w:t>Building Materials Business:</w:t>
            </w: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tcPr>
          <w:p>
            <w:pPr>
              <w:ind w:left="120"/>
              <w:spacing w:after="0"/>
              <w:rPr>
                <w:sz w:val="20"/>
                <w:szCs w:val="20"/>
                <w:color w:val="auto"/>
              </w:rPr>
            </w:pPr>
            <w:r>
              <w:rPr>
                <w:rFonts w:ascii="Arial" w:cs="Arial" w:eastAsia="Arial" w:hAnsi="Arial"/>
                <w:sz w:val="20"/>
                <w:szCs w:val="20"/>
                <w:color w:val="auto"/>
              </w:rPr>
              <w:t>Products and services</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FF0FC"/>
          </w:tcPr>
          <w:p>
            <w:pPr>
              <w:ind w:left="360"/>
              <w:spacing w:after="0"/>
              <w:rPr>
                <w:sz w:val="20"/>
                <w:szCs w:val="20"/>
                <w:color w:val="auto"/>
              </w:rPr>
            </w:pPr>
            <w:r>
              <w:rPr>
                <w:rFonts w:ascii="Arial" w:cs="Arial" w:eastAsia="Arial" w:hAnsi="Arial"/>
                <w:sz w:val="20"/>
                <w:szCs w:val="20"/>
                <w:color w:val="auto"/>
              </w:rPr>
              <w:t>Mid-America Group</w:t>
            </w: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tcPr>
          <w:p>
            <w:pPr>
              <w:ind w:left="600"/>
              <w:spacing w:after="0"/>
              <w:rPr>
                <w:sz w:val="20"/>
                <w:szCs w:val="20"/>
                <w:color w:val="auto"/>
              </w:rPr>
            </w:pPr>
            <w:r>
              <w:rPr>
                <w:rFonts w:ascii="Arial" w:cs="Arial" w:eastAsia="Arial" w:hAnsi="Arial"/>
                <w:sz w:val="20"/>
                <w:szCs w:val="20"/>
                <w:color w:val="auto"/>
              </w:rPr>
              <w:t>Aggregates</w:t>
            </w:r>
          </w:p>
        </w:tc>
        <w:tc>
          <w:tcPr>
            <w:tcW w:w="90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131,072</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37.6</w:t>
            </w:r>
          </w:p>
        </w:tc>
        <w:tc>
          <w:tcPr>
            <w:tcW w:w="260" w:type="dxa"/>
            <w:vAlign w:val="bottom"/>
          </w:tcPr>
          <w:p>
            <w:pPr>
              <w:spacing w:after="0"/>
              <w:rPr>
                <w:sz w:val="21"/>
                <w:szCs w:val="21"/>
                <w:color w:val="auto"/>
              </w:rPr>
            </w:pPr>
          </w:p>
        </w:tc>
        <w:tc>
          <w:tcPr>
            <w:tcW w:w="220" w:type="dxa"/>
            <w:vAlign w:val="bottom"/>
            <w:gridSpan w:val="2"/>
          </w:tcPr>
          <w:p>
            <w:pPr>
              <w:jc w:val="right"/>
              <w:ind w:right="43"/>
              <w:spacing w:after="0"/>
              <w:rPr>
                <w:sz w:val="20"/>
                <w:szCs w:val="20"/>
                <w:color w:val="auto"/>
              </w:rPr>
            </w:pPr>
            <w:r>
              <w:rPr>
                <w:rFonts w:ascii="Arial" w:cs="Arial" w:eastAsia="Arial" w:hAnsi="Arial"/>
                <w:sz w:val="20"/>
                <w:szCs w:val="20"/>
                <w:color w:val="auto"/>
                <w:w w:val="71"/>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117,965</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41.1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FF0FC"/>
          </w:tcPr>
          <w:p>
            <w:pPr>
              <w:ind w:left="360"/>
              <w:spacing w:after="0"/>
              <w:rPr>
                <w:sz w:val="20"/>
                <w:szCs w:val="20"/>
                <w:color w:val="auto"/>
              </w:rPr>
            </w:pPr>
            <w:r>
              <w:rPr>
                <w:rFonts w:ascii="Arial" w:cs="Arial" w:eastAsia="Arial" w:hAnsi="Arial"/>
                <w:sz w:val="20"/>
                <w:szCs w:val="20"/>
                <w:color w:val="auto"/>
              </w:rPr>
              <w:t>Southeast Group</w:t>
            </w: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tcPr>
          <w:p>
            <w:pPr>
              <w:ind w:left="600"/>
              <w:spacing w:after="0"/>
              <w:rPr>
                <w:sz w:val="20"/>
                <w:szCs w:val="20"/>
                <w:color w:val="auto"/>
              </w:rPr>
            </w:pPr>
            <w:r>
              <w:rPr>
                <w:rFonts w:ascii="Arial" w:cs="Arial" w:eastAsia="Arial" w:hAnsi="Arial"/>
                <w:sz w:val="20"/>
                <w:szCs w:val="20"/>
                <w:color w:val="auto"/>
              </w:rPr>
              <w:t>Aggregates</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30,899</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25.4</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18,391</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20.1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FF0FC"/>
          </w:tcPr>
          <w:p>
            <w:pPr>
              <w:ind w:left="360"/>
              <w:spacing w:after="0"/>
              <w:rPr>
                <w:sz w:val="20"/>
                <w:szCs w:val="20"/>
                <w:color w:val="auto"/>
              </w:rPr>
            </w:pPr>
            <w:r>
              <w:rPr>
                <w:rFonts w:ascii="Arial" w:cs="Arial" w:eastAsia="Arial" w:hAnsi="Arial"/>
                <w:sz w:val="20"/>
                <w:szCs w:val="20"/>
                <w:color w:val="auto"/>
              </w:rPr>
              <w:t>West Group</w:t>
            </w: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tcPr>
          <w:p>
            <w:pPr>
              <w:ind w:left="600"/>
              <w:spacing w:after="0"/>
              <w:rPr>
                <w:sz w:val="20"/>
                <w:szCs w:val="20"/>
                <w:color w:val="auto"/>
              </w:rPr>
            </w:pPr>
            <w:r>
              <w:rPr>
                <w:rFonts w:ascii="Arial" w:cs="Arial" w:eastAsia="Arial" w:hAnsi="Arial"/>
                <w:sz w:val="20"/>
                <w:szCs w:val="20"/>
                <w:color w:val="auto"/>
              </w:rPr>
              <w:t>Aggregates</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47,111</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21.6</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50,709</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23.9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FF0FC"/>
          </w:tcPr>
          <w:p>
            <w:pPr>
              <w:ind w:left="600"/>
              <w:spacing w:after="0"/>
              <w:rPr>
                <w:sz w:val="20"/>
                <w:szCs w:val="20"/>
                <w:color w:val="auto"/>
              </w:rPr>
            </w:pPr>
            <w:r>
              <w:rPr>
                <w:rFonts w:ascii="Arial" w:cs="Arial" w:eastAsia="Arial" w:hAnsi="Arial"/>
                <w:sz w:val="20"/>
                <w:szCs w:val="20"/>
                <w:color w:val="auto"/>
              </w:rPr>
              <w:t>Cement</w:t>
            </w: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32,543</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33.1</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27,459</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31.0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tcPr>
          <w:p>
            <w:pPr>
              <w:ind w:left="600"/>
              <w:spacing w:after="0"/>
              <w:rPr>
                <w:sz w:val="20"/>
                <w:szCs w:val="20"/>
                <w:color w:val="auto"/>
              </w:rPr>
            </w:pPr>
            <w:r>
              <w:rPr>
                <w:rFonts w:ascii="Arial" w:cs="Arial" w:eastAsia="Arial" w:hAnsi="Arial"/>
                <w:sz w:val="20"/>
                <w:szCs w:val="20"/>
                <w:color w:val="auto"/>
              </w:rPr>
              <w:t>Ready mixed concrete</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20,632</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8.1</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23,913</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10.0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FF0FC"/>
          </w:tcPr>
          <w:p>
            <w:pPr>
              <w:ind w:left="600"/>
              <w:spacing w:after="0"/>
              <w:rPr>
                <w:sz w:val="20"/>
                <w:szCs w:val="20"/>
                <w:color w:val="auto"/>
              </w:rPr>
            </w:pPr>
            <w:r>
              <w:rPr>
                <w:rFonts w:ascii="Arial" w:cs="Arial" w:eastAsia="Arial" w:hAnsi="Arial"/>
                <w:sz w:val="20"/>
                <w:szCs w:val="20"/>
                <w:color w:val="auto"/>
              </w:rPr>
              <w:t>Asphalt and paving</w:t>
            </w:r>
          </w:p>
        </w:tc>
        <w:tc>
          <w:tcPr>
            <w:tcW w:w="68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25,606</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25.6</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28,873</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00" w:type="dxa"/>
            <w:vAlign w:val="bottom"/>
          </w:tcPr>
          <w:p>
            <w:pPr>
              <w:ind w:left="120"/>
              <w:spacing w:after="0"/>
              <w:rPr>
                <w:sz w:val="20"/>
                <w:szCs w:val="20"/>
                <w:color w:val="auto"/>
              </w:rPr>
            </w:pPr>
            <w:r>
              <w:rPr>
                <w:rFonts w:ascii="Arial" w:cs="Arial" w:eastAsia="Arial" w:hAnsi="Arial"/>
                <w:sz w:val="20"/>
                <w:szCs w:val="20"/>
                <w:color w:val="auto"/>
              </w:rPr>
              <w:t>Products and services</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287,863</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26.8</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267,310</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FF0FC"/>
          </w:tcPr>
          <w:p>
            <w:pPr>
              <w:ind w:left="120"/>
              <w:spacing w:after="0"/>
              <w:rPr>
                <w:sz w:val="20"/>
                <w:szCs w:val="20"/>
                <w:color w:val="auto"/>
              </w:rPr>
            </w:pPr>
            <w:r>
              <w:rPr>
                <w:rFonts w:ascii="Arial" w:cs="Arial" w:eastAsia="Arial" w:hAnsi="Arial"/>
                <w:sz w:val="20"/>
                <w:szCs w:val="20"/>
                <w:color w:val="auto"/>
              </w:rPr>
              <w:t>Freight</w:t>
            </w: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01"/>
              <w:spacing w:after="0"/>
              <w:rPr>
                <w:sz w:val="20"/>
                <w:szCs w:val="20"/>
                <w:color w:val="auto"/>
              </w:rPr>
            </w:pPr>
            <w:r>
              <w:rPr>
                <w:rFonts w:ascii="Arial" w:cs="Arial" w:eastAsia="Arial" w:hAnsi="Arial"/>
                <w:sz w:val="20"/>
                <w:szCs w:val="20"/>
                <w:color w:val="auto"/>
              </w:rPr>
              <w:t>(47)</w:t>
            </w: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1,012</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20" w:type="dxa"/>
            <w:vAlign w:val="bottom"/>
            <w:gridSpan w:val="2"/>
          </w:tcPr>
          <w:p>
            <w:pPr>
              <w:spacing w:after="0"/>
              <w:rPr>
                <w:sz w:val="20"/>
                <w:szCs w:val="20"/>
                <w:color w:val="auto"/>
              </w:rPr>
            </w:pPr>
            <w:r>
              <w:rPr>
                <w:rFonts w:ascii="Arial" w:cs="Arial" w:eastAsia="Arial" w:hAnsi="Arial"/>
                <w:sz w:val="20"/>
                <w:szCs w:val="20"/>
                <w:color w:val="auto"/>
              </w:rPr>
              <w:t>Total Building Materials Business</w:t>
            </w:r>
          </w:p>
        </w:tc>
        <w:tc>
          <w:tcPr>
            <w:tcW w:w="6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287,816</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25.1</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268,322</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Magnesia Specialties Business:</w:t>
            </w:r>
          </w:p>
        </w:tc>
        <w:tc>
          <w:tcPr>
            <w:tcW w:w="68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380" w:type="dxa"/>
            <w:vAlign w:val="bottom"/>
            <w:tcBorders>
              <w:top w:val="single" w:sz="8" w:color="CFF0FC"/>
            </w:tcBorders>
            <w:shd w:val="clear" w:color="auto" w:fill="CFF0FC"/>
          </w:tcPr>
          <w:p>
            <w:pPr>
              <w:spacing w:after="0"/>
              <w:rPr>
                <w:sz w:val="20"/>
                <w:szCs w:val="20"/>
                <w:color w:val="auto"/>
              </w:rPr>
            </w:pPr>
          </w:p>
        </w:tc>
        <w:tc>
          <w:tcPr>
            <w:tcW w:w="130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CFF0FC"/>
            </w:tcBorders>
            <w:shd w:val="clear" w:color="auto" w:fill="CFF0FC"/>
          </w:tcPr>
          <w:p>
            <w:pPr>
              <w:spacing w:after="0"/>
              <w:rPr>
                <w:sz w:val="20"/>
                <w:szCs w:val="20"/>
                <w:color w:val="auto"/>
              </w:rPr>
            </w:pPr>
          </w:p>
        </w:tc>
        <w:tc>
          <w:tcPr>
            <w:tcW w:w="132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tcPr>
          <w:p>
            <w:pPr>
              <w:ind w:left="120"/>
              <w:spacing w:after="0"/>
              <w:rPr>
                <w:sz w:val="20"/>
                <w:szCs w:val="20"/>
                <w:color w:val="auto"/>
              </w:rPr>
            </w:pPr>
            <w:r>
              <w:rPr>
                <w:rFonts w:ascii="Arial" w:cs="Arial" w:eastAsia="Arial" w:hAnsi="Arial"/>
                <w:sz w:val="20"/>
                <w:szCs w:val="20"/>
                <w:color w:val="auto"/>
              </w:rPr>
              <w:t>Products</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26,823</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39.2</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21,272</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35.5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FF0FC"/>
          </w:tcPr>
          <w:p>
            <w:pPr>
              <w:ind w:left="120"/>
              <w:spacing w:after="0"/>
              <w:rPr>
                <w:sz w:val="20"/>
                <w:szCs w:val="20"/>
                <w:color w:val="auto"/>
              </w:rPr>
            </w:pPr>
            <w:r>
              <w:rPr>
                <w:rFonts w:ascii="Arial" w:cs="Arial" w:eastAsia="Arial" w:hAnsi="Arial"/>
                <w:sz w:val="20"/>
                <w:szCs w:val="20"/>
                <w:color w:val="auto"/>
              </w:rPr>
              <w:t>Freight</w:t>
            </w: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01"/>
              <w:spacing w:after="0"/>
              <w:rPr>
                <w:sz w:val="20"/>
                <w:szCs w:val="20"/>
                <w:color w:val="auto"/>
              </w:rPr>
            </w:pPr>
            <w:r>
              <w:rPr>
                <w:rFonts w:ascii="Arial" w:cs="Arial" w:eastAsia="Arial" w:hAnsi="Arial"/>
                <w:sz w:val="20"/>
                <w:szCs w:val="20"/>
                <w:color w:val="auto"/>
              </w:rPr>
              <w:t>(1,076)</w:t>
            </w: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(1,362)</w:t>
            </w: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20" w:type="dxa"/>
            <w:vAlign w:val="bottom"/>
            <w:gridSpan w:val="2"/>
          </w:tcPr>
          <w:p>
            <w:pPr>
              <w:spacing w:after="0"/>
              <w:rPr>
                <w:sz w:val="20"/>
                <w:szCs w:val="20"/>
                <w:color w:val="auto"/>
              </w:rPr>
            </w:pPr>
            <w:r>
              <w:rPr>
                <w:rFonts w:ascii="Arial" w:cs="Arial" w:eastAsia="Arial" w:hAnsi="Arial"/>
                <w:sz w:val="20"/>
                <w:szCs w:val="20"/>
                <w:color w:val="auto"/>
              </w:rPr>
              <w:t>Total Magnesia Specialties Business</w:t>
            </w:r>
          </w:p>
        </w:tc>
        <w:tc>
          <w:tcPr>
            <w:tcW w:w="6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25,747</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35.0</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19,910</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31.2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Corporate</w:t>
            </w:r>
          </w:p>
        </w:tc>
        <w:tc>
          <w:tcPr>
            <w:tcW w:w="68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(579)</w:t>
            </w:r>
          </w:p>
        </w:tc>
        <w:tc>
          <w:tcPr>
            <w:tcW w:w="380" w:type="dxa"/>
            <w:vAlign w:val="bottom"/>
            <w:tcBorders>
              <w:top w:val="single" w:sz="8" w:color="CFF0FC"/>
            </w:tcBorders>
            <w:shd w:val="clear" w:color="auto" w:fill="CFF0FC"/>
          </w:tcPr>
          <w:p>
            <w:pPr>
              <w:spacing w:after="0"/>
              <w:rPr>
                <w:sz w:val="20"/>
                <w:szCs w:val="20"/>
                <w:color w:val="auto"/>
              </w:rPr>
            </w:pPr>
          </w:p>
        </w:tc>
        <w:tc>
          <w:tcPr>
            <w:tcW w:w="130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3,446</w:t>
            </w:r>
          </w:p>
        </w:tc>
        <w:tc>
          <w:tcPr>
            <w:tcW w:w="320" w:type="dxa"/>
            <w:vAlign w:val="bottom"/>
            <w:tcBorders>
              <w:top w:val="single" w:sz="8" w:color="CFF0FC"/>
            </w:tcBorders>
            <w:shd w:val="clear" w:color="auto" w:fill="CFF0FC"/>
          </w:tcPr>
          <w:p>
            <w:pPr>
              <w:spacing w:after="0"/>
              <w:rPr>
                <w:sz w:val="20"/>
                <w:szCs w:val="20"/>
                <w:color w:val="auto"/>
              </w:rPr>
            </w:pPr>
          </w:p>
        </w:tc>
        <w:tc>
          <w:tcPr>
            <w:tcW w:w="132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320" w:type="dxa"/>
            <w:vAlign w:val="bottom"/>
            <w:gridSpan w:val="2"/>
          </w:tcPr>
          <w:p>
            <w:pPr>
              <w:spacing w:after="0"/>
              <w:rPr>
                <w:sz w:val="20"/>
                <w:szCs w:val="20"/>
                <w:color w:val="auto"/>
              </w:rPr>
            </w:pPr>
            <w:r>
              <w:rPr>
                <w:rFonts w:ascii="Arial" w:cs="Arial" w:eastAsia="Arial" w:hAnsi="Arial"/>
                <w:sz w:val="20"/>
                <w:szCs w:val="20"/>
                <w:color w:val="auto"/>
              </w:rPr>
              <w:t>Total</w:t>
            </w:r>
          </w:p>
        </w:tc>
        <w:tc>
          <w:tcPr>
            <w:tcW w:w="680" w:type="dxa"/>
            <w:vAlign w:val="bottom"/>
          </w:tcPr>
          <w:p>
            <w:pPr>
              <w:spacing w:after="0"/>
              <w:rPr>
                <w:sz w:val="24"/>
                <w:szCs w:val="24"/>
                <w:color w:val="auto"/>
              </w:rPr>
            </w:pP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312,984</w:t>
            </w: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25.7</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291,678</w:t>
            </w:r>
          </w:p>
        </w:tc>
        <w:tc>
          <w:tcPr>
            <w:tcW w:w="3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26.8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43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300" w:type="dxa"/>
            <w:vAlign w:val="bottom"/>
          </w:tcPr>
          <w:p>
            <w:pPr>
              <w:spacing w:after="0"/>
              <w:rPr>
                <w:sz w:val="20"/>
                <w:szCs w:val="20"/>
                <w:color w:val="auto"/>
              </w:rPr>
            </w:pPr>
            <w:r>
              <w:rPr>
                <w:rFonts w:ascii="Arial" w:cs="Arial" w:eastAsia="Arial" w:hAnsi="Arial"/>
                <w:sz w:val="20"/>
                <w:szCs w:val="20"/>
                <w:b w:val="1"/>
                <w:bCs w:val="1"/>
                <w:color w:val="auto"/>
              </w:rPr>
              <w:t>Selling, general &amp; administrative expenses:</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20"/>
                <w:szCs w:val="20"/>
                <w:color w:val="auto"/>
              </w:rPr>
              <w:t>Building Materials Business:</w:t>
            </w: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tcPr>
          <w:p>
            <w:pPr>
              <w:ind w:left="240"/>
              <w:spacing w:after="0"/>
              <w:rPr>
                <w:sz w:val="20"/>
                <w:szCs w:val="20"/>
                <w:color w:val="auto"/>
              </w:rPr>
            </w:pPr>
            <w:r>
              <w:rPr>
                <w:rFonts w:ascii="Arial" w:cs="Arial" w:eastAsia="Arial" w:hAnsi="Arial"/>
                <w:sz w:val="20"/>
                <w:szCs w:val="20"/>
                <w:color w:val="auto"/>
              </w:rPr>
              <w:t>Mid-America Group</w:t>
            </w:r>
          </w:p>
        </w:tc>
        <w:tc>
          <w:tcPr>
            <w:tcW w:w="90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14,113</w:t>
            </w: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gridSpan w:val="2"/>
          </w:tcPr>
          <w:p>
            <w:pPr>
              <w:jc w:val="right"/>
              <w:ind w:right="43"/>
              <w:spacing w:after="0"/>
              <w:rPr>
                <w:sz w:val="20"/>
                <w:szCs w:val="20"/>
                <w:color w:val="auto"/>
              </w:rPr>
            </w:pPr>
            <w:r>
              <w:rPr>
                <w:rFonts w:ascii="Arial" w:cs="Arial" w:eastAsia="Arial" w:hAnsi="Arial"/>
                <w:sz w:val="20"/>
                <w:szCs w:val="20"/>
                <w:color w:val="auto"/>
                <w:w w:val="71"/>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12,671</w:t>
            </w: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FF0FC"/>
          </w:tcPr>
          <w:p>
            <w:pPr>
              <w:ind w:left="240"/>
              <w:spacing w:after="0"/>
              <w:rPr>
                <w:sz w:val="20"/>
                <w:szCs w:val="20"/>
                <w:color w:val="auto"/>
              </w:rPr>
            </w:pPr>
            <w:r>
              <w:rPr>
                <w:rFonts w:ascii="Arial" w:cs="Arial" w:eastAsia="Arial" w:hAnsi="Arial"/>
                <w:sz w:val="20"/>
                <w:szCs w:val="20"/>
                <w:color w:val="auto"/>
              </w:rPr>
              <w:t>Southeast Group</w:t>
            </w: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4,440</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4,097</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West Group</w:t>
            </w:r>
          </w:p>
        </w:tc>
        <w:tc>
          <w:tcPr>
            <w:tcW w:w="6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26,600</w:t>
            </w:r>
          </w:p>
        </w:tc>
        <w:tc>
          <w:tcPr>
            <w:tcW w:w="380" w:type="dxa"/>
            <w:vAlign w:val="bottom"/>
            <w:tcBorders>
              <w:bottom w:val="single" w:sz="8" w:color="CFF0FC"/>
            </w:tcBorders>
          </w:tcPr>
          <w:p>
            <w:pPr>
              <w:spacing w:after="0"/>
              <w:rPr>
                <w:sz w:val="21"/>
                <w:szCs w:val="21"/>
                <w:color w:val="auto"/>
              </w:rPr>
            </w:pPr>
          </w:p>
        </w:tc>
        <w:tc>
          <w:tcPr>
            <w:tcW w:w="130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24,716</w:t>
            </w:r>
          </w:p>
        </w:tc>
        <w:tc>
          <w:tcPr>
            <w:tcW w:w="320" w:type="dxa"/>
            <w:vAlign w:val="bottom"/>
            <w:tcBorders>
              <w:bottom w:val="single" w:sz="8" w:color="CFF0FC"/>
            </w:tcBorders>
          </w:tcPr>
          <w:p>
            <w:pPr>
              <w:spacing w:after="0"/>
              <w:rPr>
                <w:sz w:val="21"/>
                <w:szCs w:val="21"/>
                <w:color w:val="auto"/>
              </w:rPr>
            </w:pPr>
          </w:p>
        </w:tc>
        <w:tc>
          <w:tcPr>
            <w:tcW w:w="13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6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45,153</w:t>
            </w: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41,484</w:t>
            </w:r>
          </w:p>
        </w:tc>
        <w:tc>
          <w:tcPr>
            <w:tcW w:w="3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tcPr>
          <w:p>
            <w:pPr>
              <w:spacing w:after="0"/>
              <w:rPr>
                <w:sz w:val="20"/>
                <w:szCs w:val="20"/>
                <w:color w:val="auto"/>
              </w:rPr>
            </w:pPr>
            <w:r>
              <w:rPr>
                <w:rFonts w:ascii="Arial" w:cs="Arial" w:eastAsia="Arial" w:hAnsi="Arial"/>
                <w:sz w:val="20"/>
                <w:szCs w:val="20"/>
                <w:color w:val="auto"/>
              </w:rPr>
              <w:t>Magnesia Specialties</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2,404</w:t>
            </w: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2,329</w:t>
            </w: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20"/>
                <w:szCs w:val="20"/>
                <w:color w:val="auto"/>
              </w:rPr>
              <w:t>Corporate</w:t>
            </w:r>
          </w:p>
        </w:tc>
        <w:tc>
          <w:tcPr>
            <w:tcW w:w="68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20,884</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13,406</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320" w:type="dxa"/>
            <w:vAlign w:val="bottom"/>
            <w:gridSpan w:val="2"/>
          </w:tcPr>
          <w:p>
            <w:pPr>
              <w:spacing w:after="0"/>
              <w:rPr>
                <w:sz w:val="20"/>
                <w:szCs w:val="20"/>
                <w:color w:val="auto"/>
              </w:rPr>
            </w:pPr>
            <w:r>
              <w:rPr>
                <w:rFonts w:ascii="Arial" w:cs="Arial" w:eastAsia="Arial" w:hAnsi="Arial"/>
                <w:sz w:val="20"/>
                <w:szCs w:val="20"/>
                <w:color w:val="auto"/>
              </w:rPr>
              <w:t>Total</w:t>
            </w:r>
          </w:p>
        </w:tc>
        <w:tc>
          <w:tcPr>
            <w:tcW w:w="680" w:type="dxa"/>
            <w:vAlign w:val="bottom"/>
          </w:tcPr>
          <w:p>
            <w:pPr>
              <w:spacing w:after="0"/>
              <w:rPr>
                <w:sz w:val="20"/>
                <w:szCs w:val="20"/>
                <w:color w:val="auto"/>
              </w:rPr>
            </w:pP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68,441</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5.6</w:t>
            </w: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57,219</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34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2018</w:t>
      </w:r>
    </w:p>
    <w:p>
      <w:pPr>
        <w:jc w:val="center"/>
        <w:spacing w:after="0"/>
        <w:rPr>
          <w:sz w:val="20"/>
          <w:szCs w:val="20"/>
          <w:color w:val="auto"/>
        </w:rPr>
      </w:pPr>
      <w:r>
        <w:rPr>
          <w:rFonts w:ascii="Arial" w:cs="Arial" w:eastAsia="Arial" w:hAnsi="Arial"/>
          <w:sz w:val="20"/>
          <w:szCs w:val="20"/>
          <w:color w:val="auto"/>
        </w:rPr>
        <w:t>(Continued)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9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3640" w:type="dxa"/>
            <w:vAlign w:val="bottom"/>
            <w:tcBorders>
              <w:bottom w:val="single" w:sz="8" w:color="auto"/>
            </w:tcBorders>
            <w:gridSpan w:val="7"/>
          </w:tcPr>
          <w:p>
            <w:pPr>
              <w:jc w:val="right"/>
              <w:ind w:right="420"/>
              <w:spacing w:after="0"/>
              <w:rPr>
                <w:sz w:val="20"/>
                <w:szCs w:val="20"/>
                <w:color w:val="auto"/>
              </w:rPr>
            </w:pPr>
            <w:r>
              <w:rPr>
                <w:rFonts w:ascii="Arial" w:cs="Arial" w:eastAsia="Arial" w:hAnsi="Arial"/>
                <w:sz w:val="20"/>
                <w:szCs w:val="20"/>
                <w:color w:val="auto"/>
                <w:w w:val="98"/>
              </w:rPr>
              <w:t>Three-Months Ended September 30,</w:t>
            </w:r>
          </w:p>
        </w:tc>
        <w:tc>
          <w:tcPr>
            <w:tcW w:w="1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39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2018</w:t>
            </w:r>
          </w:p>
        </w:tc>
        <w:tc>
          <w:tcPr>
            <w:tcW w:w="13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auto"/>
              </w:rPr>
              <w:t>2017</w:t>
            </w: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900" w:type="dxa"/>
            <w:vAlign w:val="bottom"/>
            <w:tcBorders>
              <w:bottom w:val="single" w:sz="8" w:color="CFF0FC"/>
            </w:tcBorders>
          </w:tcPr>
          <w:p>
            <w:pPr>
              <w:spacing w:after="0"/>
              <w:rPr>
                <w:sz w:val="20"/>
                <w:szCs w:val="20"/>
                <w:color w:val="auto"/>
              </w:rPr>
            </w:pPr>
          </w:p>
        </w:tc>
        <w:tc>
          <w:tcPr>
            <w:tcW w:w="11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right"/>
              <w:ind w:right="641"/>
              <w:spacing w:after="0"/>
              <w:rPr>
                <w:sz w:val="20"/>
                <w:szCs w:val="20"/>
                <w:color w:val="auto"/>
              </w:rPr>
            </w:pPr>
            <w:r>
              <w:rPr>
                <w:rFonts w:ascii="Arial" w:cs="Arial" w:eastAsia="Arial" w:hAnsi="Arial"/>
                <w:sz w:val="20"/>
                <w:szCs w:val="20"/>
                <w:color w:val="auto"/>
              </w:rPr>
              <w:t>Amount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8"/>
              </w:rPr>
              <w:t>% of Revenues</w:t>
            </w: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20"/>
                <w:szCs w:val="20"/>
                <w:color w:val="auto"/>
              </w:rPr>
              <w:t>Amount</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w w:val="88"/>
              </w:rPr>
              <w:t>% of Revenues</w:t>
            </w:r>
          </w:p>
        </w:tc>
        <w:tc>
          <w:tcPr>
            <w:tcW w:w="100" w:type="dxa"/>
            <w:vAlign w:val="bottom"/>
            <w:tcBorders>
              <w:bottom w:val="single" w:sz="8" w:color="CFF0FC"/>
            </w:tcBorders>
          </w:tcPr>
          <w:p>
            <w:pPr>
              <w:spacing w:after="0"/>
              <w:rPr>
                <w:sz w:val="20"/>
                <w:szCs w:val="20"/>
                <w:color w:val="auto"/>
              </w:rPr>
            </w:pPr>
          </w:p>
        </w:tc>
      </w:tr>
      <w:tr>
        <w:trPr>
          <w:trHeight w:val="237"/>
        </w:trPr>
        <w:tc>
          <w:tcPr>
            <w:tcW w:w="39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3260" w:type="dxa"/>
            <w:vAlign w:val="bottom"/>
            <w:gridSpan w:val="6"/>
            <w:shd w:val="clear" w:color="auto" w:fill="CFF0FC"/>
          </w:tcPr>
          <w:p>
            <w:pPr>
              <w:jc w:val="right"/>
              <w:ind w:right="940"/>
              <w:spacing w:after="0"/>
              <w:rPr>
                <w:sz w:val="20"/>
                <w:szCs w:val="20"/>
                <w:color w:val="auto"/>
              </w:rPr>
            </w:pPr>
            <w:r>
              <w:rPr>
                <w:rFonts w:ascii="Arial" w:cs="Arial" w:eastAsia="Arial" w:hAnsi="Arial"/>
                <w:sz w:val="20"/>
                <w:szCs w:val="20"/>
                <w:i w:val="1"/>
                <w:iCs w:val="1"/>
                <w:color w:val="auto"/>
              </w:rPr>
              <w:t>(Dollars in Thousands)</w:t>
            </w: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20"/>
                <w:szCs w:val="20"/>
                <w:b w:val="1"/>
                <w:bCs w:val="1"/>
                <w:color w:val="auto"/>
              </w:rPr>
              <w:t>Earnings (Loss) from operations:</w:t>
            </w: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00" w:type="dxa"/>
            <w:vAlign w:val="bottom"/>
            <w:shd w:val="clear" w:color="auto" w:fill="CFF0FC"/>
          </w:tcPr>
          <w:p>
            <w:pPr>
              <w:spacing w:after="0"/>
              <w:rPr>
                <w:sz w:val="20"/>
                <w:szCs w:val="20"/>
                <w:color w:val="auto"/>
              </w:rPr>
            </w:pPr>
            <w:r>
              <w:rPr>
                <w:rFonts w:ascii="Arial" w:cs="Arial" w:eastAsia="Arial" w:hAnsi="Arial"/>
                <w:sz w:val="20"/>
                <w:szCs w:val="20"/>
                <w:color w:val="auto"/>
              </w:rPr>
              <w:t>Building Materials Business:</w:t>
            </w:r>
          </w:p>
        </w:tc>
        <w:tc>
          <w:tcPr>
            <w:tcW w:w="1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3900" w:type="dxa"/>
            <w:vAlign w:val="bottom"/>
          </w:tcPr>
          <w:p>
            <w:pPr>
              <w:ind w:left="260"/>
              <w:spacing w:after="0"/>
              <w:rPr>
                <w:sz w:val="20"/>
                <w:szCs w:val="20"/>
                <w:color w:val="auto"/>
              </w:rPr>
            </w:pPr>
            <w:r>
              <w:rPr>
                <w:rFonts w:ascii="Arial" w:cs="Arial" w:eastAsia="Arial" w:hAnsi="Arial"/>
                <w:sz w:val="20"/>
                <w:szCs w:val="20"/>
                <w:color w:val="auto"/>
              </w:rPr>
              <w:t>Mid-America Group</w:t>
            </w:r>
          </w:p>
        </w:tc>
        <w:tc>
          <w:tcPr>
            <w:tcW w:w="1320" w:type="dxa"/>
            <w:vAlign w:val="bottom"/>
            <w:gridSpan w:val="2"/>
          </w:tcPr>
          <w:p>
            <w:pPr>
              <w:jc w:val="right"/>
              <w:ind w:right="21"/>
              <w:spacing w:after="0"/>
              <w:rPr>
                <w:sz w:val="20"/>
                <w:szCs w:val="20"/>
                <w:color w:val="auto"/>
              </w:rPr>
            </w:pPr>
            <w:r>
              <w:rPr>
                <w:rFonts w:ascii="Arial" w:cs="Arial" w:eastAsia="Arial" w:hAnsi="Arial"/>
                <w:sz w:val="20"/>
                <w:szCs w:val="20"/>
                <w:color w:val="auto"/>
              </w:rPr>
              <w:t>$</w:t>
            </w:r>
          </w:p>
        </w:tc>
        <w:tc>
          <w:tcPr>
            <w:tcW w:w="1140" w:type="dxa"/>
            <w:vAlign w:val="bottom"/>
          </w:tcPr>
          <w:p>
            <w:pPr>
              <w:jc w:val="right"/>
              <w:spacing w:after="0"/>
              <w:rPr>
                <w:sz w:val="20"/>
                <w:szCs w:val="20"/>
                <w:color w:val="auto"/>
              </w:rPr>
            </w:pPr>
            <w:r>
              <w:rPr>
                <w:rFonts w:ascii="Arial" w:cs="Arial" w:eastAsia="Arial" w:hAnsi="Arial"/>
                <w:sz w:val="20"/>
                <w:szCs w:val="20"/>
                <w:color w:val="auto"/>
              </w:rPr>
              <w:t>120,344</w:t>
            </w: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gridSpan w:val="2"/>
          </w:tcPr>
          <w:p>
            <w:pPr>
              <w:jc w:val="right"/>
              <w:ind w:right="43"/>
              <w:spacing w:after="0"/>
              <w:rPr>
                <w:sz w:val="20"/>
                <w:szCs w:val="20"/>
                <w:color w:val="auto"/>
              </w:rPr>
            </w:pPr>
            <w:r>
              <w:rPr>
                <w:rFonts w:ascii="Arial" w:cs="Arial" w:eastAsia="Arial" w:hAnsi="Arial"/>
                <w:sz w:val="20"/>
                <w:szCs w:val="20"/>
                <w:color w:val="auto"/>
                <w:w w:val="71"/>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106,235</w:t>
            </w: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Southeast Group</w:t>
            </w:r>
          </w:p>
        </w:tc>
        <w:tc>
          <w:tcPr>
            <w:tcW w:w="1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26,372</w:t>
            </w:r>
          </w:p>
        </w:tc>
        <w:tc>
          <w:tcPr>
            <w:tcW w:w="3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17,882</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3900" w:type="dxa"/>
            <w:vAlign w:val="bottom"/>
            <w:tcBorders>
              <w:bottom w:val="single" w:sz="8" w:color="CFF0FC"/>
            </w:tcBorders>
          </w:tcPr>
          <w:p>
            <w:pPr>
              <w:ind w:left="260"/>
              <w:spacing w:after="0"/>
              <w:rPr>
                <w:sz w:val="20"/>
                <w:szCs w:val="20"/>
                <w:color w:val="auto"/>
              </w:rPr>
            </w:pPr>
            <w:r>
              <w:rPr>
                <w:rFonts w:ascii="Arial" w:cs="Arial" w:eastAsia="Arial" w:hAnsi="Arial"/>
                <w:sz w:val="20"/>
                <w:szCs w:val="20"/>
                <w:color w:val="auto"/>
              </w:rPr>
              <w:t>West Group</w:t>
            </w:r>
          </w:p>
        </w:tc>
        <w:tc>
          <w:tcPr>
            <w:tcW w:w="11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92,090</w:t>
            </w:r>
          </w:p>
        </w:tc>
        <w:tc>
          <w:tcPr>
            <w:tcW w:w="380" w:type="dxa"/>
            <w:vAlign w:val="bottom"/>
            <w:tcBorders>
              <w:bottom w:val="single" w:sz="8" w:color="CFF0FC"/>
            </w:tcBorders>
          </w:tcPr>
          <w:p>
            <w:pPr>
              <w:spacing w:after="0"/>
              <w:rPr>
                <w:sz w:val="21"/>
                <w:szCs w:val="21"/>
                <w:color w:val="auto"/>
              </w:rPr>
            </w:pPr>
          </w:p>
        </w:tc>
        <w:tc>
          <w:tcPr>
            <w:tcW w:w="130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96,522</w:t>
            </w:r>
          </w:p>
        </w:tc>
        <w:tc>
          <w:tcPr>
            <w:tcW w:w="320" w:type="dxa"/>
            <w:vAlign w:val="bottom"/>
            <w:tcBorders>
              <w:bottom w:val="single" w:sz="8" w:color="CFF0FC"/>
            </w:tcBorders>
          </w:tcPr>
          <w:p>
            <w:pPr>
              <w:spacing w:after="0"/>
              <w:rPr>
                <w:sz w:val="21"/>
                <w:szCs w:val="21"/>
                <w:color w:val="auto"/>
              </w:rPr>
            </w:pPr>
          </w:p>
        </w:tc>
        <w:tc>
          <w:tcPr>
            <w:tcW w:w="13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r>
      <w:tr>
        <w:trPr>
          <w:trHeight w:val="237"/>
        </w:trPr>
        <w:tc>
          <w:tcPr>
            <w:tcW w:w="3900" w:type="dxa"/>
            <w:vAlign w:val="bottom"/>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1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238,806</w:t>
            </w:r>
          </w:p>
        </w:tc>
        <w:tc>
          <w:tcPr>
            <w:tcW w:w="3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220,639</w:t>
            </w:r>
          </w:p>
        </w:tc>
        <w:tc>
          <w:tcPr>
            <w:tcW w:w="3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20"/>
                <w:szCs w:val="20"/>
                <w:color w:val="auto"/>
              </w:rPr>
              <w:t>Magnesia Specialties</w:t>
            </w: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23,301</w:t>
            </w: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17,590</w:t>
            </w: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900" w:type="dxa"/>
            <w:vAlign w:val="bottom"/>
            <w:shd w:val="clear" w:color="auto" w:fill="CFF0FC"/>
          </w:tcPr>
          <w:p>
            <w:pPr>
              <w:spacing w:after="0"/>
              <w:rPr>
                <w:sz w:val="20"/>
                <w:szCs w:val="20"/>
                <w:color w:val="auto"/>
              </w:rPr>
            </w:pPr>
            <w:r>
              <w:rPr>
                <w:rFonts w:ascii="Arial" w:cs="Arial" w:eastAsia="Arial" w:hAnsi="Arial"/>
                <w:sz w:val="20"/>
                <w:szCs w:val="20"/>
                <w:color w:val="auto"/>
              </w:rPr>
              <w:t>Corporate</w:t>
            </w:r>
          </w:p>
        </w:tc>
        <w:tc>
          <w:tcPr>
            <w:tcW w:w="1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01"/>
              <w:spacing w:after="0"/>
              <w:rPr>
                <w:sz w:val="20"/>
                <w:szCs w:val="20"/>
                <w:color w:val="auto"/>
              </w:rPr>
            </w:pPr>
            <w:r>
              <w:rPr>
                <w:rFonts w:ascii="Arial" w:cs="Arial" w:eastAsia="Arial" w:hAnsi="Arial"/>
                <w:sz w:val="20"/>
                <w:szCs w:val="20"/>
                <w:color w:val="auto"/>
              </w:rPr>
              <w:t>(21,445)</w:t>
            </w: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20"/>
                <w:szCs w:val="20"/>
                <w:color w:val="auto"/>
              </w:rPr>
              <w:t>(11,265)</w:t>
            </w: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3900" w:type="dxa"/>
            <w:vAlign w:val="bottom"/>
          </w:tcPr>
          <w:p>
            <w:pPr>
              <w:spacing w:after="0"/>
              <w:rPr>
                <w:sz w:val="20"/>
                <w:szCs w:val="20"/>
                <w:color w:val="auto"/>
              </w:rPr>
            </w:pPr>
            <w:r>
              <w:rPr>
                <w:rFonts w:ascii="Arial" w:cs="Arial" w:eastAsia="Arial" w:hAnsi="Arial"/>
                <w:sz w:val="20"/>
                <w:szCs w:val="20"/>
                <w:color w:val="auto"/>
              </w:rPr>
              <w:t>Total</w:t>
            </w:r>
          </w:p>
        </w:tc>
        <w:tc>
          <w:tcPr>
            <w:tcW w:w="1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20"/>
                <w:szCs w:val="2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240,662</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19.7</w:t>
            </w: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226,964</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20.9</w:t>
            </w:r>
          </w:p>
        </w:tc>
        <w:tc>
          <w:tcPr>
            <w:tcW w:w="100" w:type="dxa"/>
            <w:vAlign w:val="bottom"/>
          </w:tcPr>
          <w:p>
            <w:pPr>
              <w:spacing w:after="0"/>
              <w:rPr>
                <w:sz w:val="20"/>
                <w:szCs w:val="20"/>
                <w:color w:val="auto"/>
              </w:rPr>
            </w:pPr>
          </w:p>
        </w:tc>
      </w:tr>
      <w:tr>
        <w:trPr>
          <w:trHeight w:val="20"/>
        </w:trPr>
        <w:tc>
          <w:tcPr>
            <w:tcW w:w="3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Building Materials Business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present aggregates products volume and pricing variance data and shipments data by segment:</w:t>
      </w:r>
    </w:p>
    <w:p>
      <w:pPr>
        <w:spacing w:after="0" w:line="229" w:lineRule="exact"/>
        <w:rPr>
          <w:sz w:val="20"/>
          <w:szCs w:val="20"/>
          <w:color w:val="auto"/>
        </w:rPr>
      </w:pPr>
    </w:p>
    <w:p>
      <w:pPr>
        <w:ind w:left="7760"/>
        <w:spacing w:after="0"/>
        <w:rPr>
          <w:sz w:val="20"/>
          <w:szCs w:val="20"/>
          <w:color w:val="auto"/>
        </w:rPr>
      </w:pPr>
      <w:r>
        <w:rPr>
          <w:rFonts w:ascii="Arial" w:cs="Arial" w:eastAsia="Arial" w:hAnsi="Arial"/>
          <w:sz w:val="20"/>
          <w:szCs w:val="20"/>
          <w:color w:val="auto"/>
        </w:rPr>
        <w:t>Three-Months Ended</w:t>
      </w:r>
    </w:p>
    <w:p>
      <w:pPr>
        <w:spacing w:after="0" w:line="20" w:lineRule="exact"/>
        <w:rPr>
          <w:sz w:val="20"/>
          <w:szCs w:val="20"/>
          <w:color w:val="auto"/>
        </w:rPr>
      </w:pPr>
    </w:p>
    <w:p>
      <w:pPr>
        <w:ind w:left="7800"/>
        <w:spacing w:after="0"/>
        <w:rPr>
          <w:sz w:val="20"/>
          <w:szCs w:val="20"/>
          <w:color w:val="auto"/>
        </w:rPr>
      </w:pPr>
      <w:r>
        <w:rPr>
          <w:rFonts w:ascii="Arial" w:cs="Arial" w:eastAsia="Arial" w:hAnsi="Arial"/>
          <w:sz w:val="20"/>
          <w:szCs w:val="20"/>
          <w:color w:val="auto"/>
        </w:rPr>
        <w:t>September 30, 2018</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00" w:type="dxa"/>
            <w:vAlign w:val="bottom"/>
            <w:tcBorders>
              <w:bottom w:val="single" w:sz="8" w:color="CFF0FC"/>
            </w:tcBorders>
          </w:tcPr>
          <w:p>
            <w:pPr>
              <w:spacing w:after="0"/>
              <w:rPr>
                <w:sz w:val="20"/>
                <w:szCs w:val="20"/>
                <w:color w:val="auto"/>
              </w:rPr>
            </w:pPr>
          </w:p>
        </w:tc>
        <w:tc>
          <w:tcPr>
            <w:tcW w:w="17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20"/>
                <w:szCs w:val="20"/>
                <w:color w:val="auto"/>
              </w:rPr>
              <w:t>Volume</w:t>
            </w:r>
          </w:p>
        </w:tc>
        <w:tc>
          <w:tcPr>
            <w:tcW w:w="6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CFF0FC"/>
            </w:tcBorders>
          </w:tcPr>
          <w:p>
            <w:pPr>
              <w:spacing w:after="0"/>
              <w:rPr>
                <w:sz w:val="20"/>
                <w:szCs w:val="20"/>
                <w:color w:val="auto"/>
              </w:rPr>
            </w:pPr>
          </w:p>
        </w:tc>
        <w:tc>
          <w:tcPr>
            <w:tcW w:w="23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20"/>
                <w:szCs w:val="20"/>
                <w:color w:val="auto"/>
              </w:rPr>
              <w:t>Pricing</w:t>
            </w:r>
          </w:p>
        </w:tc>
        <w:tc>
          <w:tcPr>
            <w:tcW w:w="180" w:type="dxa"/>
            <w:vAlign w:val="bottom"/>
            <w:tcBorders>
              <w:bottom w:val="single" w:sz="8" w:color="CFF0FC"/>
            </w:tcBorders>
          </w:tcPr>
          <w:p>
            <w:pPr>
              <w:spacing w:after="0"/>
              <w:rPr>
                <w:sz w:val="20"/>
                <w:szCs w:val="20"/>
                <w:color w:val="auto"/>
              </w:rPr>
            </w:pPr>
          </w:p>
        </w:tc>
      </w:tr>
      <w:tr>
        <w:trPr>
          <w:trHeight w:val="237"/>
        </w:trPr>
        <w:tc>
          <w:tcPr>
            <w:tcW w:w="60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 xml:space="preserve">Volume/Pricing variance </w:t>
            </w:r>
            <w:r>
              <w:rPr>
                <w:rFonts w:ascii="Arial" w:cs="Arial" w:eastAsia="Arial" w:hAnsi="Arial"/>
                <w:sz w:val="16"/>
                <w:szCs w:val="16"/>
                <w:color w:val="auto"/>
              </w:rPr>
              <w:t>(1)</w:t>
            </w:r>
          </w:p>
        </w:tc>
        <w:tc>
          <w:tcPr>
            <w:tcW w:w="17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3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43"/>
        </w:trPr>
        <w:tc>
          <w:tcPr>
            <w:tcW w:w="7720" w:type="dxa"/>
            <w:vAlign w:val="bottom"/>
            <w:gridSpan w:val="2"/>
          </w:tcPr>
          <w:p>
            <w:pPr>
              <w:spacing w:after="0"/>
              <w:rPr>
                <w:sz w:val="20"/>
                <w:szCs w:val="20"/>
                <w:color w:val="auto"/>
              </w:rPr>
            </w:pPr>
            <w:r>
              <w:rPr>
                <w:rFonts w:ascii="Arial" w:cs="Arial" w:eastAsia="Arial" w:hAnsi="Arial"/>
                <w:sz w:val="20"/>
                <w:szCs w:val="20"/>
                <w:color w:val="auto"/>
              </w:rPr>
              <w:t>Heritage Operations:</w:t>
            </w:r>
            <w:r>
              <w:rPr>
                <w:rFonts w:ascii="Arial" w:cs="Arial" w:eastAsia="Arial" w:hAnsi="Arial"/>
                <w:sz w:val="16"/>
                <w:szCs w:val="16"/>
                <w:color w:val="auto"/>
              </w:rPr>
              <w:t>(2)</w:t>
            </w: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Mid-America Group</w:t>
            </w:r>
          </w:p>
        </w:tc>
        <w:tc>
          <w:tcPr>
            <w:tcW w:w="1140" w:type="dxa"/>
            <w:vAlign w:val="bottom"/>
            <w:gridSpan w:val="2"/>
            <w:shd w:val="clear" w:color="auto" w:fill="CFF0FC"/>
          </w:tcPr>
          <w:p>
            <w:pPr>
              <w:jc w:val="right"/>
              <w:ind w:right="360"/>
              <w:spacing w:after="0"/>
              <w:rPr>
                <w:sz w:val="20"/>
                <w:szCs w:val="20"/>
                <w:color w:val="auto"/>
              </w:rPr>
            </w:pPr>
            <w:r>
              <w:rPr>
                <w:rFonts w:ascii="Arial" w:cs="Arial" w:eastAsia="Arial" w:hAnsi="Arial"/>
                <w:sz w:val="20"/>
                <w:szCs w:val="20"/>
                <w:color w:val="auto"/>
              </w:rPr>
              <w:t>5.4%</w:t>
            </w:r>
          </w:p>
        </w:tc>
        <w:tc>
          <w:tcPr>
            <w:tcW w:w="25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2.8%</w:t>
            </w:r>
          </w:p>
        </w:tc>
      </w:tr>
      <w:tr>
        <w:trPr>
          <w:trHeight w:val="243"/>
        </w:trPr>
        <w:tc>
          <w:tcPr>
            <w:tcW w:w="7720" w:type="dxa"/>
            <w:vAlign w:val="bottom"/>
            <w:gridSpan w:val="2"/>
          </w:tcPr>
          <w:p>
            <w:pPr>
              <w:ind w:left="260"/>
              <w:spacing w:after="0"/>
              <w:rPr>
                <w:sz w:val="20"/>
                <w:szCs w:val="20"/>
                <w:color w:val="auto"/>
              </w:rPr>
            </w:pPr>
            <w:r>
              <w:rPr>
                <w:rFonts w:ascii="Arial" w:cs="Arial" w:eastAsia="Arial" w:hAnsi="Arial"/>
                <w:sz w:val="20"/>
                <w:szCs w:val="20"/>
                <w:color w:val="auto"/>
              </w:rPr>
              <w:t>Southeast Group</w:t>
            </w:r>
          </w:p>
        </w:tc>
        <w:tc>
          <w:tcPr>
            <w:tcW w:w="1140" w:type="dxa"/>
            <w:vAlign w:val="bottom"/>
            <w:gridSpan w:val="2"/>
          </w:tcPr>
          <w:p>
            <w:pPr>
              <w:jc w:val="right"/>
              <w:ind w:right="360"/>
              <w:spacing w:after="0"/>
              <w:rPr>
                <w:sz w:val="20"/>
                <w:szCs w:val="20"/>
                <w:color w:val="auto"/>
              </w:rPr>
            </w:pPr>
            <w:r>
              <w:rPr>
                <w:rFonts w:ascii="Arial" w:cs="Arial" w:eastAsia="Arial" w:hAnsi="Arial"/>
                <w:sz w:val="20"/>
                <w:szCs w:val="20"/>
                <w:color w:val="auto"/>
              </w:rPr>
              <w:t>6.2%</w:t>
            </w:r>
          </w:p>
        </w:tc>
        <w:tc>
          <w:tcPr>
            <w:tcW w:w="2560" w:type="dxa"/>
            <w:vAlign w:val="bottom"/>
            <w:gridSpan w:val="2"/>
          </w:tcPr>
          <w:p>
            <w:pPr>
              <w:jc w:val="right"/>
              <w:ind w:right="20"/>
              <w:spacing w:after="0"/>
              <w:rPr>
                <w:sz w:val="20"/>
                <w:szCs w:val="20"/>
                <w:color w:val="auto"/>
              </w:rPr>
            </w:pPr>
            <w:r>
              <w:rPr>
                <w:rFonts w:ascii="Arial" w:cs="Arial" w:eastAsia="Arial" w:hAnsi="Arial"/>
                <w:sz w:val="20"/>
                <w:szCs w:val="20"/>
                <w:color w:val="auto"/>
              </w:rPr>
              <w:t>1.7%</w:t>
            </w:r>
          </w:p>
        </w:tc>
      </w:tr>
      <w:tr>
        <w:trPr>
          <w:trHeight w:val="243"/>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West Group</w:t>
            </w:r>
          </w:p>
        </w:tc>
        <w:tc>
          <w:tcPr>
            <w:tcW w:w="114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(0.6)%</w:t>
            </w:r>
          </w:p>
        </w:tc>
        <w:tc>
          <w:tcPr>
            <w:tcW w:w="25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3.1%</w:t>
            </w:r>
          </w:p>
        </w:tc>
      </w:tr>
      <w:tr>
        <w:trPr>
          <w:trHeight w:val="243"/>
        </w:trPr>
        <w:tc>
          <w:tcPr>
            <w:tcW w:w="7720" w:type="dxa"/>
            <w:vAlign w:val="bottom"/>
            <w:gridSpan w:val="2"/>
          </w:tcPr>
          <w:p>
            <w:pPr>
              <w:spacing w:after="0"/>
              <w:rPr>
                <w:sz w:val="20"/>
                <w:szCs w:val="20"/>
                <w:color w:val="auto"/>
              </w:rPr>
            </w:pPr>
            <w:r>
              <w:rPr>
                <w:rFonts w:ascii="Arial" w:cs="Arial" w:eastAsia="Arial" w:hAnsi="Arial"/>
                <w:sz w:val="20"/>
                <w:szCs w:val="20"/>
                <w:color w:val="auto"/>
              </w:rPr>
              <w:t>Total Heritage Aggregates Operations</w:t>
            </w:r>
          </w:p>
        </w:tc>
        <w:tc>
          <w:tcPr>
            <w:tcW w:w="1140" w:type="dxa"/>
            <w:vAlign w:val="bottom"/>
            <w:gridSpan w:val="2"/>
          </w:tcPr>
          <w:p>
            <w:pPr>
              <w:jc w:val="right"/>
              <w:ind w:right="360"/>
              <w:spacing w:after="0"/>
              <w:rPr>
                <w:sz w:val="20"/>
                <w:szCs w:val="20"/>
                <w:color w:val="auto"/>
              </w:rPr>
            </w:pPr>
            <w:r>
              <w:rPr>
                <w:rFonts w:ascii="Arial" w:cs="Arial" w:eastAsia="Arial" w:hAnsi="Arial"/>
                <w:sz w:val="20"/>
                <w:szCs w:val="20"/>
                <w:color w:val="auto"/>
              </w:rPr>
              <w:t>3.2%</w:t>
            </w:r>
          </w:p>
        </w:tc>
        <w:tc>
          <w:tcPr>
            <w:tcW w:w="2560" w:type="dxa"/>
            <w:vAlign w:val="bottom"/>
            <w:gridSpan w:val="2"/>
          </w:tcPr>
          <w:p>
            <w:pPr>
              <w:jc w:val="right"/>
              <w:ind w:right="20"/>
              <w:spacing w:after="0"/>
              <w:rPr>
                <w:sz w:val="20"/>
                <w:szCs w:val="20"/>
                <w:color w:val="auto"/>
              </w:rPr>
            </w:pPr>
            <w:r>
              <w:rPr>
                <w:rFonts w:ascii="Arial" w:cs="Arial" w:eastAsia="Arial" w:hAnsi="Arial"/>
                <w:sz w:val="20"/>
                <w:szCs w:val="20"/>
                <w:color w:val="auto"/>
              </w:rPr>
              <w:t>2.9%</w:t>
            </w:r>
          </w:p>
        </w:tc>
      </w:tr>
      <w:tr>
        <w:trPr>
          <w:trHeight w:val="243"/>
        </w:trPr>
        <w:tc>
          <w:tcPr>
            <w:tcW w:w="772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Total Aggregates Operations</w:t>
            </w:r>
            <w:r>
              <w:rPr>
                <w:rFonts w:ascii="Arial" w:cs="Arial" w:eastAsia="Arial" w:hAnsi="Arial"/>
                <w:sz w:val="16"/>
                <w:szCs w:val="16"/>
                <w:color w:val="auto"/>
              </w:rPr>
              <w:t>(3)</w:t>
            </w:r>
          </w:p>
        </w:tc>
        <w:tc>
          <w:tcPr>
            <w:tcW w:w="1140" w:type="dxa"/>
            <w:vAlign w:val="bottom"/>
            <w:gridSpan w:val="2"/>
            <w:shd w:val="clear" w:color="auto" w:fill="CFF0FC"/>
          </w:tcPr>
          <w:p>
            <w:pPr>
              <w:jc w:val="right"/>
              <w:ind w:right="360"/>
              <w:spacing w:after="0"/>
              <w:rPr>
                <w:sz w:val="20"/>
                <w:szCs w:val="20"/>
                <w:color w:val="auto"/>
              </w:rPr>
            </w:pPr>
            <w:r>
              <w:rPr>
                <w:rFonts w:ascii="Arial" w:cs="Arial" w:eastAsia="Arial" w:hAnsi="Arial"/>
                <w:sz w:val="20"/>
                <w:szCs w:val="20"/>
                <w:color w:val="auto"/>
              </w:rPr>
              <w:t>14.9%</w:t>
            </w:r>
          </w:p>
        </w:tc>
        <w:tc>
          <w:tcPr>
            <w:tcW w:w="256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1.5%</w:t>
            </w:r>
          </w:p>
        </w:tc>
      </w:tr>
    </w:tbl>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35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2018</w:t>
      </w:r>
    </w:p>
    <w:p>
      <w:pPr>
        <w:jc w:val="center"/>
        <w:spacing w:after="0"/>
        <w:rPr>
          <w:sz w:val="20"/>
          <w:szCs w:val="20"/>
          <w:color w:val="auto"/>
        </w:rPr>
      </w:pPr>
      <w:r>
        <w:rPr>
          <w:rFonts w:ascii="Arial" w:cs="Arial" w:eastAsia="Arial" w:hAnsi="Arial"/>
          <w:sz w:val="20"/>
          <w:szCs w:val="20"/>
          <w:color w:val="auto"/>
        </w:rPr>
        <w:t>(Continued)</w:t>
      </w:r>
    </w:p>
    <w:p>
      <w:pPr>
        <w:spacing w:after="0" w:line="146" w:lineRule="exact"/>
        <w:rPr>
          <w:sz w:val="20"/>
          <w:szCs w:val="20"/>
          <w:color w:val="auto"/>
        </w:rPr>
      </w:pPr>
    </w:p>
    <w:p>
      <w:pPr>
        <w:jc w:val="center"/>
        <w:ind w:left="6740"/>
        <w:spacing w:after="0"/>
        <w:rPr>
          <w:sz w:val="20"/>
          <w:szCs w:val="20"/>
          <w:color w:val="auto"/>
        </w:rPr>
      </w:pPr>
      <w:r>
        <w:rPr>
          <w:rFonts w:ascii="Arial" w:cs="Arial" w:eastAsia="Arial" w:hAnsi="Arial"/>
          <w:sz w:val="20"/>
          <w:szCs w:val="20"/>
          <w:color w:val="auto"/>
        </w:rPr>
        <w:t>Three-Months Ended</w:t>
      </w:r>
    </w:p>
    <w:p>
      <w:pPr>
        <w:spacing w:after="0" w:line="20" w:lineRule="exact"/>
        <w:rPr>
          <w:sz w:val="20"/>
          <w:szCs w:val="20"/>
          <w:color w:val="auto"/>
        </w:rPr>
      </w:pPr>
    </w:p>
    <w:p>
      <w:pPr>
        <w:jc w:val="center"/>
        <w:ind w:left="6740"/>
        <w:spacing w:after="0"/>
        <w:rPr>
          <w:sz w:val="20"/>
          <w:szCs w:val="20"/>
          <w:color w:val="auto"/>
        </w:rPr>
      </w:pPr>
      <w:r>
        <w:rPr>
          <w:rFonts w:ascii="Arial" w:cs="Arial" w:eastAsia="Arial" w:hAnsi="Arial"/>
          <w:sz w:val="20"/>
          <w:szCs w:val="20"/>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80" w:type="dxa"/>
            <w:vAlign w:val="bottom"/>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2018</w:t>
            </w:r>
          </w:p>
        </w:tc>
        <w:tc>
          <w:tcPr>
            <w:tcW w:w="74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721"/>
              <w:spacing w:after="0"/>
              <w:rPr>
                <w:sz w:val="20"/>
                <w:szCs w:val="20"/>
                <w:color w:val="auto"/>
              </w:rPr>
            </w:pPr>
            <w:r>
              <w:rPr>
                <w:rFonts w:ascii="Arial" w:cs="Arial" w:eastAsia="Arial" w:hAnsi="Arial"/>
                <w:sz w:val="20"/>
                <w:szCs w:val="20"/>
                <w:color w:val="auto"/>
              </w:rPr>
              <w:t>2017</w:t>
            </w:r>
          </w:p>
        </w:tc>
        <w:tc>
          <w:tcPr>
            <w:tcW w:w="120" w:type="dxa"/>
            <w:vAlign w:val="bottom"/>
          </w:tcPr>
          <w:p>
            <w:pPr>
              <w:spacing w:after="0"/>
              <w:rPr>
                <w:sz w:val="20"/>
                <w:szCs w:val="20"/>
                <w:color w:val="auto"/>
              </w:rPr>
            </w:pPr>
          </w:p>
        </w:tc>
      </w:tr>
      <w:tr>
        <w:trPr>
          <w:trHeight w:val="237"/>
        </w:trPr>
        <w:tc>
          <w:tcPr>
            <w:tcW w:w="6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0" w:type="dxa"/>
            <w:vAlign w:val="bottom"/>
            <w:gridSpan w:val="3"/>
          </w:tcPr>
          <w:p>
            <w:pPr>
              <w:ind w:left="100"/>
              <w:spacing w:after="0"/>
              <w:rPr>
                <w:sz w:val="20"/>
                <w:szCs w:val="20"/>
                <w:color w:val="auto"/>
              </w:rPr>
            </w:pPr>
            <w:r>
              <w:rPr>
                <w:rFonts w:ascii="Arial" w:cs="Arial" w:eastAsia="Arial" w:hAnsi="Arial"/>
                <w:sz w:val="20"/>
                <w:szCs w:val="20"/>
                <w:i w:val="1"/>
                <w:iCs w:val="1"/>
                <w:color w:val="auto"/>
                <w:w w:val="91"/>
              </w:rPr>
              <w:t>(Tons in Thousands)</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8180" w:type="dxa"/>
            <w:vAlign w:val="bottom"/>
            <w:gridSpan w:val="2"/>
            <w:shd w:val="clear" w:color="auto" w:fill="CFF0FC"/>
          </w:tcPr>
          <w:p>
            <w:pPr>
              <w:spacing w:after="0"/>
              <w:rPr>
                <w:sz w:val="20"/>
                <w:szCs w:val="20"/>
                <w:color w:val="auto"/>
              </w:rPr>
            </w:pPr>
            <w:r>
              <w:rPr>
                <w:rFonts w:ascii="Arial" w:cs="Arial" w:eastAsia="Arial" w:hAnsi="Arial"/>
                <w:sz w:val="20"/>
                <w:szCs w:val="20"/>
                <w:b w:val="1"/>
                <w:bCs w:val="1"/>
                <w:color w:val="auto"/>
              </w:rPr>
              <w:t>Shipments</w:t>
            </w:r>
          </w:p>
        </w:tc>
        <w:tc>
          <w:tcPr>
            <w:tcW w:w="7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43"/>
        </w:trPr>
        <w:tc>
          <w:tcPr>
            <w:tcW w:w="8180" w:type="dxa"/>
            <w:vAlign w:val="bottom"/>
            <w:gridSpan w:val="2"/>
          </w:tcPr>
          <w:p>
            <w:pPr>
              <w:spacing w:after="0"/>
              <w:rPr>
                <w:sz w:val="20"/>
                <w:szCs w:val="20"/>
                <w:color w:val="auto"/>
              </w:rPr>
            </w:pPr>
            <w:r>
              <w:rPr>
                <w:rFonts w:ascii="Arial" w:cs="Arial" w:eastAsia="Arial" w:hAnsi="Arial"/>
                <w:sz w:val="20"/>
                <w:szCs w:val="20"/>
                <w:color w:val="auto"/>
              </w:rPr>
              <w:t>Heritage Operations:</w:t>
            </w:r>
            <w:r>
              <w:rPr>
                <w:rFonts w:ascii="Arial" w:cs="Arial" w:eastAsia="Arial" w:hAnsi="Arial"/>
                <w:sz w:val="16"/>
                <w:szCs w:val="16"/>
                <w:color w:val="auto"/>
              </w:rPr>
              <w:t>(2)</w:t>
            </w: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818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Mid-America Group</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22,533</w:t>
            </w: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21,371</w:t>
            </w:r>
          </w:p>
        </w:tc>
        <w:tc>
          <w:tcPr>
            <w:tcW w:w="120" w:type="dxa"/>
            <w:vAlign w:val="bottom"/>
            <w:shd w:val="clear" w:color="auto" w:fill="CFF0FC"/>
          </w:tcPr>
          <w:p>
            <w:pPr>
              <w:spacing w:after="0"/>
              <w:rPr>
                <w:sz w:val="21"/>
                <w:szCs w:val="21"/>
                <w:color w:val="auto"/>
              </w:rPr>
            </w:pPr>
          </w:p>
        </w:tc>
      </w:tr>
      <w:tr>
        <w:trPr>
          <w:trHeight w:val="243"/>
        </w:trPr>
        <w:tc>
          <w:tcPr>
            <w:tcW w:w="8180" w:type="dxa"/>
            <w:vAlign w:val="bottom"/>
            <w:gridSpan w:val="2"/>
          </w:tcPr>
          <w:p>
            <w:pPr>
              <w:ind w:left="260"/>
              <w:spacing w:after="0"/>
              <w:rPr>
                <w:sz w:val="20"/>
                <w:szCs w:val="20"/>
                <w:color w:val="auto"/>
              </w:rPr>
            </w:pPr>
            <w:r>
              <w:rPr>
                <w:rFonts w:ascii="Arial" w:cs="Arial" w:eastAsia="Arial" w:hAnsi="Arial"/>
                <w:sz w:val="20"/>
                <w:szCs w:val="20"/>
                <w:color w:val="auto"/>
              </w:rPr>
              <w:t xml:space="preserve">Southeast Group </w:t>
            </w:r>
            <w:r>
              <w:rPr>
                <w:rFonts w:ascii="Arial" w:cs="Arial" w:eastAsia="Arial" w:hAnsi="Arial"/>
                <w:sz w:val="16"/>
                <w:szCs w:val="16"/>
                <w:color w:val="auto"/>
              </w:rPr>
              <w:t>(4)</w:t>
            </w:r>
          </w:p>
        </w:tc>
        <w:tc>
          <w:tcPr>
            <w:tcW w:w="740" w:type="dxa"/>
            <w:vAlign w:val="bottom"/>
          </w:tcPr>
          <w:p>
            <w:pPr>
              <w:jc w:val="right"/>
              <w:spacing w:after="0"/>
              <w:rPr>
                <w:sz w:val="20"/>
                <w:szCs w:val="20"/>
                <w:color w:val="auto"/>
              </w:rPr>
            </w:pPr>
            <w:r>
              <w:rPr>
                <w:rFonts w:ascii="Arial" w:cs="Arial" w:eastAsia="Arial" w:hAnsi="Arial"/>
                <w:sz w:val="20"/>
                <w:szCs w:val="20"/>
                <w:color w:val="auto"/>
              </w:rPr>
              <w:t>5,682</w:t>
            </w: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5,349</w:t>
            </w:r>
          </w:p>
        </w:tc>
        <w:tc>
          <w:tcPr>
            <w:tcW w:w="120" w:type="dxa"/>
            <w:vAlign w:val="bottom"/>
          </w:tcPr>
          <w:p>
            <w:pPr>
              <w:spacing w:after="0"/>
              <w:rPr>
                <w:sz w:val="21"/>
                <w:szCs w:val="21"/>
                <w:color w:val="auto"/>
              </w:rPr>
            </w:pPr>
          </w:p>
        </w:tc>
      </w:tr>
      <w:tr>
        <w:trPr>
          <w:trHeight w:val="243"/>
        </w:trPr>
        <w:tc>
          <w:tcPr>
            <w:tcW w:w="8180" w:type="dxa"/>
            <w:vAlign w:val="bottom"/>
            <w:gridSpan w:val="2"/>
            <w:shd w:val="clear" w:color="auto" w:fill="CFF0FC"/>
          </w:tcPr>
          <w:p>
            <w:pPr>
              <w:ind w:left="260"/>
              <w:spacing w:after="0"/>
              <w:rPr>
                <w:sz w:val="20"/>
                <w:szCs w:val="20"/>
                <w:color w:val="auto"/>
              </w:rPr>
            </w:pPr>
            <w:r>
              <w:rPr>
                <w:rFonts w:ascii="Arial" w:cs="Arial" w:eastAsia="Arial" w:hAnsi="Arial"/>
                <w:sz w:val="20"/>
                <w:szCs w:val="20"/>
                <w:color w:val="auto"/>
              </w:rPr>
              <w:t>West Group</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16,979</w:t>
            </w: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17,085</w:t>
            </w:r>
          </w:p>
        </w:tc>
        <w:tc>
          <w:tcPr>
            <w:tcW w:w="120" w:type="dxa"/>
            <w:vAlign w:val="bottom"/>
            <w:shd w:val="clear" w:color="auto" w:fill="CFF0FC"/>
          </w:tcPr>
          <w:p>
            <w:pPr>
              <w:spacing w:after="0"/>
              <w:rPr>
                <w:sz w:val="21"/>
                <w:szCs w:val="21"/>
                <w:color w:val="auto"/>
              </w:rPr>
            </w:pPr>
          </w:p>
        </w:tc>
      </w:tr>
      <w:tr>
        <w:trPr>
          <w:trHeight w:val="237"/>
        </w:trPr>
        <w:tc>
          <w:tcPr>
            <w:tcW w:w="6880" w:type="dxa"/>
            <w:vAlign w:val="bottom"/>
          </w:tcPr>
          <w:p>
            <w:pPr>
              <w:spacing w:after="0"/>
              <w:rPr>
                <w:sz w:val="20"/>
                <w:szCs w:val="20"/>
                <w:color w:val="auto"/>
              </w:rPr>
            </w:pPr>
            <w:r>
              <w:rPr>
                <w:rFonts w:ascii="Arial" w:cs="Arial" w:eastAsia="Arial" w:hAnsi="Arial"/>
                <w:sz w:val="20"/>
                <w:szCs w:val="20"/>
                <w:color w:val="auto"/>
              </w:rPr>
              <w:t>Heritage Aggregates Operations</w:t>
            </w:r>
          </w:p>
        </w:tc>
        <w:tc>
          <w:tcPr>
            <w:tcW w:w="13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45,194</w:t>
            </w:r>
          </w:p>
        </w:tc>
        <w:tc>
          <w:tcPr>
            <w:tcW w:w="34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43,805</w:t>
            </w:r>
          </w:p>
        </w:tc>
        <w:tc>
          <w:tcPr>
            <w:tcW w:w="120" w:type="dxa"/>
            <w:vAlign w:val="bottom"/>
          </w:tcPr>
          <w:p>
            <w:pPr>
              <w:spacing w:after="0"/>
              <w:rPr>
                <w:sz w:val="20"/>
                <w:szCs w:val="20"/>
                <w:color w:val="auto"/>
              </w:rPr>
            </w:pPr>
          </w:p>
        </w:tc>
      </w:tr>
      <w:tr>
        <w:trPr>
          <w:trHeight w:val="243"/>
        </w:trPr>
        <w:tc>
          <w:tcPr>
            <w:tcW w:w="818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Acquisitions</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5,130</w:t>
            </w: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r>
      <w:tr>
        <w:trPr>
          <w:trHeight w:val="237"/>
        </w:trPr>
        <w:tc>
          <w:tcPr>
            <w:tcW w:w="6880" w:type="dxa"/>
            <w:vAlign w:val="bottom"/>
          </w:tcPr>
          <w:p>
            <w:pPr>
              <w:spacing w:after="0"/>
              <w:rPr>
                <w:sz w:val="20"/>
                <w:szCs w:val="20"/>
                <w:color w:val="auto"/>
              </w:rPr>
            </w:pPr>
            <w:r>
              <w:rPr>
                <w:rFonts w:ascii="Arial" w:cs="Arial" w:eastAsia="Arial" w:hAnsi="Arial"/>
                <w:sz w:val="20"/>
                <w:szCs w:val="20"/>
                <w:color w:val="auto"/>
              </w:rPr>
              <w:t>Total Aggregates Operations</w:t>
            </w:r>
            <w:r>
              <w:rPr>
                <w:rFonts w:ascii="Arial" w:cs="Arial" w:eastAsia="Arial" w:hAnsi="Arial"/>
                <w:sz w:val="16"/>
                <w:szCs w:val="16"/>
                <w:color w:val="auto"/>
              </w:rPr>
              <w:t>(3)</w:t>
            </w:r>
          </w:p>
        </w:tc>
        <w:tc>
          <w:tcPr>
            <w:tcW w:w="13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50,324</w:t>
            </w:r>
          </w:p>
        </w:tc>
        <w:tc>
          <w:tcPr>
            <w:tcW w:w="340" w:type="dxa"/>
            <w:vAlign w:val="bottom"/>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43,805</w:t>
            </w:r>
          </w:p>
        </w:tc>
        <w:tc>
          <w:tcPr>
            <w:tcW w:w="120" w:type="dxa"/>
            <w:vAlign w:val="bottom"/>
          </w:tcPr>
          <w:p>
            <w:pPr>
              <w:spacing w:after="0"/>
              <w:rPr>
                <w:sz w:val="20"/>
                <w:szCs w:val="20"/>
                <w:color w:val="auto"/>
              </w:rPr>
            </w:pPr>
          </w:p>
        </w:tc>
      </w:tr>
      <w:tr>
        <w:trPr>
          <w:trHeight w:val="20"/>
        </w:trPr>
        <w:tc>
          <w:tcPr>
            <w:tcW w:w="68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left="240" w:hanging="226"/>
        <w:spacing w:after="0"/>
        <w:tabs>
          <w:tab w:leader="none" w:pos="240" w:val="left"/>
        </w:tabs>
        <w:numPr>
          <w:ilvl w:val="0"/>
          <w:numId w:val="29"/>
        </w:numPr>
        <w:rPr>
          <w:rFonts w:ascii="Arial" w:cs="Arial" w:eastAsia="Arial" w:hAnsi="Arial"/>
          <w:sz w:val="15"/>
          <w:szCs w:val="15"/>
          <w:i w:val="1"/>
          <w:iCs w:val="1"/>
          <w:color w:val="auto"/>
        </w:rPr>
      </w:pPr>
      <w:r>
        <w:rPr>
          <w:rFonts w:ascii="Arial" w:cs="Arial" w:eastAsia="Arial" w:hAnsi="Arial"/>
          <w:sz w:val="18"/>
          <w:szCs w:val="18"/>
          <w:i w:val="1"/>
          <w:iCs w:val="1"/>
          <w:color w:val="auto"/>
        </w:rPr>
        <w:t>Volume/pricing variances reflect the percentage increase/(decrease) from the comparable period in the prior year.</w:t>
      </w:r>
    </w:p>
    <w:p>
      <w:pPr>
        <w:spacing w:after="0" w:line="63" w:lineRule="exact"/>
        <w:rPr>
          <w:rFonts w:ascii="Arial" w:cs="Arial" w:eastAsia="Arial" w:hAnsi="Arial"/>
          <w:sz w:val="15"/>
          <w:szCs w:val="15"/>
          <w:i w:val="1"/>
          <w:iCs w:val="1"/>
          <w:color w:val="auto"/>
        </w:rPr>
      </w:pPr>
    </w:p>
    <w:p>
      <w:pPr>
        <w:ind w:left="240" w:hanging="232"/>
        <w:spacing w:after="0"/>
        <w:tabs>
          <w:tab w:leader="none" w:pos="240" w:val="left"/>
        </w:tabs>
        <w:numPr>
          <w:ilvl w:val="0"/>
          <w:numId w:val="29"/>
        </w:numPr>
        <w:rPr>
          <w:rFonts w:ascii="Arial" w:cs="Arial" w:eastAsia="Arial" w:hAnsi="Arial"/>
          <w:sz w:val="15"/>
          <w:szCs w:val="15"/>
          <w:i w:val="1"/>
          <w:iCs w:val="1"/>
          <w:color w:val="auto"/>
        </w:rPr>
      </w:pPr>
      <w:r>
        <w:rPr>
          <w:rFonts w:ascii="Arial" w:cs="Arial" w:eastAsia="Arial" w:hAnsi="Arial"/>
          <w:sz w:val="18"/>
          <w:szCs w:val="18"/>
          <w:i w:val="1"/>
          <w:iCs w:val="1"/>
          <w:color w:val="auto"/>
        </w:rPr>
        <w:t>Heritage aggregates operations exclude acquisitions that have not been included in prior-year operations for the comparable period.</w:t>
      </w:r>
    </w:p>
    <w:p>
      <w:pPr>
        <w:spacing w:after="0" w:line="63" w:lineRule="exact"/>
        <w:rPr>
          <w:rFonts w:ascii="Arial" w:cs="Arial" w:eastAsia="Arial" w:hAnsi="Arial"/>
          <w:sz w:val="15"/>
          <w:szCs w:val="15"/>
          <w:i w:val="1"/>
          <w:iCs w:val="1"/>
          <w:color w:val="auto"/>
        </w:rPr>
      </w:pPr>
    </w:p>
    <w:p>
      <w:pPr>
        <w:ind w:left="240" w:hanging="232"/>
        <w:spacing w:after="0"/>
        <w:tabs>
          <w:tab w:leader="none" w:pos="240" w:val="left"/>
        </w:tabs>
        <w:numPr>
          <w:ilvl w:val="0"/>
          <w:numId w:val="29"/>
        </w:numPr>
        <w:rPr>
          <w:rFonts w:ascii="Arial" w:cs="Arial" w:eastAsia="Arial" w:hAnsi="Arial"/>
          <w:sz w:val="15"/>
          <w:szCs w:val="15"/>
          <w:i w:val="1"/>
          <w:iCs w:val="1"/>
          <w:color w:val="auto"/>
        </w:rPr>
      </w:pPr>
      <w:r>
        <w:rPr>
          <w:rFonts w:ascii="Arial" w:cs="Arial" w:eastAsia="Arial" w:hAnsi="Arial"/>
          <w:sz w:val="18"/>
          <w:szCs w:val="18"/>
          <w:i w:val="1"/>
          <w:iCs w:val="1"/>
          <w:color w:val="auto"/>
        </w:rPr>
        <w:t>Total aggregates operations include acquisitions from the date of acquisition and divestitures through the date of disposal.</w:t>
      </w:r>
    </w:p>
    <w:p>
      <w:pPr>
        <w:spacing w:after="0" w:line="63" w:lineRule="exact"/>
        <w:rPr>
          <w:rFonts w:ascii="Arial" w:cs="Arial" w:eastAsia="Arial" w:hAnsi="Arial"/>
          <w:sz w:val="15"/>
          <w:szCs w:val="15"/>
          <w:i w:val="1"/>
          <w:iCs w:val="1"/>
          <w:color w:val="auto"/>
        </w:rPr>
      </w:pPr>
    </w:p>
    <w:p>
      <w:pPr>
        <w:ind w:left="240" w:hanging="232"/>
        <w:spacing w:after="0"/>
        <w:tabs>
          <w:tab w:leader="none" w:pos="240" w:val="left"/>
        </w:tabs>
        <w:numPr>
          <w:ilvl w:val="0"/>
          <w:numId w:val="29"/>
        </w:numPr>
        <w:rPr>
          <w:rFonts w:ascii="Arial" w:cs="Arial" w:eastAsia="Arial" w:hAnsi="Arial"/>
          <w:sz w:val="15"/>
          <w:szCs w:val="15"/>
          <w:i w:val="1"/>
          <w:iCs w:val="1"/>
          <w:color w:val="auto"/>
        </w:rPr>
      </w:pPr>
      <w:r>
        <w:rPr>
          <w:rFonts w:ascii="Arial" w:cs="Arial" w:eastAsia="Arial" w:hAnsi="Arial"/>
          <w:sz w:val="18"/>
          <w:szCs w:val="18"/>
          <w:i w:val="1"/>
          <w:iCs w:val="1"/>
          <w:color w:val="auto"/>
        </w:rPr>
        <w:t>2017 shipments include the Forsyth, Georgia operation, which was divested in April 2018.</w:t>
      </w:r>
    </w:p>
    <w:p>
      <w:pPr>
        <w:spacing w:after="0" w:line="11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presents aggregates shipment data and volume variance excluding the Forsyth, Georgia operation for the three-months ended September 30, 2017 to provide a more comparable analysis of aggregates volume variance.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Southeast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Reported heritage aggregates shipments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3003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ind w:left="160" w:right="2360" w:hanging="147"/>
        <w:spacing w:after="0" w:line="249" w:lineRule="auto"/>
        <w:rPr>
          <w:sz w:val="20"/>
          <w:szCs w:val="20"/>
          <w:color w:val="auto"/>
        </w:rPr>
      </w:pPr>
      <w:r>
        <w:rPr>
          <w:rFonts w:ascii="Arial" w:cs="Arial" w:eastAsia="Arial" w:hAnsi="Arial"/>
          <w:sz w:val="20"/>
          <w:szCs w:val="20"/>
          <w:color w:val="auto"/>
        </w:rPr>
        <w:t>Less: Aggregates shipments for the Forsyth, Georgia quarry during periods of Martin Marietta ownership</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Adjusted heritage aggregates shipments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6" w:lineRule="exact"/>
        <w:rPr>
          <w:sz w:val="20"/>
          <w:szCs w:val="20"/>
          <w:color w:val="auto"/>
        </w:rPr>
      </w:pPr>
    </w:p>
    <w:p>
      <w:pPr>
        <w:ind w:left="160" w:right="2520" w:hanging="147"/>
        <w:spacing w:after="0" w:line="260" w:lineRule="auto"/>
        <w:rPr>
          <w:sz w:val="20"/>
          <w:szCs w:val="20"/>
          <w:color w:val="auto"/>
        </w:rPr>
      </w:pPr>
      <w:r>
        <w:rPr>
          <w:rFonts w:ascii="Arial" w:cs="Arial" w:eastAsia="Arial" w:hAnsi="Arial"/>
          <w:sz w:val="20"/>
          <w:szCs w:val="20"/>
          <w:color w:val="auto"/>
        </w:rPr>
        <w:t>Heritage aggregates volume variance excluding shipments for the Forsyth, Georgia quarry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Total Heritage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Reported heritage aggregates shipments</w:t>
      </w:r>
    </w:p>
    <w:p>
      <w:pPr>
        <w:spacing w:after="0" w:line="13" w:lineRule="exact"/>
        <w:rPr>
          <w:sz w:val="20"/>
          <w:szCs w:val="20"/>
          <w:color w:val="auto"/>
        </w:rPr>
      </w:pPr>
    </w:p>
    <w:p>
      <w:pPr>
        <w:ind w:left="160" w:right="2360" w:hanging="147"/>
        <w:spacing w:after="0" w:line="249" w:lineRule="auto"/>
        <w:rPr>
          <w:sz w:val="20"/>
          <w:szCs w:val="20"/>
          <w:color w:val="auto"/>
        </w:rPr>
      </w:pPr>
      <w:r>
        <w:rPr>
          <w:rFonts w:ascii="Arial" w:cs="Arial" w:eastAsia="Arial" w:hAnsi="Arial"/>
          <w:sz w:val="20"/>
          <w:szCs w:val="20"/>
          <w:color w:val="auto"/>
        </w:rPr>
        <w:t>Less: Aggregates shipments for the Forsyth, Georgia quarry during periods of Martin Marietta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163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Adjusted heritage aggregates shipments</w:t>
      </w:r>
    </w:p>
    <w:p>
      <w:pPr>
        <w:spacing w:after="0" w:line="256" w:lineRule="exact"/>
        <w:rPr>
          <w:sz w:val="20"/>
          <w:szCs w:val="20"/>
          <w:color w:val="auto"/>
        </w:rPr>
      </w:pPr>
    </w:p>
    <w:p>
      <w:pPr>
        <w:ind w:left="160" w:right="2520" w:hanging="147"/>
        <w:spacing w:after="0" w:line="260" w:lineRule="auto"/>
        <w:rPr>
          <w:sz w:val="20"/>
          <w:szCs w:val="20"/>
          <w:color w:val="auto"/>
        </w:rPr>
      </w:pPr>
      <w:r>
        <w:rPr>
          <w:rFonts w:ascii="Arial" w:cs="Arial" w:eastAsia="Arial" w:hAnsi="Arial"/>
          <w:sz w:val="20"/>
          <w:szCs w:val="20"/>
          <w:color w:val="auto"/>
        </w:rPr>
        <w:t>Heritage aggregates volume variance excluding shipments for the Forsyth, Georgia quarry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7246620" cy="3086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197" w:lineRule="exact"/>
        <w:rPr>
          <w:sz w:val="20"/>
          <w:szCs w:val="20"/>
          <w:color w:val="auto"/>
        </w:rPr>
      </w:pPr>
    </w:p>
    <w:p>
      <w:pPr>
        <w:jc w:val="right"/>
        <w:ind w:right="900"/>
        <w:spacing w:after="0"/>
        <w:rPr>
          <w:sz w:val="20"/>
          <w:szCs w:val="20"/>
          <w:color w:val="auto"/>
        </w:rPr>
      </w:pPr>
      <w:r>
        <w:rPr>
          <w:rFonts w:ascii="Arial" w:cs="Arial" w:eastAsia="Arial" w:hAnsi="Arial"/>
          <w:sz w:val="20"/>
          <w:szCs w:val="20"/>
          <w:color w:val="auto"/>
        </w:rPr>
        <w:t>Page 36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jc w:val="center"/>
        <w:ind w:right="860"/>
        <w:spacing w:after="0"/>
        <w:rPr>
          <w:sz w:val="20"/>
          <w:szCs w:val="20"/>
          <w:color w:val="auto"/>
        </w:rPr>
      </w:pPr>
      <w:r>
        <w:rPr>
          <w:rFonts w:ascii="Arial" w:cs="Arial" w:eastAsia="Arial" w:hAnsi="Arial"/>
          <w:sz w:val="20"/>
          <w:szCs w:val="20"/>
          <w:color w:val="auto"/>
        </w:rPr>
        <w:t>Three-Months Ended</w:t>
      </w:r>
    </w:p>
    <w:p>
      <w:pPr>
        <w:spacing w:after="0" w:line="20" w:lineRule="exact"/>
        <w:rPr>
          <w:sz w:val="20"/>
          <w:szCs w:val="20"/>
          <w:color w:val="auto"/>
        </w:rPr>
      </w:pPr>
    </w:p>
    <w:p>
      <w:pPr>
        <w:jc w:val="center"/>
        <w:ind w:right="860"/>
        <w:spacing w:after="0"/>
        <w:rPr>
          <w:sz w:val="20"/>
          <w:szCs w:val="20"/>
          <w:color w:val="auto"/>
        </w:rPr>
      </w:pPr>
      <w:r>
        <w:rPr>
          <w:rFonts w:ascii="Arial" w:cs="Arial" w:eastAsia="Arial" w:hAnsi="Arial"/>
          <w:sz w:val="20"/>
          <w:szCs w:val="20"/>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-461645</wp:posOffset>
            </wp:positionH>
            <wp:positionV relativeFrom="paragraph">
              <wp:posOffset>5715</wp:posOffset>
            </wp:positionV>
            <wp:extent cx="26416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tabs>
          <w:tab w:leader="none" w:pos="2260" w:val="left"/>
        </w:tabs>
        <w:rPr>
          <w:sz w:val="20"/>
          <w:szCs w:val="20"/>
          <w:color w:val="auto"/>
        </w:rPr>
      </w:pPr>
      <w:r>
        <w:rPr>
          <w:rFonts w:ascii="Arial" w:cs="Arial" w:eastAsia="Arial" w:hAnsi="Arial"/>
          <w:sz w:val="20"/>
          <w:szCs w:val="20"/>
          <w:color w:val="auto"/>
        </w:rPr>
        <w:t>2018</w:t>
      </w:r>
      <w:r>
        <w:rPr>
          <w:sz w:val="20"/>
          <w:szCs w:val="20"/>
          <w:color w:val="auto"/>
        </w:rPr>
        <w:tab/>
      </w:r>
      <w:r>
        <w:rPr>
          <w:rFonts w:ascii="Arial" w:cs="Arial" w:eastAsia="Arial" w:hAnsi="Arial"/>
          <w:sz w:val="20"/>
          <w:szCs w:val="20"/>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-461645</wp:posOffset>
            </wp:positionH>
            <wp:positionV relativeFrom="paragraph">
              <wp:posOffset>10160</wp:posOffset>
            </wp:positionV>
            <wp:extent cx="26416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Arial" w:cs="Arial" w:eastAsia="Arial" w:hAnsi="Arial"/>
          <w:sz w:val="20"/>
          <w:szCs w:val="20"/>
          <w:i w:val="1"/>
          <w:iCs w:val="1"/>
          <w:color w:val="auto"/>
        </w:rPr>
        <w:t>(Tons in Thousands)</w:t>
      </w:r>
    </w:p>
    <w:p>
      <w:pPr>
        <w:spacing w:after="0" w:line="256" w:lineRule="exact"/>
        <w:rPr>
          <w:sz w:val="20"/>
          <w:szCs w:val="20"/>
          <w:color w:val="auto"/>
        </w:rPr>
      </w:pPr>
    </w:p>
    <w:p>
      <w:pPr>
        <w:ind w:left="700"/>
        <w:spacing w:after="0"/>
        <w:tabs>
          <w:tab w:leader="none" w:pos="2960" w:val="left"/>
        </w:tabs>
        <w:rPr>
          <w:sz w:val="20"/>
          <w:szCs w:val="20"/>
          <w:color w:val="auto"/>
        </w:rPr>
      </w:pPr>
      <w:r>
        <w:rPr>
          <w:rFonts w:ascii="Arial" w:cs="Arial" w:eastAsia="Arial" w:hAnsi="Arial"/>
          <w:sz w:val="20"/>
          <w:szCs w:val="20"/>
          <w:color w:val="auto"/>
        </w:rPr>
        <w:t>5,682</w:t>
      </w:r>
      <w:r>
        <w:rPr>
          <w:sz w:val="20"/>
          <w:szCs w:val="20"/>
          <w:color w:val="auto"/>
        </w:rPr>
        <w:tab/>
      </w:r>
      <w:r>
        <w:rPr>
          <w:rFonts w:ascii="Arial" w:cs="Arial" w:eastAsia="Arial" w:hAnsi="Arial"/>
          <w:sz w:val="20"/>
          <w:szCs w:val="20"/>
          <w:color w:val="auto"/>
        </w:rPr>
        <w:t>5,349</w:t>
      </w:r>
    </w:p>
    <w:p>
      <w:pPr>
        <w:spacing w:after="0" w:line="121" w:lineRule="exact"/>
        <w:rPr>
          <w:sz w:val="20"/>
          <w:szCs w:val="20"/>
          <w:color w:val="auto"/>
        </w:rPr>
      </w:pPr>
    </w:p>
    <w:p>
      <w:pPr>
        <w:jc w:val="both"/>
        <w:ind w:left="940"/>
        <w:spacing w:after="0"/>
        <w:tabs>
          <w:tab w:leader="none" w:pos="304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(272)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-461645</wp:posOffset>
            </wp:positionH>
            <wp:positionV relativeFrom="paragraph">
              <wp:posOffset>87630</wp:posOffset>
            </wp:positionV>
            <wp:extent cx="26416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128" w:lineRule="exact"/>
        <w:rPr>
          <w:sz w:val="20"/>
          <w:szCs w:val="20"/>
          <w:color w:val="auto"/>
        </w:rPr>
      </w:pPr>
    </w:p>
    <w:p>
      <w:pPr>
        <w:ind w:left="700"/>
        <w:spacing w:after="0"/>
        <w:tabs>
          <w:tab w:leader="none" w:pos="2960" w:val="left"/>
        </w:tabs>
        <w:rPr>
          <w:sz w:val="20"/>
          <w:szCs w:val="20"/>
          <w:color w:val="auto"/>
        </w:rPr>
      </w:pPr>
      <w:r>
        <w:rPr>
          <w:rFonts w:ascii="Arial" w:cs="Arial" w:eastAsia="Arial" w:hAnsi="Arial"/>
          <w:sz w:val="20"/>
          <w:szCs w:val="20"/>
          <w:color w:val="auto"/>
        </w:rPr>
        <w:t>5,682</w:t>
      </w:r>
      <w:r>
        <w:rPr>
          <w:sz w:val="20"/>
          <w:szCs w:val="20"/>
          <w:color w:val="auto"/>
        </w:rPr>
        <w:tab/>
      </w:r>
      <w:r>
        <w:rPr>
          <w:rFonts w:ascii="Arial" w:cs="Arial" w:eastAsia="Arial" w:hAnsi="Arial"/>
          <w:sz w:val="20"/>
          <w:szCs w:val="20"/>
          <w:color w:val="auto"/>
        </w:rPr>
        <w:t>5,077</w:t>
      </w:r>
    </w:p>
    <w:p>
      <w:pPr>
        <w:spacing w:after="0" w:line="200" w:lineRule="exact"/>
        <w:rPr>
          <w:sz w:val="20"/>
          <w:szCs w:val="20"/>
          <w:color w:val="auto"/>
        </w:rPr>
      </w:pPr>
    </w:p>
    <w:p>
      <w:pPr>
        <w:spacing w:after="0" w:line="286" w:lineRule="exact"/>
        <w:rPr>
          <w:sz w:val="20"/>
          <w:szCs w:val="20"/>
          <w:color w:val="auto"/>
        </w:rPr>
      </w:pPr>
    </w:p>
    <w:p>
      <w:pPr>
        <w:jc w:val="center"/>
        <w:ind w:right="1440"/>
        <w:spacing w:after="0"/>
        <w:rPr>
          <w:sz w:val="20"/>
          <w:szCs w:val="20"/>
          <w:color w:val="auto"/>
        </w:rPr>
      </w:pPr>
      <w:r>
        <w:rPr>
          <w:rFonts w:ascii="Arial" w:cs="Arial" w:eastAsia="Arial" w:hAnsi="Arial"/>
          <w:sz w:val="20"/>
          <w:szCs w:val="20"/>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-461645</wp:posOffset>
            </wp:positionH>
            <wp:positionV relativeFrom="paragraph">
              <wp:posOffset>10160</wp:posOffset>
            </wp:positionV>
            <wp:extent cx="11918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600"/>
        <w:spacing w:after="0"/>
        <w:tabs>
          <w:tab w:leader="none" w:pos="2860" w:val="left"/>
        </w:tabs>
        <w:rPr>
          <w:sz w:val="20"/>
          <w:szCs w:val="20"/>
          <w:color w:val="auto"/>
        </w:rPr>
      </w:pPr>
      <w:r>
        <w:rPr>
          <w:rFonts w:ascii="Arial" w:cs="Arial" w:eastAsia="Arial" w:hAnsi="Arial"/>
          <w:sz w:val="20"/>
          <w:szCs w:val="20"/>
          <w:color w:val="auto"/>
        </w:rPr>
        <w:t>45,194</w:t>
      </w:r>
      <w:r>
        <w:rPr>
          <w:sz w:val="20"/>
          <w:szCs w:val="20"/>
          <w:color w:val="auto"/>
        </w:rPr>
        <w:tab/>
      </w:r>
      <w:r>
        <w:rPr>
          <w:rFonts w:ascii="Arial" w:cs="Arial" w:eastAsia="Arial" w:hAnsi="Arial"/>
          <w:sz w:val="20"/>
          <w:szCs w:val="20"/>
          <w:color w:val="auto"/>
        </w:rPr>
        <w:t>43,805</w:t>
      </w:r>
    </w:p>
    <w:p>
      <w:pPr>
        <w:spacing w:after="0" w:line="121" w:lineRule="exact"/>
        <w:rPr>
          <w:sz w:val="20"/>
          <w:szCs w:val="20"/>
          <w:color w:val="auto"/>
        </w:rPr>
      </w:pPr>
    </w:p>
    <w:p>
      <w:pPr>
        <w:jc w:val="both"/>
        <w:ind w:left="940"/>
        <w:spacing w:after="0"/>
        <w:tabs>
          <w:tab w:leader="none" w:pos="304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(272)</w:t>
      </w:r>
    </w:p>
    <w:p>
      <w:pPr>
        <w:spacing w:after="0" w:line="148" w:lineRule="exact"/>
        <w:rPr>
          <w:sz w:val="20"/>
          <w:szCs w:val="20"/>
          <w:color w:val="auto"/>
        </w:rPr>
      </w:pPr>
    </w:p>
    <w:p>
      <w:pPr>
        <w:ind w:left="600"/>
        <w:spacing w:after="0"/>
        <w:tabs>
          <w:tab w:leader="none" w:pos="2860" w:val="left"/>
        </w:tabs>
        <w:rPr>
          <w:sz w:val="20"/>
          <w:szCs w:val="20"/>
          <w:color w:val="auto"/>
        </w:rPr>
      </w:pPr>
      <w:r>
        <w:rPr>
          <w:rFonts w:ascii="Arial" w:cs="Arial" w:eastAsia="Arial" w:hAnsi="Arial"/>
          <w:sz w:val="20"/>
          <w:szCs w:val="20"/>
          <w:color w:val="auto"/>
        </w:rPr>
        <w:t>45,194</w:t>
      </w:r>
      <w:r>
        <w:rPr>
          <w:sz w:val="20"/>
          <w:szCs w:val="20"/>
          <w:color w:val="auto"/>
        </w:rPr>
        <w:tab/>
      </w:r>
      <w:r>
        <w:rPr>
          <w:rFonts w:ascii="Arial" w:cs="Arial" w:eastAsia="Arial" w:hAnsi="Arial"/>
          <w:sz w:val="20"/>
          <w:szCs w:val="20"/>
          <w:color w:val="auto"/>
        </w:rPr>
        <w:t>43,533</w:t>
      </w:r>
    </w:p>
    <w:p>
      <w:pPr>
        <w:spacing w:after="0" w:line="200" w:lineRule="exact"/>
        <w:rPr>
          <w:sz w:val="20"/>
          <w:szCs w:val="20"/>
          <w:color w:val="auto"/>
        </w:rPr>
      </w:pPr>
    </w:p>
    <w:p>
      <w:pPr>
        <w:spacing w:after="0" w:line="28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-461645</wp:posOffset>
            </wp:positionH>
            <wp:positionV relativeFrom="paragraph">
              <wp:posOffset>27305</wp:posOffset>
            </wp:positionV>
            <wp:extent cx="11918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ectPr>
          <w:pgSz w:w="11900" w:h="16838" w:orient="portrait"/>
          <w:cols w:equalWidth="0" w:num="2">
            <w:col w:w="7160" w:space="720"/>
            <w:col w:w="3540"/>
          </w:cols>
          <w:pgMar w:left="240" w:top="121" w:right="239"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2018</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7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Volume growth accelerated during the quarter’s first two months, reflecting strong underlying product demand, most notably in Texas, North Carolina, Georgia and Iowa. Despite clear market strength, extreme weather temporarily hindered construction activity. Record precipitation in Texas, compounded by disruptions from Hurricane Florence in the Carolinas, adversely impacted September’s aggregates shipment, production and overall efficiency levels.</w:t>
      </w:r>
    </w:p>
    <w:p>
      <w:pPr>
        <w:spacing w:after="0" w:line="8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Heritage aggregates volume and pricing improved 3.8% and 2.9%, respectively, excluding the third-quarter 2017 shipments from the Company’s Forsyth, Georgia, quarry that was divested in April 2018.</w:t>
      </w:r>
    </w:p>
    <w:p>
      <w:pPr>
        <w:spacing w:after="0" w:line="6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 xml:space="preserve">Aggregates shipments to the infrastructure market were flat as large public projects in North Carolina and Texas were weather delayed. The Company remains encouraged by the recent acceleration of state lettings and contract awards. As state Departments of Transportation (DOTs) and contractors continue to address labor constraints, and the broader industry benefits from further regulatory reform, management remains confident that infrastructure demand will continue to improve driven by funding provided by the </w:t>
      </w:r>
      <w:r>
        <w:rPr>
          <w:rFonts w:ascii="Arial" w:cs="Arial" w:eastAsia="Arial" w:hAnsi="Arial"/>
          <w:sz w:val="18"/>
          <w:szCs w:val="18"/>
          <w:i w:val="1"/>
          <w:iCs w:val="1"/>
          <w:color w:val="auto"/>
        </w:rPr>
        <w:t>Fixing America’s Surface Transportation Act</w:t>
      </w:r>
      <w:r>
        <w:rPr>
          <w:rFonts w:ascii="Arial" w:cs="Arial" w:eastAsia="Arial" w:hAnsi="Arial"/>
          <w:sz w:val="18"/>
          <w:szCs w:val="18"/>
          <w:color w:val="auto"/>
        </w:rPr>
        <w:t xml:space="preserve"> (FAST Act) and numerous state and local transportation initiatives. While some contractors are reporting longer lag times between contract awards and project commencement, public construction projects, once awarded, are seen through to completion. Thus, delays from weather or other factors typically serve to extend the duration of the construction cycle for the Company’s single largest end-use market. Aggregates shipments to the infrastructure market comprised 41% of third-quarter aggregates volumes. On a year-to-date basis, the infrastructure market represented 39% of aggregates shipments, remaining below the Company’s most recent five-year average of 43%.</w:t>
      </w:r>
    </w:p>
    <w:p>
      <w:pPr>
        <w:spacing w:after="0" w:line="6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Aggregates shipments to the nonresidential market increased 5%, driven by both commercial and heavy industrial construction activity. Looking ahead, ongoing energy-sector project approvals, supported by higher oil prices, underpin management’s expectation that the next wave of these large projects, particularly along the Gulf Coast, will contribute to increased aggregates demand for the next several years. The nonresidential market represented 33% of third-quarter aggregates shipments.</w:t>
      </w:r>
    </w:p>
    <w:p>
      <w:pPr>
        <w:spacing w:after="0" w:line="8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Aggregates shipments to the residential market increased 7%. Florida, Texas, Colorado, North Carolina, South Carolina and Georgia, six of the Company’s key states, ranked in the top ten nationally for growth in single-family housing unit starts for the trailing twelve months ended August 2018. The residential construction outlook across the Company’s geographic footprint remains positive for both single- and multi-family housing, driven by favorable demographics, job growth, land availability and efficient permitting. The residential market accounted for 20% of third-quarter aggregates shipments.</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ChemRock/Rail market accounted for the remaining 6% of third-quarter aggregates shipments. Shipments to this sector increased 6%, reflecting improved ballast shipments from the Midwest and Rocky Mountain Divisions.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The average selling price by product line for the Building Materials business is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20" w:type="dxa"/>
            <w:vAlign w:val="bottom"/>
            <w:gridSpan w:val="4"/>
          </w:tcPr>
          <w:p>
            <w:pPr>
              <w:jc w:val="center"/>
              <w:ind w:right="420"/>
              <w:spacing w:after="0"/>
              <w:rPr>
                <w:sz w:val="20"/>
                <w:szCs w:val="20"/>
                <w:color w:val="auto"/>
              </w:rPr>
            </w:pPr>
            <w:r>
              <w:rPr>
                <w:rFonts w:ascii="Arial" w:cs="Arial" w:eastAsia="Arial" w:hAnsi="Arial"/>
                <w:sz w:val="20"/>
                <w:szCs w:val="20"/>
                <w:color w:val="auto"/>
                <w:w w:val="89"/>
              </w:rPr>
              <w:t>Three-Months Ended</w:t>
            </w: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46"/>
        </w:trPr>
        <w:tc>
          <w:tcPr>
            <w:tcW w:w="4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3"/>
          </w:tcPr>
          <w:p>
            <w:pPr>
              <w:jc w:val="center"/>
              <w:ind w:right="760"/>
              <w:spacing w:after="0"/>
              <w:rPr>
                <w:sz w:val="20"/>
                <w:szCs w:val="20"/>
                <w:color w:val="auto"/>
              </w:rPr>
            </w:pPr>
            <w:r>
              <w:rPr>
                <w:rFonts w:ascii="Arial" w:cs="Arial" w:eastAsia="Arial" w:hAnsi="Arial"/>
                <w:sz w:val="20"/>
                <w:szCs w:val="20"/>
                <w:color w:val="auto"/>
                <w:w w:val="86"/>
              </w:rPr>
              <w:t>September 30,</w:t>
            </w:r>
          </w:p>
        </w:tc>
        <w:tc>
          <w:tcPr>
            <w:tcW w:w="132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r>
      <w:tr>
        <w:trPr>
          <w:trHeight w:val="237"/>
        </w:trPr>
        <w:tc>
          <w:tcPr>
            <w:tcW w:w="4420" w:type="dxa"/>
            <w:vAlign w:val="bottom"/>
            <w:tcBorders>
              <w:bottom w:val="single" w:sz="8" w:color="CFF0FC"/>
            </w:tcBorders>
          </w:tcPr>
          <w:p>
            <w:pPr>
              <w:spacing w:after="0"/>
              <w:rPr>
                <w:sz w:val="20"/>
                <w:szCs w:val="20"/>
                <w:color w:val="auto"/>
              </w:rPr>
            </w:pPr>
          </w:p>
        </w:tc>
        <w:tc>
          <w:tcPr>
            <w:tcW w:w="1260" w:type="dxa"/>
            <w:vAlign w:val="bottom"/>
            <w:tcBorders>
              <w:bottom w:val="single" w:sz="8" w:color="CFF0FC"/>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2018</w:t>
            </w:r>
          </w:p>
        </w:tc>
        <w:tc>
          <w:tcPr>
            <w:tcW w:w="620" w:type="dxa"/>
            <w:vAlign w:val="bottom"/>
            <w:tcBorders>
              <w:bottom w:val="single" w:sz="8" w:color="auto"/>
            </w:tcBorders>
          </w:tcPr>
          <w:p>
            <w:pPr>
              <w:spacing w:after="0"/>
              <w:rPr>
                <w:sz w:val="20"/>
                <w:szCs w:val="20"/>
                <w:color w:val="auto"/>
              </w:rPr>
            </w:pPr>
          </w:p>
        </w:tc>
        <w:tc>
          <w:tcPr>
            <w:tcW w:w="320" w:type="dxa"/>
            <w:vAlign w:val="bottom"/>
            <w:tcBorders>
              <w:bottom w:val="single" w:sz="8" w:color="CFF0FC"/>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2017</w:t>
            </w:r>
          </w:p>
        </w:tc>
        <w:tc>
          <w:tcPr>
            <w:tcW w:w="620" w:type="dxa"/>
            <w:vAlign w:val="bottom"/>
            <w:tcBorders>
              <w:bottom w:val="single" w:sz="8" w:color="auto"/>
            </w:tcBorders>
          </w:tcPr>
          <w:p>
            <w:pPr>
              <w:spacing w:after="0"/>
              <w:rPr>
                <w:sz w:val="20"/>
                <w:szCs w:val="20"/>
                <w:color w:val="auto"/>
              </w:rPr>
            </w:pPr>
          </w:p>
        </w:tc>
        <w:tc>
          <w:tcPr>
            <w:tcW w:w="360" w:type="dxa"/>
            <w:vAlign w:val="bottom"/>
            <w:tcBorders>
              <w:bottom w:val="single" w:sz="8" w:color="CFF0FC"/>
            </w:tcBorders>
          </w:tcPr>
          <w:p>
            <w:pPr>
              <w:spacing w:after="0"/>
              <w:rPr>
                <w:sz w:val="20"/>
                <w:szCs w:val="20"/>
                <w:color w:val="auto"/>
              </w:rPr>
            </w:pPr>
          </w:p>
        </w:tc>
        <w:tc>
          <w:tcPr>
            <w:tcW w:w="1320" w:type="dxa"/>
            <w:vAlign w:val="bottom"/>
            <w:tcBorders>
              <w:bottom w:val="single" w:sz="8" w:color="auto"/>
            </w:tcBorders>
          </w:tcPr>
          <w:p>
            <w:pPr>
              <w:ind w:left="240"/>
              <w:spacing w:after="0"/>
              <w:rPr>
                <w:sz w:val="20"/>
                <w:szCs w:val="20"/>
                <w:color w:val="auto"/>
              </w:rPr>
            </w:pPr>
            <w:r>
              <w:rPr>
                <w:rFonts w:ascii="Arial" w:cs="Arial" w:eastAsia="Arial" w:hAnsi="Arial"/>
                <w:sz w:val="20"/>
                <w:szCs w:val="20"/>
                <w:color w:val="auto"/>
              </w:rPr>
              <w:t>% Change</w:t>
            </w:r>
          </w:p>
        </w:tc>
        <w:tc>
          <w:tcPr>
            <w:tcW w:w="260" w:type="dxa"/>
            <w:vAlign w:val="bottom"/>
            <w:tcBorders>
              <w:bottom w:val="single" w:sz="8" w:color="CFF0FC"/>
            </w:tcBorders>
          </w:tcPr>
          <w:p>
            <w:pPr>
              <w:spacing w:after="0"/>
              <w:rPr>
                <w:sz w:val="20"/>
                <w:szCs w:val="20"/>
                <w:color w:val="auto"/>
              </w:rPr>
            </w:pPr>
          </w:p>
        </w:tc>
      </w:tr>
      <w:tr>
        <w:trPr>
          <w:trHeight w:val="237"/>
        </w:trPr>
        <w:tc>
          <w:tcPr>
            <w:tcW w:w="4420" w:type="dxa"/>
            <w:vAlign w:val="bottom"/>
            <w:shd w:val="clear" w:color="auto" w:fill="CFF0FC"/>
          </w:tcPr>
          <w:p>
            <w:pPr>
              <w:spacing w:after="0"/>
              <w:rPr>
                <w:sz w:val="20"/>
                <w:szCs w:val="20"/>
                <w:color w:val="auto"/>
              </w:rPr>
            </w:pPr>
            <w:r>
              <w:rPr>
                <w:rFonts w:ascii="Arial" w:cs="Arial" w:eastAsia="Arial" w:hAnsi="Arial"/>
                <w:sz w:val="20"/>
                <w:szCs w:val="20"/>
                <w:color w:val="auto"/>
              </w:rPr>
              <w:t>Aggregates - heritage (per ton)</w:t>
            </w:r>
          </w:p>
        </w:tc>
        <w:tc>
          <w:tcPr>
            <w:tcW w:w="126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921"/>
              <w:spacing w:after="0"/>
              <w:rPr>
                <w:sz w:val="20"/>
                <w:szCs w:val="20"/>
                <w:color w:val="auto"/>
              </w:rPr>
            </w:pPr>
            <w:r>
              <w:rPr>
                <w:rFonts w:ascii="Arial" w:cs="Arial" w:eastAsia="Arial" w:hAnsi="Arial"/>
                <w:sz w:val="20"/>
                <w:szCs w:val="2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13.79</w:t>
            </w:r>
          </w:p>
        </w:tc>
        <w:tc>
          <w:tcPr>
            <w:tcW w:w="32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921"/>
              <w:spacing w:after="0"/>
              <w:rPr>
                <w:sz w:val="20"/>
                <w:szCs w:val="20"/>
                <w:color w:val="auto"/>
              </w:rPr>
            </w:pPr>
            <w:r>
              <w:rPr>
                <w:rFonts w:ascii="Arial" w:cs="Arial" w:eastAsia="Arial" w:hAnsi="Arial"/>
                <w:sz w:val="20"/>
                <w:szCs w:val="2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13.40</w:t>
            </w:r>
          </w:p>
        </w:tc>
        <w:tc>
          <w:tcPr>
            <w:tcW w:w="36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2.9%</w:t>
            </w:r>
          </w:p>
        </w:tc>
      </w:tr>
      <w:tr>
        <w:trPr>
          <w:trHeight w:val="243"/>
        </w:trPr>
        <w:tc>
          <w:tcPr>
            <w:tcW w:w="4420" w:type="dxa"/>
            <w:vAlign w:val="bottom"/>
          </w:tcPr>
          <w:p>
            <w:pPr>
              <w:spacing w:after="0"/>
              <w:rPr>
                <w:sz w:val="20"/>
                <w:szCs w:val="20"/>
                <w:color w:val="auto"/>
              </w:rPr>
            </w:pPr>
            <w:r>
              <w:rPr>
                <w:rFonts w:ascii="Arial" w:cs="Arial" w:eastAsia="Arial" w:hAnsi="Arial"/>
                <w:sz w:val="20"/>
                <w:szCs w:val="20"/>
                <w:color w:val="auto"/>
              </w:rPr>
              <w:t>Aggregates - acquisition (per ton)</w:t>
            </w:r>
          </w:p>
        </w:tc>
        <w:tc>
          <w:tcPr>
            <w:tcW w:w="2380" w:type="dxa"/>
            <w:vAlign w:val="bottom"/>
            <w:gridSpan w:val="2"/>
          </w:tcPr>
          <w:p>
            <w:pPr>
              <w:jc w:val="right"/>
              <w:ind w:right="921"/>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11.86</w:t>
            </w:r>
          </w:p>
        </w:tc>
        <w:tc>
          <w:tcPr>
            <w:tcW w:w="1440" w:type="dxa"/>
            <w:vAlign w:val="bottom"/>
            <w:gridSpan w:val="2"/>
          </w:tcPr>
          <w:p>
            <w:pPr>
              <w:jc w:val="right"/>
              <w:ind w:right="921"/>
              <w:spacing w:after="0"/>
              <w:rPr>
                <w:sz w:val="20"/>
                <w:szCs w:val="20"/>
                <w:color w:val="auto"/>
              </w:rPr>
            </w:pPr>
            <w:r>
              <w:rPr>
                <w:rFonts w:ascii="Arial" w:cs="Arial" w:eastAsia="Arial" w:hAnsi="Arial"/>
                <w:sz w:val="20"/>
                <w:szCs w:val="20"/>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20"/>
                <w:szCs w:val="20"/>
                <w:color w:val="auto"/>
              </w:rPr>
              <w:t>—</w:t>
            </w: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43"/>
        </w:trPr>
        <w:tc>
          <w:tcPr>
            <w:tcW w:w="4420" w:type="dxa"/>
            <w:vAlign w:val="bottom"/>
            <w:shd w:val="clear" w:color="auto" w:fill="CFF0FC"/>
          </w:tcPr>
          <w:p>
            <w:pPr>
              <w:spacing w:after="0"/>
              <w:rPr>
                <w:sz w:val="20"/>
                <w:szCs w:val="20"/>
                <w:color w:val="auto"/>
              </w:rPr>
            </w:pPr>
            <w:r>
              <w:rPr>
                <w:rFonts w:ascii="Arial" w:cs="Arial" w:eastAsia="Arial" w:hAnsi="Arial"/>
                <w:sz w:val="20"/>
                <w:szCs w:val="20"/>
                <w:color w:val="auto"/>
              </w:rPr>
              <w:t>Cement (per ton)</w:t>
            </w:r>
          </w:p>
        </w:tc>
        <w:tc>
          <w:tcPr>
            <w:tcW w:w="2380" w:type="dxa"/>
            <w:vAlign w:val="bottom"/>
            <w:gridSpan w:val="2"/>
            <w:shd w:val="clear" w:color="auto" w:fill="CFF0FC"/>
          </w:tcPr>
          <w:p>
            <w:pPr>
              <w:jc w:val="right"/>
              <w:ind w:right="921"/>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4"/>
              </w:rPr>
              <w:t>110.63</w:t>
            </w:r>
          </w:p>
        </w:tc>
        <w:tc>
          <w:tcPr>
            <w:tcW w:w="1440" w:type="dxa"/>
            <w:vAlign w:val="bottom"/>
            <w:gridSpan w:val="2"/>
            <w:shd w:val="clear" w:color="auto" w:fill="CFF0FC"/>
          </w:tcPr>
          <w:p>
            <w:pPr>
              <w:jc w:val="right"/>
              <w:ind w:right="921"/>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4"/>
              </w:rPr>
              <w:t>107.11</w:t>
            </w:r>
          </w:p>
        </w:tc>
        <w:tc>
          <w:tcPr>
            <w:tcW w:w="36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100"/>
              <w:spacing w:after="0"/>
              <w:rPr>
                <w:sz w:val="20"/>
                <w:szCs w:val="20"/>
                <w:color w:val="auto"/>
              </w:rPr>
            </w:pPr>
            <w:r>
              <w:rPr>
                <w:rFonts w:ascii="Arial" w:cs="Arial" w:eastAsia="Arial" w:hAnsi="Arial"/>
                <w:sz w:val="20"/>
                <w:szCs w:val="20"/>
                <w:color w:val="auto"/>
              </w:rPr>
              <w:t>3.3%</w:t>
            </w:r>
          </w:p>
        </w:tc>
      </w:tr>
      <w:tr>
        <w:trPr>
          <w:trHeight w:val="243"/>
        </w:trPr>
        <w:tc>
          <w:tcPr>
            <w:tcW w:w="4420" w:type="dxa"/>
            <w:vAlign w:val="bottom"/>
          </w:tcPr>
          <w:p>
            <w:pPr>
              <w:spacing w:after="0"/>
              <w:rPr>
                <w:sz w:val="20"/>
                <w:szCs w:val="20"/>
                <w:color w:val="auto"/>
              </w:rPr>
            </w:pPr>
            <w:r>
              <w:rPr>
                <w:rFonts w:ascii="Arial" w:cs="Arial" w:eastAsia="Arial" w:hAnsi="Arial"/>
                <w:sz w:val="20"/>
                <w:szCs w:val="20"/>
                <w:color w:val="auto"/>
              </w:rPr>
              <w:t>Ready Mixed Concrete (per cubic yard)</w:t>
            </w:r>
          </w:p>
        </w:tc>
        <w:tc>
          <w:tcPr>
            <w:tcW w:w="2380" w:type="dxa"/>
            <w:vAlign w:val="bottom"/>
            <w:gridSpan w:val="2"/>
          </w:tcPr>
          <w:p>
            <w:pPr>
              <w:jc w:val="right"/>
              <w:ind w:right="921"/>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w w:val="94"/>
              </w:rPr>
              <w:t>112.14</w:t>
            </w:r>
          </w:p>
        </w:tc>
        <w:tc>
          <w:tcPr>
            <w:tcW w:w="1440" w:type="dxa"/>
            <w:vAlign w:val="bottom"/>
            <w:gridSpan w:val="2"/>
          </w:tcPr>
          <w:p>
            <w:pPr>
              <w:jc w:val="right"/>
              <w:ind w:right="921"/>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w w:val="94"/>
              </w:rPr>
              <w:t>109.22</w:t>
            </w:r>
          </w:p>
        </w:tc>
        <w:tc>
          <w:tcPr>
            <w:tcW w:w="36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20"/>
                <w:szCs w:val="20"/>
                <w:color w:val="auto"/>
              </w:rPr>
              <w:t>2.7%</w:t>
            </w:r>
          </w:p>
        </w:tc>
      </w:tr>
      <w:tr>
        <w:trPr>
          <w:trHeight w:val="243"/>
        </w:trPr>
        <w:tc>
          <w:tcPr>
            <w:tcW w:w="4420" w:type="dxa"/>
            <w:vAlign w:val="bottom"/>
            <w:shd w:val="clear" w:color="auto" w:fill="CFF0FC"/>
          </w:tcPr>
          <w:p>
            <w:pPr>
              <w:spacing w:after="0"/>
              <w:rPr>
                <w:sz w:val="20"/>
                <w:szCs w:val="20"/>
                <w:color w:val="auto"/>
              </w:rPr>
            </w:pPr>
            <w:r>
              <w:rPr>
                <w:rFonts w:ascii="Arial" w:cs="Arial" w:eastAsia="Arial" w:hAnsi="Arial"/>
                <w:sz w:val="20"/>
                <w:szCs w:val="20"/>
                <w:color w:val="auto"/>
              </w:rPr>
              <w:t>Asphalt (per ton)</w:t>
            </w:r>
          </w:p>
        </w:tc>
        <w:tc>
          <w:tcPr>
            <w:tcW w:w="2380" w:type="dxa"/>
            <w:vAlign w:val="bottom"/>
            <w:gridSpan w:val="2"/>
            <w:shd w:val="clear" w:color="auto" w:fill="CFF0FC"/>
          </w:tcPr>
          <w:p>
            <w:pPr>
              <w:jc w:val="right"/>
              <w:ind w:right="921"/>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44.40</w:t>
            </w:r>
          </w:p>
        </w:tc>
        <w:tc>
          <w:tcPr>
            <w:tcW w:w="1440" w:type="dxa"/>
            <w:vAlign w:val="bottom"/>
            <w:gridSpan w:val="2"/>
            <w:shd w:val="clear" w:color="auto" w:fill="CFF0FC"/>
          </w:tcPr>
          <w:p>
            <w:pPr>
              <w:jc w:val="right"/>
              <w:ind w:right="921"/>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44.73</w:t>
            </w:r>
          </w:p>
        </w:tc>
        <w:tc>
          <w:tcPr>
            <w:tcW w:w="36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(0.7)%</w:t>
            </w: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37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2018</w:t>
      </w:r>
    </w:p>
    <w:p>
      <w:pPr>
        <w:jc w:val="center"/>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shipments data for the Building Materials business by product line.</w:t>
      </w:r>
    </w:p>
    <w:p>
      <w:pPr>
        <w:spacing w:after="0" w:line="229" w:lineRule="exact"/>
        <w:rPr>
          <w:sz w:val="20"/>
          <w:szCs w:val="20"/>
          <w:color w:val="auto"/>
        </w:rPr>
      </w:pPr>
    </w:p>
    <w:p>
      <w:pPr>
        <w:jc w:val="center"/>
        <w:ind w:left="7740"/>
        <w:spacing w:after="0"/>
        <w:rPr>
          <w:sz w:val="20"/>
          <w:szCs w:val="20"/>
          <w:color w:val="auto"/>
        </w:rPr>
      </w:pPr>
      <w:r>
        <w:rPr>
          <w:rFonts w:ascii="Arial" w:cs="Arial" w:eastAsia="Arial" w:hAnsi="Arial"/>
          <w:sz w:val="20"/>
          <w:szCs w:val="20"/>
          <w:color w:val="auto"/>
        </w:rPr>
        <w:t>Three-Months Ended</w:t>
      </w:r>
    </w:p>
    <w:p>
      <w:pPr>
        <w:spacing w:after="0" w:line="20" w:lineRule="exact"/>
        <w:rPr>
          <w:sz w:val="20"/>
          <w:szCs w:val="20"/>
          <w:color w:val="auto"/>
        </w:rPr>
      </w:pPr>
    </w:p>
    <w:p>
      <w:pPr>
        <w:jc w:val="center"/>
        <w:ind w:left="7740"/>
        <w:spacing w:after="0"/>
        <w:rPr>
          <w:sz w:val="20"/>
          <w:szCs w:val="20"/>
          <w:color w:val="auto"/>
        </w:rPr>
      </w:pPr>
      <w:r>
        <w:rPr>
          <w:rFonts w:ascii="Arial" w:cs="Arial" w:eastAsia="Arial" w:hAnsi="Arial"/>
          <w:sz w:val="20"/>
          <w:szCs w:val="20"/>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860" w:type="dxa"/>
            <w:vAlign w:val="bottom"/>
            <w:gridSpan w:val="2"/>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2018</w:t>
            </w:r>
          </w:p>
        </w:tc>
        <w:tc>
          <w:tcPr>
            <w:tcW w:w="5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8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20"/>
                <w:szCs w:val="20"/>
                <w:color w:val="auto"/>
              </w:rPr>
              <w:t>2017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60" w:type="dxa"/>
            <w:vAlign w:val="bottom"/>
            <w:gridSpan w:val="2"/>
          </w:tcPr>
          <w:p>
            <w:pPr>
              <w:spacing w:after="0"/>
              <w:rPr>
                <w:sz w:val="20"/>
                <w:szCs w:val="20"/>
                <w:color w:val="auto"/>
              </w:rPr>
            </w:pPr>
            <w:r>
              <w:rPr>
                <w:rFonts w:ascii="Arial" w:cs="Arial" w:eastAsia="Arial" w:hAnsi="Arial"/>
                <w:sz w:val="20"/>
                <w:szCs w:val="20"/>
                <w:b w:val="1"/>
                <w:bCs w:val="1"/>
                <w:color w:val="auto"/>
              </w:rPr>
              <w:t>Shipments</w:t>
            </w: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Aggregates (in thousands):</w:t>
            </w:r>
          </w:p>
        </w:tc>
        <w:tc>
          <w:tcPr>
            <w:tcW w:w="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40" w:type="dxa"/>
            <w:vAlign w:val="bottom"/>
            <w:gridSpan w:val="2"/>
          </w:tcPr>
          <w:p>
            <w:pPr>
              <w:ind w:left="120"/>
              <w:spacing w:after="0"/>
              <w:rPr>
                <w:sz w:val="20"/>
                <w:szCs w:val="20"/>
                <w:color w:val="auto"/>
              </w:rPr>
            </w:pPr>
            <w:r>
              <w:rPr>
                <w:rFonts w:ascii="Arial" w:cs="Arial" w:eastAsia="Arial" w:hAnsi="Arial"/>
                <w:sz w:val="20"/>
                <w:szCs w:val="20"/>
                <w:color w:val="auto"/>
              </w:rPr>
              <w:t>Heritage:</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40" w:type="dxa"/>
            <w:vAlign w:val="bottom"/>
            <w:gridSpan w:val="2"/>
            <w:shd w:val="clear" w:color="auto" w:fill="CFF0FC"/>
          </w:tcPr>
          <w:p>
            <w:pPr>
              <w:ind w:left="360"/>
              <w:spacing w:after="0"/>
              <w:rPr>
                <w:sz w:val="20"/>
                <w:szCs w:val="20"/>
                <w:color w:val="auto"/>
              </w:rPr>
            </w:pPr>
            <w:r>
              <w:rPr>
                <w:rFonts w:ascii="Arial" w:cs="Arial" w:eastAsia="Arial" w:hAnsi="Arial"/>
                <w:sz w:val="20"/>
                <w:szCs w:val="20"/>
                <w:color w:val="auto"/>
              </w:rPr>
              <w:t>Tons to external customers</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8"/>
              </w:rPr>
              <w:t>42,312</w:t>
            </w: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40,787</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40" w:type="dxa"/>
            <w:vAlign w:val="bottom"/>
            <w:gridSpan w:val="2"/>
          </w:tcPr>
          <w:p>
            <w:pPr>
              <w:ind w:left="360"/>
              <w:spacing w:after="0"/>
              <w:rPr>
                <w:sz w:val="20"/>
                <w:szCs w:val="20"/>
                <w:color w:val="auto"/>
              </w:rPr>
            </w:pPr>
            <w:r>
              <w:rPr>
                <w:rFonts w:ascii="Arial" w:cs="Arial" w:eastAsia="Arial" w:hAnsi="Arial"/>
                <w:sz w:val="20"/>
                <w:szCs w:val="20"/>
                <w:color w:val="auto"/>
              </w:rPr>
              <w:t>Internal tons used in other product lines</w:t>
            </w:r>
          </w:p>
        </w:tc>
        <w:tc>
          <w:tcPr>
            <w:tcW w:w="580" w:type="dxa"/>
            <w:vAlign w:val="bottom"/>
          </w:tcPr>
          <w:p>
            <w:pPr>
              <w:jc w:val="right"/>
              <w:spacing w:after="0"/>
              <w:rPr>
                <w:sz w:val="20"/>
                <w:szCs w:val="20"/>
                <w:color w:val="auto"/>
              </w:rPr>
            </w:pPr>
            <w:r>
              <w:rPr>
                <w:rFonts w:ascii="Arial" w:cs="Arial" w:eastAsia="Arial" w:hAnsi="Arial"/>
                <w:sz w:val="20"/>
                <w:szCs w:val="20"/>
                <w:color w:val="auto"/>
              </w:rPr>
              <w:t>2,882</w:t>
            </w:r>
          </w:p>
        </w:tc>
        <w:tc>
          <w:tcPr>
            <w:tcW w:w="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3,018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Total heritage aggregates tons</w:t>
            </w:r>
          </w:p>
        </w:tc>
        <w:tc>
          <w:tcPr>
            <w:tcW w:w="100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88"/>
              </w:rPr>
              <w:t>45,194</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43,805</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7840" w:type="dxa"/>
            <w:vAlign w:val="bottom"/>
          </w:tcPr>
          <w:p>
            <w:pPr>
              <w:ind w:left="120"/>
              <w:spacing w:after="0" w:line="224" w:lineRule="exact"/>
              <w:rPr>
                <w:sz w:val="20"/>
                <w:szCs w:val="20"/>
                <w:color w:val="auto"/>
              </w:rPr>
            </w:pPr>
            <w:r>
              <w:rPr>
                <w:rFonts w:ascii="Arial" w:cs="Arial" w:eastAsia="Arial" w:hAnsi="Arial"/>
                <w:sz w:val="20"/>
                <w:szCs w:val="20"/>
                <w:color w:val="auto"/>
              </w:rPr>
              <w:t>Acquisitions:</w:t>
            </w:r>
          </w:p>
        </w:tc>
        <w:tc>
          <w:tcPr>
            <w:tcW w:w="10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40" w:type="dxa"/>
            <w:vAlign w:val="bottom"/>
            <w:gridSpan w:val="2"/>
            <w:shd w:val="clear" w:color="auto" w:fill="CFF0FC"/>
          </w:tcPr>
          <w:p>
            <w:pPr>
              <w:ind w:left="360"/>
              <w:spacing w:after="0"/>
              <w:rPr>
                <w:sz w:val="20"/>
                <w:szCs w:val="20"/>
                <w:color w:val="auto"/>
              </w:rPr>
            </w:pPr>
            <w:r>
              <w:rPr>
                <w:rFonts w:ascii="Arial" w:cs="Arial" w:eastAsia="Arial" w:hAnsi="Arial"/>
                <w:sz w:val="20"/>
                <w:szCs w:val="20"/>
                <w:color w:val="auto"/>
              </w:rPr>
              <w:t>Tons to external customers</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5,130</w:t>
            </w:r>
          </w:p>
        </w:tc>
        <w:tc>
          <w:tcPr>
            <w:tcW w:w="28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40" w:type="dxa"/>
            <w:vAlign w:val="bottom"/>
            <w:gridSpan w:val="2"/>
          </w:tcPr>
          <w:p>
            <w:pPr>
              <w:ind w:left="360"/>
              <w:spacing w:after="0"/>
              <w:rPr>
                <w:sz w:val="20"/>
                <w:szCs w:val="20"/>
                <w:color w:val="auto"/>
              </w:rPr>
            </w:pPr>
            <w:r>
              <w:rPr>
                <w:rFonts w:ascii="Arial" w:cs="Arial" w:eastAsia="Arial" w:hAnsi="Arial"/>
                <w:sz w:val="20"/>
                <w:szCs w:val="20"/>
                <w:color w:val="auto"/>
              </w:rPr>
              <w:t>Internal tons used in other product lines</w:t>
            </w:r>
          </w:p>
        </w:tc>
        <w:tc>
          <w:tcPr>
            <w:tcW w:w="86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17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Total acquisition aggregates tons</w:t>
            </w:r>
          </w:p>
        </w:tc>
        <w:tc>
          <w:tcPr>
            <w:tcW w:w="100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5,130</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7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8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Cement (in thousands):</w:t>
            </w:r>
          </w:p>
        </w:tc>
        <w:tc>
          <w:tcPr>
            <w:tcW w:w="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40" w:type="dxa"/>
            <w:vAlign w:val="bottom"/>
            <w:gridSpan w:val="2"/>
          </w:tcPr>
          <w:p>
            <w:pPr>
              <w:ind w:left="120"/>
              <w:spacing w:after="0"/>
              <w:rPr>
                <w:sz w:val="20"/>
                <w:szCs w:val="20"/>
                <w:color w:val="auto"/>
              </w:rPr>
            </w:pPr>
            <w:r>
              <w:rPr>
                <w:rFonts w:ascii="Arial" w:cs="Arial" w:eastAsia="Arial" w:hAnsi="Arial"/>
                <w:sz w:val="20"/>
                <w:szCs w:val="20"/>
                <w:color w:val="auto"/>
              </w:rPr>
              <w:t>Tons to external customers</w:t>
            </w:r>
          </w:p>
        </w:tc>
        <w:tc>
          <w:tcPr>
            <w:tcW w:w="580" w:type="dxa"/>
            <w:vAlign w:val="bottom"/>
          </w:tcPr>
          <w:p>
            <w:pPr>
              <w:jc w:val="right"/>
              <w:spacing w:after="0"/>
              <w:rPr>
                <w:sz w:val="20"/>
                <w:szCs w:val="20"/>
                <w:color w:val="auto"/>
              </w:rPr>
            </w:pPr>
            <w:r>
              <w:rPr>
                <w:rFonts w:ascii="Arial" w:cs="Arial" w:eastAsia="Arial" w:hAnsi="Arial"/>
                <w:sz w:val="20"/>
                <w:szCs w:val="20"/>
                <w:color w:val="auto"/>
              </w:rPr>
              <w:t>587</w:t>
            </w:r>
          </w:p>
        </w:tc>
        <w:tc>
          <w:tcPr>
            <w:tcW w:w="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523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40" w:type="dxa"/>
            <w:vAlign w:val="bottom"/>
            <w:gridSpan w:val="2"/>
            <w:shd w:val="clear" w:color="auto" w:fill="CFF0FC"/>
          </w:tcPr>
          <w:p>
            <w:pPr>
              <w:ind w:left="120"/>
              <w:spacing w:after="0"/>
              <w:rPr>
                <w:sz w:val="20"/>
                <w:szCs w:val="20"/>
                <w:color w:val="auto"/>
              </w:rPr>
            </w:pPr>
            <w:r>
              <w:rPr>
                <w:rFonts w:ascii="Arial" w:cs="Arial" w:eastAsia="Arial" w:hAnsi="Arial"/>
                <w:sz w:val="20"/>
                <w:szCs w:val="20"/>
                <w:color w:val="auto"/>
              </w:rPr>
              <w:t>Internal tons used in ready mixed concrete</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292</w:t>
            </w: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7860" w:type="dxa"/>
            <w:vAlign w:val="bottom"/>
            <w:gridSpan w:val="2"/>
          </w:tcPr>
          <w:p>
            <w:pPr>
              <w:spacing w:after="0"/>
              <w:rPr>
                <w:sz w:val="20"/>
                <w:szCs w:val="20"/>
                <w:color w:val="auto"/>
              </w:rPr>
            </w:pPr>
            <w:r>
              <w:rPr>
                <w:rFonts w:ascii="Arial" w:cs="Arial" w:eastAsia="Arial" w:hAnsi="Arial"/>
                <w:sz w:val="20"/>
                <w:szCs w:val="20"/>
                <w:color w:val="auto"/>
              </w:rPr>
              <w:t>Total cement tons</w:t>
            </w:r>
          </w:p>
        </w:tc>
        <w:tc>
          <w:tcPr>
            <w:tcW w:w="100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879</w:t>
            </w:r>
          </w:p>
        </w:tc>
        <w:tc>
          <w:tcPr>
            <w:tcW w:w="280" w:type="dxa"/>
            <w:vAlign w:val="bottom"/>
          </w:tcPr>
          <w:p>
            <w:pPr>
              <w:spacing w:after="0"/>
              <w:rPr>
                <w:sz w:val="24"/>
                <w:szCs w:val="24"/>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817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78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8840" w:type="dxa"/>
            <w:vAlign w:val="bottom"/>
            <w:gridSpan w:val="2"/>
          </w:tcPr>
          <w:p>
            <w:pPr>
              <w:spacing w:after="0"/>
              <w:rPr>
                <w:sz w:val="20"/>
                <w:szCs w:val="20"/>
                <w:color w:val="auto"/>
              </w:rPr>
            </w:pPr>
            <w:r>
              <w:rPr>
                <w:rFonts w:ascii="Arial" w:cs="Arial" w:eastAsia="Arial" w:hAnsi="Arial"/>
                <w:sz w:val="20"/>
                <w:szCs w:val="20"/>
                <w:color w:val="auto"/>
              </w:rPr>
              <w:t>Ready Mixed Concrete (in thousands of cubic yards)</w:t>
            </w:r>
          </w:p>
        </w:tc>
        <w:tc>
          <w:tcPr>
            <w:tcW w:w="580" w:type="dxa"/>
            <w:vAlign w:val="bottom"/>
          </w:tcPr>
          <w:p>
            <w:pPr>
              <w:jc w:val="right"/>
              <w:spacing w:after="0"/>
              <w:rPr>
                <w:sz w:val="20"/>
                <w:szCs w:val="20"/>
                <w:color w:val="auto"/>
              </w:rPr>
            </w:pPr>
            <w:r>
              <w:rPr>
                <w:rFonts w:ascii="Arial" w:cs="Arial" w:eastAsia="Arial" w:hAnsi="Arial"/>
                <w:sz w:val="20"/>
                <w:szCs w:val="20"/>
                <w:color w:val="auto"/>
              </w:rPr>
              <w:t>2,232</w:t>
            </w:r>
          </w:p>
        </w:tc>
        <w:tc>
          <w:tcPr>
            <w:tcW w:w="2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2,160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78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840" w:type="dxa"/>
            <w:vAlign w:val="bottom"/>
            <w:gridSpan w:val="2"/>
          </w:tcPr>
          <w:p>
            <w:pPr>
              <w:spacing w:after="0"/>
              <w:rPr>
                <w:sz w:val="20"/>
                <w:szCs w:val="20"/>
                <w:color w:val="auto"/>
              </w:rPr>
            </w:pPr>
            <w:r>
              <w:rPr>
                <w:rFonts w:ascii="Arial" w:cs="Arial" w:eastAsia="Arial" w:hAnsi="Arial"/>
                <w:sz w:val="20"/>
                <w:szCs w:val="20"/>
                <w:color w:val="auto"/>
              </w:rPr>
              <w:t>Asphalt (in thousands):</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40" w:type="dxa"/>
            <w:vAlign w:val="bottom"/>
            <w:gridSpan w:val="2"/>
            <w:shd w:val="clear" w:color="auto" w:fill="CFF0FC"/>
          </w:tcPr>
          <w:p>
            <w:pPr>
              <w:ind w:left="240"/>
              <w:spacing w:after="0"/>
              <w:rPr>
                <w:sz w:val="20"/>
                <w:szCs w:val="20"/>
                <w:color w:val="auto"/>
              </w:rPr>
            </w:pPr>
            <w:r>
              <w:rPr>
                <w:rFonts w:ascii="Arial" w:cs="Arial" w:eastAsia="Arial" w:hAnsi="Arial"/>
                <w:sz w:val="20"/>
                <w:szCs w:val="20"/>
                <w:color w:val="auto"/>
              </w:rPr>
              <w:t>Tons to external customers</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394</w:t>
            </w:r>
          </w:p>
        </w:tc>
        <w:tc>
          <w:tcPr>
            <w:tcW w:w="28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385</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40" w:type="dxa"/>
            <w:vAlign w:val="bottom"/>
            <w:gridSpan w:val="2"/>
          </w:tcPr>
          <w:p>
            <w:pPr>
              <w:ind w:left="240"/>
              <w:spacing w:after="0"/>
              <w:rPr>
                <w:sz w:val="20"/>
                <w:szCs w:val="20"/>
                <w:color w:val="auto"/>
              </w:rPr>
            </w:pPr>
            <w:r>
              <w:rPr>
                <w:rFonts w:ascii="Arial" w:cs="Arial" w:eastAsia="Arial" w:hAnsi="Arial"/>
                <w:sz w:val="20"/>
                <w:szCs w:val="20"/>
                <w:color w:val="auto"/>
              </w:rPr>
              <w:t>Internal tons used in paving business</w:t>
            </w:r>
          </w:p>
        </w:tc>
        <w:tc>
          <w:tcPr>
            <w:tcW w:w="580" w:type="dxa"/>
            <w:vAlign w:val="bottom"/>
          </w:tcPr>
          <w:p>
            <w:pPr>
              <w:jc w:val="right"/>
              <w:spacing w:after="0"/>
              <w:rPr>
                <w:sz w:val="20"/>
                <w:szCs w:val="20"/>
                <w:color w:val="auto"/>
              </w:rPr>
            </w:pPr>
            <w:r>
              <w:rPr>
                <w:rFonts w:ascii="Arial" w:cs="Arial" w:eastAsia="Arial" w:hAnsi="Arial"/>
                <w:sz w:val="20"/>
                <w:szCs w:val="20"/>
                <w:color w:val="auto"/>
              </w:rPr>
              <w:t>709</w:t>
            </w:r>
          </w:p>
        </w:tc>
        <w:tc>
          <w:tcPr>
            <w:tcW w:w="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829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asphalt tons</w:t>
            </w:r>
          </w:p>
        </w:tc>
        <w:tc>
          <w:tcPr>
            <w:tcW w:w="100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1,103</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1,214</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Third-quarter cement product revenues increased 11.0%. Shipments and pricing improved 7.6% and 3.3%, respectively, reflecting strong demand in North and South Texas and contributed to gross margin improvement of 210 basis points to 33.1%.</w:t>
      </w:r>
    </w:p>
    <w:p>
      <w:pPr>
        <w:spacing w:after="0" w:line="6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Ready mixed concrete shipments increased 3.3%, with solid gains throughout the Rocky Mountain and Southwest Divisions, despite September’s record rainfall in Texas. Ready mixed concrete selling prices increased 2.7%. Ongoing project delays and permitting issues contributed to the 9.1% decrease in hot mixed asphalt shipments. Asphalt pricing was essentially flat.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38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2018</w:t>
      </w:r>
    </w:p>
    <w:p>
      <w:pPr>
        <w:jc w:val="center"/>
        <w:spacing w:after="0"/>
        <w:rPr>
          <w:sz w:val="20"/>
          <w:szCs w:val="20"/>
          <w:color w:val="auto"/>
        </w:rPr>
      </w:pPr>
      <w:r>
        <w:rPr>
          <w:rFonts w:ascii="Arial" w:cs="Arial" w:eastAsia="Arial" w:hAnsi="Arial"/>
          <w:sz w:val="20"/>
          <w:szCs w:val="20"/>
          <w:color w:val="auto"/>
        </w:rPr>
        <w:t>(Continued)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Magnesia Specialties Business</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Magnesia Specialties reported third-quarter total products revenue increase of 14.2% to $68.4 million, compared with $59.9 million. Products gross profit was $26.8 million compared with $21.3 million and earnings from operations were $23.3 million compared with $17.6 million. Operating efficiencies, together with lower unit energy costs, contributed to a 370-basis-point increase in third-quarter product gross margin to 39.2%.</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400" w:type="dxa"/>
            <w:vAlign w:val="bottom"/>
            <w:gridSpan w:val="2"/>
          </w:tcPr>
          <w:p>
            <w:pPr>
              <w:spacing w:after="0"/>
              <w:rPr>
                <w:sz w:val="20"/>
                <w:szCs w:val="20"/>
                <w:color w:val="auto"/>
              </w:rPr>
            </w:pPr>
            <w:r>
              <w:rPr>
                <w:rFonts w:ascii="Arial" w:cs="Arial" w:eastAsia="Arial" w:hAnsi="Arial"/>
                <w:sz w:val="20"/>
                <w:szCs w:val="20"/>
                <w:i w:val="1"/>
                <w:iCs w:val="1"/>
                <w:color w:val="auto"/>
              </w:rPr>
              <w:t>Gross Profit</w:t>
            </w:r>
          </w:p>
        </w:tc>
        <w:tc>
          <w:tcPr>
            <w:tcW w:w="6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9400" w:type="dxa"/>
            <w:vAlign w:val="bottom"/>
            <w:gridSpan w:val="2"/>
          </w:tcPr>
          <w:p>
            <w:pPr>
              <w:spacing w:after="0"/>
              <w:rPr>
                <w:sz w:val="20"/>
                <w:szCs w:val="20"/>
                <w:color w:val="auto"/>
              </w:rPr>
            </w:pPr>
            <w:r>
              <w:rPr>
                <w:rFonts w:ascii="Arial" w:cs="Arial" w:eastAsia="Arial" w:hAnsi="Arial"/>
                <w:sz w:val="20"/>
                <w:szCs w:val="20"/>
                <w:color w:val="auto"/>
              </w:rPr>
              <w:t>The following presents a rollforward of consolidated gross profit (dollars in thousands):</w:t>
            </w: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20" w:type="dxa"/>
            <w:vAlign w:val="bottom"/>
            <w:vMerge w:val="restart"/>
          </w:tcPr>
          <w:p>
            <w:pPr>
              <w:spacing w:after="0"/>
              <w:rPr>
                <w:sz w:val="5"/>
                <w:szCs w:val="5"/>
                <w:color w:val="auto"/>
              </w:rPr>
            </w:pPr>
          </w:p>
        </w:tc>
        <w:tc>
          <w:tcPr>
            <w:tcW w:w="93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9380" w:type="dxa"/>
            <w:vAlign w:val="bottom"/>
            <w:shd w:val="clear" w:color="auto" w:fill="CFF0FC"/>
          </w:tcPr>
          <w:p>
            <w:pPr>
              <w:spacing w:after="0"/>
              <w:rPr>
                <w:sz w:val="20"/>
                <w:szCs w:val="20"/>
                <w:color w:val="auto"/>
              </w:rPr>
            </w:pPr>
            <w:r>
              <w:rPr>
                <w:rFonts w:ascii="Arial" w:cs="Arial" w:eastAsia="Arial" w:hAnsi="Arial"/>
                <w:sz w:val="20"/>
                <w:szCs w:val="20"/>
                <w:color w:val="auto"/>
              </w:rPr>
              <w:t>Consolidated gross profit, quarter ended September 30, 2017</w:t>
            </w:r>
          </w:p>
        </w:tc>
        <w:tc>
          <w:tcPr>
            <w:tcW w:w="680" w:type="dxa"/>
            <w:vAlign w:val="bottom"/>
            <w:tcBorders>
              <w:bottom w:val="single" w:sz="8" w:color="auto"/>
            </w:tcBorders>
            <w:shd w:val="clear" w:color="auto" w:fill="CFF0FC"/>
          </w:tcPr>
          <w:p>
            <w:pPr>
              <w:jc w:val="right"/>
              <w:ind w:right="481"/>
              <w:spacing w:after="0"/>
              <w:rPr>
                <w:sz w:val="20"/>
                <w:szCs w:val="20"/>
                <w:color w:val="auto"/>
              </w:rPr>
            </w:pPr>
            <w:r>
              <w:rPr>
                <w:rFonts w:ascii="Arial" w:cs="Arial" w:eastAsia="Arial" w:hAnsi="Arial"/>
                <w:sz w:val="20"/>
                <w:szCs w:val="20"/>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291,678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400" w:type="dxa"/>
            <w:vAlign w:val="bottom"/>
            <w:gridSpan w:val="2"/>
          </w:tcPr>
          <w:p>
            <w:pPr>
              <w:spacing w:after="0"/>
              <w:rPr>
                <w:sz w:val="20"/>
                <w:szCs w:val="20"/>
                <w:color w:val="auto"/>
              </w:rPr>
            </w:pPr>
            <w:r>
              <w:rPr>
                <w:rFonts w:ascii="Arial" w:cs="Arial" w:eastAsia="Arial" w:hAnsi="Arial"/>
                <w:sz w:val="20"/>
                <w:szCs w:val="20"/>
                <w:color w:val="auto"/>
              </w:rPr>
              <w:t>Aggregates products:</w:t>
            </w: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3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Volume</w:t>
            </w:r>
          </w:p>
        </w:tc>
        <w:tc>
          <w:tcPr>
            <w:tcW w:w="6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79,452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380" w:type="dxa"/>
            <w:vAlign w:val="bottom"/>
          </w:tcPr>
          <w:p>
            <w:pPr>
              <w:ind w:left="240"/>
              <w:spacing w:after="0"/>
              <w:rPr>
                <w:sz w:val="20"/>
                <w:szCs w:val="20"/>
                <w:color w:val="auto"/>
              </w:rPr>
            </w:pPr>
            <w:r>
              <w:rPr>
                <w:rFonts w:ascii="Arial" w:cs="Arial" w:eastAsia="Arial" w:hAnsi="Arial"/>
                <w:sz w:val="20"/>
                <w:szCs w:val="20"/>
                <w:color w:val="auto"/>
              </w:rPr>
              <w:t>Pricing</w:t>
            </w:r>
          </w:p>
        </w:tc>
        <w:tc>
          <w:tcPr>
            <w:tcW w:w="6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18,036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3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Cost increases, net</w:t>
            </w:r>
          </w:p>
        </w:tc>
        <w:tc>
          <w:tcPr>
            <w:tcW w:w="6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(75,471)</w:t>
            </w:r>
          </w:p>
        </w:tc>
        <w:tc>
          <w:tcPr>
            <w:tcW w:w="0" w:type="dxa"/>
            <w:vAlign w:val="bottom"/>
          </w:tcPr>
          <w:p>
            <w:pPr>
              <w:spacing w:after="0"/>
              <w:rPr>
                <w:sz w:val="1"/>
                <w:szCs w:val="1"/>
                <w:color w:val="auto"/>
              </w:rPr>
            </w:pPr>
          </w:p>
        </w:tc>
      </w:tr>
      <w:tr>
        <w:trPr>
          <w:trHeight w:val="237"/>
        </w:trPr>
        <w:tc>
          <w:tcPr>
            <w:tcW w:w="9400" w:type="dxa"/>
            <w:vAlign w:val="bottom"/>
            <w:gridSpan w:val="2"/>
          </w:tcPr>
          <w:p>
            <w:pPr>
              <w:spacing w:after="0"/>
              <w:rPr>
                <w:sz w:val="20"/>
                <w:szCs w:val="20"/>
                <w:color w:val="auto"/>
              </w:rPr>
            </w:pPr>
            <w:r>
              <w:rPr>
                <w:rFonts w:ascii="Arial" w:cs="Arial" w:eastAsia="Arial" w:hAnsi="Arial"/>
                <w:sz w:val="20"/>
                <w:szCs w:val="20"/>
                <w:color w:val="auto"/>
              </w:rPr>
              <w:t>Change in aggregates products gross profit</w:t>
            </w:r>
          </w:p>
        </w:tc>
        <w:tc>
          <w:tcPr>
            <w:tcW w:w="6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380" w:type="dxa"/>
            <w:vAlign w:val="bottom"/>
            <w:shd w:val="clear" w:color="auto" w:fill="CFF0FC"/>
          </w:tcPr>
          <w:p>
            <w:pPr>
              <w:spacing w:after="0"/>
              <w:rPr>
                <w:sz w:val="20"/>
                <w:szCs w:val="20"/>
                <w:color w:val="auto"/>
              </w:rPr>
            </w:pPr>
            <w:r>
              <w:rPr>
                <w:rFonts w:ascii="Arial" w:cs="Arial" w:eastAsia="Arial" w:hAnsi="Arial"/>
                <w:sz w:val="20"/>
                <w:szCs w:val="20"/>
                <w:color w:val="auto"/>
              </w:rPr>
              <w:t>Cement products and downstream products and services</w:t>
            </w:r>
          </w:p>
        </w:tc>
        <w:tc>
          <w:tcPr>
            <w:tcW w:w="6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(1,464)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380" w:type="dxa"/>
            <w:vAlign w:val="bottom"/>
          </w:tcPr>
          <w:p>
            <w:pPr>
              <w:spacing w:after="0"/>
              <w:rPr>
                <w:sz w:val="20"/>
                <w:szCs w:val="20"/>
                <w:color w:val="auto"/>
              </w:rPr>
            </w:pPr>
            <w:r>
              <w:rPr>
                <w:rFonts w:ascii="Arial" w:cs="Arial" w:eastAsia="Arial" w:hAnsi="Arial"/>
                <w:sz w:val="20"/>
                <w:szCs w:val="20"/>
                <w:color w:val="auto"/>
              </w:rPr>
              <w:t>Magnesia Specialties products</w:t>
            </w:r>
          </w:p>
        </w:tc>
        <w:tc>
          <w:tcPr>
            <w:tcW w:w="6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5,551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380" w:type="dxa"/>
            <w:vAlign w:val="bottom"/>
            <w:shd w:val="clear" w:color="auto" w:fill="CFF0FC"/>
          </w:tcPr>
          <w:p>
            <w:pPr>
              <w:spacing w:after="0"/>
              <w:rPr>
                <w:sz w:val="20"/>
                <w:szCs w:val="20"/>
                <w:color w:val="auto"/>
              </w:rPr>
            </w:pPr>
            <w:r>
              <w:rPr>
                <w:rFonts w:ascii="Arial" w:cs="Arial" w:eastAsia="Arial" w:hAnsi="Arial"/>
                <w:sz w:val="20"/>
                <w:szCs w:val="20"/>
                <w:color w:val="auto"/>
              </w:rPr>
              <w:t>Corporate</w:t>
            </w:r>
          </w:p>
        </w:tc>
        <w:tc>
          <w:tcPr>
            <w:tcW w:w="6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(4,025)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380" w:type="dxa"/>
            <w:vAlign w:val="bottom"/>
          </w:tcPr>
          <w:p>
            <w:pPr>
              <w:spacing w:after="0"/>
              <w:rPr>
                <w:sz w:val="20"/>
                <w:szCs w:val="20"/>
                <w:color w:val="auto"/>
              </w:rPr>
            </w:pPr>
            <w:r>
              <w:rPr>
                <w:rFonts w:ascii="Arial" w:cs="Arial" w:eastAsia="Arial" w:hAnsi="Arial"/>
                <w:sz w:val="20"/>
                <w:szCs w:val="20"/>
                <w:color w:val="auto"/>
              </w:rPr>
              <w:t>Freight</w:t>
            </w:r>
          </w:p>
        </w:tc>
        <w:tc>
          <w:tcPr>
            <w:tcW w:w="68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20"/>
                <w:szCs w:val="20"/>
                <w:color w:val="auto"/>
              </w:rPr>
              <w:t>(773)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Change in consolidated gross profit</w:t>
            </w:r>
          </w:p>
        </w:tc>
        <w:tc>
          <w:tcPr>
            <w:tcW w:w="680" w:type="dxa"/>
            <w:vAlign w:val="bottom"/>
            <w:tcBorders>
              <w:top w:val="single" w:sz="8" w:color="auto"/>
              <w:bottom w:val="single" w:sz="8" w:color="auto"/>
            </w:tcBorders>
            <w:shd w:val="clear" w:color="auto" w:fill="CFF0FC"/>
          </w:tcPr>
          <w:p>
            <w:pPr>
              <w:spacing w:after="0"/>
              <w:rPr>
                <w:sz w:val="20"/>
                <w:szCs w:val="20"/>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21,306</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400" w:type="dxa"/>
            <w:vAlign w:val="bottom"/>
            <w:gridSpan w:val="2"/>
          </w:tcPr>
          <w:p>
            <w:pPr>
              <w:spacing w:after="0"/>
              <w:rPr>
                <w:sz w:val="20"/>
                <w:szCs w:val="20"/>
                <w:color w:val="auto"/>
              </w:rPr>
            </w:pPr>
            <w:r>
              <w:rPr>
                <w:rFonts w:ascii="Arial" w:cs="Arial" w:eastAsia="Arial" w:hAnsi="Arial"/>
                <w:sz w:val="20"/>
                <w:szCs w:val="20"/>
                <w:color w:val="auto"/>
              </w:rPr>
              <w:t>Consolidated gross profit, quarter ended September 30, 2018</w:t>
            </w:r>
          </w:p>
        </w:tc>
        <w:tc>
          <w:tcPr>
            <w:tcW w:w="680" w:type="dxa"/>
            <w:vAlign w:val="bottom"/>
            <w:tcBorders>
              <w:bottom w:val="single" w:sz="8" w:color="auto"/>
            </w:tcBorders>
          </w:tcPr>
          <w:p>
            <w:pPr>
              <w:jc w:val="right"/>
              <w:ind w:right="481"/>
              <w:spacing w:after="0"/>
              <w:rPr>
                <w:sz w:val="20"/>
                <w:szCs w:val="20"/>
                <w:color w:val="auto"/>
              </w:rPr>
            </w:pPr>
            <w:r>
              <w:rPr>
                <w:rFonts w:ascii="Arial" w:cs="Arial" w:eastAsia="Arial" w:hAnsi="Arial"/>
                <w:sz w:val="20"/>
                <w:szCs w:val="2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312,984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Cost increases, net, includes the $8.3 million negative impact of selling acquired inventory after its markup to fair value as a part of acquisition accounting.</w:t>
      </w:r>
    </w:p>
    <w:p>
      <w:pPr>
        <w:spacing w:after="0" w:line="6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Cement outage costs, which reflect planned and unplanned plant shutdowns, were $4.2 million for the quarter compared with $2.0 million for the prior-year quarter.</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Consolidated Operating Results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Consolidated SG&amp;A was 5.6% of total revenues compared with 5.3% in the prior-year quarter. Earnings from operations for the quarter were $240.7 million in 2018 compared with $227.0 million in 2017.</w:t>
      </w:r>
    </w:p>
    <w:p>
      <w:pPr>
        <w:spacing w:after="0" w:line="6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Among other items, other operating income, net, includes gains and losses on the sale of assets; recoveries and writeoffs related to customer accounts receivable; rental, royalty and services income; accretion expense, depreciation expense and gains and losses related to asset retirement obligations. For the third quarter, consolidated other operating expense, net, was $3.8 million in 2018 and $6.2 million in 2017. The 2018 amount reflects $7.1 million in restructuring expenses related to the Company’s Southwest ready mixed concrete operations. The 2017 amount includes a $12.4 million expense for repair costs related to certain of the Company’s leased railcars.</w:t>
      </w:r>
    </w:p>
    <w:p>
      <w:pPr>
        <w:spacing w:after="0" w:line="5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Other nonoperating income, net, includes interest income; pension and postretirement benefit cost, excluding service cost; foreign currency transaction gains and losses; equity in earnings or losses of nonconsolidated affiliates and other miscellaneous income. For the third quarter, other nonoperating income, net, was $4.2 million and $0.5 million in 2018 and 2017, respectively. The increase in 2018 compared with 2017 primarily reflects higher earnings from nonconsolidated equity investments.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39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2018</w:t>
      </w:r>
    </w:p>
    <w:p>
      <w:pPr>
        <w:jc w:val="center"/>
        <w:spacing w:after="0"/>
        <w:rPr>
          <w:sz w:val="20"/>
          <w:szCs w:val="20"/>
          <w:color w:val="auto"/>
        </w:rPr>
      </w:pPr>
      <w:r>
        <w:rPr>
          <w:rFonts w:ascii="Arial" w:cs="Arial" w:eastAsia="Arial" w:hAnsi="Arial"/>
          <w:sz w:val="20"/>
          <w:szCs w:val="20"/>
          <w:color w:val="auto"/>
        </w:rPr>
        <w:t>(Continued)</w:t>
      </w:r>
    </w:p>
    <w:p>
      <w:pPr>
        <w:spacing w:after="0" w:line="348" w:lineRule="exact"/>
        <w:rPr>
          <w:sz w:val="20"/>
          <w:szCs w:val="20"/>
          <w:color w:val="auto"/>
        </w:rPr>
      </w:pPr>
    </w:p>
    <w:p>
      <w:pPr>
        <w:spacing w:after="0"/>
        <w:rPr>
          <w:sz w:val="20"/>
          <w:szCs w:val="20"/>
          <w:color w:val="auto"/>
        </w:rPr>
      </w:pPr>
      <w:r>
        <w:rPr>
          <w:rFonts w:ascii="Arial" w:cs="Arial" w:eastAsia="Arial" w:hAnsi="Arial"/>
          <w:sz w:val="19"/>
          <w:szCs w:val="19"/>
          <w:color w:val="auto"/>
        </w:rPr>
        <w:t>Significant items for the nine-months ended September 30, 2018 (unless noted, all comparisons are versus the prior-year period):</w:t>
      </w:r>
    </w:p>
    <w:p>
      <w:pPr>
        <w:spacing w:after="0" w:line="24" w:lineRule="exact"/>
        <w:rPr>
          <w:sz w:val="20"/>
          <w:szCs w:val="20"/>
          <w:color w:val="auto"/>
        </w:rPr>
      </w:pPr>
    </w:p>
    <w:p>
      <w:pPr>
        <w:ind w:left="760" w:hanging="374"/>
        <w:spacing w:after="0"/>
        <w:tabs>
          <w:tab w:leader="none" w:pos="760" w:val="left"/>
        </w:tabs>
        <w:numPr>
          <w:ilvl w:val="0"/>
          <w:numId w:val="30"/>
        </w:numPr>
        <w:rPr>
          <w:rFonts w:ascii="Arial" w:cs="Arial" w:eastAsia="Arial" w:hAnsi="Arial"/>
          <w:sz w:val="20"/>
          <w:szCs w:val="20"/>
          <w:color w:val="007DC6"/>
        </w:rPr>
      </w:pPr>
      <w:r>
        <w:rPr>
          <w:rFonts w:ascii="Arial" w:cs="Arial" w:eastAsia="Arial" w:hAnsi="Arial"/>
          <w:sz w:val="20"/>
          <w:szCs w:val="20"/>
          <w:color w:val="auto"/>
        </w:rPr>
        <w:t>Consolidated total revenues of $3.22 billion increased 7.6% compared with $3.00 billion</w:t>
      </w:r>
    </w:p>
    <w:p>
      <w:pPr>
        <w:spacing w:after="0" w:line="2" w:lineRule="exact"/>
        <w:rPr>
          <w:rFonts w:ascii="Arial" w:cs="Arial" w:eastAsia="Arial" w:hAnsi="Arial"/>
          <w:sz w:val="20"/>
          <w:szCs w:val="20"/>
          <w:color w:val="007DC6"/>
        </w:rPr>
      </w:pPr>
    </w:p>
    <w:p>
      <w:pPr>
        <w:ind w:left="760" w:hanging="374"/>
        <w:spacing w:after="0" w:line="239" w:lineRule="auto"/>
        <w:tabs>
          <w:tab w:leader="none" w:pos="760" w:val="left"/>
        </w:tabs>
        <w:numPr>
          <w:ilvl w:val="0"/>
          <w:numId w:val="30"/>
        </w:numPr>
        <w:rPr>
          <w:rFonts w:ascii="Arial" w:cs="Arial" w:eastAsia="Arial" w:hAnsi="Arial"/>
          <w:sz w:val="20"/>
          <w:szCs w:val="20"/>
          <w:color w:val="007DC6"/>
        </w:rPr>
      </w:pPr>
      <w:r>
        <w:rPr>
          <w:rFonts w:ascii="Arial" w:cs="Arial" w:eastAsia="Arial" w:hAnsi="Arial"/>
          <w:sz w:val="20"/>
          <w:szCs w:val="20"/>
          <w:color w:val="auto"/>
        </w:rPr>
        <w:t>Building Materials business products and services revenues of $2.82 billion compared with $2.62 billion and Magnesia Specialties products revenue of $201.4 million compared with $189.9 million</w:t>
      </w:r>
    </w:p>
    <w:p>
      <w:pPr>
        <w:spacing w:after="0" w:line="1" w:lineRule="exact"/>
        <w:rPr>
          <w:rFonts w:ascii="Arial" w:cs="Arial" w:eastAsia="Arial" w:hAnsi="Arial"/>
          <w:sz w:val="20"/>
          <w:szCs w:val="20"/>
          <w:color w:val="007DC6"/>
        </w:rPr>
      </w:pPr>
    </w:p>
    <w:p>
      <w:pPr>
        <w:ind w:left="760" w:hanging="374"/>
        <w:spacing w:after="0"/>
        <w:tabs>
          <w:tab w:leader="none" w:pos="760" w:val="left"/>
        </w:tabs>
        <w:numPr>
          <w:ilvl w:val="0"/>
          <w:numId w:val="30"/>
        </w:numPr>
        <w:rPr>
          <w:rFonts w:ascii="Arial" w:cs="Arial" w:eastAsia="Arial" w:hAnsi="Arial"/>
          <w:sz w:val="20"/>
          <w:szCs w:val="20"/>
          <w:color w:val="007DC6"/>
        </w:rPr>
      </w:pPr>
      <w:r>
        <w:rPr>
          <w:rFonts w:ascii="Arial" w:cs="Arial" w:eastAsia="Arial" w:hAnsi="Arial"/>
          <w:sz w:val="20"/>
          <w:szCs w:val="20"/>
          <w:color w:val="auto"/>
        </w:rPr>
        <w:t>Consolidated gross profit of $739.3 million compared with $712.8 million</w:t>
      </w:r>
    </w:p>
    <w:p>
      <w:pPr>
        <w:ind w:left="760" w:hanging="374"/>
        <w:spacing w:after="0"/>
        <w:tabs>
          <w:tab w:leader="none" w:pos="760" w:val="left"/>
        </w:tabs>
        <w:numPr>
          <w:ilvl w:val="0"/>
          <w:numId w:val="30"/>
        </w:numPr>
        <w:rPr>
          <w:rFonts w:ascii="Arial" w:cs="Arial" w:eastAsia="Arial" w:hAnsi="Arial"/>
          <w:sz w:val="20"/>
          <w:szCs w:val="20"/>
          <w:color w:val="007DC6"/>
        </w:rPr>
      </w:pPr>
      <w:r>
        <w:rPr>
          <w:rFonts w:ascii="Arial" w:cs="Arial" w:eastAsia="Arial" w:hAnsi="Arial"/>
          <w:sz w:val="20"/>
          <w:szCs w:val="20"/>
          <w:color w:val="auto"/>
        </w:rPr>
        <w:t>Consolidated earnings from operations of $543.7 million compared with $517.0 million</w:t>
      </w:r>
    </w:p>
    <w:p>
      <w:pPr>
        <w:ind w:left="760" w:hanging="374"/>
        <w:spacing w:after="0"/>
        <w:tabs>
          <w:tab w:leader="none" w:pos="760" w:val="left"/>
        </w:tabs>
        <w:numPr>
          <w:ilvl w:val="0"/>
          <w:numId w:val="30"/>
        </w:numPr>
        <w:rPr>
          <w:rFonts w:ascii="Arial" w:cs="Arial" w:eastAsia="Arial" w:hAnsi="Arial"/>
          <w:sz w:val="20"/>
          <w:szCs w:val="20"/>
          <w:color w:val="007DC6"/>
        </w:rPr>
      </w:pPr>
      <w:r>
        <w:rPr>
          <w:rFonts w:ascii="Arial" w:cs="Arial" w:eastAsia="Arial" w:hAnsi="Arial"/>
          <w:sz w:val="20"/>
          <w:szCs w:val="20"/>
          <w:color w:val="auto"/>
        </w:rPr>
        <w:t>Net earnings attributable to Martin Marietta of $375.6 million compared with $336.2 million</w:t>
      </w:r>
    </w:p>
    <w:p>
      <w:pPr>
        <w:ind w:left="760" w:hanging="374"/>
        <w:spacing w:after="0"/>
        <w:tabs>
          <w:tab w:leader="none" w:pos="760" w:val="left"/>
        </w:tabs>
        <w:numPr>
          <w:ilvl w:val="0"/>
          <w:numId w:val="30"/>
        </w:numPr>
        <w:rPr>
          <w:rFonts w:ascii="Arial" w:cs="Arial" w:eastAsia="Arial" w:hAnsi="Arial"/>
          <w:sz w:val="20"/>
          <w:szCs w:val="20"/>
          <w:color w:val="007DC6"/>
        </w:rPr>
      </w:pPr>
      <w:r>
        <w:rPr>
          <w:rFonts w:ascii="Arial" w:cs="Arial" w:eastAsia="Arial" w:hAnsi="Arial"/>
          <w:sz w:val="20"/>
          <w:szCs w:val="20"/>
          <w:color w:val="auto"/>
        </w:rPr>
        <w:t>EBITDA of $813.4 million compared with $742.0 million</w:t>
      </w:r>
    </w:p>
    <w:p>
      <w:pPr>
        <w:ind w:left="760" w:hanging="374"/>
        <w:spacing w:after="0"/>
        <w:tabs>
          <w:tab w:leader="none" w:pos="760" w:val="left"/>
        </w:tabs>
        <w:numPr>
          <w:ilvl w:val="0"/>
          <w:numId w:val="30"/>
        </w:numPr>
        <w:rPr>
          <w:rFonts w:ascii="Arial" w:cs="Arial" w:eastAsia="Arial" w:hAnsi="Arial"/>
          <w:sz w:val="20"/>
          <w:szCs w:val="20"/>
          <w:color w:val="007DC6"/>
        </w:rPr>
      </w:pPr>
      <w:r>
        <w:rPr>
          <w:rFonts w:ascii="Arial" w:cs="Arial" w:eastAsia="Arial" w:hAnsi="Arial"/>
          <w:sz w:val="20"/>
          <w:szCs w:val="20"/>
          <w:color w:val="auto"/>
        </w:rPr>
        <w:t>Earnings per diluted share of $5.93 compared with $5.30</w:t>
      </w:r>
    </w:p>
    <w:p>
      <w:pPr>
        <w:spacing w:after="0" w:line="9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following table presents total revenues, gross profit (loss), selling, general and administrative expenses and earnings (loss) from operations data for the Company and its reportable segments by product line for the nine-months ended September 30, 2018 and 2017. In each case, the data is stated as a percentage of total products and services revenues of the Company or the relevant segment or product line, as the case may be. Prior-year information has been reclassified to conform to current-year presentation.</w:t>
      </w:r>
    </w:p>
    <w:p>
      <w:pPr>
        <w:spacing w:after="0" w:line="3" w:lineRule="exact"/>
        <w:rPr>
          <w:sz w:val="20"/>
          <w:szCs w:val="20"/>
          <w:color w:val="auto"/>
        </w:rPr>
      </w:pPr>
    </w:p>
    <w:p>
      <w:pPr>
        <w:ind w:left="6640"/>
        <w:spacing w:after="0"/>
        <w:rPr>
          <w:sz w:val="20"/>
          <w:szCs w:val="20"/>
          <w:color w:val="auto"/>
        </w:rPr>
      </w:pPr>
      <w:r>
        <w:rPr>
          <w:rFonts w:ascii="Arial" w:cs="Arial" w:eastAsia="Arial" w:hAnsi="Arial"/>
          <w:sz w:val="20"/>
          <w:szCs w:val="20"/>
          <w:color w:val="auto"/>
        </w:rPr>
        <w:t>Nine-Months Ended 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7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20"/>
                <w:szCs w:val="20"/>
                <w:color w:val="auto"/>
              </w:rPr>
              <w:t>2018</w:t>
            </w:r>
          </w:p>
        </w:tc>
        <w:tc>
          <w:tcPr>
            <w:tcW w:w="134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20"/>
                <w:szCs w:val="20"/>
                <w:color w:val="auto"/>
              </w:rPr>
              <w:t>2017</w:t>
            </w:r>
          </w:p>
        </w:tc>
        <w:tc>
          <w:tcPr>
            <w:tcW w:w="136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760"/>
              <w:spacing w:after="0"/>
              <w:rPr>
                <w:sz w:val="20"/>
                <w:szCs w:val="20"/>
                <w:color w:val="auto"/>
              </w:rPr>
            </w:pPr>
            <w:r>
              <w:rPr>
                <w:rFonts w:ascii="Arial" w:cs="Arial" w:eastAsia="Arial" w:hAnsi="Arial"/>
                <w:sz w:val="20"/>
                <w:szCs w:val="20"/>
                <w:color w:val="auto"/>
              </w:rPr>
              <w:t>Amount</w:t>
            </w: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w w:val="88"/>
              </w:rPr>
              <w:t>% of Revenues</w:t>
            </w:r>
          </w:p>
        </w:tc>
        <w:tc>
          <w:tcPr>
            <w:tcW w:w="2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760"/>
              <w:spacing w:after="0"/>
              <w:rPr>
                <w:sz w:val="20"/>
                <w:szCs w:val="20"/>
                <w:color w:val="auto"/>
              </w:rPr>
            </w:pPr>
            <w:r>
              <w:rPr>
                <w:rFonts w:ascii="Arial" w:cs="Arial" w:eastAsia="Arial" w:hAnsi="Arial"/>
                <w:sz w:val="20"/>
                <w:szCs w:val="20"/>
                <w:color w:val="auto"/>
              </w:rPr>
              <w:t>Amount</w:t>
            </w:r>
          </w:p>
        </w:tc>
        <w:tc>
          <w:tcPr>
            <w:tcW w:w="1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88"/>
              </w:rPr>
              <w:t>% of Revenues</w:t>
            </w:r>
          </w:p>
        </w:tc>
        <w:tc>
          <w:tcPr>
            <w:tcW w:w="100" w:type="dxa"/>
            <w:vAlign w:val="bottom"/>
          </w:tcPr>
          <w:p>
            <w:pPr>
              <w:spacing w:after="0"/>
              <w:rPr>
                <w:sz w:val="20"/>
                <w:szCs w:val="20"/>
                <w:color w:val="auto"/>
              </w:rPr>
            </w:pPr>
          </w:p>
        </w:tc>
      </w:tr>
      <w:tr>
        <w:trPr>
          <w:trHeight w:val="237"/>
        </w:trPr>
        <w:tc>
          <w:tcPr>
            <w:tcW w:w="4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0" w:type="dxa"/>
            <w:vAlign w:val="bottom"/>
            <w:gridSpan w:val="5"/>
          </w:tcPr>
          <w:p>
            <w:pPr>
              <w:jc w:val="right"/>
              <w:ind w:right="1000"/>
              <w:spacing w:after="0"/>
              <w:rPr>
                <w:sz w:val="20"/>
                <w:szCs w:val="20"/>
                <w:color w:val="auto"/>
              </w:rPr>
            </w:pPr>
            <w:r>
              <w:rPr>
                <w:rFonts w:ascii="Arial" w:cs="Arial" w:eastAsia="Arial" w:hAnsi="Arial"/>
                <w:sz w:val="20"/>
                <w:szCs w:val="20"/>
                <w:i w:val="1"/>
                <w:iCs w:val="1"/>
                <w:color w:val="auto"/>
              </w:rPr>
              <w:t>(Dollars in Thousands)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78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Total revenues:</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780" w:type="dxa"/>
            <w:vAlign w:val="bottom"/>
          </w:tcPr>
          <w:p>
            <w:pPr>
              <w:spacing w:after="0"/>
              <w:rPr>
                <w:sz w:val="20"/>
                <w:szCs w:val="20"/>
                <w:color w:val="auto"/>
              </w:rPr>
            </w:pPr>
            <w:r>
              <w:rPr>
                <w:rFonts w:ascii="Arial" w:cs="Arial" w:eastAsia="Arial" w:hAnsi="Arial"/>
                <w:sz w:val="20"/>
                <w:szCs w:val="20"/>
                <w:color w:val="auto"/>
              </w:rPr>
              <w:t>Building Materials Business: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780" w:type="dxa"/>
            <w:vAlign w:val="bottom"/>
            <w:shd w:val="clear" w:color="auto" w:fill="CFF0FC"/>
          </w:tcPr>
          <w:p>
            <w:pPr>
              <w:ind w:left="140"/>
              <w:spacing w:after="0"/>
              <w:rPr>
                <w:sz w:val="20"/>
                <w:szCs w:val="20"/>
                <w:color w:val="auto"/>
              </w:rPr>
            </w:pPr>
            <w:r>
              <w:rPr>
                <w:rFonts w:ascii="Arial" w:cs="Arial" w:eastAsia="Arial" w:hAnsi="Arial"/>
                <w:sz w:val="20"/>
                <w:szCs w:val="20"/>
                <w:color w:val="auto"/>
              </w:rPr>
              <w:t>Products and services</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20"/>
                <w:szCs w:val="20"/>
                <w:color w:val="auto"/>
              </w:rPr>
              <w:t>Mid-America Group</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78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Aggregates</w:t>
            </w:r>
          </w:p>
        </w:tc>
        <w:tc>
          <w:tcPr>
            <w:tcW w:w="2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841,897</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734,407</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21"/>
                <w:szCs w:val="2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20"/>
                <w:szCs w:val="20"/>
                <w:color w:val="auto"/>
              </w:rPr>
              <w:t>Southeast Group</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78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Aggregates</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308,306</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266,690</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21"/>
                <w:szCs w:val="2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20"/>
                <w:szCs w:val="20"/>
                <w:color w:val="auto"/>
              </w:rPr>
              <w:t>West Group</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780" w:type="dxa"/>
            <w:vAlign w:val="bottom"/>
            <w:shd w:val="clear" w:color="auto" w:fill="CFF0FC"/>
          </w:tcPr>
          <w:p>
            <w:pPr>
              <w:ind w:left="620"/>
              <w:spacing w:after="0"/>
              <w:rPr>
                <w:sz w:val="20"/>
                <w:szCs w:val="20"/>
                <w:color w:val="auto"/>
              </w:rPr>
            </w:pPr>
            <w:r>
              <w:rPr>
                <w:rFonts w:ascii="Arial" w:cs="Arial" w:eastAsia="Arial" w:hAnsi="Arial"/>
                <w:sz w:val="20"/>
                <w:szCs w:val="20"/>
                <w:color w:val="auto"/>
              </w:rPr>
              <w:t>Aggregates</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627,921</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618,185</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21"/>
                <w:szCs w:val="21"/>
                <w:color w:val="auto"/>
              </w:rPr>
            </w:pPr>
          </w:p>
        </w:tc>
      </w:tr>
      <w:tr>
        <w:trPr>
          <w:trHeight w:val="243"/>
        </w:trPr>
        <w:tc>
          <w:tcPr>
            <w:tcW w:w="4780" w:type="dxa"/>
            <w:vAlign w:val="bottom"/>
          </w:tcPr>
          <w:p>
            <w:pPr>
              <w:ind w:left="620"/>
              <w:spacing w:after="0"/>
              <w:rPr>
                <w:sz w:val="20"/>
                <w:szCs w:val="20"/>
                <w:color w:val="auto"/>
              </w:rPr>
            </w:pPr>
            <w:r>
              <w:rPr>
                <w:rFonts w:ascii="Arial" w:cs="Arial" w:eastAsia="Arial" w:hAnsi="Arial"/>
                <w:sz w:val="20"/>
                <w:szCs w:val="20"/>
                <w:color w:val="auto"/>
              </w:rPr>
              <w:t>Cement</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300,554</w:t>
            </w:r>
          </w:p>
        </w:tc>
        <w:tc>
          <w:tcPr>
            <w:tcW w:w="3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280,961</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Pr>
          <w:p>
            <w:pPr>
              <w:spacing w:after="0"/>
              <w:rPr>
                <w:sz w:val="21"/>
                <w:szCs w:val="21"/>
                <w:color w:val="auto"/>
              </w:rPr>
            </w:pPr>
          </w:p>
        </w:tc>
      </w:tr>
      <w:tr>
        <w:trPr>
          <w:trHeight w:val="243"/>
        </w:trPr>
        <w:tc>
          <w:tcPr>
            <w:tcW w:w="4780" w:type="dxa"/>
            <w:vAlign w:val="bottom"/>
            <w:shd w:val="clear" w:color="auto" w:fill="CFF0FC"/>
          </w:tcPr>
          <w:p>
            <w:pPr>
              <w:ind w:left="620"/>
              <w:spacing w:after="0"/>
              <w:rPr>
                <w:sz w:val="20"/>
                <w:szCs w:val="20"/>
                <w:color w:val="auto"/>
              </w:rPr>
            </w:pPr>
            <w:r>
              <w:rPr>
                <w:rFonts w:ascii="Arial" w:cs="Arial" w:eastAsia="Arial" w:hAnsi="Arial"/>
                <w:sz w:val="20"/>
                <w:szCs w:val="20"/>
                <w:color w:val="auto"/>
              </w:rPr>
              <w:t>Ready mixed concrete</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750,424</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704,471</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shd w:val="clear" w:color="auto" w:fill="CFF0FC"/>
          </w:tcPr>
          <w:p>
            <w:pPr>
              <w:spacing w:after="0"/>
              <w:rPr>
                <w:sz w:val="21"/>
                <w:szCs w:val="21"/>
                <w:color w:val="auto"/>
              </w:rPr>
            </w:pPr>
          </w:p>
        </w:tc>
      </w:tr>
      <w:tr>
        <w:trPr>
          <w:trHeight w:val="243"/>
        </w:trPr>
        <w:tc>
          <w:tcPr>
            <w:tcW w:w="4780" w:type="dxa"/>
            <w:vAlign w:val="bottom"/>
          </w:tcPr>
          <w:p>
            <w:pPr>
              <w:ind w:left="620"/>
              <w:spacing w:after="0"/>
              <w:rPr>
                <w:sz w:val="20"/>
                <w:szCs w:val="20"/>
                <w:color w:val="auto"/>
              </w:rPr>
            </w:pPr>
            <w:r>
              <w:rPr>
                <w:rFonts w:ascii="Arial" w:cs="Arial" w:eastAsia="Arial" w:hAnsi="Arial"/>
                <w:sz w:val="20"/>
                <w:szCs w:val="20"/>
                <w:color w:val="auto"/>
              </w:rPr>
              <w:t>Asphalt and paving</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199,489</w:t>
            </w:r>
          </w:p>
        </w:tc>
        <w:tc>
          <w:tcPr>
            <w:tcW w:w="3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215,652</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Pr>
          <w:p>
            <w:pPr>
              <w:spacing w:after="0"/>
              <w:rPr>
                <w:sz w:val="21"/>
                <w:szCs w:val="21"/>
                <w:color w:val="auto"/>
              </w:rPr>
            </w:pPr>
          </w:p>
        </w:tc>
      </w:tr>
      <w:tr>
        <w:trPr>
          <w:trHeight w:val="243"/>
        </w:trPr>
        <w:tc>
          <w:tcPr>
            <w:tcW w:w="4780" w:type="dxa"/>
            <w:vAlign w:val="bottom"/>
            <w:shd w:val="clear" w:color="auto" w:fill="CFF0FC"/>
          </w:tcPr>
          <w:p>
            <w:pPr>
              <w:ind w:left="380"/>
              <w:spacing w:after="0"/>
              <w:rPr>
                <w:sz w:val="20"/>
                <w:szCs w:val="20"/>
                <w:color w:val="auto"/>
              </w:rPr>
            </w:pPr>
            <w:r>
              <w:rPr>
                <w:rFonts w:ascii="Arial" w:cs="Arial" w:eastAsia="Arial" w:hAnsi="Arial"/>
                <w:sz w:val="20"/>
                <w:szCs w:val="20"/>
                <w:color w:val="auto"/>
              </w:rPr>
              <w:t>Less: Interproduct revenues</w:t>
            </w:r>
          </w:p>
        </w:tc>
        <w:tc>
          <w:tcPr>
            <w:tcW w:w="2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(205,681)</w:t>
            </w:r>
          </w:p>
        </w:tc>
        <w:tc>
          <w:tcPr>
            <w:tcW w:w="1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20"/>
                <w:szCs w:val="20"/>
                <w:color w:val="auto"/>
              </w:rPr>
              <w:t>(198,638)</w:t>
            </w: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780" w:type="dxa"/>
            <w:vAlign w:val="bottom"/>
          </w:tcPr>
          <w:p>
            <w:pPr>
              <w:ind w:left="140"/>
              <w:spacing w:after="0"/>
              <w:rPr>
                <w:sz w:val="20"/>
                <w:szCs w:val="20"/>
                <w:color w:val="auto"/>
              </w:rPr>
            </w:pPr>
            <w:r>
              <w:rPr>
                <w:rFonts w:ascii="Arial" w:cs="Arial" w:eastAsia="Arial" w:hAnsi="Arial"/>
                <w:sz w:val="20"/>
                <w:szCs w:val="20"/>
                <w:color w:val="auto"/>
              </w:rPr>
              <w:t>Products and services</w:t>
            </w: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2,822,910</w:t>
            </w: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2,621,728</w:t>
            </w:r>
          </w:p>
        </w:tc>
        <w:tc>
          <w:tcPr>
            <w:tcW w:w="3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Pr>
          <w:p>
            <w:pPr>
              <w:spacing w:after="0"/>
              <w:rPr>
                <w:sz w:val="20"/>
                <w:szCs w:val="20"/>
                <w:color w:val="auto"/>
              </w:rPr>
            </w:pPr>
          </w:p>
        </w:tc>
      </w:tr>
      <w:tr>
        <w:trPr>
          <w:trHeight w:val="243"/>
        </w:trPr>
        <w:tc>
          <w:tcPr>
            <w:tcW w:w="4780" w:type="dxa"/>
            <w:vAlign w:val="bottom"/>
            <w:shd w:val="clear" w:color="auto" w:fill="CFF0FC"/>
          </w:tcPr>
          <w:p>
            <w:pPr>
              <w:ind w:left="140"/>
              <w:spacing w:after="0"/>
              <w:rPr>
                <w:sz w:val="20"/>
                <w:szCs w:val="20"/>
                <w:color w:val="auto"/>
              </w:rPr>
            </w:pPr>
            <w:r>
              <w:rPr>
                <w:rFonts w:ascii="Arial" w:cs="Arial" w:eastAsia="Arial" w:hAnsi="Arial"/>
                <w:sz w:val="20"/>
                <w:szCs w:val="20"/>
                <w:color w:val="auto"/>
              </w:rPr>
              <w:t>Freight</w:t>
            </w:r>
          </w:p>
        </w:tc>
        <w:tc>
          <w:tcPr>
            <w:tcW w:w="2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185,390</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170,878</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780" w:type="dxa"/>
            <w:vAlign w:val="bottom"/>
          </w:tcPr>
          <w:p>
            <w:pPr>
              <w:spacing w:after="0"/>
              <w:rPr>
                <w:sz w:val="20"/>
                <w:szCs w:val="20"/>
                <w:color w:val="auto"/>
              </w:rPr>
            </w:pPr>
            <w:r>
              <w:rPr>
                <w:rFonts w:ascii="Arial" w:cs="Arial" w:eastAsia="Arial" w:hAnsi="Arial"/>
                <w:sz w:val="20"/>
                <w:szCs w:val="20"/>
                <w:color w:val="auto"/>
              </w:rPr>
              <w:t>Total Building Materials Business</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3,008,300</w:t>
            </w: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2,792,606</w:t>
            </w:r>
          </w:p>
        </w:tc>
        <w:tc>
          <w:tcPr>
            <w:tcW w:w="3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Pr>
          <w:p>
            <w:pPr>
              <w:spacing w:after="0"/>
              <w:rPr>
                <w:sz w:val="20"/>
                <w:szCs w:val="20"/>
                <w:color w:val="auto"/>
              </w:rPr>
            </w:pPr>
          </w:p>
        </w:tc>
      </w:tr>
      <w:tr>
        <w:trPr>
          <w:trHeight w:val="243"/>
        </w:trPr>
        <w:tc>
          <w:tcPr>
            <w:tcW w:w="4780" w:type="dxa"/>
            <w:vAlign w:val="bottom"/>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780" w:type="dxa"/>
            <w:vAlign w:val="bottom"/>
          </w:tcPr>
          <w:p>
            <w:pPr>
              <w:ind w:left="140"/>
              <w:spacing w:after="0"/>
              <w:rPr>
                <w:sz w:val="20"/>
                <w:szCs w:val="20"/>
                <w:color w:val="auto"/>
              </w:rPr>
            </w:pPr>
            <w:r>
              <w:rPr>
                <w:rFonts w:ascii="Arial" w:cs="Arial" w:eastAsia="Arial" w:hAnsi="Arial"/>
                <w:sz w:val="20"/>
                <w:szCs w:val="20"/>
                <w:color w:val="auto"/>
              </w:rPr>
              <w:t>Products</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201,390</w:t>
            </w:r>
          </w:p>
        </w:tc>
        <w:tc>
          <w:tcPr>
            <w:tcW w:w="3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189,918</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Pr>
          <w:p>
            <w:pPr>
              <w:spacing w:after="0"/>
              <w:rPr>
                <w:sz w:val="21"/>
                <w:szCs w:val="21"/>
                <w:color w:val="auto"/>
              </w:rPr>
            </w:pPr>
          </w:p>
        </w:tc>
      </w:tr>
      <w:tr>
        <w:trPr>
          <w:trHeight w:val="243"/>
        </w:trPr>
        <w:tc>
          <w:tcPr>
            <w:tcW w:w="4780" w:type="dxa"/>
            <w:vAlign w:val="bottom"/>
            <w:shd w:val="clear" w:color="auto" w:fill="CFF0FC"/>
          </w:tcPr>
          <w:p>
            <w:pPr>
              <w:ind w:left="140"/>
              <w:spacing w:after="0"/>
              <w:rPr>
                <w:sz w:val="20"/>
                <w:szCs w:val="20"/>
                <w:color w:val="auto"/>
              </w:rPr>
            </w:pPr>
            <w:r>
              <w:rPr>
                <w:rFonts w:ascii="Arial" w:cs="Arial" w:eastAsia="Arial" w:hAnsi="Arial"/>
                <w:sz w:val="20"/>
                <w:szCs w:val="20"/>
                <w:color w:val="auto"/>
              </w:rPr>
              <w:t>Freight</w:t>
            </w:r>
          </w:p>
        </w:tc>
        <w:tc>
          <w:tcPr>
            <w:tcW w:w="2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14,357</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12,592</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78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Total Magnesia Specialties Business</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215,747</w:t>
            </w:r>
          </w:p>
        </w:tc>
        <w:tc>
          <w:tcPr>
            <w:tcW w:w="360" w:type="dxa"/>
            <w:vAlign w:val="bottom"/>
            <w:tcBorders>
              <w:bottom w:val="single" w:sz="8" w:color="CFF0FC"/>
            </w:tcBorders>
          </w:tcPr>
          <w:p>
            <w:pPr>
              <w:spacing w:after="0"/>
              <w:rPr>
                <w:sz w:val="20"/>
                <w:szCs w:val="20"/>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202,510</w:t>
            </w:r>
          </w:p>
        </w:tc>
        <w:tc>
          <w:tcPr>
            <w:tcW w:w="340" w:type="dxa"/>
            <w:vAlign w:val="bottom"/>
            <w:tcBorders>
              <w:bottom w:val="single" w:sz="8" w:color="CFF0FC"/>
            </w:tcBorders>
          </w:tcPr>
          <w:p>
            <w:pPr>
              <w:spacing w:after="0"/>
              <w:rPr>
                <w:sz w:val="20"/>
                <w:szCs w:val="20"/>
                <w:color w:val="auto"/>
              </w:rPr>
            </w:pPr>
          </w:p>
        </w:tc>
        <w:tc>
          <w:tcPr>
            <w:tcW w:w="136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Borders>
              <w:bottom w:val="single" w:sz="8" w:color="CFF0FC"/>
            </w:tcBorders>
          </w:tcPr>
          <w:p>
            <w:pPr>
              <w:spacing w:after="0"/>
              <w:rPr>
                <w:sz w:val="20"/>
                <w:szCs w:val="20"/>
                <w:color w:val="auto"/>
              </w:rPr>
            </w:pPr>
          </w:p>
        </w:tc>
      </w:tr>
      <w:tr>
        <w:trPr>
          <w:trHeight w:val="237"/>
        </w:trPr>
        <w:tc>
          <w:tcPr>
            <w:tcW w:w="4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2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3,224,047</w:t>
            </w:r>
          </w:p>
        </w:tc>
        <w:tc>
          <w:tcPr>
            <w:tcW w:w="36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2,995,116</w:t>
            </w:r>
          </w:p>
        </w:tc>
        <w:tc>
          <w:tcPr>
            <w:tcW w:w="34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100.0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4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40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2018</w:t>
      </w:r>
    </w:p>
    <w:p>
      <w:pPr>
        <w:jc w:val="center"/>
        <w:spacing w:after="0"/>
        <w:rPr>
          <w:sz w:val="20"/>
          <w:szCs w:val="20"/>
          <w:color w:val="auto"/>
        </w:rPr>
      </w:pPr>
      <w:r>
        <w:rPr>
          <w:rFonts w:ascii="Arial" w:cs="Arial" w:eastAsia="Arial" w:hAnsi="Arial"/>
          <w:sz w:val="20"/>
          <w:szCs w:val="20"/>
          <w:color w:val="auto"/>
        </w:rPr>
        <w:t>(Continued)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0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20"/>
                <w:szCs w:val="20"/>
                <w:color w:val="auto"/>
                <w:w w:val="91"/>
              </w:rPr>
              <w:t>Nine-Months Ended September 30,</w:t>
            </w:r>
          </w:p>
        </w:tc>
        <w:tc>
          <w:tcPr>
            <w:tcW w:w="1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20"/>
                <w:szCs w:val="20"/>
                <w:color w:val="auto"/>
              </w:rPr>
              <w:t>2018</w:t>
            </w:r>
          </w:p>
        </w:tc>
        <w:tc>
          <w:tcPr>
            <w:tcW w:w="13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20"/>
                <w:szCs w:val="20"/>
                <w:color w:val="auto"/>
              </w:rPr>
              <w:t>2017</w:t>
            </w: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760"/>
              <w:spacing w:after="0"/>
              <w:rPr>
                <w:sz w:val="20"/>
                <w:szCs w:val="20"/>
                <w:color w:val="auto"/>
              </w:rPr>
            </w:pPr>
            <w:r>
              <w:rPr>
                <w:rFonts w:ascii="Arial" w:cs="Arial" w:eastAsia="Arial" w:hAnsi="Arial"/>
                <w:sz w:val="20"/>
                <w:szCs w:val="20"/>
                <w:color w:val="auto"/>
              </w:rPr>
              <w:t>Amount</w:t>
            </w:r>
          </w:p>
        </w:tc>
        <w:tc>
          <w:tcPr>
            <w:tcW w:w="134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w w:val="88"/>
              </w:rPr>
              <w:t>% of Revenues</w:t>
            </w:r>
          </w:p>
        </w:tc>
        <w:tc>
          <w:tcPr>
            <w:tcW w:w="2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ind w:right="760"/>
              <w:spacing w:after="0"/>
              <w:rPr>
                <w:sz w:val="20"/>
                <w:szCs w:val="20"/>
                <w:color w:val="auto"/>
              </w:rPr>
            </w:pPr>
            <w:r>
              <w:rPr>
                <w:rFonts w:ascii="Arial" w:cs="Arial" w:eastAsia="Arial" w:hAnsi="Arial"/>
                <w:sz w:val="20"/>
                <w:szCs w:val="20"/>
                <w:color w:val="auto"/>
              </w:rPr>
              <w:t>Amount</w:t>
            </w:r>
          </w:p>
        </w:tc>
        <w:tc>
          <w:tcPr>
            <w:tcW w:w="13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88"/>
              </w:rPr>
              <w:t>% of Revenues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0" w:type="dxa"/>
            <w:vAlign w:val="bottom"/>
            <w:gridSpan w:val="5"/>
          </w:tcPr>
          <w:p>
            <w:pPr>
              <w:jc w:val="right"/>
              <w:ind w:right="1000"/>
              <w:spacing w:after="0"/>
              <w:rPr>
                <w:sz w:val="20"/>
                <w:szCs w:val="20"/>
                <w:color w:val="auto"/>
              </w:rPr>
            </w:pPr>
            <w:r>
              <w:rPr>
                <w:rFonts w:ascii="Arial" w:cs="Arial" w:eastAsia="Arial" w:hAnsi="Arial"/>
                <w:sz w:val="20"/>
                <w:szCs w:val="20"/>
                <w:i w:val="1"/>
                <w:iCs w:val="1"/>
                <w:color w:val="auto"/>
              </w:rPr>
              <w:t>(Dollars in Thousands)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Gross profit (loss):</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tcPr>
          <w:p>
            <w:pPr>
              <w:spacing w:after="0"/>
              <w:rPr>
                <w:sz w:val="20"/>
                <w:szCs w:val="20"/>
                <w:color w:val="auto"/>
              </w:rPr>
            </w:pPr>
            <w:r>
              <w:rPr>
                <w:rFonts w:ascii="Arial" w:cs="Arial" w:eastAsia="Arial" w:hAnsi="Arial"/>
                <w:sz w:val="20"/>
                <w:szCs w:val="20"/>
                <w:color w:val="auto"/>
              </w:rPr>
              <w:t>Building Materials Business: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shd w:val="clear" w:color="auto" w:fill="CFF0FC"/>
          </w:tcPr>
          <w:p>
            <w:pPr>
              <w:ind w:left="120"/>
              <w:spacing w:after="0"/>
              <w:rPr>
                <w:sz w:val="20"/>
                <w:szCs w:val="20"/>
                <w:color w:val="auto"/>
              </w:rPr>
            </w:pPr>
            <w:r>
              <w:rPr>
                <w:rFonts w:ascii="Arial" w:cs="Arial" w:eastAsia="Arial" w:hAnsi="Arial"/>
                <w:sz w:val="20"/>
                <w:szCs w:val="20"/>
                <w:color w:val="auto"/>
              </w:rPr>
              <w:t>Products and services</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tcPr>
          <w:p>
            <w:pPr>
              <w:ind w:left="360"/>
              <w:spacing w:after="0"/>
              <w:rPr>
                <w:sz w:val="20"/>
                <w:szCs w:val="20"/>
                <w:color w:val="auto"/>
              </w:rPr>
            </w:pPr>
            <w:r>
              <w:rPr>
                <w:rFonts w:ascii="Arial" w:cs="Arial" w:eastAsia="Arial" w:hAnsi="Arial"/>
                <w:sz w:val="20"/>
                <w:szCs w:val="20"/>
                <w:color w:val="auto"/>
              </w:rPr>
              <w:t>Mid-America Group</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shd w:val="clear" w:color="auto" w:fill="CFF0FC"/>
          </w:tcPr>
          <w:p>
            <w:pPr>
              <w:ind w:left="600"/>
              <w:spacing w:after="0"/>
              <w:rPr>
                <w:sz w:val="20"/>
                <w:szCs w:val="20"/>
                <w:color w:val="auto"/>
              </w:rPr>
            </w:pPr>
            <w:r>
              <w:rPr>
                <w:rFonts w:ascii="Arial" w:cs="Arial" w:eastAsia="Arial" w:hAnsi="Arial"/>
                <w:sz w:val="20"/>
                <w:szCs w:val="20"/>
                <w:color w:val="auto"/>
              </w:rPr>
              <w:t>Aggregates</w:t>
            </w:r>
          </w:p>
        </w:tc>
        <w:tc>
          <w:tcPr>
            <w:tcW w:w="2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270,270</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32.1</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242,926</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33.1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tcPr>
          <w:p>
            <w:pPr>
              <w:ind w:left="360"/>
              <w:spacing w:after="0"/>
              <w:rPr>
                <w:sz w:val="20"/>
                <w:szCs w:val="20"/>
                <w:color w:val="auto"/>
              </w:rPr>
            </w:pPr>
            <w:r>
              <w:rPr>
                <w:rFonts w:ascii="Arial" w:cs="Arial" w:eastAsia="Arial" w:hAnsi="Arial"/>
                <w:sz w:val="20"/>
                <w:szCs w:val="20"/>
                <w:color w:val="auto"/>
              </w:rPr>
              <w:t>Southeast Group</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shd w:val="clear" w:color="auto" w:fill="CFF0FC"/>
          </w:tcPr>
          <w:p>
            <w:pPr>
              <w:ind w:left="600"/>
              <w:spacing w:after="0"/>
              <w:rPr>
                <w:sz w:val="20"/>
                <w:szCs w:val="20"/>
                <w:color w:val="auto"/>
              </w:rPr>
            </w:pPr>
            <w:r>
              <w:rPr>
                <w:rFonts w:ascii="Arial" w:cs="Arial" w:eastAsia="Arial" w:hAnsi="Arial"/>
                <w:sz w:val="20"/>
                <w:szCs w:val="20"/>
                <w:color w:val="auto"/>
              </w:rPr>
              <w:t>Aggregates</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57,543</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18.7</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51,758</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tcPr>
          <w:p>
            <w:pPr>
              <w:ind w:left="360"/>
              <w:spacing w:after="0"/>
              <w:rPr>
                <w:sz w:val="20"/>
                <w:szCs w:val="20"/>
                <w:color w:val="auto"/>
              </w:rPr>
            </w:pPr>
            <w:r>
              <w:rPr>
                <w:rFonts w:ascii="Arial" w:cs="Arial" w:eastAsia="Arial" w:hAnsi="Arial"/>
                <w:sz w:val="20"/>
                <w:szCs w:val="20"/>
                <w:color w:val="auto"/>
              </w:rPr>
              <w:t>West Group</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shd w:val="clear" w:color="auto" w:fill="CFF0FC"/>
          </w:tcPr>
          <w:p>
            <w:pPr>
              <w:ind w:left="600"/>
              <w:spacing w:after="0"/>
              <w:rPr>
                <w:sz w:val="20"/>
                <w:szCs w:val="20"/>
                <w:color w:val="auto"/>
              </w:rPr>
            </w:pPr>
            <w:r>
              <w:rPr>
                <w:rFonts w:ascii="Arial" w:cs="Arial" w:eastAsia="Arial" w:hAnsi="Arial"/>
                <w:sz w:val="20"/>
                <w:szCs w:val="20"/>
                <w:color w:val="auto"/>
              </w:rPr>
              <w:t>Aggregates</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132,811</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21.2</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144,348</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tcPr>
          <w:p>
            <w:pPr>
              <w:ind w:left="600"/>
              <w:spacing w:after="0"/>
              <w:rPr>
                <w:sz w:val="20"/>
                <w:szCs w:val="20"/>
                <w:color w:val="auto"/>
              </w:rPr>
            </w:pPr>
            <w:r>
              <w:rPr>
                <w:rFonts w:ascii="Arial" w:cs="Arial" w:eastAsia="Arial" w:hAnsi="Arial"/>
                <w:sz w:val="20"/>
                <w:szCs w:val="20"/>
                <w:color w:val="auto"/>
              </w:rPr>
              <w:t>Cement</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97,582</w:t>
            </w:r>
          </w:p>
        </w:tc>
        <w:tc>
          <w:tcPr>
            <w:tcW w:w="3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32.5</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87,608</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31.2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shd w:val="clear" w:color="auto" w:fill="CFF0FC"/>
          </w:tcPr>
          <w:p>
            <w:pPr>
              <w:ind w:left="600"/>
              <w:spacing w:after="0"/>
              <w:rPr>
                <w:sz w:val="20"/>
                <w:szCs w:val="20"/>
                <w:color w:val="auto"/>
              </w:rPr>
            </w:pPr>
            <w:r>
              <w:rPr>
                <w:rFonts w:ascii="Arial" w:cs="Arial" w:eastAsia="Arial" w:hAnsi="Arial"/>
                <w:sz w:val="20"/>
                <w:szCs w:val="20"/>
                <w:color w:val="auto"/>
              </w:rPr>
              <w:t>Ready mixed concrete</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66,226</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8.8</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70,542</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tcBorders>
              <w:bottom w:val="single" w:sz="8" w:color="CFF0FC"/>
            </w:tcBorders>
          </w:tcPr>
          <w:p>
            <w:pPr>
              <w:ind w:left="600"/>
              <w:spacing w:after="0"/>
              <w:rPr>
                <w:sz w:val="20"/>
                <w:szCs w:val="20"/>
                <w:color w:val="auto"/>
              </w:rPr>
            </w:pPr>
            <w:r>
              <w:rPr>
                <w:rFonts w:ascii="Arial" w:cs="Arial" w:eastAsia="Arial" w:hAnsi="Arial"/>
                <w:sz w:val="20"/>
                <w:szCs w:val="20"/>
                <w:color w:val="auto"/>
              </w:rPr>
              <w:t>Asphalt and paving</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36,479</w:t>
            </w:r>
          </w:p>
        </w:tc>
        <w:tc>
          <w:tcPr>
            <w:tcW w:w="360" w:type="dxa"/>
            <w:vAlign w:val="bottom"/>
            <w:tcBorders>
              <w:bottom w:val="single" w:sz="8" w:color="CFF0FC"/>
            </w:tcBorders>
          </w:tcPr>
          <w:p>
            <w:pPr>
              <w:spacing w:after="0"/>
              <w:rPr>
                <w:sz w:val="21"/>
                <w:szCs w:val="21"/>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18.3</w:t>
            </w:r>
          </w:p>
        </w:tc>
        <w:tc>
          <w:tcPr>
            <w:tcW w:w="26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44,446</w:t>
            </w:r>
          </w:p>
        </w:tc>
        <w:tc>
          <w:tcPr>
            <w:tcW w:w="340" w:type="dxa"/>
            <w:vAlign w:val="bottom"/>
            <w:tcBorders>
              <w:bottom w:val="single" w:sz="8" w:color="CFF0FC"/>
            </w:tcBorders>
          </w:tcPr>
          <w:p>
            <w:pPr>
              <w:spacing w:after="0"/>
              <w:rPr>
                <w:sz w:val="21"/>
                <w:szCs w:val="21"/>
                <w:color w:val="auto"/>
              </w:rPr>
            </w:pPr>
          </w:p>
        </w:tc>
        <w:tc>
          <w:tcPr>
            <w:tcW w:w="1360" w:type="dxa"/>
            <w:vAlign w:val="bottom"/>
            <w:tcBorders>
              <w:bottom w:val="single" w:sz="8" w:color="CFF0FC"/>
            </w:tcBorders>
          </w:tcPr>
          <w:p>
            <w:pPr>
              <w:jc w:val="right"/>
              <w:spacing w:after="0"/>
              <w:rPr>
                <w:sz w:val="20"/>
                <w:szCs w:val="20"/>
                <w:color w:val="auto"/>
              </w:rPr>
            </w:pPr>
            <w:r>
              <w:rPr>
                <w:rFonts w:ascii="Arial" w:cs="Arial" w:eastAsia="Arial" w:hAnsi="Arial"/>
                <w:sz w:val="20"/>
                <w:szCs w:val="20"/>
                <w:color w:val="auto"/>
              </w:rPr>
              <w:t>20.6</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60" w:type="dxa"/>
            <w:vAlign w:val="bottom"/>
            <w:shd w:val="clear" w:color="auto" w:fill="CFF0FC"/>
          </w:tcPr>
          <w:p>
            <w:pPr>
              <w:ind w:left="120"/>
              <w:spacing w:after="0"/>
              <w:rPr>
                <w:sz w:val="20"/>
                <w:szCs w:val="20"/>
                <w:color w:val="auto"/>
              </w:rPr>
            </w:pPr>
            <w:r>
              <w:rPr>
                <w:rFonts w:ascii="Arial" w:cs="Arial" w:eastAsia="Arial" w:hAnsi="Arial"/>
                <w:sz w:val="20"/>
                <w:szCs w:val="20"/>
                <w:color w:val="auto"/>
              </w:rPr>
              <w:t>Products and services</w:t>
            </w: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660,911</w:t>
            </w:r>
          </w:p>
        </w:tc>
        <w:tc>
          <w:tcPr>
            <w:tcW w:w="3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23.4</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641,628</w:t>
            </w:r>
          </w:p>
        </w:tc>
        <w:tc>
          <w:tcPr>
            <w:tcW w:w="3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tcBorders>
              <w:bottom w:val="single" w:sz="8" w:color="CFF0FC"/>
            </w:tcBorders>
          </w:tcPr>
          <w:p>
            <w:pPr>
              <w:ind w:left="120"/>
              <w:spacing w:after="0"/>
              <w:rPr>
                <w:sz w:val="20"/>
                <w:szCs w:val="20"/>
                <w:color w:val="auto"/>
              </w:rPr>
            </w:pPr>
            <w:r>
              <w:rPr>
                <w:rFonts w:ascii="Arial" w:cs="Arial" w:eastAsia="Arial" w:hAnsi="Arial"/>
                <w:sz w:val="20"/>
                <w:szCs w:val="20"/>
                <w:color w:val="auto"/>
              </w:rPr>
              <w:t>Freight</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432</w:t>
            </w:r>
          </w:p>
        </w:tc>
        <w:tc>
          <w:tcPr>
            <w:tcW w:w="360" w:type="dxa"/>
            <w:vAlign w:val="bottom"/>
            <w:tcBorders>
              <w:bottom w:val="single" w:sz="8" w:color="CFF0FC"/>
            </w:tcBorders>
          </w:tcPr>
          <w:p>
            <w:pPr>
              <w:spacing w:after="0"/>
              <w:rPr>
                <w:sz w:val="21"/>
                <w:szCs w:val="21"/>
                <w:color w:val="auto"/>
              </w:rPr>
            </w:pPr>
          </w:p>
        </w:tc>
        <w:tc>
          <w:tcPr>
            <w:tcW w:w="134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2,040</w:t>
            </w:r>
          </w:p>
        </w:tc>
        <w:tc>
          <w:tcPr>
            <w:tcW w:w="340" w:type="dxa"/>
            <w:vAlign w:val="bottom"/>
            <w:tcBorders>
              <w:bottom w:val="single" w:sz="8" w:color="CFF0FC"/>
            </w:tcBorders>
          </w:tcPr>
          <w:p>
            <w:pPr>
              <w:spacing w:after="0"/>
              <w:rPr>
                <w:sz w:val="21"/>
                <w:szCs w:val="21"/>
                <w:color w:val="auto"/>
              </w:rPr>
            </w:pPr>
          </w:p>
        </w:tc>
        <w:tc>
          <w:tcPr>
            <w:tcW w:w="13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20"/>
                <w:szCs w:val="20"/>
                <w:color w:val="auto"/>
              </w:rPr>
              <w:t>Total Building Materials Business</w:t>
            </w:r>
          </w:p>
        </w:tc>
        <w:tc>
          <w:tcPr>
            <w:tcW w:w="24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661,343</w:t>
            </w:r>
          </w:p>
        </w:tc>
        <w:tc>
          <w:tcPr>
            <w:tcW w:w="36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22.0</w:t>
            </w:r>
          </w:p>
        </w:tc>
        <w:tc>
          <w:tcPr>
            <w:tcW w:w="26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643,668</w:t>
            </w:r>
          </w:p>
        </w:tc>
        <w:tc>
          <w:tcPr>
            <w:tcW w:w="3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80" w:type="dxa"/>
            <w:vAlign w:val="bottom"/>
            <w:gridSpan w:val="2"/>
          </w:tcPr>
          <w:p>
            <w:pPr>
              <w:spacing w:after="0"/>
              <w:rPr>
                <w:sz w:val="20"/>
                <w:szCs w:val="20"/>
                <w:color w:val="auto"/>
              </w:rPr>
            </w:pPr>
            <w:r>
              <w:rPr>
                <w:rFonts w:ascii="Arial" w:cs="Arial" w:eastAsia="Arial" w:hAnsi="Arial"/>
                <w:sz w:val="20"/>
                <w:szCs w:val="20"/>
                <w:color w:val="auto"/>
              </w:rPr>
              <w:t>Magnesia Specialties:</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shd w:val="clear" w:color="auto" w:fill="CFF0FC"/>
          </w:tcPr>
          <w:p>
            <w:pPr>
              <w:ind w:left="120"/>
              <w:spacing w:after="0"/>
              <w:rPr>
                <w:sz w:val="20"/>
                <w:szCs w:val="20"/>
                <w:color w:val="auto"/>
              </w:rPr>
            </w:pPr>
            <w:r>
              <w:rPr>
                <w:rFonts w:ascii="Arial" w:cs="Arial" w:eastAsia="Arial" w:hAnsi="Arial"/>
                <w:sz w:val="20"/>
                <w:szCs w:val="20"/>
                <w:color w:val="auto"/>
              </w:rPr>
              <w:t>Products</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76,756</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38.1</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69,425</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tcPr>
          <w:p>
            <w:pPr>
              <w:ind w:left="120"/>
              <w:spacing w:after="0"/>
              <w:rPr>
                <w:sz w:val="20"/>
                <w:szCs w:val="20"/>
                <w:color w:val="auto"/>
              </w:rPr>
            </w:pPr>
            <w:r>
              <w:rPr>
                <w:rFonts w:ascii="Arial" w:cs="Arial" w:eastAsia="Arial" w:hAnsi="Arial"/>
                <w:sz w:val="20"/>
                <w:szCs w:val="20"/>
                <w:color w:val="auto"/>
              </w:rPr>
              <w:t>Freight</w:t>
            </w:r>
          </w:p>
        </w:tc>
        <w:tc>
          <w:tcPr>
            <w:tcW w:w="240" w:type="dxa"/>
            <w:vAlign w:val="bottom"/>
          </w:tcPr>
          <w:p>
            <w:pPr>
              <w:spacing w:after="0"/>
              <w:rPr>
                <w:sz w:val="21"/>
                <w:szCs w:val="21"/>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20"/>
                <w:szCs w:val="20"/>
                <w:color w:val="auto"/>
              </w:rPr>
              <w:t>(3,280)</w:t>
            </w: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20"/>
                <w:szCs w:val="20"/>
                <w:color w:val="auto"/>
              </w:rPr>
              <w:t>(3,576)</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Magnesia Specialties Business</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73,476</w:t>
            </w:r>
          </w:p>
        </w:tc>
        <w:tc>
          <w:tcPr>
            <w:tcW w:w="360" w:type="dxa"/>
            <w:vAlign w:val="bottom"/>
            <w:tcBorders>
              <w:top w:val="single" w:sz="8" w:color="CFF0FC"/>
            </w:tcBorders>
            <w:shd w:val="clear" w:color="auto" w:fill="CFF0FC"/>
          </w:tcPr>
          <w:p>
            <w:pPr>
              <w:spacing w:after="0"/>
              <w:rPr>
                <w:sz w:val="20"/>
                <w:szCs w:val="20"/>
                <w:color w:val="auto"/>
              </w:rPr>
            </w:pPr>
          </w:p>
        </w:tc>
        <w:tc>
          <w:tcPr>
            <w:tcW w:w="13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34.1</w:t>
            </w:r>
          </w:p>
        </w:tc>
        <w:tc>
          <w:tcPr>
            <w:tcW w:w="26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65,849</w:t>
            </w:r>
          </w:p>
        </w:tc>
        <w:tc>
          <w:tcPr>
            <w:tcW w:w="340" w:type="dxa"/>
            <w:vAlign w:val="bottom"/>
            <w:tcBorders>
              <w:top w:val="single" w:sz="8" w:color="CFF0FC"/>
            </w:tcBorders>
            <w:shd w:val="clear" w:color="auto" w:fill="CFF0FC"/>
          </w:tcPr>
          <w:p>
            <w:pPr>
              <w:spacing w:after="0"/>
              <w:rPr>
                <w:sz w:val="20"/>
                <w:szCs w:val="20"/>
                <w:color w:val="auto"/>
              </w:rPr>
            </w:pPr>
          </w:p>
        </w:tc>
        <w:tc>
          <w:tcPr>
            <w:tcW w:w="13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32.5</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80" w:type="dxa"/>
            <w:vAlign w:val="bottom"/>
            <w:gridSpan w:val="2"/>
          </w:tcPr>
          <w:p>
            <w:pPr>
              <w:spacing w:after="0"/>
              <w:rPr>
                <w:sz w:val="20"/>
                <w:szCs w:val="20"/>
                <w:color w:val="auto"/>
              </w:rPr>
            </w:pPr>
            <w:r>
              <w:rPr>
                <w:rFonts w:ascii="Arial" w:cs="Arial" w:eastAsia="Arial" w:hAnsi="Arial"/>
                <w:sz w:val="20"/>
                <w:szCs w:val="20"/>
                <w:color w:val="auto"/>
              </w:rPr>
              <w:t>Corporate</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4,474</w:t>
            </w: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3,321</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2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739,293</w:t>
            </w:r>
          </w:p>
        </w:tc>
        <w:tc>
          <w:tcPr>
            <w:tcW w:w="360" w:type="dxa"/>
            <w:vAlign w:val="bottom"/>
            <w:tcBorders>
              <w:top w:val="single" w:sz="8" w:color="CFF0FC"/>
              <w:bottom w:val="single" w:sz="8" w:color="CFF0FC"/>
            </w:tcBorders>
            <w:shd w:val="clear" w:color="auto" w:fill="CFF0FC"/>
          </w:tcPr>
          <w:p>
            <w:pPr>
              <w:spacing w:after="0"/>
              <w:rPr>
                <w:sz w:val="20"/>
                <w:szCs w:val="20"/>
                <w:color w:val="auto"/>
              </w:rPr>
            </w:pPr>
          </w:p>
        </w:tc>
        <w:tc>
          <w:tcPr>
            <w:tcW w:w="13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22.9</w:t>
            </w:r>
          </w:p>
        </w:tc>
        <w:tc>
          <w:tcPr>
            <w:tcW w:w="260" w:type="dxa"/>
            <w:vAlign w:val="bottom"/>
            <w:tcBorders>
              <w:top w:val="single" w:sz="8" w:color="CFF0FC"/>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712,838</w:t>
            </w:r>
          </w:p>
        </w:tc>
        <w:tc>
          <w:tcPr>
            <w:tcW w:w="340" w:type="dxa"/>
            <w:vAlign w:val="bottom"/>
            <w:tcBorders>
              <w:top w:val="single" w:sz="8" w:color="CFF0FC"/>
              <w:bottom w:val="single" w:sz="8" w:color="CFF0FC"/>
            </w:tcBorders>
            <w:shd w:val="clear" w:color="auto" w:fill="CFF0FC"/>
          </w:tcPr>
          <w:p>
            <w:pPr>
              <w:spacing w:after="0"/>
              <w:rPr>
                <w:sz w:val="20"/>
                <w:szCs w:val="20"/>
                <w:color w:val="auto"/>
              </w:rPr>
            </w:pPr>
          </w:p>
        </w:tc>
        <w:tc>
          <w:tcPr>
            <w:tcW w:w="13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23.8</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4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Selling, general &amp; administrative expenses:</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tcPr>
          <w:p>
            <w:pPr>
              <w:spacing w:after="0"/>
              <w:rPr>
                <w:sz w:val="20"/>
                <w:szCs w:val="20"/>
                <w:color w:val="auto"/>
              </w:rPr>
            </w:pPr>
            <w:r>
              <w:rPr>
                <w:rFonts w:ascii="Arial" w:cs="Arial" w:eastAsia="Arial" w:hAnsi="Arial"/>
                <w:sz w:val="20"/>
                <w:szCs w:val="20"/>
                <w:color w:val="auto"/>
              </w:rPr>
              <w:t>Building Materials Business:</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Mid-America Group</w:t>
            </w:r>
          </w:p>
        </w:tc>
        <w:tc>
          <w:tcPr>
            <w:tcW w:w="2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41,260</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39,934</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tcPr>
          <w:p>
            <w:pPr>
              <w:ind w:left="240"/>
              <w:spacing w:after="0"/>
              <w:rPr>
                <w:sz w:val="20"/>
                <w:szCs w:val="20"/>
                <w:color w:val="auto"/>
              </w:rPr>
            </w:pPr>
            <w:r>
              <w:rPr>
                <w:rFonts w:ascii="Arial" w:cs="Arial" w:eastAsia="Arial" w:hAnsi="Arial"/>
                <w:sz w:val="20"/>
                <w:szCs w:val="20"/>
                <w:color w:val="auto"/>
              </w:rPr>
              <w:t>Southeast Group</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13,689</w:t>
            </w: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12,896</w:t>
            </w: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shd w:val="clear" w:color="auto" w:fill="CFF0FC"/>
          </w:tcPr>
          <w:p>
            <w:pPr>
              <w:ind w:left="240"/>
              <w:spacing w:after="0"/>
              <w:rPr>
                <w:sz w:val="20"/>
                <w:szCs w:val="20"/>
                <w:color w:val="auto"/>
              </w:rPr>
            </w:pPr>
            <w:r>
              <w:rPr>
                <w:rFonts w:ascii="Arial" w:cs="Arial" w:eastAsia="Arial" w:hAnsi="Arial"/>
                <w:sz w:val="20"/>
                <w:szCs w:val="20"/>
                <w:color w:val="auto"/>
              </w:rPr>
              <w:t>West Group</w:t>
            </w:r>
          </w:p>
        </w:tc>
        <w:tc>
          <w:tcPr>
            <w:tcW w:w="2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79,892</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75,665</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80" w:type="dxa"/>
            <w:vAlign w:val="bottom"/>
            <w:gridSpan w:val="2"/>
          </w:tcPr>
          <w:p>
            <w:pPr>
              <w:spacing w:after="0"/>
              <w:rPr>
                <w:sz w:val="20"/>
                <w:szCs w:val="20"/>
                <w:color w:val="auto"/>
              </w:rPr>
            </w:pPr>
            <w:r>
              <w:rPr>
                <w:rFonts w:ascii="Arial" w:cs="Arial" w:eastAsia="Arial" w:hAnsi="Arial"/>
                <w:sz w:val="20"/>
                <w:szCs w:val="20"/>
                <w:color w:val="auto"/>
              </w:rPr>
              <w:t>Total Building Materials Business</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134,841</w:t>
            </w: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128,495</w:t>
            </w: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7,512</w:t>
            </w:r>
          </w:p>
        </w:tc>
        <w:tc>
          <w:tcPr>
            <w:tcW w:w="3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7,146</w:t>
            </w:r>
          </w:p>
        </w:tc>
        <w:tc>
          <w:tcPr>
            <w:tcW w:w="3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Corporate</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67,279</w:t>
            </w:r>
          </w:p>
        </w:tc>
        <w:tc>
          <w:tcPr>
            <w:tcW w:w="360" w:type="dxa"/>
            <w:vAlign w:val="bottom"/>
            <w:tcBorders>
              <w:bottom w:val="single" w:sz="8" w:color="CFF0FC"/>
            </w:tcBorders>
          </w:tcPr>
          <w:p>
            <w:pPr>
              <w:spacing w:after="0"/>
              <w:rPr>
                <w:sz w:val="21"/>
                <w:szCs w:val="21"/>
                <w:color w:val="auto"/>
              </w:rPr>
            </w:pPr>
          </w:p>
        </w:tc>
        <w:tc>
          <w:tcPr>
            <w:tcW w:w="134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59,486</w:t>
            </w:r>
          </w:p>
        </w:tc>
        <w:tc>
          <w:tcPr>
            <w:tcW w:w="340" w:type="dxa"/>
            <w:vAlign w:val="bottom"/>
            <w:tcBorders>
              <w:bottom w:val="single" w:sz="8" w:color="CFF0FC"/>
            </w:tcBorders>
          </w:tcPr>
          <w:p>
            <w:pPr>
              <w:spacing w:after="0"/>
              <w:rPr>
                <w:sz w:val="21"/>
                <w:szCs w:val="21"/>
                <w:color w:val="auto"/>
              </w:rPr>
            </w:pPr>
          </w:p>
        </w:tc>
        <w:tc>
          <w:tcPr>
            <w:tcW w:w="13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2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209,632</w:t>
            </w:r>
          </w:p>
        </w:tc>
        <w:tc>
          <w:tcPr>
            <w:tcW w:w="36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6.5</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61"/>
              <w:spacing w:after="0"/>
              <w:rPr>
                <w:sz w:val="20"/>
                <w:szCs w:val="20"/>
                <w:color w:val="auto"/>
              </w:rPr>
            </w:pPr>
            <w:r>
              <w:rPr>
                <w:rFonts w:ascii="Arial" w:cs="Arial" w:eastAsia="Arial" w:hAnsi="Arial"/>
                <w:sz w:val="20"/>
                <w:szCs w:val="20"/>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195,127</w:t>
            </w:r>
          </w:p>
        </w:tc>
        <w:tc>
          <w:tcPr>
            <w:tcW w:w="34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41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2018</w:t>
      </w:r>
    </w:p>
    <w:p>
      <w:pPr>
        <w:jc w:val="center"/>
        <w:spacing w:after="0"/>
        <w:rPr>
          <w:sz w:val="20"/>
          <w:szCs w:val="20"/>
          <w:color w:val="auto"/>
        </w:rPr>
      </w:pPr>
      <w:r>
        <w:rPr>
          <w:rFonts w:ascii="Arial" w:cs="Arial" w:eastAsia="Arial" w:hAnsi="Arial"/>
          <w:sz w:val="20"/>
          <w:szCs w:val="20"/>
          <w:color w:val="auto"/>
        </w:rPr>
        <w:t>(Continued)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7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400" w:type="dxa"/>
            <w:vAlign w:val="bottom"/>
            <w:tcBorders>
              <w:bottom w:val="single" w:sz="8" w:color="auto"/>
            </w:tcBorders>
            <w:gridSpan w:val="10"/>
          </w:tcPr>
          <w:p>
            <w:pPr>
              <w:jc w:val="right"/>
              <w:ind w:right="430"/>
              <w:spacing w:after="0"/>
              <w:rPr>
                <w:sz w:val="20"/>
                <w:szCs w:val="20"/>
                <w:color w:val="auto"/>
              </w:rPr>
            </w:pPr>
            <w:r>
              <w:rPr>
                <w:rFonts w:ascii="Arial" w:cs="Arial" w:eastAsia="Arial" w:hAnsi="Arial"/>
                <w:sz w:val="20"/>
                <w:szCs w:val="20"/>
                <w:color w:val="auto"/>
                <w:w w:val="91"/>
              </w:rPr>
              <w:t>Nine-Months Ended September 30,</w:t>
            </w:r>
          </w:p>
        </w:tc>
        <w:tc>
          <w:tcPr>
            <w:tcW w:w="12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20"/>
                <w:szCs w:val="20"/>
                <w:color w:val="auto"/>
              </w:rPr>
              <w:t>2018</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2017</w:t>
            </w:r>
          </w:p>
        </w:tc>
        <w:tc>
          <w:tcPr>
            <w:tcW w:w="12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20"/>
                <w:szCs w:val="20"/>
                <w:color w:val="auto"/>
              </w:rPr>
              <w:t>Amount</w:t>
            </w:r>
          </w:p>
        </w:tc>
        <w:tc>
          <w:tcPr>
            <w:tcW w:w="1340" w:type="dxa"/>
            <w:vAlign w:val="bottom"/>
            <w:tcBorders>
              <w:bottom w:val="single" w:sz="8" w:color="auto"/>
            </w:tcBorders>
            <w:gridSpan w:val="2"/>
          </w:tcPr>
          <w:p>
            <w:pPr>
              <w:jc w:val="center"/>
              <w:ind w:right="8"/>
              <w:spacing w:after="0"/>
              <w:rPr>
                <w:sz w:val="20"/>
                <w:szCs w:val="20"/>
                <w:color w:val="auto"/>
              </w:rPr>
            </w:pPr>
            <w:r>
              <w:rPr>
                <w:rFonts w:ascii="Arial" w:cs="Arial" w:eastAsia="Arial" w:hAnsi="Arial"/>
                <w:sz w:val="20"/>
                <w:szCs w:val="20"/>
                <w:color w:val="auto"/>
                <w:w w:val="88"/>
              </w:rPr>
              <w:t>% of Revenues</w:t>
            </w: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5"/>
          </w:tcPr>
          <w:p>
            <w:pPr>
              <w:jc w:val="right"/>
              <w:ind w:right="670"/>
              <w:spacing w:after="0"/>
              <w:rPr>
                <w:sz w:val="20"/>
                <w:szCs w:val="20"/>
                <w:color w:val="auto"/>
              </w:rPr>
            </w:pPr>
            <w:r>
              <w:rPr>
                <w:rFonts w:ascii="Arial" w:cs="Arial" w:eastAsia="Arial" w:hAnsi="Arial"/>
                <w:sz w:val="20"/>
                <w:szCs w:val="20"/>
                <w:color w:val="auto"/>
              </w:rPr>
              <w:t>Amount</w:t>
            </w: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20"/>
                <w:szCs w:val="20"/>
                <w:color w:val="auto"/>
                <w:w w:val="95"/>
              </w:rPr>
              <w:t>% of Revenues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80" w:type="dxa"/>
            <w:vAlign w:val="bottom"/>
            <w:gridSpan w:val="9"/>
          </w:tcPr>
          <w:p>
            <w:pPr>
              <w:jc w:val="right"/>
              <w:ind w:right="910"/>
              <w:spacing w:after="0"/>
              <w:rPr>
                <w:sz w:val="20"/>
                <w:szCs w:val="20"/>
                <w:color w:val="auto"/>
              </w:rPr>
            </w:pPr>
            <w:r>
              <w:rPr>
                <w:rFonts w:ascii="Arial" w:cs="Arial" w:eastAsia="Arial" w:hAnsi="Arial"/>
                <w:sz w:val="20"/>
                <w:szCs w:val="20"/>
                <w:i w:val="1"/>
                <w:iCs w:val="1"/>
                <w:color w:val="auto"/>
              </w:rPr>
              <w:t>(Dollars in Thousands)</w:t>
            </w: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8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Earnings (Loss) from operations:</w:t>
            </w: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Pr>
          <w:p>
            <w:pPr>
              <w:spacing w:after="0"/>
              <w:rPr>
                <w:sz w:val="20"/>
                <w:szCs w:val="20"/>
                <w:color w:val="auto"/>
              </w:rPr>
            </w:pPr>
            <w:r>
              <w:rPr>
                <w:rFonts w:ascii="Arial" w:cs="Arial" w:eastAsia="Arial" w:hAnsi="Arial"/>
                <w:sz w:val="20"/>
                <w:szCs w:val="20"/>
                <w:color w:val="auto"/>
              </w:rPr>
              <w:t>Building Materials Business:</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Mid-America Group</w:t>
            </w:r>
          </w:p>
        </w:tc>
        <w:tc>
          <w:tcPr>
            <w:tcW w:w="24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235,221</w:t>
            </w:r>
          </w:p>
        </w:tc>
        <w:tc>
          <w:tcPr>
            <w:tcW w:w="3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w w:val="91"/>
              </w:rPr>
              <w:t>204,939</w:t>
            </w:r>
          </w:p>
        </w:tc>
        <w:tc>
          <w:tcPr>
            <w:tcW w:w="3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260"/>
              <w:spacing w:after="0"/>
              <w:rPr>
                <w:sz w:val="20"/>
                <w:szCs w:val="20"/>
                <w:color w:val="auto"/>
              </w:rPr>
            </w:pPr>
            <w:r>
              <w:rPr>
                <w:rFonts w:ascii="Arial" w:cs="Arial" w:eastAsia="Arial" w:hAnsi="Arial"/>
                <w:sz w:val="20"/>
                <w:szCs w:val="20"/>
                <w:color w:val="auto"/>
              </w:rPr>
              <w:t>Southeast Group</w:t>
            </w:r>
          </w:p>
        </w:tc>
        <w:tc>
          <w:tcPr>
            <w:tcW w:w="24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20"/>
                <w:szCs w:val="20"/>
                <w:color w:val="auto"/>
              </w:rPr>
              <w:t>60,464</w:t>
            </w: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20"/>
                <w:szCs w:val="20"/>
                <w:color w:val="auto"/>
              </w:rPr>
              <w:t>42,331</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shd w:val="clear" w:color="auto" w:fill="CFF0FC"/>
          </w:tcPr>
          <w:p>
            <w:pPr>
              <w:ind w:left="260"/>
              <w:spacing w:after="0"/>
              <w:rPr>
                <w:sz w:val="20"/>
                <w:szCs w:val="20"/>
                <w:color w:val="auto"/>
              </w:rPr>
            </w:pPr>
            <w:r>
              <w:rPr>
                <w:rFonts w:ascii="Arial" w:cs="Arial" w:eastAsia="Arial" w:hAnsi="Arial"/>
                <w:sz w:val="20"/>
                <w:szCs w:val="20"/>
                <w:color w:val="auto"/>
              </w:rPr>
              <w:t>West Group</w:t>
            </w:r>
          </w:p>
        </w:tc>
        <w:tc>
          <w:tcPr>
            <w:tcW w:w="2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249,885</w:t>
            </w:r>
          </w:p>
        </w:tc>
        <w:tc>
          <w:tcPr>
            <w:tcW w:w="3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w w:val="91"/>
              </w:rPr>
              <w:t>270,246</w:t>
            </w:r>
          </w:p>
        </w:tc>
        <w:tc>
          <w:tcPr>
            <w:tcW w:w="3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80" w:type="dxa"/>
            <w:vAlign w:val="bottom"/>
          </w:tcPr>
          <w:p>
            <w:pPr>
              <w:spacing w:after="0"/>
              <w:rPr>
                <w:sz w:val="20"/>
                <w:szCs w:val="20"/>
                <w:color w:val="auto"/>
              </w:rPr>
            </w:pPr>
            <w:r>
              <w:rPr>
                <w:rFonts w:ascii="Arial" w:cs="Arial" w:eastAsia="Arial" w:hAnsi="Arial"/>
                <w:sz w:val="20"/>
                <w:szCs w:val="20"/>
                <w:color w:val="auto"/>
              </w:rPr>
              <w:t>Total Building Materials Business</w:t>
            </w:r>
          </w:p>
        </w:tc>
        <w:tc>
          <w:tcPr>
            <w:tcW w:w="24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20"/>
                <w:szCs w:val="20"/>
                <w:color w:val="auto"/>
              </w:rPr>
              <w:t>545,570</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20"/>
                <w:szCs w:val="20"/>
                <w:color w:val="auto"/>
                <w:w w:val="91"/>
              </w:rPr>
              <w:t>517,516</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80" w:type="dxa"/>
            <w:vAlign w:val="bottom"/>
            <w:shd w:val="clear" w:color="auto" w:fill="CFF0FC"/>
          </w:tcPr>
          <w:p>
            <w:pPr>
              <w:spacing w:after="0"/>
              <w:rPr>
                <w:sz w:val="20"/>
                <w:szCs w:val="20"/>
                <w:color w:val="auto"/>
              </w:rPr>
            </w:pPr>
            <w:r>
              <w:rPr>
                <w:rFonts w:ascii="Arial" w:cs="Arial" w:eastAsia="Arial" w:hAnsi="Arial"/>
                <w:sz w:val="20"/>
                <w:szCs w:val="20"/>
                <w:color w:val="auto"/>
              </w:rPr>
              <w:t>Magnesia Specialties</w:t>
            </w:r>
          </w:p>
        </w:tc>
        <w:tc>
          <w:tcPr>
            <w:tcW w:w="2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65,867</w:t>
            </w:r>
          </w:p>
        </w:tc>
        <w:tc>
          <w:tcPr>
            <w:tcW w:w="3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58,589</w:t>
            </w:r>
          </w:p>
        </w:tc>
        <w:tc>
          <w:tcPr>
            <w:tcW w:w="3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Pr>
          <w:p>
            <w:pPr>
              <w:spacing w:after="0"/>
              <w:rPr>
                <w:sz w:val="20"/>
                <w:szCs w:val="20"/>
                <w:color w:val="auto"/>
              </w:rPr>
            </w:pPr>
            <w:r>
              <w:rPr>
                <w:rFonts w:ascii="Arial" w:cs="Arial" w:eastAsia="Arial" w:hAnsi="Arial"/>
                <w:sz w:val="20"/>
                <w:szCs w:val="20"/>
                <w:color w:val="auto"/>
              </w:rPr>
              <w:t>Corporate</w:t>
            </w:r>
          </w:p>
        </w:tc>
        <w:tc>
          <w:tcPr>
            <w:tcW w:w="240" w:type="dxa"/>
            <w:vAlign w:val="bottom"/>
          </w:tcPr>
          <w:p>
            <w:pPr>
              <w:spacing w:after="0"/>
              <w:rPr>
                <w:sz w:val="21"/>
                <w:szCs w:val="21"/>
                <w:color w:val="auto"/>
              </w:rPr>
            </w:pPr>
          </w:p>
        </w:tc>
        <w:tc>
          <w:tcPr>
            <w:tcW w:w="1540" w:type="dxa"/>
            <w:vAlign w:val="bottom"/>
            <w:gridSpan w:val="3"/>
          </w:tcPr>
          <w:p>
            <w:pPr>
              <w:jc w:val="right"/>
              <w:ind w:right="280"/>
              <w:spacing w:after="0"/>
              <w:rPr>
                <w:sz w:val="20"/>
                <w:szCs w:val="20"/>
                <w:color w:val="auto"/>
              </w:rPr>
            </w:pPr>
            <w:r>
              <w:rPr>
                <w:rFonts w:ascii="Arial" w:cs="Arial" w:eastAsia="Arial" w:hAnsi="Arial"/>
                <w:sz w:val="20"/>
                <w:szCs w:val="20"/>
                <w:color w:val="auto"/>
              </w:rPr>
              <w:t>(67,741)</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gridSpan w:val="3"/>
          </w:tcPr>
          <w:p>
            <w:pPr>
              <w:jc w:val="right"/>
              <w:ind w:right="190"/>
              <w:spacing w:after="0"/>
              <w:rPr>
                <w:sz w:val="20"/>
                <w:szCs w:val="20"/>
                <w:color w:val="auto"/>
              </w:rPr>
            </w:pPr>
            <w:r>
              <w:rPr>
                <w:rFonts w:ascii="Arial" w:cs="Arial" w:eastAsia="Arial" w:hAnsi="Arial"/>
                <w:sz w:val="20"/>
                <w:szCs w:val="20"/>
                <w:color w:val="auto"/>
                <w:w w:val="99"/>
              </w:rPr>
              <w:t>(59,138)</w:t>
            </w: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w:t>
            </w:r>
          </w:p>
        </w:tc>
        <w:tc>
          <w:tcPr>
            <w:tcW w:w="2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20"/>
                <w:szCs w:val="20"/>
                <w:color w:val="auto"/>
                <w:w w:val="71"/>
              </w:rPr>
              <w:t>$</w:t>
            </w:r>
          </w:p>
        </w:tc>
        <w:tc>
          <w:tcPr>
            <w:tcW w:w="1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20"/>
                <w:szCs w:val="20"/>
                <w:color w:val="auto"/>
              </w:rPr>
              <w:t>543,696</w:t>
            </w:r>
          </w:p>
        </w:tc>
        <w:tc>
          <w:tcPr>
            <w:tcW w:w="360" w:type="dxa"/>
            <w:vAlign w:val="bottom"/>
            <w:tcBorders>
              <w:top w:val="single" w:sz="8" w:color="CFF0FC"/>
              <w:bottom w:val="single" w:sz="8" w:color="CFF0FC"/>
            </w:tcBorders>
            <w:shd w:val="clear" w:color="auto" w:fill="CFF0FC"/>
          </w:tcPr>
          <w:p>
            <w:pPr>
              <w:spacing w:after="0"/>
              <w:rPr>
                <w:sz w:val="20"/>
                <w:szCs w:val="20"/>
                <w:color w:val="auto"/>
              </w:rPr>
            </w:pPr>
          </w:p>
        </w:tc>
        <w:tc>
          <w:tcPr>
            <w:tcW w:w="13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20"/>
                <w:szCs w:val="20"/>
                <w:color w:val="auto"/>
              </w:rPr>
              <w:t>16.9</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20"/>
                <w:szCs w:val="20"/>
                <w:color w:val="auto"/>
                <w:w w:val="71"/>
              </w:rPr>
              <w:t>$</w:t>
            </w:r>
          </w:p>
        </w:tc>
        <w:tc>
          <w:tcPr>
            <w:tcW w:w="500" w:type="dxa"/>
            <w:vAlign w:val="bottom"/>
            <w:tcBorders>
              <w:top w:val="single" w:sz="8" w:color="auto"/>
              <w:bottom w:val="single" w:sz="8" w:color="auto"/>
            </w:tcBorders>
            <w:shd w:val="clear" w:color="auto" w:fill="CFF0FC"/>
          </w:tcPr>
          <w:p>
            <w:pPr>
              <w:spacing w:after="0"/>
              <w:rPr>
                <w:sz w:val="20"/>
                <w:szCs w:val="20"/>
                <w:color w:val="auto"/>
              </w:rPr>
            </w:pPr>
          </w:p>
        </w:tc>
        <w:tc>
          <w:tcPr>
            <w:tcW w:w="40" w:type="dxa"/>
            <w:vAlign w:val="bottom"/>
            <w:tcBorders>
              <w:top w:val="single" w:sz="8" w:color="auto"/>
              <w:bottom w:val="single" w:sz="8" w:color="auto"/>
            </w:tcBorders>
            <w:shd w:val="clear" w:color="auto" w:fill="CFF0FC"/>
          </w:tcPr>
          <w:p>
            <w:pPr>
              <w:spacing w:after="0"/>
              <w:rPr>
                <w:sz w:val="20"/>
                <w:szCs w:val="20"/>
                <w:color w:val="auto"/>
              </w:rPr>
            </w:pPr>
          </w:p>
        </w:tc>
        <w:tc>
          <w:tcPr>
            <w:tcW w:w="7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20"/>
                <w:szCs w:val="20"/>
                <w:color w:val="auto"/>
                <w:w w:val="91"/>
              </w:rPr>
              <w:t>516,967</w:t>
            </w:r>
          </w:p>
        </w:tc>
        <w:tc>
          <w:tcPr>
            <w:tcW w:w="340" w:type="dxa"/>
            <w:vAlign w:val="bottom"/>
            <w:tcBorders>
              <w:top w:val="single" w:sz="8" w:color="CFF0FC"/>
              <w:bottom w:val="single" w:sz="8" w:color="CFF0FC"/>
            </w:tcBorders>
            <w:shd w:val="clear" w:color="auto" w:fill="CFF0FC"/>
          </w:tcPr>
          <w:p>
            <w:pPr>
              <w:spacing w:after="0"/>
              <w:rPr>
                <w:sz w:val="20"/>
                <w:szCs w:val="20"/>
                <w:color w:val="auto"/>
              </w:rPr>
            </w:pPr>
          </w:p>
        </w:tc>
        <w:tc>
          <w:tcPr>
            <w:tcW w:w="1360" w:type="dxa"/>
            <w:vAlign w:val="bottom"/>
            <w:tcBorders>
              <w:top w:val="single" w:sz="8" w:color="CFF0FC"/>
              <w:bottom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20"/>
                <w:szCs w:val="20"/>
                <w:color w:val="auto"/>
              </w:rPr>
              <w:t>17.3</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20"/>
                <w:szCs w:val="20"/>
                <w:i w:val="1"/>
                <w:iCs w:val="1"/>
                <w:color w:val="auto"/>
              </w:rPr>
              <w:t>Building Materials Business</w:t>
            </w: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47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920" w:type="dxa"/>
            <w:vAlign w:val="bottom"/>
            <w:gridSpan w:val="12"/>
          </w:tcPr>
          <w:p>
            <w:pPr>
              <w:spacing w:after="0"/>
              <w:rPr>
                <w:sz w:val="20"/>
                <w:szCs w:val="20"/>
                <w:color w:val="auto"/>
              </w:rPr>
            </w:pPr>
            <w:r>
              <w:rPr>
                <w:rFonts w:ascii="Arial" w:cs="Arial" w:eastAsia="Arial" w:hAnsi="Arial"/>
                <w:sz w:val="20"/>
                <w:szCs w:val="20"/>
                <w:color w:val="auto"/>
                <w:w w:val="95"/>
              </w:rPr>
              <w:t>The following tables present volume and pricing data and shipments data for the aggregates product line.</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4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80" w:type="dxa"/>
            <w:vAlign w:val="bottom"/>
            <w:gridSpan w:val="9"/>
          </w:tcPr>
          <w:p>
            <w:pPr>
              <w:jc w:val="right"/>
              <w:ind w:right="510"/>
              <w:spacing w:after="0"/>
              <w:rPr>
                <w:sz w:val="20"/>
                <w:szCs w:val="20"/>
                <w:color w:val="auto"/>
              </w:rPr>
            </w:pPr>
            <w:r>
              <w:rPr>
                <w:rFonts w:ascii="Arial" w:cs="Arial" w:eastAsia="Arial" w:hAnsi="Arial"/>
                <w:sz w:val="18"/>
                <w:szCs w:val="18"/>
                <w:color w:val="auto"/>
              </w:rPr>
              <w:t>Nine-Months Ended</w:t>
            </w: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8"/>
          </w:tcPr>
          <w:p>
            <w:pPr>
              <w:jc w:val="right"/>
              <w:ind w:right="530"/>
              <w:spacing w:after="0"/>
              <w:rPr>
                <w:sz w:val="20"/>
                <w:szCs w:val="20"/>
                <w:color w:val="auto"/>
              </w:rPr>
            </w:pPr>
            <w:r>
              <w:rPr>
                <w:rFonts w:ascii="Arial" w:cs="Arial" w:eastAsia="Arial" w:hAnsi="Arial"/>
                <w:sz w:val="18"/>
                <w:szCs w:val="18"/>
                <w:color w:val="auto"/>
                <w:w w:val="87"/>
              </w:rPr>
              <w:t>September 30, 2018</w:t>
            </w:r>
          </w:p>
        </w:tc>
        <w:tc>
          <w:tcPr>
            <w:tcW w:w="12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center"/>
              <w:ind w:right="470"/>
              <w:spacing w:after="0"/>
              <w:rPr>
                <w:sz w:val="20"/>
                <w:szCs w:val="20"/>
                <w:color w:val="auto"/>
              </w:rPr>
            </w:pPr>
            <w:r>
              <w:rPr>
                <w:rFonts w:ascii="Arial" w:cs="Arial" w:eastAsia="Arial" w:hAnsi="Arial"/>
                <w:sz w:val="18"/>
                <w:szCs w:val="18"/>
                <w:color w:val="auto"/>
                <w:w w:val="91"/>
              </w:rPr>
              <w:t>Volume</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jc w:val="right"/>
              <w:ind w:right="829"/>
              <w:spacing w:after="0"/>
              <w:rPr>
                <w:sz w:val="20"/>
                <w:szCs w:val="20"/>
                <w:color w:val="auto"/>
              </w:rPr>
            </w:pPr>
            <w:r>
              <w:rPr>
                <w:rFonts w:ascii="Arial" w:cs="Arial" w:eastAsia="Arial" w:hAnsi="Arial"/>
                <w:sz w:val="18"/>
                <w:szCs w:val="18"/>
                <w:color w:val="auto"/>
              </w:rPr>
              <w:t>Pricing</w:t>
            </w: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 xml:space="preserve">Volume/Pricing Variance </w:t>
            </w:r>
            <w:r>
              <w:rPr>
                <w:rFonts w:ascii="Arial" w:cs="Arial" w:eastAsia="Arial" w:hAnsi="Arial"/>
                <w:sz w:val="15"/>
                <w:szCs w:val="15"/>
                <w:color w:val="auto"/>
              </w:rPr>
              <w:t>(1)</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Heritage Operations:</w:t>
            </w:r>
            <w:r>
              <w:rPr>
                <w:rFonts w:ascii="Arial" w:cs="Arial" w:eastAsia="Arial" w:hAnsi="Arial"/>
                <w:sz w:val="15"/>
                <w:szCs w:val="15"/>
                <w:color w:val="auto"/>
              </w:rPr>
              <w:t>(2)</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Mid-America Group</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245"/>
              <w:spacing w:after="0"/>
              <w:rPr>
                <w:sz w:val="20"/>
                <w:szCs w:val="20"/>
                <w:color w:val="auto"/>
              </w:rPr>
            </w:pPr>
            <w:r>
              <w:rPr>
                <w:rFonts w:ascii="Arial" w:cs="Arial" w:eastAsia="Arial" w:hAnsi="Arial"/>
                <w:sz w:val="18"/>
                <w:szCs w:val="18"/>
                <w:color w:val="auto"/>
              </w:rPr>
              <w:t>1.5%</w:t>
            </w: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Southeast Group</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3"/>
          </w:tcPr>
          <w:p>
            <w:pPr>
              <w:jc w:val="right"/>
              <w:ind w:right="185"/>
              <w:spacing w:after="0"/>
              <w:rPr>
                <w:sz w:val="20"/>
                <w:szCs w:val="20"/>
                <w:color w:val="auto"/>
              </w:rPr>
            </w:pPr>
            <w:r>
              <w:rPr>
                <w:rFonts w:ascii="Arial" w:cs="Arial" w:eastAsia="Arial" w:hAnsi="Arial"/>
                <w:sz w:val="18"/>
                <w:szCs w:val="18"/>
                <w:color w:val="auto"/>
                <w:w w:val="94"/>
              </w:rPr>
              <w:t>(0.7)%</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4"/>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West Group</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185"/>
              <w:spacing w:after="0"/>
              <w:rPr>
                <w:sz w:val="20"/>
                <w:szCs w:val="20"/>
                <w:color w:val="auto"/>
              </w:rPr>
            </w:pPr>
            <w:r>
              <w:rPr>
                <w:rFonts w:ascii="Arial" w:cs="Arial" w:eastAsia="Arial" w:hAnsi="Arial"/>
                <w:sz w:val="18"/>
                <w:szCs w:val="18"/>
                <w:color w:val="auto"/>
                <w:w w:val="94"/>
              </w:rPr>
              <w:t>(0.9)%</w:t>
            </w: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Total Heritage Aggregates Operations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3"/>
          </w:tcPr>
          <w:p>
            <w:pPr>
              <w:jc w:val="right"/>
              <w:ind w:right="245"/>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4"/>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Total Aggregates Operations</w:t>
            </w:r>
            <w:r>
              <w:rPr>
                <w:rFonts w:ascii="Arial" w:cs="Arial" w:eastAsia="Arial" w:hAnsi="Arial"/>
                <w:sz w:val="15"/>
                <w:szCs w:val="15"/>
                <w:color w:val="auto"/>
              </w:rPr>
              <w:t>(3)</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245"/>
              <w:spacing w:after="0"/>
              <w:rPr>
                <w:sz w:val="20"/>
                <w:szCs w:val="20"/>
                <w:color w:val="auto"/>
              </w:rPr>
            </w:pPr>
            <w:r>
              <w:rPr>
                <w:rFonts w:ascii="Arial" w:cs="Arial" w:eastAsia="Arial" w:hAnsi="Arial"/>
                <w:sz w:val="18"/>
                <w:szCs w:val="18"/>
                <w:color w:val="auto"/>
              </w:rPr>
              <w:t>7.4%</w:t>
            </w: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45"/>
        </w:trPr>
        <w:tc>
          <w:tcPr>
            <w:tcW w:w="4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6"/>
          </w:tcPr>
          <w:p>
            <w:pPr>
              <w:jc w:val="center"/>
              <w:spacing w:after="0"/>
              <w:rPr>
                <w:sz w:val="20"/>
                <w:szCs w:val="20"/>
                <w:color w:val="auto"/>
              </w:rPr>
            </w:pPr>
            <w:r>
              <w:rPr>
                <w:rFonts w:ascii="Arial" w:cs="Arial" w:eastAsia="Arial" w:hAnsi="Arial"/>
                <w:sz w:val="18"/>
                <w:szCs w:val="18"/>
                <w:color w:val="auto"/>
                <w:w w:val="91"/>
              </w:rPr>
              <w:t>Nine-Months Ended</w:t>
            </w: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5"/>
          </w:tcPr>
          <w:p>
            <w:pPr>
              <w:jc w:val="center"/>
              <w:ind w:right="90"/>
              <w:spacing w:after="0"/>
              <w:rPr>
                <w:sz w:val="20"/>
                <w:szCs w:val="20"/>
                <w:color w:val="auto"/>
              </w:rPr>
            </w:pPr>
            <w:r>
              <w:rPr>
                <w:rFonts w:ascii="Arial" w:cs="Arial" w:eastAsia="Arial" w:hAnsi="Arial"/>
                <w:sz w:val="18"/>
                <w:szCs w:val="18"/>
                <w:color w:val="auto"/>
                <w:w w:val="88"/>
              </w:rPr>
              <w:t>September 30,</w:t>
            </w:r>
          </w:p>
        </w:tc>
        <w:tc>
          <w:tcPr>
            <w:tcW w:w="12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2018</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89"/>
              <w:spacing w:after="0"/>
              <w:rPr>
                <w:sz w:val="20"/>
                <w:szCs w:val="20"/>
                <w:color w:val="auto"/>
              </w:rPr>
            </w:pPr>
            <w:r>
              <w:rPr>
                <w:rFonts w:ascii="Arial" w:cs="Arial" w:eastAsia="Arial" w:hAnsi="Arial"/>
                <w:sz w:val="18"/>
                <w:szCs w:val="18"/>
                <w:color w:val="auto"/>
              </w:rPr>
              <w:t>2017</w:t>
            </w:r>
          </w:p>
        </w:tc>
        <w:tc>
          <w:tcPr>
            <w:tcW w:w="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gridSpan w:val="6"/>
          </w:tcPr>
          <w:p>
            <w:pPr>
              <w:jc w:val="center"/>
              <w:spacing w:after="0"/>
              <w:rPr>
                <w:sz w:val="20"/>
                <w:szCs w:val="20"/>
                <w:color w:val="auto"/>
              </w:rPr>
            </w:pPr>
            <w:r>
              <w:rPr>
                <w:rFonts w:ascii="Arial" w:cs="Arial" w:eastAsia="Arial" w:hAnsi="Arial"/>
                <w:sz w:val="18"/>
                <w:szCs w:val="18"/>
                <w:i w:val="1"/>
                <w:iCs w:val="1"/>
                <w:color w:val="auto"/>
                <w:w w:val="88"/>
              </w:rPr>
              <w:t>(Tons in Thousands)</w:t>
            </w: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Shipments</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Heritage Operations:</w:t>
            </w:r>
            <w:r>
              <w:rPr>
                <w:rFonts w:ascii="Arial" w:cs="Arial" w:eastAsia="Arial" w:hAnsi="Arial"/>
                <w:sz w:val="15"/>
                <w:szCs w:val="15"/>
                <w:color w:val="auto"/>
              </w:rPr>
              <w:t>(2)</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Mid-America Group</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55,453</w:t>
            </w:r>
          </w:p>
        </w:tc>
        <w:tc>
          <w:tcPr>
            <w:tcW w:w="3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54,624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260"/>
              <w:spacing w:after="0"/>
              <w:rPr>
                <w:sz w:val="20"/>
                <w:szCs w:val="20"/>
                <w:color w:val="auto"/>
              </w:rPr>
            </w:pPr>
            <w:r>
              <w:rPr>
                <w:rFonts w:ascii="Arial" w:cs="Arial" w:eastAsia="Arial" w:hAnsi="Arial"/>
                <w:sz w:val="20"/>
                <w:szCs w:val="20"/>
                <w:color w:val="auto"/>
              </w:rPr>
              <w:t xml:space="preserve">Southeast Group </w:t>
            </w:r>
            <w:r>
              <w:rPr>
                <w:rFonts w:ascii="Arial" w:cs="Arial" w:eastAsia="Arial" w:hAnsi="Arial"/>
                <w:sz w:val="16"/>
                <w:szCs w:val="16"/>
                <w:color w:val="auto"/>
              </w:rPr>
              <w:t>(4)</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rPr>
              <w:t>15,465</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15,579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West Group</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49,186</w:t>
            </w:r>
          </w:p>
        </w:tc>
        <w:tc>
          <w:tcPr>
            <w:tcW w:w="3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49,637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Heritage Aggregates Operations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rPr>
              <w:t>120,104</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119,840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Acquisitions</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8,558</w:t>
            </w:r>
          </w:p>
        </w:tc>
        <w:tc>
          <w:tcPr>
            <w:tcW w:w="3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6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Total Aggregates Operations</w:t>
            </w:r>
            <w:r>
              <w:rPr>
                <w:rFonts w:ascii="Arial" w:cs="Arial" w:eastAsia="Arial" w:hAnsi="Arial"/>
                <w:sz w:val="15"/>
                <w:szCs w:val="15"/>
                <w:color w:val="auto"/>
              </w:rPr>
              <w:t>(3)</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128,662</w:t>
            </w:r>
          </w:p>
        </w:tc>
        <w:tc>
          <w:tcPr>
            <w:tcW w:w="3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119,840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220" w:hanging="212"/>
        <w:spacing w:after="0"/>
        <w:tabs>
          <w:tab w:leader="none" w:pos="220" w:val="left"/>
        </w:tabs>
        <w:numPr>
          <w:ilvl w:val="0"/>
          <w:numId w:val="31"/>
        </w:numPr>
        <w:rPr>
          <w:rFonts w:ascii="Arial" w:cs="Arial" w:eastAsia="Arial" w:hAnsi="Arial"/>
          <w:sz w:val="15"/>
          <w:szCs w:val="15"/>
          <w:i w:val="1"/>
          <w:iCs w:val="1"/>
          <w:color w:val="auto"/>
        </w:rPr>
      </w:pPr>
      <w:r>
        <w:rPr>
          <w:rFonts w:ascii="Arial" w:cs="Arial" w:eastAsia="Arial" w:hAnsi="Arial"/>
          <w:sz w:val="16"/>
          <w:szCs w:val="16"/>
          <w:i w:val="1"/>
          <w:iCs w:val="1"/>
          <w:color w:val="auto"/>
        </w:rPr>
        <w:t>Volume/pricing variances reflect the percentage increase/(decrease) from the comparable period in the prior year.</w:t>
      </w:r>
    </w:p>
    <w:p>
      <w:pPr>
        <w:spacing w:after="0" w:line="22" w:lineRule="exact"/>
        <w:rPr>
          <w:rFonts w:ascii="Arial" w:cs="Arial" w:eastAsia="Arial" w:hAnsi="Arial"/>
          <w:sz w:val="15"/>
          <w:szCs w:val="15"/>
          <w:i w:val="1"/>
          <w:iCs w:val="1"/>
          <w:color w:val="auto"/>
        </w:rPr>
      </w:pPr>
    </w:p>
    <w:p>
      <w:pPr>
        <w:ind w:left="200" w:hanging="192"/>
        <w:spacing w:after="0" w:line="183" w:lineRule="auto"/>
        <w:tabs>
          <w:tab w:leader="none" w:pos="200" w:val="left"/>
        </w:tabs>
        <w:numPr>
          <w:ilvl w:val="0"/>
          <w:numId w:val="31"/>
        </w:numPr>
        <w:rPr>
          <w:rFonts w:ascii="Arial" w:cs="Arial" w:eastAsia="Arial" w:hAnsi="Arial"/>
          <w:sz w:val="23"/>
          <w:szCs w:val="23"/>
          <w:i w:val="1"/>
          <w:iCs w:val="1"/>
          <w:color w:val="auto"/>
          <w:vertAlign w:val="superscript"/>
        </w:rPr>
      </w:pPr>
      <w:r>
        <w:rPr>
          <w:rFonts w:ascii="Arial" w:cs="Arial" w:eastAsia="Arial" w:hAnsi="Arial"/>
          <w:sz w:val="14"/>
          <w:szCs w:val="14"/>
          <w:i w:val="1"/>
          <w:iCs w:val="1"/>
          <w:color w:val="auto"/>
        </w:rPr>
        <w:t>Heritage aggregates operations exclude acquisitions that have not been included in prior-year operations for the comparable period.</w:t>
      </w:r>
    </w:p>
    <w:p>
      <w:pPr>
        <w:spacing w:after="0" w:line="8" w:lineRule="exact"/>
        <w:rPr>
          <w:rFonts w:ascii="Arial" w:cs="Arial" w:eastAsia="Arial" w:hAnsi="Arial"/>
          <w:sz w:val="23"/>
          <w:szCs w:val="23"/>
          <w:i w:val="1"/>
          <w:iCs w:val="1"/>
          <w:color w:val="auto"/>
          <w:vertAlign w:val="superscript"/>
        </w:rPr>
      </w:pPr>
    </w:p>
    <w:p>
      <w:pPr>
        <w:ind w:left="220" w:hanging="212"/>
        <w:spacing w:after="0"/>
        <w:tabs>
          <w:tab w:leader="none" w:pos="220" w:val="left"/>
        </w:tabs>
        <w:numPr>
          <w:ilvl w:val="0"/>
          <w:numId w:val="31"/>
        </w:numPr>
        <w:rPr>
          <w:rFonts w:ascii="Arial" w:cs="Arial" w:eastAsia="Arial" w:hAnsi="Arial"/>
          <w:sz w:val="15"/>
          <w:szCs w:val="15"/>
          <w:i w:val="1"/>
          <w:iCs w:val="1"/>
          <w:color w:val="auto"/>
        </w:rPr>
      </w:pPr>
      <w:r>
        <w:rPr>
          <w:rFonts w:ascii="Arial" w:cs="Arial" w:eastAsia="Arial" w:hAnsi="Arial"/>
          <w:sz w:val="18"/>
          <w:szCs w:val="18"/>
          <w:i w:val="1"/>
          <w:iCs w:val="1"/>
          <w:color w:val="auto"/>
        </w:rPr>
        <w:t>Total aggregates operations includes acquisitions from the date of acquisition and divestitures through the date of disposal.</w:t>
      </w:r>
    </w:p>
    <w:p>
      <w:pPr>
        <w:spacing w:after="0" w:line="7" w:lineRule="exact"/>
        <w:rPr>
          <w:rFonts w:ascii="Arial" w:cs="Arial" w:eastAsia="Arial" w:hAnsi="Arial"/>
          <w:sz w:val="15"/>
          <w:szCs w:val="15"/>
          <w:i w:val="1"/>
          <w:iCs w:val="1"/>
          <w:color w:val="auto"/>
        </w:rPr>
      </w:pPr>
    </w:p>
    <w:p>
      <w:pPr>
        <w:ind w:left="240" w:hanging="232"/>
        <w:spacing w:after="0"/>
        <w:tabs>
          <w:tab w:leader="none" w:pos="240" w:val="left"/>
        </w:tabs>
        <w:numPr>
          <w:ilvl w:val="0"/>
          <w:numId w:val="31"/>
        </w:numPr>
        <w:rPr>
          <w:rFonts w:ascii="Arial" w:cs="Arial" w:eastAsia="Arial" w:hAnsi="Arial"/>
          <w:sz w:val="15"/>
          <w:szCs w:val="15"/>
          <w:i w:val="1"/>
          <w:iCs w:val="1"/>
          <w:color w:val="auto"/>
        </w:rPr>
      </w:pPr>
      <w:r>
        <w:rPr>
          <w:rFonts w:ascii="Arial" w:cs="Arial" w:eastAsia="Arial" w:hAnsi="Arial"/>
          <w:sz w:val="18"/>
          <w:szCs w:val="18"/>
          <w:i w:val="1"/>
          <w:iCs w:val="1"/>
          <w:color w:val="auto"/>
        </w:rPr>
        <w:t>2018 and 2017 shipments include the Forsyth, Georgia operation, which was divested in April 2018.</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42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FORM 10-Q</w:t>
      </w:r>
    </w:p>
    <w:p>
      <w:pPr>
        <w:jc w:val="center"/>
        <w:ind w:right="-19"/>
        <w:spacing w:after="0"/>
        <w:rPr>
          <w:sz w:val="20"/>
          <w:szCs w:val="20"/>
          <w:color w:val="auto"/>
        </w:rPr>
      </w:pPr>
      <w:r>
        <w:rPr>
          <w:rFonts w:ascii="Arial" w:cs="Arial" w:eastAsia="Arial" w:hAnsi="Arial"/>
          <w:sz w:val="20"/>
          <w:szCs w:val="20"/>
          <w:color w:val="auto"/>
        </w:rPr>
        <w:t>For the Quarter September 30,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RESULTS OF OPERATIONS</w:t>
      </w:r>
    </w:p>
    <w:p>
      <w:pPr>
        <w:jc w:val="center"/>
        <w:ind w:right="-19"/>
        <w:spacing w:after="0"/>
        <w:rPr>
          <w:sz w:val="20"/>
          <w:szCs w:val="20"/>
          <w:color w:val="auto"/>
        </w:rPr>
      </w:pPr>
      <w:r>
        <w:rPr>
          <w:rFonts w:ascii="Arial" w:cs="Arial" w:eastAsia="Arial" w:hAnsi="Arial"/>
          <w:sz w:val="20"/>
          <w:szCs w:val="20"/>
          <w:color w:val="auto"/>
        </w:rPr>
        <w:t>Third Quarter Ended September 30, 2018</w:t>
      </w:r>
    </w:p>
    <w:p>
      <w:pPr>
        <w:jc w:val="center"/>
        <w:ind w:right="-19"/>
        <w:spacing w:after="0"/>
        <w:rPr>
          <w:sz w:val="20"/>
          <w:szCs w:val="20"/>
          <w:color w:val="auto"/>
        </w:rPr>
      </w:pPr>
      <w:r>
        <w:rPr>
          <w:rFonts w:ascii="Arial" w:cs="Arial" w:eastAsia="Arial" w:hAnsi="Arial"/>
          <w:sz w:val="20"/>
          <w:szCs w:val="20"/>
          <w:color w:val="auto"/>
        </w:rPr>
        <w:t>(Continued)</w:t>
      </w:r>
    </w:p>
    <w:p>
      <w:pPr>
        <w:spacing w:after="0" w:line="200" w:lineRule="exact"/>
        <w:rPr>
          <w:sz w:val="20"/>
          <w:szCs w:val="20"/>
          <w:color w:val="auto"/>
        </w:rPr>
      </w:pPr>
    </w:p>
    <w:p>
      <w:pPr>
        <w:spacing w:after="0" w:line="270"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presents aggregates shipment data and volume variance excluding the Forsyth, Georgia operation for the nine-months ended September 30, 2018 and 2017 to provide a more comparable analysis of aggregates volume variance.</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Southeast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Reported heritage aggregates shipments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3003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ind w:left="160" w:right="1640" w:hanging="147"/>
        <w:spacing w:after="0" w:line="249" w:lineRule="auto"/>
        <w:rPr>
          <w:sz w:val="20"/>
          <w:szCs w:val="20"/>
          <w:color w:val="auto"/>
        </w:rPr>
      </w:pPr>
      <w:r>
        <w:rPr>
          <w:rFonts w:ascii="Arial" w:cs="Arial" w:eastAsia="Arial" w:hAnsi="Arial"/>
          <w:sz w:val="20"/>
          <w:szCs w:val="20"/>
          <w:color w:val="auto"/>
        </w:rPr>
        <w:t>Less: Aggregates shipments for the Forsyth, Georgia quarry during periods of Martin Marietta ownership</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Adjusted heritage aggregates shipments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6" w:lineRule="exact"/>
        <w:rPr>
          <w:sz w:val="20"/>
          <w:szCs w:val="20"/>
          <w:color w:val="auto"/>
        </w:rPr>
      </w:pPr>
    </w:p>
    <w:p>
      <w:pPr>
        <w:ind w:left="160" w:right="1800" w:hanging="147"/>
        <w:spacing w:after="0" w:line="260" w:lineRule="auto"/>
        <w:rPr>
          <w:sz w:val="20"/>
          <w:szCs w:val="20"/>
          <w:color w:val="auto"/>
        </w:rPr>
      </w:pPr>
      <w:r>
        <w:rPr>
          <w:rFonts w:ascii="Arial" w:cs="Arial" w:eastAsia="Arial" w:hAnsi="Arial"/>
          <w:sz w:val="20"/>
          <w:szCs w:val="20"/>
          <w:color w:val="auto"/>
        </w:rPr>
        <w:t>Heritage aggregates volume variance excluding shipments for the Forsyth, Georgia quarry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Total Heritage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Reported heritage aggregates shipments</w:t>
      </w:r>
    </w:p>
    <w:p>
      <w:pPr>
        <w:spacing w:after="0" w:line="13" w:lineRule="exact"/>
        <w:rPr>
          <w:sz w:val="20"/>
          <w:szCs w:val="20"/>
          <w:color w:val="auto"/>
        </w:rPr>
      </w:pPr>
    </w:p>
    <w:p>
      <w:pPr>
        <w:ind w:left="160" w:right="1640" w:hanging="147"/>
        <w:spacing w:after="0" w:line="249" w:lineRule="auto"/>
        <w:rPr>
          <w:sz w:val="20"/>
          <w:szCs w:val="20"/>
          <w:color w:val="auto"/>
        </w:rPr>
      </w:pPr>
      <w:r>
        <w:rPr>
          <w:rFonts w:ascii="Arial" w:cs="Arial" w:eastAsia="Arial" w:hAnsi="Arial"/>
          <w:sz w:val="20"/>
          <w:szCs w:val="20"/>
          <w:color w:val="auto"/>
        </w:rPr>
        <w:t>Less: Aggregates shipments for the Forsyth, Georgia quarry during periods of Martin Marietta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Adjusted heritage aggregates shipments</w:t>
      </w:r>
    </w:p>
    <w:p>
      <w:pPr>
        <w:spacing w:after="0" w:line="256" w:lineRule="exact"/>
        <w:rPr>
          <w:sz w:val="20"/>
          <w:szCs w:val="20"/>
          <w:color w:val="auto"/>
        </w:rPr>
      </w:pPr>
    </w:p>
    <w:p>
      <w:pPr>
        <w:ind w:left="160" w:right="1800" w:hanging="147"/>
        <w:spacing w:after="0" w:line="260" w:lineRule="auto"/>
        <w:rPr>
          <w:sz w:val="20"/>
          <w:szCs w:val="20"/>
          <w:color w:val="auto"/>
        </w:rPr>
      </w:pPr>
      <w:r>
        <w:rPr>
          <w:rFonts w:ascii="Arial" w:cs="Arial" w:eastAsia="Arial" w:hAnsi="Arial"/>
          <w:sz w:val="20"/>
          <w:szCs w:val="20"/>
          <w:color w:val="auto"/>
        </w:rPr>
        <w:t>Heritage aggregates volume variance excluding shipments for the Forsyth, Georgia quarry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7246620" cy="3086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197" w:lineRule="exact"/>
        <w:rPr>
          <w:sz w:val="20"/>
          <w:szCs w:val="20"/>
          <w:color w:val="auto"/>
        </w:rPr>
      </w:pPr>
    </w:p>
    <w:p>
      <w:pPr>
        <w:jc w:val="right"/>
        <w:ind w:right="180"/>
        <w:spacing w:after="0"/>
        <w:rPr>
          <w:sz w:val="20"/>
          <w:szCs w:val="20"/>
          <w:color w:val="auto"/>
        </w:rPr>
      </w:pPr>
      <w:r>
        <w:rPr>
          <w:rFonts w:ascii="Arial" w:cs="Arial" w:eastAsia="Arial" w:hAnsi="Arial"/>
          <w:sz w:val="20"/>
          <w:szCs w:val="20"/>
          <w:color w:val="auto"/>
        </w:rPr>
        <w:t>Page 43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Nine-Months Ended</w:t>
      </w:r>
    </w:p>
    <w:p>
      <w:pPr>
        <w:spacing w:after="0" w:line="20"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26416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ind w:left="720"/>
        <w:spacing w:after="0"/>
        <w:tabs>
          <w:tab w:leader="none" w:pos="2980" w:val="left"/>
        </w:tabs>
        <w:rPr>
          <w:sz w:val="20"/>
          <w:szCs w:val="20"/>
          <w:color w:val="auto"/>
        </w:rPr>
      </w:pPr>
      <w:r>
        <w:rPr>
          <w:rFonts w:ascii="Arial" w:cs="Arial" w:eastAsia="Arial" w:hAnsi="Arial"/>
          <w:sz w:val="20"/>
          <w:szCs w:val="20"/>
          <w:color w:val="auto"/>
        </w:rPr>
        <w:t>2018</w:t>
      </w:r>
      <w:r>
        <w:rPr>
          <w:sz w:val="20"/>
          <w:szCs w:val="20"/>
          <w:color w:val="auto"/>
        </w:rPr>
        <w:tab/>
      </w:r>
      <w:r>
        <w:rPr>
          <w:rFonts w:ascii="Arial" w:cs="Arial" w:eastAsia="Arial" w:hAnsi="Arial"/>
          <w:sz w:val="20"/>
          <w:szCs w:val="20"/>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26416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7" w:lineRule="exact"/>
        <w:rPr>
          <w:sz w:val="20"/>
          <w:szCs w:val="20"/>
          <w:color w:val="auto"/>
        </w:rPr>
      </w:pPr>
    </w:p>
    <w:p>
      <w:pPr>
        <w:ind w:left="1260"/>
        <w:spacing w:after="0"/>
        <w:rPr>
          <w:sz w:val="20"/>
          <w:szCs w:val="20"/>
          <w:color w:val="auto"/>
        </w:rPr>
      </w:pPr>
      <w:r>
        <w:rPr>
          <w:rFonts w:ascii="Arial" w:cs="Arial" w:eastAsia="Arial" w:hAnsi="Arial"/>
          <w:sz w:val="20"/>
          <w:szCs w:val="20"/>
          <w:i w:val="1"/>
          <w:iCs w:val="1"/>
          <w:color w:val="auto"/>
        </w:rPr>
        <w:t>(Tons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860" w:type="dxa"/>
            <w:vAlign w:val="bottom"/>
          </w:tcPr>
          <w:p>
            <w:pPr>
              <w:jc w:val="right"/>
              <w:spacing w:after="0"/>
              <w:rPr>
                <w:sz w:val="20"/>
                <w:szCs w:val="20"/>
                <w:color w:val="auto"/>
              </w:rPr>
            </w:pPr>
            <w:r>
              <w:rPr>
                <w:rFonts w:ascii="Arial" w:cs="Arial" w:eastAsia="Arial" w:hAnsi="Arial"/>
                <w:sz w:val="20"/>
                <w:szCs w:val="20"/>
                <w:color w:val="auto"/>
              </w:rPr>
              <w:t>15,465</w:t>
            </w:r>
          </w:p>
        </w:tc>
        <w:tc>
          <w:tcPr>
            <w:tcW w:w="4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15,579</w:t>
            </w:r>
          </w:p>
        </w:tc>
        <w:tc>
          <w:tcPr>
            <w:tcW w:w="60" w:type="dxa"/>
            <w:vAlign w:val="bottom"/>
          </w:tcPr>
          <w:p>
            <w:pPr>
              <w:spacing w:after="0"/>
              <w:rPr>
                <w:sz w:val="21"/>
                <w:szCs w:val="21"/>
                <w:color w:val="auto"/>
              </w:rPr>
            </w:pPr>
          </w:p>
        </w:tc>
      </w:tr>
      <w:tr>
        <w:trPr>
          <w:trHeight w:val="351"/>
        </w:trPr>
        <w:tc>
          <w:tcPr>
            <w:tcW w:w="2280" w:type="dxa"/>
            <w:vAlign w:val="bottom"/>
            <w:gridSpan w:val="2"/>
          </w:tcPr>
          <w:p>
            <w:pPr>
              <w:jc w:val="right"/>
              <w:ind w:right="340"/>
              <w:spacing w:after="0"/>
              <w:rPr>
                <w:sz w:val="20"/>
                <w:szCs w:val="20"/>
                <w:color w:val="auto"/>
              </w:rPr>
            </w:pPr>
            <w:r>
              <w:rPr>
                <w:rFonts w:ascii="Arial" w:cs="Arial" w:eastAsia="Arial" w:hAnsi="Arial"/>
                <w:sz w:val="20"/>
                <w:szCs w:val="20"/>
                <w:color w:val="auto"/>
              </w:rPr>
              <w:t>(229)</w:t>
            </w:r>
          </w:p>
        </w:tc>
        <w:tc>
          <w:tcPr>
            <w:tcW w:w="1940" w:type="dxa"/>
            <w:vAlign w:val="bottom"/>
            <w:gridSpan w:val="2"/>
          </w:tcPr>
          <w:p>
            <w:pPr>
              <w:jc w:val="right"/>
              <w:spacing w:after="0"/>
              <w:rPr>
                <w:sz w:val="20"/>
                <w:szCs w:val="20"/>
                <w:color w:val="auto"/>
              </w:rPr>
            </w:pPr>
            <w:r>
              <w:rPr>
                <w:rFonts w:ascii="Arial" w:cs="Arial" w:eastAsia="Arial" w:hAnsi="Arial"/>
                <w:sz w:val="20"/>
                <w:szCs w:val="20"/>
                <w:color w:val="auto"/>
              </w:rPr>
              <w:t>(680)</w:t>
            </w:r>
          </w:p>
        </w:tc>
      </w:tr>
      <w:tr>
        <w:trPr>
          <w:trHeight w:val="118"/>
        </w:trPr>
        <w:tc>
          <w:tcPr>
            <w:tcW w:w="186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244"/>
        </w:trPr>
        <w:tc>
          <w:tcPr>
            <w:tcW w:w="1860" w:type="dxa"/>
            <w:vAlign w:val="bottom"/>
          </w:tcPr>
          <w:p>
            <w:pPr>
              <w:jc w:val="right"/>
              <w:spacing w:after="0"/>
              <w:rPr>
                <w:sz w:val="20"/>
                <w:szCs w:val="20"/>
                <w:color w:val="auto"/>
              </w:rPr>
            </w:pPr>
            <w:r>
              <w:rPr>
                <w:rFonts w:ascii="Arial" w:cs="Arial" w:eastAsia="Arial" w:hAnsi="Arial"/>
                <w:sz w:val="20"/>
                <w:szCs w:val="20"/>
                <w:color w:val="auto"/>
              </w:rPr>
              <w:t>15,236</w:t>
            </w:r>
          </w:p>
        </w:tc>
        <w:tc>
          <w:tcPr>
            <w:tcW w:w="4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14,899</w:t>
            </w:r>
          </w:p>
        </w:tc>
        <w:tc>
          <w:tcPr>
            <w:tcW w:w="60" w:type="dxa"/>
            <w:vAlign w:val="bottom"/>
          </w:tcPr>
          <w:p>
            <w:pPr>
              <w:spacing w:after="0"/>
              <w:rPr>
                <w:sz w:val="21"/>
                <w:szCs w:val="21"/>
                <w:color w:val="auto"/>
              </w:rPr>
            </w:pPr>
          </w:p>
        </w:tc>
      </w:tr>
      <w:tr>
        <w:trPr>
          <w:trHeight w:val="708"/>
        </w:trPr>
        <w:tc>
          <w:tcPr>
            <w:tcW w:w="2280" w:type="dxa"/>
            <w:vAlign w:val="bottom"/>
            <w:gridSpan w:val="2"/>
          </w:tcPr>
          <w:p>
            <w:pPr>
              <w:jc w:val="right"/>
              <w:ind w:right="240"/>
              <w:spacing w:after="0"/>
              <w:rPr>
                <w:sz w:val="20"/>
                <w:szCs w:val="20"/>
                <w:color w:val="auto"/>
              </w:rPr>
            </w:pPr>
            <w:r>
              <w:rPr>
                <w:rFonts w:ascii="Arial" w:cs="Arial" w:eastAsia="Arial" w:hAnsi="Arial"/>
                <w:sz w:val="20"/>
                <w:szCs w:val="20"/>
                <w:color w:val="auto"/>
              </w:rPr>
              <w:t>2.3%</w:t>
            </w:r>
          </w:p>
        </w:tc>
        <w:tc>
          <w:tcPr>
            <w:tcW w:w="1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1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714"/>
        </w:trPr>
        <w:tc>
          <w:tcPr>
            <w:tcW w:w="1860" w:type="dxa"/>
            <w:vAlign w:val="bottom"/>
          </w:tcPr>
          <w:p>
            <w:pPr>
              <w:jc w:val="right"/>
              <w:spacing w:after="0"/>
              <w:rPr>
                <w:sz w:val="20"/>
                <w:szCs w:val="20"/>
                <w:color w:val="auto"/>
              </w:rPr>
            </w:pPr>
            <w:r>
              <w:rPr>
                <w:rFonts w:ascii="Arial" w:cs="Arial" w:eastAsia="Arial" w:hAnsi="Arial"/>
                <w:sz w:val="20"/>
                <w:szCs w:val="20"/>
                <w:color w:val="auto"/>
              </w:rPr>
              <w:t>120,104</w:t>
            </w:r>
          </w:p>
        </w:tc>
        <w:tc>
          <w:tcPr>
            <w:tcW w:w="42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119,840</w:t>
            </w:r>
          </w:p>
        </w:tc>
        <w:tc>
          <w:tcPr>
            <w:tcW w:w="60" w:type="dxa"/>
            <w:vAlign w:val="bottom"/>
          </w:tcPr>
          <w:p>
            <w:pPr>
              <w:spacing w:after="0"/>
              <w:rPr>
                <w:sz w:val="24"/>
                <w:szCs w:val="24"/>
                <w:color w:val="auto"/>
              </w:rPr>
            </w:pPr>
          </w:p>
        </w:tc>
      </w:tr>
      <w:tr>
        <w:trPr>
          <w:trHeight w:val="351"/>
        </w:trPr>
        <w:tc>
          <w:tcPr>
            <w:tcW w:w="2280" w:type="dxa"/>
            <w:vAlign w:val="bottom"/>
            <w:gridSpan w:val="2"/>
          </w:tcPr>
          <w:p>
            <w:pPr>
              <w:jc w:val="right"/>
              <w:ind w:right="340"/>
              <w:spacing w:after="0"/>
              <w:rPr>
                <w:sz w:val="20"/>
                <w:szCs w:val="20"/>
                <w:color w:val="auto"/>
              </w:rPr>
            </w:pPr>
            <w:r>
              <w:rPr>
                <w:rFonts w:ascii="Arial" w:cs="Arial" w:eastAsia="Arial" w:hAnsi="Arial"/>
                <w:sz w:val="20"/>
                <w:szCs w:val="20"/>
                <w:color w:val="auto"/>
              </w:rPr>
              <w:t>(229)</w:t>
            </w:r>
          </w:p>
        </w:tc>
        <w:tc>
          <w:tcPr>
            <w:tcW w:w="1940" w:type="dxa"/>
            <w:vAlign w:val="bottom"/>
            <w:gridSpan w:val="2"/>
          </w:tcPr>
          <w:p>
            <w:pPr>
              <w:jc w:val="right"/>
              <w:spacing w:after="0"/>
              <w:rPr>
                <w:sz w:val="20"/>
                <w:szCs w:val="20"/>
                <w:color w:val="auto"/>
              </w:rPr>
            </w:pPr>
            <w:r>
              <w:rPr>
                <w:rFonts w:ascii="Arial" w:cs="Arial" w:eastAsia="Arial" w:hAnsi="Arial"/>
                <w:sz w:val="20"/>
                <w:szCs w:val="20"/>
                <w:color w:val="auto"/>
              </w:rPr>
              <w:t>(680)</w:t>
            </w:r>
          </w:p>
        </w:tc>
      </w:tr>
      <w:tr>
        <w:trPr>
          <w:trHeight w:val="118"/>
        </w:trPr>
        <w:tc>
          <w:tcPr>
            <w:tcW w:w="186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244"/>
        </w:trPr>
        <w:tc>
          <w:tcPr>
            <w:tcW w:w="1860" w:type="dxa"/>
            <w:vAlign w:val="bottom"/>
          </w:tcPr>
          <w:p>
            <w:pPr>
              <w:jc w:val="right"/>
              <w:spacing w:after="0"/>
              <w:rPr>
                <w:sz w:val="20"/>
                <w:szCs w:val="20"/>
                <w:color w:val="auto"/>
              </w:rPr>
            </w:pPr>
            <w:r>
              <w:rPr>
                <w:rFonts w:ascii="Arial" w:cs="Arial" w:eastAsia="Arial" w:hAnsi="Arial"/>
                <w:sz w:val="20"/>
                <w:szCs w:val="20"/>
                <w:color w:val="auto"/>
              </w:rPr>
              <w:t>119,875</w:t>
            </w:r>
          </w:p>
        </w:tc>
        <w:tc>
          <w:tcPr>
            <w:tcW w:w="4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119,160</w:t>
            </w:r>
          </w:p>
        </w:tc>
        <w:tc>
          <w:tcPr>
            <w:tcW w:w="60" w:type="dxa"/>
            <w:vAlign w:val="bottom"/>
          </w:tcPr>
          <w:p>
            <w:pPr>
              <w:spacing w:after="0"/>
              <w:rPr>
                <w:sz w:val="21"/>
                <w:szCs w:val="21"/>
                <w:color w:val="auto"/>
              </w:rPr>
            </w:pPr>
          </w:p>
        </w:tc>
      </w:tr>
      <w:tr>
        <w:trPr>
          <w:trHeight w:val="708"/>
        </w:trPr>
        <w:tc>
          <w:tcPr>
            <w:tcW w:w="2280" w:type="dxa"/>
            <w:vAlign w:val="bottom"/>
            <w:gridSpan w:val="2"/>
          </w:tcPr>
          <w:p>
            <w:pPr>
              <w:jc w:val="right"/>
              <w:ind w:right="240"/>
              <w:spacing w:after="0"/>
              <w:rPr>
                <w:sz w:val="20"/>
                <w:szCs w:val="20"/>
                <w:color w:val="auto"/>
              </w:rPr>
            </w:pPr>
            <w:r>
              <w:rPr>
                <w:rFonts w:ascii="Arial" w:cs="Arial" w:eastAsia="Arial" w:hAnsi="Arial"/>
                <w:sz w:val="20"/>
                <w:szCs w:val="20"/>
                <w:color w:val="auto"/>
              </w:rPr>
              <w:t>0.6%</w:t>
            </w:r>
          </w:p>
        </w:tc>
        <w:tc>
          <w:tcPr>
            <w:tcW w:w="1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1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2">
            <w:col w:w="6440" w:space="720"/>
            <w:col w:w="4260"/>
          </w:cols>
          <w:pgMar w:left="240" w:top="122" w:right="239" w:bottom="1440" w:gutter="0" w:footer="0" w:header="0"/>
          <w:type w:val="continuous"/>
        </w:sectPr>
      </w:pPr>
    </w:p>
    <w:bookmarkStart w:id="44" w:name="page45"/>
    <w:bookmarkEnd w:id="44"/>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2018</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860" w:type="dxa"/>
            <w:vAlign w:val="bottom"/>
            <w:gridSpan w:val="2"/>
          </w:tcPr>
          <w:p>
            <w:pPr>
              <w:spacing w:after="0"/>
              <w:rPr>
                <w:sz w:val="20"/>
                <w:szCs w:val="20"/>
                <w:color w:val="auto"/>
              </w:rPr>
            </w:pPr>
            <w:r>
              <w:rPr>
                <w:rFonts w:ascii="Arial" w:cs="Arial" w:eastAsia="Arial" w:hAnsi="Arial"/>
                <w:sz w:val="20"/>
                <w:szCs w:val="20"/>
                <w:color w:val="auto"/>
              </w:rPr>
              <w:t>Unit shipments by product line for the Company is as follows:</w:t>
            </w:r>
          </w:p>
        </w:tc>
        <w:tc>
          <w:tcPr>
            <w:tcW w:w="1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3560" w:type="dxa"/>
            <w:vAlign w:val="bottom"/>
            <w:gridSpan w:val="5"/>
          </w:tcPr>
          <w:p>
            <w:pPr>
              <w:jc w:val="center"/>
              <w:ind w:right="120"/>
              <w:spacing w:after="0"/>
              <w:rPr>
                <w:sz w:val="20"/>
                <w:szCs w:val="20"/>
                <w:color w:val="auto"/>
              </w:rPr>
            </w:pPr>
            <w:r>
              <w:rPr>
                <w:rFonts w:ascii="Arial" w:cs="Arial" w:eastAsia="Arial" w:hAnsi="Arial"/>
                <w:sz w:val="20"/>
                <w:szCs w:val="20"/>
                <w:color w:val="auto"/>
                <w:w w:val="90"/>
              </w:rPr>
              <w:t>Nine-Months Ended</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840" w:type="dxa"/>
            <w:vAlign w:val="bottom"/>
          </w:tcPr>
          <w:p>
            <w:pPr>
              <w:spacing w:after="0"/>
              <w:rPr>
                <w:sz w:val="21"/>
                <w:szCs w:val="21"/>
                <w:color w:val="auto"/>
              </w:rPr>
            </w:pPr>
          </w:p>
        </w:tc>
        <w:tc>
          <w:tcPr>
            <w:tcW w:w="2360" w:type="dxa"/>
            <w:vAlign w:val="bottom"/>
            <w:tcBorders>
              <w:bottom w:val="single" w:sz="8" w:color="auto"/>
            </w:tcBorders>
            <w:gridSpan w:val="3"/>
          </w:tcPr>
          <w:p>
            <w:pPr>
              <w:jc w:val="center"/>
              <w:ind w:left="961"/>
              <w:spacing w:after="0"/>
              <w:rPr>
                <w:sz w:val="20"/>
                <w:szCs w:val="20"/>
                <w:color w:val="auto"/>
              </w:rPr>
            </w:pPr>
            <w:r>
              <w:rPr>
                <w:rFonts w:ascii="Arial" w:cs="Arial" w:eastAsia="Arial" w:hAnsi="Arial"/>
                <w:sz w:val="20"/>
                <w:szCs w:val="20"/>
                <w:color w:val="auto"/>
                <w:w w:val="86"/>
              </w:rPr>
              <w:t>September 30,</w:t>
            </w:r>
          </w:p>
        </w:tc>
        <w:tc>
          <w:tcPr>
            <w:tcW w:w="10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158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2018</w:t>
            </w:r>
          </w:p>
        </w:tc>
        <w:tc>
          <w:tcPr>
            <w:tcW w:w="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60" w:type="dxa"/>
            <w:vAlign w:val="bottom"/>
            <w:gridSpan w:val="2"/>
          </w:tcPr>
          <w:p>
            <w:pPr>
              <w:spacing w:after="0"/>
              <w:rPr>
                <w:sz w:val="20"/>
                <w:szCs w:val="20"/>
                <w:color w:val="auto"/>
              </w:rPr>
            </w:pPr>
            <w:r>
              <w:rPr>
                <w:rFonts w:ascii="Arial" w:cs="Arial" w:eastAsia="Arial" w:hAnsi="Arial"/>
                <w:sz w:val="20"/>
                <w:szCs w:val="20"/>
                <w:b w:val="1"/>
                <w:bCs w:val="1"/>
                <w:color w:val="auto"/>
              </w:rPr>
              <w:t>Shipments</w:t>
            </w:r>
          </w:p>
        </w:tc>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20"/>
                <w:szCs w:val="20"/>
                <w:color w:val="auto"/>
              </w:rPr>
              <w:t>Aggregates (in thousands):</w:t>
            </w:r>
          </w:p>
        </w:tc>
        <w:tc>
          <w:tcPr>
            <w:tcW w:w="1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tcPr>
          <w:p>
            <w:pPr>
              <w:spacing w:after="0"/>
              <w:rPr>
                <w:sz w:val="20"/>
                <w:szCs w:val="20"/>
                <w:color w:val="auto"/>
              </w:rPr>
            </w:pPr>
            <w:r>
              <w:rPr>
                <w:rFonts w:ascii="Arial" w:cs="Arial" w:eastAsia="Arial" w:hAnsi="Arial"/>
                <w:sz w:val="20"/>
                <w:szCs w:val="20"/>
                <w:color w:val="auto"/>
              </w:rPr>
              <w:t>Heritage:</w:t>
            </w:r>
          </w:p>
        </w:tc>
        <w:tc>
          <w:tcPr>
            <w:tcW w:w="1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Tons to external customers</w:t>
            </w:r>
          </w:p>
        </w:tc>
        <w:tc>
          <w:tcPr>
            <w:tcW w:w="1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111,951</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111,617</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Internal tons used in other product lines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8,153</w:t>
            </w:r>
          </w:p>
        </w:tc>
        <w:tc>
          <w:tcPr>
            <w:tcW w:w="280" w:type="dxa"/>
            <w:vAlign w:val="bottom"/>
            <w:tcBorders>
              <w:bottom w:val="single" w:sz="8" w:color="CFF0FC"/>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8,223</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heritage aggregates tons</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120,104</w:t>
            </w:r>
          </w:p>
        </w:tc>
        <w:tc>
          <w:tcPr>
            <w:tcW w:w="28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119,840</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20"/>
                <w:szCs w:val="20"/>
                <w:color w:val="auto"/>
              </w:rPr>
              <w:t>Acquisitions:</w:t>
            </w: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860" w:type="dxa"/>
            <w:vAlign w:val="bottom"/>
            <w:gridSpan w:val="2"/>
            <w:vMerge w:val="continue"/>
          </w:tcPr>
          <w:p>
            <w:pPr>
              <w:spacing w:after="0"/>
              <w:rPr>
                <w:sz w:val="19"/>
                <w:szCs w:val="19"/>
                <w:color w:val="auto"/>
              </w:rPr>
            </w:pP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Tons to external customers</w:t>
            </w:r>
          </w:p>
        </w:tc>
        <w:tc>
          <w:tcPr>
            <w:tcW w:w="1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8,558</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tcPr>
          <w:p>
            <w:pPr>
              <w:ind w:left="240"/>
              <w:spacing w:after="0"/>
              <w:rPr>
                <w:sz w:val="20"/>
                <w:szCs w:val="20"/>
                <w:color w:val="auto"/>
              </w:rPr>
            </w:pPr>
            <w:r>
              <w:rPr>
                <w:rFonts w:ascii="Arial" w:cs="Arial" w:eastAsia="Arial" w:hAnsi="Arial"/>
                <w:sz w:val="20"/>
                <w:szCs w:val="20"/>
                <w:color w:val="auto"/>
              </w:rPr>
              <w:t>Internal tons used in other product lines</w:t>
            </w:r>
          </w:p>
        </w:tc>
        <w:tc>
          <w:tcPr>
            <w:tcW w:w="2360" w:type="dxa"/>
            <w:vAlign w:val="bottom"/>
            <w:gridSpan w:val="3"/>
          </w:tcPr>
          <w:p>
            <w:pPr>
              <w:jc w:val="right"/>
              <w:ind w:right="800"/>
              <w:spacing w:after="0"/>
              <w:rPr>
                <w:sz w:val="20"/>
                <w:szCs w:val="20"/>
                <w:color w:val="auto"/>
              </w:rPr>
            </w:pPr>
            <w:r>
              <w:rPr>
                <w:rFonts w:ascii="Arial" w:cs="Arial" w:eastAsia="Arial" w:hAnsi="Arial"/>
                <w:sz w:val="20"/>
                <w:szCs w:val="20"/>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acquisition aggregates tons</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8,558</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50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78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20"/>
                <w:szCs w:val="20"/>
                <w:color w:val="auto"/>
              </w:rPr>
              <w:t>Cement (in thousands):</w:t>
            </w:r>
          </w:p>
        </w:tc>
        <w:tc>
          <w:tcPr>
            <w:tcW w:w="1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tcPr>
          <w:p>
            <w:pPr>
              <w:ind w:left="120"/>
              <w:spacing w:after="0"/>
              <w:rPr>
                <w:sz w:val="20"/>
                <w:szCs w:val="20"/>
                <w:color w:val="auto"/>
              </w:rPr>
            </w:pPr>
            <w:r>
              <w:rPr>
                <w:rFonts w:ascii="Arial" w:cs="Arial" w:eastAsia="Arial" w:hAnsi="Arial"/>
                <w:sz w:val="20"/>
                <w:szCs w:val="20"/>
                <w:color w:val="auto"/>
              </w:rPr>
              <w:t>Tons to external customers</w:t>
            </w:r>
          </w:p>
        </w:tc>
        <w:tc>
          <w:tcPr>
            <w:tcW w:w="1580" w:type="dxa"/>
            <w:vAlign w:val="bottom"/>
          </w:tcPr>
          <w:p>
            <w:pPr>
              <w:jc w:val="right"/>
              <w:spacing w:after="0"/>
              <w:rPr>
                <w:sz w:val="20"/>
                <w:szCs w:val="20"/>
                <w:color w:val="auto"/>
              </w:rPr>
            </w:pPr>
            <w:r>
              <w:rPr>
                <w:rFonts w:ascii="Arial" w:cs="Arial" w:eastAsia="Arial" w:hAnsi="Arial"/>
                <w:sz w:val="20"/>
                <w:szCs w:val="20"/>
                <w:color w:val="auto"/>
              </w:rPr>
              <w:t>1,767</w:t>
            </w: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1,749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shd w:val="clear" w:color="auto" w:fill="CFF0FC"/>
          </w:tcPr>
          <w:p>
            <w:pPr>
              <w:ind w:left="120"/>
              <w:spacing w:after="0"/>
              <w:rPr>
                <w:sz w:val="20"/>
                <w:szCs w:val="20"/>
                <w:color w:val="auto"/>
              </w:rPr>
            </w:pPr>
            <w:r>
              <w:rPr>
                <w:rFonts w:ascii="Arial" w:cs="Arial" w:eastAsia="Arial" w:hAnsi="Arial"/>
                <w:sz w:val="20"/>
                <w:szCs w:val="20"/>
                <w:color w:val="auto"/>
              </w:rPr>
              <w:t>Internal tons used in ready mixed concrete</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966</w:t>
            </w:r>
          </w:p>
        </w:tc>
        <w:tc>
          <w:tcPr>
            <w:tcW w:w="280" w:type="dxa"/>
            <w:vAlign w:val="bottom"/>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895</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7860" w:type="dxa"/>
            <w:vAlign w:val="bottom"/>
            <w:gridSpan w:val="2"/>
          </w:tcPr>
          <w:p>
            <w:pPr>
              <w:spacing w:after="0"/>
              <w:rPr>
                <w:sz w:val="20"/>
                <w:szCs w:val="20"/>
                <w:color w:val="auto"/>
              </w:rPr>
            </w:pPr>
            <w:r>
              <w:rPr>
                <w:rFonts w:ascii="Arial" w:cs="Arial" w:eastAsia="Arial" w:hAnsi="Arial"/>
                <w:sz w:val="20"/>
                <w:szCs w:val="20"/>
                <w:color w:val="auto"/>
              </w:rPr>
              <w:t>Total cement tons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2,733</w:t>
            </w:r>
          </w:p>
        </w:tc>
        <w:tc>
          <w:tcPr>
            <w:tcW w:w="2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2,644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7840" w:type="dxa"/>
            <w:vAlign w:val="bottom"/>
            <w:tcBorders>
              <w:top w:val="single" w:sz="8" w:color="CFF0FC"/>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84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Ready Mixed Concrete (in thousands of cubic yards)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6,799</w:t>
            </w:r>
          </w:p>
        </w:tc>
        <w:tc>
          <w:tcPr>
            <w:tcW w:w="280" w:type="dxa"/>
            <w:vAlign w:val="bottom"/>
            <w:tcBorders>
              <w:bottom w:val="single" w:sz="8" w:color="CFF0FC"/>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6,442</w:t>
            </w: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784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840" w:type="dxa"/>
            <w:vAlign w:val="bottom"/>
          </w:tcPr>
          <w:p>
            <w:pPr>
              <w:spacing w:after="0"/>
              <w:rPr>
                <w:sz w:val="20"/>
                <w:szCs w:val="20"/>
                <w:color w:val="auto"/>
              </w:rPr>
            </w:pPr>
            <w:r>
              <w:rPr>
                <w:rFonts w:ascii="Arial" w:cs="Arial" w:eastAsia="Arial" w:hAnsi="Arial"/>
                <w:sz w:val="20"/>
                <w:szCs w:val="20"/>
                <w:color w:val="auto"/>
              </w:rPr>
              <w:t>Asphalt (in thousands):</w:t>
            </w:r>
          </w:p>
        </w:tc>
        <w:tc>
          <w:tcPr>
            <w:tcW w:w="1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shd w:val="clear" w:color="auto" w:fill="CFF0FC"/>
          </w:tcPr>
          <w:p>
            <w:pPr>
              <w:ind w:left="240"/>
              <w:spacing w:after="0"/>
              <w:rPr>
                <w:sz w:val="20"/>
                <w:szCs w:val="20"/>
                <w:color w:val="auto"/>
              </w:rPr>
            </w:pPr>
            <w:r>
              <w:rPr>
                <w:rFonts w:ascii="Arial" w:cs="Arial" w:eastAsia="Arial" w:hAnsi="Arial"/>
                <w:sz w:val="20"/>
                <w:szCs w:val="20"/>
                <w:color w:val="auto"/>
              </w:rPr>
              <w:t>Tons to external customers</w:t>
            </w:r>
          </w:p>
        </w:tc>
        <w:tc>
          <w:tcPr>
            <w:tcW w:w="1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803</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863</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40" w:type="dxa"/>
            <w:vAlign w:val="bottom"/>
            <w:tcBorders>
              <w:bottom w:val="single" w:sz="8" w:color="CFF0FC"/>
            </w:tcBorders>
          </w:tcPr>
          <w:p>
            <w:pPr>
              <w:ind w:left="240"/>
              <w:spacing w:after="0"/>
              <w:rPr>
                <w:sz w:val="20"/>
                <w:szCs w:val="20"/>
                <w:color w:val="auto"/>
              </w:rPr>
            </w:pPr>
            <w:r>
              <w:rPr>
                <w:rFonts w:ascii="Arial" w:cs="Arial" w:eastAsia="Arial" w:hAnsi="Arial"/>
                <w:sz w:val="20"/>
                <w:szCs w:val="20"/>
                <w:color w:val="auto"/>
              </w:rPr>
              <w:t>Internal tons used in paving business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1,420</w:t>
            </w:r>
          </w:p>
        </w:tc>
        <w:tc>
          <w:tcPr>
            <w:tcW w:w="280" w:type="dxa"/>
            <w:vAlign w:val="bottom"/>
            <w:tcBorders>
              <w:bottom w:val="single" w:sz="8" w:color="CFF0FC"/>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1,615</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asphalt tons</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2,223</w:t>
            </w:r>
          </w:p>
        </w:tc>
        <w:tc>
          <w:tcPr>
            <w:tcW w:w="28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2,478</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860" w:type="dxa"/>
            <w:vAlign w:val="bottom"/>
            <w:gridSpan w:val="2"/>
          </w:tcPr>
          <w:p>
            <w:pPr>
              <w:spacing w:after="0"/>
              <w:rPr>
                <w:sz w:val="20"/>
                <w:szCs w:val="20"/>
                <w:color w:val="auto"/>
              </w:rPr>
            </w:pPr>
            <w:r>
              <w:rPr>
                <w:rFonts w:ascii="Arial" w:cs="Arial" w:eastAsia="Arial" w:hAnsi="Arial"/>
                <w:sz w:val="20"/>
                <w:szCs w:val="20"/>
                <w:color w:val="auto"/>
              </w:rPr>
              <w:t>Average selling prices by product line for the Company were as follows:</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452"/>
        </w:trPr>
        <w:tc>
          <w:tcPr>
            <w:tcW w:w="5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20" w:type="dxa"/>
            <w:vAlign w:val="bottom"/>
            <w:gridSpan w:val="4"/>
          </w:tcPr>
          <w:p>
            <w:pPr>
              <w:jc w:val="center"/>
              <w:ind w:right="440"/>
              <w:spacing w:after="0"/>
              <w:rPr>
                <w:sz w:val="20"/>
                <w:szCs w:val="20"/>
                <w:color w:val="auto"/>
              </w:rPr>
            </w:pPr>
            <w:r>
              <w:rPr>
                <w:rFonts w:ascii="Arial" w:cs="Arial" w:eastAsia="Arial" w:hAnsi="Arial"/>
                <w:sz w:val="20"/>
                <w:szCs w:val="20"/>
                <w:color w:val="auto"/>
                <w:w w:val="91"/>
              </w:rPr>
              <w:t>Nine-Months Ended</w:t>
            </w: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46"/>
        </w:trPr>
        <w:tc>
          <w:tcPr>
            <w:tcW w:w="57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3"/>
          </w:tcPr>
          <w:p>
            <w:pPr>
              <w:jc w:val="center"/>
              <w:ind w:right="740"/>
              <w:spacing w:after="0"/>
              <w:rPr>
                <w:sz w:val="20"/>
                <w:szCs w:val="20"/>
                <w:color w:val="auto"/>
              </w:rPr>
            </w:pPr>
            <w:r>
              <w:rPr>
                <w:rFonts w:ascii="Arial" w:cs="Arial" w:eastAsia="Arial" w:hAnsi="Arial"/>
                <w:sz w:val="20"/>
                <w:szCs w:val="20"/>
                <w:color w:val="auto"/>
                <w:w w:val="86"/>
              </w:rPr>
              <w:t>September 30,</w:t>
            </w:r>
          </w:p>
        </w:tc>
        <w:tc>
          <w:tcPr>
            <w:tcW w:w="13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r>
      <w:tr>
        <w:trPr>
          <w:trHeight w:val="237"/>
        </w:trPr>
        <w:tc>
          <w:tcPr>
            <w:tcW w:w="57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2018</w:t>
            </w:r>
          </w:p>
        </w:tc>
        <w:tc>
          <w:tcPr>
            <w:tcW w:w="6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2017</w:t>
            </w:r>
          </w:p>
        </w:tc>
        <w:tc>
          <w:tcPr>
            <w:tcW w:w="6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Borders>
              <w:bottom w:val="single" w:sz="8" w:color="auto"/>
            </w:tcBorders>
          </w:tcPr>
          <w:p>
            <w:pPr>
              <w:ind w:left="260"/>
              <w:spacing w:after="0"/>
              <w:rPr>
                <w:sz w:val="20"/>
                <w:szCs w:val="20"/>
                <w:color w:val="auto"/>
              </w:rPr>
            </w:pPr>
            <w:r>
              <w:rPr>
                <w:rFonts w:ascii="Arial" w:cs="Arial" w:eastAsia="Arial" w:hAnsi="Arial"/>
                <w:sz w:val="20"/>
                <w:szCs w:val="20"/>
                <w:color w:val="auto"/>
              </w:rPr>
              <w:t>% Change</w:t>
            </w:r>
          </w:p>
        </w:tc>
        <w:tc>
          <w:tcPr>
            <w:tcW w:w="180" w:type="dxa"/>
            <w:vAlign w:val="bottom"/>
          </w:tcPr>
          <w:p>
            <w:pPr>
              <w:spacing w:after="0"/>
              <w:rPr>
                <w:sz w:val="20"/>
                <w:szCs w:val="20"/>
                <w:color w:val="auto"/>
              </w:rPr>
            </w:pPr>
          </w:p>
        </w:tc>
      </w:tr>
      <w:tr>
        <w:trPr>
          <w:trHeight w:val="237"/>
        </w:trPr>
        <w:tc>
          <w:tcPr>
            <w:tcW w:w="5720" w:type="dxa"/>
            <w:vAlign w:val="bottom"/>
          </w:tcPr>
          <w:p>
            <w:pPr>
              <w:spacing w:after="0"/>
              <w:rPr>
                <w:sz w:val="20"/>
                <w:szCs w:val="20"/>
                <w:color w:val="auto"/>
              </w:rPr>
            </w:pPr>
            <w:r>
              <w:rPr>
                <w:rFonts w:ascii="Arial" w:cs="Arial" w:eastAsia="Arial" w:hAnsi="Arial"/>
                <w:sz w:val="20"/>
                <w:szCs w:val="20"/>
                <w:color w:val="auto"/>
              </w:rPr>
              <w:t>Aggregates - heritage (per ton)</w:t>
            </w:r>
          </w:p>
        </w:tc>
        <w:tc>
          <w:tcPr>
            <w:tcW w:w="1140" w:type="dxa"/>
            <w:vAlign w:val="bottom"/>
          </w:tcPr>
          <w:p>
            <w:pPr>
              <w:jc w:val="right"/>
              <w:ind w:right="941"/>
              <w:spacing w:after="0"/>
              <w:rPr>
                <w:sz w:val="20"/>
                <w:szCs w:val="20"/>
                <w:color w:val="auto"/>
              </w:rPr>
            </w:pPr>
            <w:r>
              <w:rPr>
                <w:rFonts w:ascii="Arial" w:cs="Arial" w:eastAsia="Arial" w:hAnsi="Arial"/>
                <w:sz w:val="20"/>
                <w:szCs w:val="20"/>
                <w:color w:val="auto"/>
                <w:w w:val="71"/>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13.87</w:t>
            </w:r>
          </w:p>
        </w:tc>
        <w:tc>
          <w:tcPr>
            <w:tcW w:w="300" w:type="dxa"/>
            <w:vAlign w:val="bottom"/>
          </w:tcPr>
          <w:p>
            <w:pPr>
              <w:spacing w:after="0"/>
              <w:rPr>
                <w:sz w:val="20"/>
                <w:szCs w:val="20"/>
                <w:color w:val="auto"/>
              </w:rPr>
            </w:pPr>
          </w:p>
        </w:tc>
        <w:tc>
          <w:tcPr>
            <w:tcW w:w="1140" w:type="dxa"/>
            <w:vAlign w:val="bottom"/>
          </w:tcPr>
          <w:p>
            <w:pPr>
              <w:jc w:val="right"/>
              <w:ind w:right="941"/>
              <w:spacing w:after="0"/>
              <w:rPr>
                <w:sz w:val="20"/>
                <w:szCs w:val="20"/>
                <w:color w:val="auto"/>
              </w:rPr>
            </w:pPr>
            <w:r>
              <w:rPr>
                <w:rFonts w:ascii="Arial" w:cs="Arial" w:eastAsia="Arial" w:hAnsi="Arial"/>
                <w:sz w:val="20"/>
                <w:szCs w:val="20"/>
                <w:color w:val="auto"/>
                <w:w w:val="71"/>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13.43</w:t>
            </w:r>
          </w:p>
        </w:tc>
        <w:tc>
          <w:tcPr>
            <w:tcW w:w="360" w:type="dxa"/>
            <w:vAlign w:val="bottom"/>
          </w:tcPr>
          <w:p>
            <w:pPr>
              <w:spacing w:after="0"/>
              <w:rPr>
                <w:sz w:val="20"/>
                <w:szCs w:val="20"/>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20"/>
                <w:szCs w:val="20"/>
                <w:color w:val="auto"/>
              </w:rPr>
              <w:t>3.3%</w:t>
            </w:r>
          </w:p>
        </w:tc>
      </w:tr>
      <w:tr>
        <w:trPr>
          <w:trHeight w:val="243"/>
        </w:trPr>
        <w:tc>
          <w:tcPr>
            <w:tcW w:w="5720" w:type="dxa"/>
            <w:vAlign w:val="bottom"/>
            <w:shd w:val="clear" w:color="auto" w:fill="CFF0FC"/>
          </w:tcPr>
          <w:p>
            <w:pPr>
              <w:spacing w:after="0"/>
              <w:rPr>
                <w:sz w:val="20"/>
                <w:szCs w:val="20"/>
                <w:color w:val="auto"/>
              </w:rPr>
            </w:pPr>
            <w:r>
              <w:rPr>
                <w:rFonts w:ascii="Arial" w:cs="Arial" w:eastAsia="Arial" w:hAnsi="Arial"/>
                <w:sz w:val="20"/>
                <w:szCs w:val="20"/>
                <w:color w:val="auto"/>
              </w:rPr>
              <w:t>Aggregates - acquisition (per ton)</w:t>
            </w:r>
          </w:p>
        </w:tc>
        <w:tc>
          <w:tcPr>
            <w:tcW w:w="1140" w:type="dxa"/>
            <w:vAlign w:val="bottom"/>
            <w:shd w:val="clear" w:color="auto" w:fill="CFF0FC"/>
          </w:tcPr>
          <w:p>
            <w:pPr>
              <w:jc w:val="right"/>
              <w:ind w:right="941"/>
              <w:spacing w:after="0"/>
              <w:rPr>
                <w:sz w:val="20"/>
                <w:szCs w:val="20"/>
                <w:color w:val="auto"/>
              </w:rPr>
            </w:pPr>
            <w:r>
              <w:rPr>
                <w:rFonts w:ascii="Arial" w:cs="Arial" w:eastAsia="Arial" w:hAnsi="Arial"/>
                <w:sz w:val="20"/>
                <w:szCs w:val="2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11.95</w:t>
            </w:r>
          </w:p>
        </w:tc>
        <w:tc>
          <w:tcPr>
            <w:tcW w:w="1440" w:type="dxa"/>
            <w:vAlign w:val="bottom"/>
            <w:gridSpan w:val="2"/>
            <w:shd w:val="clear" w:color="auto" w:fill="CFF0FC"/>
          </w:tcPr>
          <w:p>
            <w:pPr>
              <w:jc w:val="right"/>
              <w:ind w:right="941"/>
              <w:spacing w:after="0"/>
              <w:rPr>
                <w:sz w:val="20"/>
                <w:szCs w:val="20"/>
                <w:color w:val="auto"/>
              </w:rPr>
            </w:pPr>
            <w:r>
              <w:rPr>
                <w:rFonts w:ascii="Arial" w:cs="Arial" w:eastAsia="Arial" w:hAnsi="Arial"/>
                <w:sz w:val="20"/>
                <w:szCs w:val="20"/>
                <w:color w:val="auto"/>
              </w:rPr>
              <w:t>$</w:t>
            </w:r>
          </w:p>
        </w:tc>
        <w:tc>
          <w:tcPr>
            <w:tcW w:w="980" w:type="dxa"/>
            <w:vAlign w:val="bottom"/>
            <w:gridSpan w:val="2"/>
            <w:shd w:val="clear" w:color="auto" w:fill="CFF0FC"/>
          </w:tcPr>
          <w:p>
            <w:pPr>
              <w:jc w:val="right"/>
              <w:ind w:right="380"/>
              <w:spacing w:after="0"/>
              <w:rPr>
                <w:sz w:val="20"/>
                <w:szCs w:val="20"/>
                <w:color w:val="auto"/>
              </w:rPr>
            </w:pPr>
            <w:r>
              <w:rPr>
                <w:rFonts w:ascii="Arial" w:cs="Arial" w:eastAsia="Arial" w:hAnsi="Arial"/>
                <w:sz w:val="20"/>
                <w:szCs w:val="20"/>
                <w:color w:val="auto"/>
              </w:rPr>
              <w:t>—</w:t>
            </w:r>
          </w:p>
        </w:tc>
        <w:tc>
          <w:tcPr>
            <w:tcW w:w="1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r>
      <w:tr>
        <w:trPr>
          <w:trHeight w:val="243"/>
        </w:trPr>
        <w:tc>
          <w:tcPr>
            <w:tcW w:w="5720" w:type="dxa"/>
            <w:vAlign w:val="bottom"/>
          </w:tcPr>
          <w:p>
            <w:pPr>
              <w:spacing w:after="0"/>
              <w:rPr>
                <w:sz w:val="20"/>
                <w:szCs w:val="20"/>
                <w:color w:val="auto"/>
              </w:rPr>
            </w:pPr>
            <w:r>
              <w:rPr>
                <w:rFonts w:ascii="Arial" w:cs="Arial" w:eastAsia="Arial" w:hAnsi="Arial"/>
                <w:sz w:val="20"/>
                <w:szCs w:val="20"/>
                <w:color w:val="auto"/>
              </w:rPr>
              <w:t>Cement (per ton)</w:t>
            </w:r>
          </w:p>
        </w:tc>
        <w:tc>
          <w:tcPr>
            <w:tcW w:w="1140" w:type="dxa"/>
            <w:vAlign w:val="bottom"/>
          </w:tcPr>
          <w:p>
            <w:pPr>
              <w:jc w:val="right"/>
              <w:ind w:right="941"/>
              <w:spacing w:after="0"/>
              <w:rPr>
                <w:sz w:val="20"/>
                <w:szCs w:val="20"/>
                <w:color w:val="auto"/>
              </w:rPr>
            </w:pPr>
            <w:r>
              <w:rPr>
                <w:rFonts w:ascii="Arial" w:cs="Arial" w:eastAsia="Arial" w:hAnsi="Arial"/>
                <w:sz w:val="20"/>
                <w:szCs w:val="20"/>
                <w:color w:val="auto"/>
                <w:w w:val="71"/>
              </w:rPr>
              <w:t>$</w:t>
            </w:r>
          </w:p>
        </w:tc>
        <w:tc>
          <w:tcPr>
            <w:tcW w:w="620" w:type="dxa"/>
            <w:vAlign w:val="bottom"/>
          </w:tcPr>
          <w:p>
            <w:pPr>
              <w:jc w:val="right"/>
              <w:spacing w:after="0"/>
              <w:rPr>
                <w:sz w:val="20"/>
                <w:szCs w:val="20"/>
                <w:color w:val="auto"/>
              </w:rPr>
            </w:pPr>
            <w:r>
              <w:rPr>
                <w:rFonts w:ascii="Arial" w:cs="Arial" w:eastAsia="Arial" w:hAnsi="Arial"/>
                <w:sz w:val="20"/>
                <w:szCs w:val="20"/>
                <w:color w:val="auto"/>
                <w:w w:val="94"/>
              </w:rPr>
              <w:t>108.92</w:t>
            </w:r>
          </w:p>
        </w:tc>
        <w:tc>
          <w:tcPr>
            <w:tcW w:w="1440" w:type="dxa"/>
            <w:vAlign w:val="bottom"/>
            <w:gridSpan w:val="2"/>
          </w:tcPr>
          <w:p>
            <w:pPr>
              <w:jc w:val="right"/>
              <w:ind w:right="941"/>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w w:val="94"/>
              </w:rPr>
              <w:t>105.26</w:t>
            </w:r>
          </w:p>
        </w:tc>
        <w:tc>
          <w:tcPr>
            <w:tcW w:w="360" w:type="dxa"/>
            <w:vAlign w:val="bottom"/>
          </w:tcPr>
          <w:p>
            <w:pPr>
              <w:spacing w:after="0"/>
              <w:rPr>
                <w:sz w:val="21"/>
                <w:szCs w:val="21"/>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20"/>
                <w:szCs w:val="20"/>
                <w:color w:val="auto"/>
              </w:rPr>
              <w:t>3.5%</w:t>
            </w:r>
          </w:p>
        </w:tc>
      </w:tr>
      <w:tr>
        <w:trPr>
          <w:trHeight w:val="243"/>
        </w:trPr>
        <w:tc>
          <w:tcPr>
            <w:tcW w:w="5720" w:type="dxa"/>
            <w:vAlign w:val="bottom"/>
            <w:shd w:val="clear" w:color="auto" w:fill="CFF0FC"/>
          </w:tcPr>
          <w:p>
            <w:pPr>
              <w:spacing w:after="0"/>
              <w:rPr>
                <w:sz w:val="20"/>
                <w:szCs w:val="20"/>
                <w:color w:val="auto"/>
              </w:rPr>
            </w:pPr>
            <w:r>
              <w:rPr>
                <w:rFonts w:ascii="Arial" w:cs="Arial" w:eastAsia="Arial" w:hAnsi="Arial"/>
                <w:sz w:val="20"/>
                <w:szCs w:val="20"/>
                <w:color w:val="auto"/>
              </w:rPr>
              <w:t>Ready Mixed Concrete (per cubic yard)</w:t>
            </w:r>
          </w:p>
        </w:tc>
        <w:tc>
          <w:tcPr>
            <w:tcW w:w="1140" w:type="dxa"/>
            <w:vAlign w:val="bottom"/>
            <w:shd w:val="clear" w:color="auto" w:fill="CFF0FC"/>
          </w:tcPr>
          <w:p>
            <w:pPr>
              <w:jc w:val="right"/>
              <w:ind w:right="941"/>
              <w:spacing w:after="0"/>
              <w:rPr>
                <w:sz w:val="20"/>
                <w:szCs w:val="20"/>
                <w:color w:val="auto"/>
              </w:rPr>
            </w:pPr>
            <w:r>
              <w:rPr>
                <w:rFonts w:ascii="Arial" w:cs="Arial" w:eastAsia="Arial" w:hAnsi="Arial"/>
                <w:sz w:val="20"/>
                <w:szCs w:val="2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4"/>
              </w:rPr>
              <w:t>108.36</w:t>
            </w:r>
          </w:p>
        </w:tc>
        <w:tc>
          <w:tcPr>
            <w:tcW w:w="1440" w:type="dxa"/>
            <w:vAlign w:val="bottom"/>
            <w:gridSpan w:val="2"/>
            <w:shd w:val="clear" w:color="auto" w:fill="CFF0FC"/>
          </w:tcPr>
          <w:p>
            <w:pPr>
              <w:jc w:val="right"/>
              <w:ind w:right="941"/>
              <w:spacing w:after="0"/>
              <w:rPr>
                <w:sz w:val="20"/>
                <w:szCs w:val="20"/>
                <w:color w:val="auto"/>
              </w:rPr>
            </w:pPr>
            <w:r>
              <w:rPr>
                <w:rFonts w:ascii="Arial" w:cs="Arial" w:eastAsia="Arial" w:hAnsi="Arial"/>
                <w:sz w:val="20"/>
                <w:szCs w:val="20"/>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94"/>
              </w:rPr>
              <w:t>107.34</w:t>
            </w:r>
          </w:p>
        </w:tc>
        <w:tc>
          <w:tcPr>
            <w:tcW w:w="3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20"/>
                <w:szCs w:val="20"/>
                <w:color w:val="auto"/>
              </w:rPr>
              <w:t>1.0%</w:t>
            </w:r>
          </w:p>
        </w:tc>
      </w:tr>
      <w:tr>
        <w:trPr>
          <w:trHeight w:val="250"/>
        </w:trPr>
        <w:tc>
          <w:tcPr>
            <w:tcW w:w="5720" w:type="dxa"/>
            <w:vAlign w:val="bottom"/>
          </w:tcPr>
          <w:p>
            <w:pPr>
              <w:spacing w:after="0"/>
              <w:rPr>
                <w:sz w:val="20"/>
                <w:szCs w:val="20"/>
                <w:color w:val="auto"/>
              </w:rPr>
            </w:pPr>
            <w:r>
              <w:rPr>
                <w:rFonts w:ascii="Arial" w:cs="Arial" w:eastAsia="Arial" w:hAnsi="Arial"/>
                <w:sz w:val="20"/>
                <w:szCs w:val="20"/>
                <w:color w:val="auto"/>
              </w:rPr>
              <w:t>Asphalt (per ton)</w:t>
            </w:r>
          </w:p>
        </w:tc>
        <w:tc>
          <w:tcPr>
            <w:tcW w:w="1140" w:type="dxa"/>
            <w:vAlign w:val="bottom"/>
          </w:tcPr>
          <w:p>
            <w:pPr>
              <w:jc w:val="right"/>
              <w:ind w:right="941"/>
              <w:spacing w:after="0"/>
              <w:rPr>
                <w:sz w:val="20"/>
                <w:szCs w:val="20"/>
                <w:color w:val="auto"/>
              </w:rPr>
            </w:pPr>
            <w:r>
              <w:rPr>
                <w:rFonts w:ascii="Arial" w:cs="Arial" w:eastAsia="Arial" w:hAnsi="Arial"/>
                <w:sz w:val="20"/>
                <w:szCs w:val="20"/>
                <w:color w:val="auto"/>
                <w:w w:val="71"/>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44.39</w:t>
            </w:r>
          </w:p>
        </w:tc>
        <w:tc>
          <w:tcPr>
            <w:tcW w:w="1440" w:type="dxa"/>
            <w:vAlign w:val="bottom"/>
            <w:gridSpan w:val="2"/>
          </w:tcPr>
          <w:p>
            <w:pPr>
              <w:jc w:val="right"/>
              <w:ind w:right="941"/>
              <w:spacing w:after="0"/>
              <w:rPr>
                <w:sz w:val="20"/>
                <w:szCs w:val="20"/>
                <w:color w:val="auto"/>
              </w:rPr>
            </w:pPr>
            <w:r>
              <w:rPr>
                <w:rFonts w:ascii="Arial" w:cs="Arial" w:eastAsia="Arial" w:hAnsi="Arial"/>
                <w:sz w:val="20"/>
                <w:szCs w:val="20"/>
                <w:color w:val="auto"/>
              </w:rPr>
              <w:t>$</w:t>
            </w:r>
          </w:p>
        </w:tc>
        <w:tc>
          <w:tcPr>
            <w:tcW w:w="620" w:type="dxa"/>
            <w:vAlign w:val="bottom"/>
          </w:tcPr>
          <w:p>
            <w:pPr>
              <w:jc w:val="right"/>
              <w:spacing w:after="0"/>
              <w:rPr>
                <w:sz w:val="20"/>
                <w:szCs w:val="20"/>
                <w:color w:val="auto"/>
              </w:rPr>
            </w:pPr>
            <w:r>
              <w:rPr>
                <w:rFonts w:ascii="Arial" w:cs="Arial" w:eastAsia="Arial" w:hAnsi="Arial"/>
                <w:sz w:val="20"/>
                <w:szCs w:val="20"/>
                <w:color w:val="auto"/>
              </w:rPr>
              <w:t>43.08</w:t>
            </w:r>
          </w:p>
        </w:tc>
        <w:tc>
          <w:tcPr>
            <w:tcW w:w="360" w:type="dxa"/>
            <w:vAlign w:val="bottom"/>
          </w:tcPr>
          <w:p>
            <w:pPr>
              <w:spacing w:after="0"/>
              <w:rPr>
                <w:sz w:val="21"/>
                <w:szCs w:val="21"/>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20"/>
                <w:szCs w:val="20"/>
                <w:color w:val="auto"/>
              </w:rPr>
              <w:t>3.0%</w:t>
            </w: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44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2018</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Magnesia Specialties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 the first nine months of 2018, Magnesia Specialties reported total products revenue of $201.4 million, a 6.0% increase compared with the prior-year period. Earnings from operations were $65.9 million compared with $58.6 million, a 12.4% increase.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400" w:type="dxa"/>
            <w:vAlign w:val="bottom"/>
          </w:tcPr>
          <w:p>
            <w:pPr>
              <w:spacing w:after="0"/>
              <w:rPr>
                <w:sz w:val="20"/>
                <w:szCs w:val="20"/>
                <w:color w:val="auto"/>
              </w:rPr>
            </w:pPr>
            <w:r>
              <w:rPr>
                <w:rFonts w:ascii="Arial" w:cs="Arial" w:eastAsia="Arial" w:hAnsi="Arial"/>
                <w:sz w:val="20"/>
                <w:szCs w:val="20"/>
                <w:i w:val="1"/>
                <w:iCs w:val="1"/>
                <w:color w:val="auto"/>
              </w:rPr>
              <w:t>Gross Profit</w:t>
            </w:r>
          </w:p>
        </w:tc>
        <w:tc>
          <w:tcPr>
            <w:tcW w:w="6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38"/>
        </w:trPr>
        <w:tc>
          <w:tcPr>
            <w:tcW w:w="9400" w:type="dxa"/>
            <w:vAlign w:val="bottom"/>
          </w:tcPr>
          <w:p>
            <w:pPr>
              <w:spacing w:after="0"/>
              <w:rPr>
                <w:sz w:val="20"/>
                <w:szCs w:val="20"/>
                <w:color w:val="auto"/>
              </w:rPr>
            </w:pPr>
            <w:r>
              <w:rPr>
                <w:rFonts w:ascii="Arial" w:cs="Arial" w:eastAsia="Arial" w:hAnsi="Arial"/>
                <w:sz w:val="20"/>
                <w:szCs w:val="20"/>
                <w:color w:val="auto"/>
              </w:rPr>
              <w:t>The following presents a rollforward of consolidated gross profit (dollars in thousands):</w:t>
            </w: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8"/>
        </w:trPr>
        <w:tc>
          <w:tcPr>
            <w:tcW w:w="94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Consolidated gross profit, nine-months ended September 30, 2017</w:t>
            </w:r>
          </w:p>
        </w:tc>
        <w:tc>
          <w:tcPr>
            <w:tcW w:w="64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712,838</w:t>
            </w:r>
          </w:p>
        </w:tc>
        <w:tc>
          <w:tcPr>
            <w:tcW w:w="100" w:type="dxa"/>
            <w:vAlign w:val="bottom"/>
            <w:tcBorders>
              <w:bottom w:val="single" w:sz="8" w:color="CFF0FC"/>
            </w:tcBorders>
          </w:tcPr>
          <w:p>
            <w:pPr>
              <w:spacing w:after="0"/>
              <w:rPr>
                <w:sz w:val="24"/>
                <w:szCs w:val="24"/>
                <w:color w:val="auto"/>
              </w:rPr>
            </w:pPr>
          </w:p>
        </w:tc>
      </w:tr>
      <w:tr>
        <w:trPr>
          <w:trHeight w:val="237"/>
        </w:trPr>
        <w:tc>
          <w:tcPr>
            <w:tcW w:w="9400" w:type="dxa"/>
            <w:vAlign w:val="bottom"/>
            <w:shd w:val="clear" w:color="auto" w:fill="CFF0FC"/>
          </w:tcPr>
          <w:p>
            <w:pPr>
              <w:spacing w:after="0"/>
              <w:rPr>
                <w:sz w:val="20"/>
                <w:szCs w:val="20"/>
                <w:color w:val="auto"/>
              </w:rPr>
            </w:pPr>
            <w:r>
              <w:rPr>
                <w:rFonts w:ascii="Arial" w:cs="Arial" w:eastAsia="Arial" w:hAnsi="Arial"/>
                <w:sz w:val="20"/>
                <w:szCs w:val="20"/>
                <w:color w:val="auto"/>
              </w:rPr>
              <w:t>Aggregates products:</w:t>
            </w:r>
          </w:p>
        </w:tc>
        <w:tc>
          <w:tcPr>
            <w:tcW w:w="6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9400" w:type="dxa"/>
            <w:vAlign w:val="bottom"/>
          </w:tcPr>
          <w:p>
            <w:pPr>
              <w:ind w:left="260"/>
              <w:spacing w:after="0"/>
              <w:rPr>
                <w:sz w:val="20"/>
                <w:szCs w:val="20"/>
                <w:color w:val="auto"/>
              </w:rPr>
            </w:pPr>
            <w:r>
              <w:rPr>
                <w:rFonts w:ascii="Arial" w:cs="Arial" w:eastAsia="Arial" w:hAnsi="Arial"/>
                <w:sz w:val="20"/>
                <w:szCs w:val="20"/>
                <w:color w:val="auto"/>
              </w:rPr>
              <w:t>Volume</w:t>
            </w:r>
          </w:p>
        </w:tc>
        <w:tc>
          <w:tcPr>
            <w:tcW w:w="6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105,813</w:t>
            </w:r>
          </w:p>
        </w:tc>
        <w:tc>
          <w:tcPr>
            <w:tcW w:w="100" w:type="dxa"/>
            <w:vAlign w:val="bottom"/>
          </w:tcPr>
          <w:p>
            <w:pPr>
              <w:spacing w:after="0"/>
              <w:rPr>
                <w:sz w:val="21"/>
                <w:szCs w:val="21"/>
                <w:color w:val="auto"/>
              </w:rPr>
            </w:pPr>
          </w:p>
        </w:tc>
      </w:tr>
      <w:tr>
        <w:trPr>
          <w:trHeight w:val="243"/>
        </w:trPr>
        <w:tc>
          <w:tcPr>
            <w:tcW w:w="94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Pricing</w:t>
            </w:r>
          </w:p>
        </w:tc>
        <w:tc>
          <w:tcPr>
            <w:tcW w:w="6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53,029</w:t>
            </w:r>
          </w:p>
        </w:tc>
        <w:tc>
          <w:tcPr>
            <w:tcW w:w="100" w:type="dxa"/>
            <w:vAlign w:val="bottom"/>
            <w:shd w:val="clear" w:color="auto" w:fill="CFF0FC"/>
          </w:tcPr>
          <w:p>
            <w:pPr>
              <w:spacing w:after="0"/>
              <w:rPr>
                <w:sz w:val="21"/>
                <w:szCs w:val="21"/>
                <w:color w:val="auto"/>
              </w:rPr>
            </w:pPr>
          </w:p>
        </w:tc>
      </w:tr>
      <w:tr>
        <w:trPr>
          <w:trHeight w:val="243"/>
        </w:trPr>
        <w:tc>
          <w:tcPr>
            <w:tcW w:w="9400" w:type="dxa"/>
            <w:vAlign w:val="bottom"/>
          </w:tcPr>
          <w:p>
            <w:pPr>
              <w:ind w:left="260"/>
              <w:spacing w:after="0"/>
              <w:rPr>
                <w:sz w:val="20"/>
                <w:szCs w:val="20"/>
                <w:color w:val="auto"/>
              </w:rPr>
            </w:pPr>
            <w:r>
              <w:rPr>
                <w:rFonts w:ascii="Arial" w:cs="Arial" w:eastAsia="Arial" w:hAnsi="Arial"/>
                <w:sz w:val="20"/>
                <w:szCs w:val="20"/>
                <w:color w:val="auto"/>
              </w:rPr>
              <w:t>Cost increases, net</w:t>
            </w:r>
          </w:p>
        </w:tc>
        <w:tc>
          <w:tcPr>
            <w:tcW w:w="640" w:type="dxa"/>
            <w:vAlign w:val="bottom"/>
          </w:tcPr>
          <w:p>
            <w:pPr>
              <w:spacing w:after="0"/>
              <w:rPr>
                <w:sz w:val="21"/>
                <w:szCs w:val="21"/>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20"/>
                <w:szCs w:val="20"/>
                <w:color w:val="auto"/>
              </w:rPr>
              <w:t>(137,250)</w:t>
            </w:r>
          </w:p>
        </w:tc>
      </w:tr>
      <w:tr>
        <w:trPr>
          <w:trHeight w:val="237"/>
        </w:trPr>
        <w:tc>
          <w:tcPr>
            <w:tcW w:w="9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20"/>
                <w:szCs w:val="20"/>
                <w:color w:val="auto"/>
              </w:rPr>
              <w:t>Change in aggregates products gross profit</w:t>
            </w:r>
          </w:p>
        </w:tc>
        <w:tc>
          <w:tcPr>
            <w:tcW w:w="64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21,592</w:t>
            </w:r>
          </w:p>
        </w:tc>
        <w:tc>
          <w:tcPr>
            <w:tcW w:w="100" w:type="dxa"/>
            <w:vAlign w:val="bottom"/>
            <w:tcBorders>
              <w:top w:val="single" w:sz="8" w:color="CFF0FC"/>
            </w:tcBorders>
            <w:shd w:val="clear" w:color="auto" w:fill="CFF0FC"/>
          </w:tcPr>
          <w:p>
            <w:pPr>
              <w:spacing w:after="0"/>
              <w:rPr>
                <w:sz w:val="20"/>
                <w:szCs w:val="20"/>
                <w:color w:val="auto"/>
              </w:rPr>
            </w:pPr>
          </w:p>
        </w:tc>
      </w:tr>
      <w:tr>
        <w:trPr>
          <w:trHeight w:val="243"/>
        </w:trPr>
        <w:tc>
          <w:tcPr>
            <w:tcW w:w="9400" w:type="dxa"/>
            <w:vAlign w:val="bottom"/>
          </w:tcPr>
          <w:p>
            <w:pPr>
              <w:spacing w:after="0"/>
              <w:rPr>
                <w:sz w:val="20"/>
                <w:szCs w:val="20"/>
                <w:color w:val="auto"/>
              </w:rPr>
            </w:pPr>
            <w:r>
              <w:rPr>
                <w:rFonts w:ascii="Arial" w:cs="Arial" w:eastAsia="Arial" w:hAnsi="Arial"/>
                <w:sz w:val="20"/>
                <w:szCs w:val="20"/>
                <w:color w:val="auto"/>
              </w:rPr>
              <w:t>Cement products and downstream products and services</w:t>
            </w:r>
          </w:p>
        </w:tc>
        <w:tc>
          <w:tcPr>
            <w:tcW w:w="640" w:type="dxa"/>
            <w:vAlign w:val="bottom"/>
          </w:tcPr>
          <w:p>
            <w:pPr>
              <w:spacing w:after="0"/>
              <w:rPr>
                <w:sz w:val="21"/>
                <w:szCs w:val="21"/>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20"/>
                <w:szCs w:val="20"/>
                <w:color w:val="auto"/>
              </w:rPr>
              <w:t>(2,309)</w:t>
            </w:r>
          </w:p>
        </w:tc>
      </w:tr>
      <w:tr>
        <w:trPr>
          <w:trHeight w:val="243"/>
        </w:trPr>
        <w:tc>
          <w:tcPr>
            <w:tcW w:w="9400" w:type="dxa"/>
            <w:vAlign w:val="bottom"/>
            <w:shd w:val="clear" w:color="auto" w:fill="CFF0FC"/>
          </w:tcPr>
          <w:p>
            <w:pPr>
              <w:spacing w:after="0"/>
              <w:rPr>
                <w:sz w:val="20"/>
                <w:szCs w:val="20"/>
                <w:color w:val="auto"/>
              </w:rPr>
            </w:pPr>
            <w:r>
              <w:rPr>
                <w:rFonts w:ascii="Arial" w:cs="Arial" w:eastAsia="Arial" w:hAnsi="Arial"/>
                <w:sz w:val="20"/>
                <w:szCs w:val="20"/>
                <w:color w:val="auto"/>
              </w:rPr>
              <w:t>Magnesia Specialties products</w:t>
            </w:r>
          </w:p>
        </w:tc>
        <w:tc>
          <w:tcPr>
            <w:tcW w:w="6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7,331</w:t>
            </w:r>
          </w:p>
        </w:tc>
        <w:tc>
          <w:tcPr>
            <w:tcW w:w="100" w:type="dxa"/>
            <w:vAlign w:val="bottom"/>
            <w:shd w:val="clear" w:color="auto" w:fill="CFF0FC"/>
          </w:tcPr>
          <w:p>
            <w:pPr>
              <w:spacing w:after="0"/>
              <w:rPr>
                <w:sz w:val="21"/>
                <w:szCs w:val="21"/>
                <w:color w:val="auto"/>
              </w:rPr>
            </w:pPr>
          </w:p>
        </w:tc>
      </w:tr>
      <w:tr>
        <w:trPr>
          <w:trHeight w:val="243"/>
        </w:trPr>
        <w:tc>
          <w:tcPr>
            <w:tcW w:w="9400" w:type="dxa"/>
            <w:vAlign w:val="bottom"/>
          </w:tcPr>
          <w:p>
            <w:pPr>
              <w:spacing w:after="0"/>
              <w:rPr>
                <w:sz w:val="20"/>
                <w:szCs w:val="20"/>
                <w:color w:val="auto"/>
              </w:rPr>
            </w:pPr>
            <w:r>
              <w:rPr>
                <w:rFonts w:ascii="Arial" w:cs="Arial" w:eastAsia="Arial" w:hAnsi="Arial"/>
                <w:sz w:val="20"/>
                <w:szCs w:val="20"/>
                <w:color w:val="auto"/>
              </w:rPr>
              <w:t>Corporate</w:t>
            </w:r>
          </w:p>
        </w:tc>
        <w:tc>
          <w:tcPr>
            <w:tcW w:w="6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1,153</w:t>
            </w:r>
          </w:p>
        </w:tc>
        <w:tc>
          <w:tcPr>
            <w:tcW w:w="100" w:type="dxa"/>
            <w:vAlign w:val="bottom"/>
          </w:tcPr>
          <w:p>
            <w:pPr>
              <w:spacing w:after="0"/>
              <w:rPr>
                <w:sz w:val="21"/>
                <w:szCs w:val="21"/>
                <w:color w:val="auto"/>
              </w:rPr>
            </w:pPr>
          </w:p>
        </w:tc>
      </w:tr>
      <w:tr>
        <w:trPr>
          <w:trHeight w:val="243"/>
        </w:trPr>
        <w:tc>
          <w:tcPr>
            <w:tcW w:w="9400" w:type="dxa"/>
            <w:vAlign w:val="bottom"/>
            <w:shd w:val="clear" w:color="auto" w:fill="CFF0FC"/>
          </w:tcPr>
          <w:p>
            <w:pPr>
              <w:spacing w:after="0"/>
              <w:rPr>
                <w:sz w:val="20"/>
                <w:szCs w:val="20"/>
                <w:color w:val="auto"/>
              </w:rPr>
            </w:pPr>
            <w:r>
              <w:rPr>
                <w:rFonts w:ascii="Arial" w:cs="Arial" w:eastAsia="Arial" w:hAnsi="Arial"/>
                <w:sz w:val="20"/>
                <w:szCs w:val="20"/>
                <w:color w:val="auto"/>
              </w:rPr>
              <w:t>Freight</w:t>
            </w:r>
          </w:p>
        </w:tc>
        <w:tc>
          <w:tcPr>
            <w:tcW w:w="6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20"/>
                <w:szCs w:val="20"/>
                <w:color w:val="auto"/>
              </w:rPr>
              <w:t>(1,312)</w:t>
            </w:r>
          </w:p>
        </w:tc>
      </w:tr>
      <w:tr>
        <w:trPr>
          <w:trHeight w:val="237"/>
        </w:trPr>
        <w:tc>
          <w:tcPr>
            <w:tcW w:w="9400" w:type="dxa"/>
            <w:vAlign w:val="bottom"/>
            <w:tcBorders>
              <w:bottom w:val="single" w:sz="8" w:color="CFF0FC"/>
            </w:tcBorders>
          </w:tcPr>
          <w:p>
            <w:pPr>
              <w:spacing w:after="0"/>
              <w:rPr>
                <w:sz w:val="20"/>
                <w:szCs w:val="20"/>
                <w:color w:val="auto"/>
              </w:rPr>
            </w:pPr>
            <w:r>
              <w:rPr>
                <w:rFonts w:ascii="Arial" w:cs="Arial" w:eastAsia="Arial" w:hAnsi="Arial"/>
                <w:sz w:val="20"/>
                <w:szCs w:val="20"/>
                <w:color w:val="auto"/>
              </w:rPr>
              <w:t>Change in consolidated gross profit</w:t>
            </w:r>
          </w:p>
        </w:tc>
        <w:tc>
          <w:tcPr>
            <w:tcW w:w="64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26,455</w:t>
            </w:r>
          </w:p>
        </w:tc>
        <w:tc>
          <w:tcPr>
            <w:tcW w:w="100" w:type="dxa"/>
            <w:vAlign w:val="bottom"/>
            <w:tcBorders>
              <w:bottom w:val="single" w:sz="8" w:color="CFF0FC"/>
            </w:tcBorders>
          </w:tcPr>
          <w:p>
            <w:pPr>
              <w:spacing w:after="0"/>
              <w:rPr>
                <w:sz w:val="20"/>
                <w:szCs w:val="20"/>
                <w:color w:val="auto"/>
              </w:rPr>
            </w:pPr>
          </w:p>
        </w:tc>
      </w:tr>
      <w:tr>
        <w:trPr>
          <w:trHeight w:val="237"/>
        </w:trPr>
        <w:tc>
          <w:tcPr>
            <w:tcW w:w="9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Consolidated gross profit, nine-months ended September 30, 2018</w:t>
            </w:r>
          </w:p>
        </w:tc>
        <w:tc>
          <w:tcPr>
            <w:tcW w:w="640" w:type="dxa"/>
            <w:vAlign w:val="bottom"/>
            <w:tcBorders>
              <w:bottom w:val="single" w:sz="8" w:color="auto"/>
            </w:tcBorders>
            <w:shd w:val="clear" w:color="auto" w:fill="CFF0FC"/>
          </w:tcPr>
          <w:p>
            <w:pPr>
              <w:jc w:val="right"/>
              <w:ind w:right="441"/>
              <w:spacing w:after="0"/>
              <w:rPr>
                <w:sz w:val="20"/>
                <w:szCs w:val="20"/>
                <w:color w:val="auto"/>
              </w:rPr>
            </w:pPr>
            <w:r>
              <w:rPr>
                <w:rFonts w:ascii="Arial" w:cs="Arial" w:eastAsia="Arial" w:hAnsi="Arial"/>
                <w:sz w:val="20"/>
                <w:szCs w:val="20"/>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739,293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
        </w:trPr>
        <w:tc>
          <w:tcPr>
            <w:tcW w:w="9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Cost increases, net, includes the $18.5 million negative impact of selling acquired inventory after its markup to fair value as a part of acquisition accounting.</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Consolidated Operating Results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 the nine-months ended September 30, 2018 and 2017, consolidated SG&amp;A was 6.5% of total revenues. Earnings from operations for the first nine months were $543.7 million in 2018 compared with $517.0 million in 2017.</w:t>
      </w:r>
    </w:p>
    <w:p>
      <w:pPr>
        <w:spacing w:after="0" w:line="6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For the nine-months ended September 30, consolidated other operating income, net, was $27.0 million in 2018 and $2.6 million in 2017. The increase in other operating income, net, is primarily driven by a $16.9 million gain on the sale of surplus land and a $7.7 million net gain on litigation and related settlements of in 2018 partially offset by $7.1 million in restructuring expenses related to the Company’s Southwest ready mixed concrete operations. The 2017 amount includes a $13.5 million gain on the sale of real estate offset by a $12.4 million expense for repair costs related to certain of the Company’s lease railcars and $6.1 million of expense, including both cash and stock-based compensation components, related to the retirement of a senior executive officer.</w:t>
      </w:r>
    </w:p>
    <w:p>
      <w:pPr>
        <w:spacing w:after="0" w:line="7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 the nine-months ended September 30, 2018, other nonoperating income, net, was $19.9 million, a $13.4 million increase compared with prior year, reflecting higher interest income and lower pension expense.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45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2018</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LIQUIDITY AND CAPITAL RESOURCES</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Cash provided by operating activities for the nine-months ended September 30 was $441.5 million in 2018 compared with $418.1 million in 2017. Operating cash flow is primarily derived from consolidated net earnings before deducting depreciation, depletion and amortization, and the impact of changes in working capital. Depreciation, depletion and amortization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6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40" w:type="dxa"/>
            <w:vAlign w:val="bottom"/>
            <w:gridSpan w:val="5"/>
          </w:tcPr>
          <w:p>
            <w:pPr>
              <w:jc w:val="center"/>
              <w:ind w:right="480"/>
              <w:spacing w:after="0"/>
              <w:rPr>
                <w:sz w:val="20"/>
                <w:szCs w:val="20"/>
                <w:color w:val="auto"/>
              </w:rPr>
            </w:pPr>
            <w:r>
              <w:rPr>
                <w:rFonts w:ascii="Arial" w:cs="Arial" w:eastAsia="Arial" w:hAnsi="Arial"/>
                <w:sz w:val="20"/>
                <w:szCs w:val="20"/>
                <w:color w:val="auto"/>
                <w:w w:val="90"/>
              </w:rPr>
              <w:t>Nine-Months Ended</w:t>
            </w:r>
          </w:p>
        </w:tc>
      </w:tr>
      <w:tr>
        <w:trPr>
          <w:trHeight w:val="246"/>
        </w:trPr>
        <w:tc>
          <w:tcPr>
            <w:tcW w:w="446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tcPr>
          <w:p>
            <w:pPr>
              <w:jc w:val="center"/>
              <w:ind w:left="641"/>
              <w:spacing w:after="0"/>
              <w:rPr>
                <w:sz w:val="20"/>
                <w:szCs w:val="20"/>
                <w:color w:val="auto"/>
              </w:rPr>
            </w:pPr>
            <w:r>
              <w:rPr>
                <w:rFonts w:ascii="Arial" w:cs="Arial" w:eastAsia="Arial" w:hAnsi="Arial"/>
                <w:sz w:val="20"/>
                <w:szCs w:val="20"/>
                <w:color w:val="auto"/>
                <w:w w:val="86"/>
              </w:rPr>
              <w:t>September 30,</w:t>
            </w:r>
          </w:p>
        </w:tc>
        <w:tc>
          <w:tcPr>
            <w:tcW w:w="10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44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2018</w:t>
            </w:r>
          </w:p>
        </w:tc>
        <w:tc>
          <w:tcPr>
            <w:tcW w:w="2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color w:val="auto"/>
              </w:rPr>
              <w:t>2017</w:t>
            </w:r>
          </w:p>
        </w:tc>
        <w:tc>
          <w:tcPr>
            <w:tcW w:w="120" w:type="dxa"/>
            <w:vAlign w:val="bottom"/>
          </w:tcPr>
          <w:p>
            <w:pPr>
              <w:spacing w:after="0"/>
              <w:rPr>
                <w:sz w:val="20"/>
                <w:szCs w:val="20"/>
                <w:color w:val="auto"/>
              </w:rPr>
            </w:pPr>
          </w:p>
        </w:tc>
      </w:tr>
      <w:tr>
        <w:trPr>
          <w:trHeight w:val="237"/>
        </w:trPr>
        <w:tc>
          <w:tcPr>
            <w:tcW w:w="44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20" w:type="dxa"/>
            <w:vAlign w:val="bottom"/>
            <w:gridSpan w:val="4"/>
          </w:tcPr>
          <w:p>
            <w:pPr>
              <w:jc w:val="center"/>
              <w:ind w:right="261"/>
              <w:spacing w:after="0"/>
              <w:rPr>
                <w:sz w:val="20"/>
                <w:szCs w:val="20"/>
                <w:color w:val="auto"/>
              </w:rPr>
            </w:pPr>
            <w:r>
              <w:rPr>
                <w:rFonts w:ascii="Arial" w:cs="Arial" w:eastAsia="Arial" w:hAnsi="Arial"/>
                <w:sz w:val="20"/>
                <w:szCs w:val="20"/>
                <w:i w:val="1"/>
                <w:iCs w:val="1"/>
                <w:color w:val="auto"/>
                <w:w w:val="91"/>
              </w:rPr>
              <w:t>(Dollars in Thousands)</w:t>
            </w:r>
          </w:p>
        </w:tc>
        <w:tc>
          <w:tcPr>
            <w:tcW w:w="120" w:type="dxa"/>
            <w:vAlign w:val="bottom"/>
          </w:tcPr>
          <w:p>
            <w:pPr>
              <w:spacing w:after="0"/>
              <w:rPr>
                <w:sz w:val="20"/>
                <w:szCs w:val="20"/>
                <w:color w:val="auto"/>
              </w:rPr>
            </w:pPr>
          </w:p>
        </w:tc>
      </w:tr>
      <w:tr>
        <w:trPr>
          <w:trHeight w:val="243"/>
        </w:trPr>
        <w:tc>
          <w:tcPr>
            <w:tcW w:w="4460" w:type="dxa"/>
            <w:vAlign w:val="bottom"/>
            <w:shd w:val="clear" w:color="auto" w:fill="CFF0FC"/>
          </w:tcPr>
          <w:p>
            <w:pPr>
              <w:spacing w:after="0"/>
              <w:rPr>
                <w:sz w:val="20"/>
                <w:szCs w:val="20"/>
                <w:color w:val="auto"/>
              </w:rPr>
            </w:pPr>
            <w:r>
              <w:rPr>
                <w:rFonts w:ascii="Arial" w:cs="Arial" w:eastAsia="Arial" w:hAnsi="Arial"/>
                <w:sz w:val="20"/>
                <w:szCs w:val="20"/>
                <w:color w:val="auto"/>
              </w:rPr>
              <w:t>Depreciation</w:t>
            </w:r>
          </w:p>
        </w:tc>
        <w:tc>
          <w:tcPr>
            <w:tcW w:w="3720" w:type="dxa"/>
            <w:vAlign w:val="bottom"/>
            <w:gridSpan w:val="2"/>
            <w:shd w:val="clear" w:color="auto" w:fill="CFF0FC"/>
          </w:tcPr>
          <w:p>
            <w:pPr>
              <w:jc w:val="right"/>
              <w:ind w:right="141"/>
              <w:spacing w:after="0"/>
              <w:rPr>
                <w:sz w:val="20"/>
                <w:szCs w:val="20"/>
                <w:color w:val="auto"/>
              </w:rPr>
            </w:pPr>
            <w:r>
              <w:rPr>
                <w:rFonts w:ascii="Arial" w:cs="Arial" w:eastAsia="Arial" w:hAnsi="Arial"/>
                <w:sz w:val="20"/>
                <w:szCs w:val="20"/>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219,019</w:t>
            </w: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21"/>
              <w:spacing w:after="0"/>
              <w:rPr>
                <w:sz w:val="20"/>
                <w:szCs w:val="20"/>
                <w:color w:val="auto"/>
              </w:rPr>
            </w:pPr>
            <w:r>
              <w:rPr>
                <w:rFonts w:ascii="Arial" w:cs="Arial" w:eastAsia="Arial" w:hAnsi="Arial"/>
                <w:sz w:val="20"/>
                <w:szCs w:val="20"/>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195,009</w:t>
            </w:r>
          </w:p>
        </w:tc>
        <w:tc>
          <w:tcPr>
            <w:tcW w:w="120" w:type="dxa"/>
            <w:vAlign w:val="bottom"/>
            <w:shd w:val="clear" w:color="auto" w:fill="CFF0FC"/>
          </w:tcPr>
          <w:p>
            <w:pPr>
              <w:spacing w:after="0"/>
              <w:rPr>
                <w:sz w:val="21"/>
                <w:szCs w:val="21"/>
                <w:color w:val="auto"/>
              </w:rPr>
            </w:pPr>
          </w:p>
        </w:tc>
      </w:tr>
      <w:tr>
        <w:trPr>
          <w:trHeight w:val="243"/>
        </w:trPr>
        <w:tc>
          <w:tcPr>
            <w:tcW w:w="4460" w:type="dxa"/>
            <w:vAlign w:val="bottom"/>
          </w:tcPr>
          <w:p>
            <w:pPr>
              <w:spacing w:after="0"/>
              <w:rPr>
                <w:sz w:val="20"/>
                <w:szCs w:val="20"/>
                <w:color w:val="auto"/>
              </w:rPr>
            </w:pPr>
            <w:r>
              <w:rPr>
                <w:rFonts w:ascii="Arial" w:cs="Arial" w:eastAsia="Arial" w:hAnsi="Arial"/>
                <w:sz w:val="20"/>
                <w:szCs w:val="20"/>
                <w:color w:val="auto"/>
              </w:rPr>
              <w:t>Depletion</w:t>
            </w:r>
          </w:p>
        </w:tc>
        <w:tc>
          <w:tcPr>
            <w:tcW w:w="3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20,576</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12,812</w:t>
            </w:r>
          </w:p>
        </w:tc>
        <w:tc>
          <w:tcPr>
            <w:tcW w:w="120" w:type="dxa"/>
            <w:vAlign w:val="bottom"/>
          </w:tcPr>
          <w:p>
            <w:pPr>
              <w:spacing w:after="0"/>
              <w:rPr>
                <w:sz w:val="21"/>
                <w:szCs w:val="21"/>
                <w:color w:val="auto"/>
              </w:rPr>
            </w:pPr>
          </w:p>
        </w:tc>
      </w:tr>
      <w:tr>
        <w:trPr>
          <w:trHeight w:val="243"/>
        </w:trPr>
        <w:tc>
          <w:tcPr>
            <w:tcW w:w="4460" w:type="dxa"/>
            <w:vAlign w:val="bottom"/>
            <w:shd w:val="clear" w:color="auto" w:fill="CFF0FC"/>
          </w:tcPr>
          <w:p>
            <w:pPr>
              <w:spacing w:after="0"/>
              <w:rPr>
                <w:sz w:val="20"/>
                <w:szCs w:val="20"/>
                <w:color w:val="auto"/>
              </w:rPr>
            </w:pPr>
            <w:r>
              <w:rPr>
                <w:rFonts w:ascii="Arial" w:cs="Arial" w:eastAsia="Arial" w:hAnsi="Arial"/>
                <w:sz w:val="20"/>
                <w:szCs w:val="20"/>
                <w:color w:val="auto"/>
              </w:rPr>
              <w:t>Amortization</w:t>
            </w:r>
          </w:p>
        </w:tc>
        <w:tc>
          <w:tcPr>
            <w:tcW w:w="3380" w:type="dxa"/>
            <w:vAlign w:val="bottom"/>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13,605</w:t>
            </w:r>
          </w:p>
        </w:tc>
        <w:tc>
          <w:tcPr>
            <w:tcW w:w="280" w:type="dxa"/>
            <w:vAlign w:val="bottom"/>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13,597</w:t>
            </w:r>
          </w:p>
        </w:tc>
        <w:tc>
          <w:tcPr>
            <w:tcW w:w="120" w:type="dxa"/>
            <w:vAlign w:val="bottom"/>
            <w:shd w:val="clear" w:color="auto" w:fill="CFF0FC"/>
          </w:tcPr>
          <w:p>
            <w:pPr>
              <w:spacing w:after="0"/>
              <w:rPr>
                <w:sz w:val="21"/>
                <w:szCs w:val="21"/>
                <w:color w:val="auto"/>
              </w:rPr>
            </w:pPr>
          </w:p>
        </w:tc>
      </w:tr>
      <w:tr>
        <w:trPr>
          <w:trHeight w:val="237"/>
        </w:trPr>
        <w:tc>
          <w:tcPr>
            <w:tcW w:w="44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20"/>
                <w:szCs w:val="2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253,200</w:t>
            </w:r>
          </w:p>
        </w:tc>
        <w:tc>
          <w:tcPr>
            <w:tcW w:w="280" w:type="dxa"/>
            <w:vAlign w:val="bottom"/>
          </w:tcPr>
          <w:p>
            <w:pPr>
              <w:spacing w:after="0"/>
              <w:rPr>
                <w:sz w:val="20"/>
                <w:szCs w:val="20"/>
                <w:color w:val="auto"/>
              </w:rPr>
            </w:pPr>
          </w:p>
        </w:tc>
        <w:tc>
          <w:tcPr>
            <w:tcW w:w="52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221,418</w:t>
            </w:r>
          </w:p>
        </w:tc>
        <w:tc>
          <w:tcPr>
            <w:tcW w:w="120" w:type="dxa"/>
            <w:vAlign w:val="bottom"/>
          </w:tcPr>
          <w:p>
            <w:pPr>
              <w:spacing w:after="0"/>
              <w:rPr>
                <w:sz w:val="20"/>
                <w:szCs w:val="20"/>
                <w:color w:val="auto"/>
              </w:rPr>
            </w:pPr>
          </w:p>
        </w:tc>
      </w:tr>
      <w:tr>
        <w:trPr>
          <w:trHeight w:val="20"/>
        </w:trPr>
        <w:tc>
          <w:tcPr>
            <w:tcW w:w="44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seasonal nature of construction activity impacts the Company’s quarterly operating cash flow when compared with the full year. Full-year 2017 net cash provided by operating activities was $657.6 million, reflective of the reclassification of net proceeds and payments of corporate-owned life insurance of $0.3 million from operating activities to investing activities, compared with $418.1 million for the first nine months of 2017.</w:t>
      </w:r>
    </w:p>
    <w:p>
      <w:pPr>
        <w:spacing w:after="0" w:line="8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the nine-months ended September 30, 2018, the Company paid $262.2 million for capital investments. Full-year capital spending is expected to approximate $375 million.</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Company can repurchase its common stock through open-market purchases pursuant to authority granted by its Board of Directors or through private transactions at such prices and upon such terms as the Chief Executive Officer deems appropriate. The Company repurchased 305,000 shares of common stock during the first nine months of the year for an aggregate purchase price of $60.4 million. At September 30, 2018, 14,364,000 shares of common stock were remaining under the Company’s repurchase authorization.</w:t>
      </w:r>
    </w:p>
    <w:p>
      <w:pPr>
        <w:spacing w:after="0" w:line="6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$700 million Revolving Facility requires the Company’s ratio of consolidated debt-to-consolidated EBITDA, as defined, for the trailing-twelve-month period (the Ratio) to not exceed 3.50x as of the end of any fiscal quarter, provided that the Company may exclude from the Ratio debt incurred in connection with certain acquisitions during the quarter or the three preceding quarters so long as the Ratio calculated without such exclusion does not exceed 3.75x. Additionally, if there are no amounts outstanding under the Revolving Facility and the $400 million Trade Receivable Facility, consolidated debt, including debt for which the Company is a co-borrower, may be reduced by the Company’s unrestricted cash and cash equivalents in excess of $50 million, such reduction not to exceed $200 million, for purposes of the covenant calculation.</w:t>
      </w:r>
    </w:p>
    <w:p>
      <w:pPr>
        <w:spacing w:after="0" w:line="8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Ratio is calculated as debt, including debt for which the Company is a co-borrower, divided by consolidated EBITDA, as defined by the Company’s Revolving Facility, for the trailing-twelve months. Consolidated EBITDA is generally defined as earnings before interest expense, income tax expense, and depreciation and amortization expense for continuing operations. Additionally, stock-based compensation expense is added back and interest income is deducted in the calculation of consolidated EBITDA. During periods that include an acquisition, pre-acquisition adjusted EBITDA of the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46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2018</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acquired company is added to consolidated EBITDA as if the acquisition occurred on the first day of the calculation period. Certain other nonrecurring items, if they occur, can affect the calculation of consolidated EBITDA.</w:t>
      </w:r>
    </w:p>
    <w:p>
      <w:pPr>
        <w:spacing w:after="0" w:line="6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At September 30, 2018, the Company’s ratio of consolidated debt-to-consolidated EBITDA, as defined by the Company’s Revolving Facility, for the trailing-twelve months was 2.72 times and was calculated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40" w:type="dxa"/>
            <w:vAlign w:val="bottom"/>
            <w:gridSpan w:val="2"/>
          </w:tcPr>
          <w:p>
            <w:pPr>
              <w:jc w:val="center"/>
              <w:ind w:right="320"/>
              <w:spacing w:after="0"/>
              <w:rPr>
                <w:sz w:val="20"/>
                <w:szCs w:val="20"/>
                <w:color w:val="auto"/>
              </w:rPr>
            </w:pPr>
            <w:r>
              <w:rPr>
                <w:rFonts w:ascii="Arial" w:cs="Arial" w:eastAsia="Arial" w:hAnsi="Arial"/>
                <w:sz w:val="20"/>
                <w:szCs w:val="20"/>
                <w:color w:val="auto"/>
                <w:w w:val="89"/>
              </w:rPr>
              <w:t>October 1, 2017 to</w:t>
            </w:r>
          </w:p>
        </w:tc>
        <w:tc>
          <w:tcPr>
            <w:tcW w:w="0" w:type="dxa"/>
            <w:vAlign w:val="bottom"/>
          </w:tcPr>
          <w:p>
            <w:pPr>
              <w:spacing w:after="0"/>
              <w:rPr>
                <w:sz w:val="1"/>
                <w:szCs w:val="1"/>
                <w:color w:val="auto"/>
              </w:rPr>
            </w:pPr>
          </w:p>
        </w:tc>
      </w:tr>
      <w:tr>
        <w:trPr>
          <w:trHeight w:val="246"/>
        </w:trPr>
        <w:tc>
          <w:tcPr>
            <w:tcW w:w="9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40" w:type="dxa"/>
            <w:vAlign w:val="bottom"/>
            <w:gridSpan w:val="2"/>
          </w:tcPr>
          <w:p>
            <w:pPr>
              <w:jc w:val="center"/>
              <w:ind w:right="320"/>
              <w:spacing w:after="0"/>
              <w:rPr>
                <w:sz w:val="20"/>
                <w:szCs w:val="20"/>
                <w:color w:val="auto"/>
              </w:rPr>
            </w:pPr>
            <w:r>
              <w:rPr>
                <w:rFonts w:ascii="Arial" w:cs="Arial" w:eastAsia="Arial" w:hAnsi="Arial"/>
                <w:sz w:val="20"/>
                <w:szCs w:val="20"/>
                <w:color w:val="auto"/>
                <w:w w:val="88"/>
              </w:rPr>
              <w:t>September 30, 2018</w:t>
            </w:r>
          </w:p>
        </w:tc>
        <w:tc>
          <w:tcPr>
            <w:tcW w:w="0" w:type="dxa"/>
            <w:vAlign w:val="bottom"/>
          </w:tcPr>
          <w:p>
            <w:pPr>
              <w:spacing w:after="0"/>
              <w:rPr>
                <w:sz w:val="1"/>
                <w:szCs w:val="1"/>
                <w:color w:val="auto"/>
              </w:rPr>
            </w:pPr>
          </w:p>
        </w:tc>
      </w:tr>
      <w:tr>
        <w:trPr>
          <w:trHeight w:val="237"/>
        </w:trPr>
        <w:tc>
          <w:tcPr>
            <w:tcW w:w="90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tcPr>
          <w:p>
            <w:pPr>
              <w:jc w:val="center"/>
              <w:ind w:right="101"/>
              <w:spacing w:after="0"/>
              <w:rPr>
                <w:sz w:val="20"/>
                <w:szCs w:val="20"/>
                <w:color w:val="auto"/>
              </w:rPr>
            </w:pPr>
            <w:r>
              <w:rPr>
                <w:rFonts w:ascii="Arial" w:cs="Arial" w:eastAsia="Arial" w:hAnsi="Arial"/>
                <w:sz w:val="20"/>
                <w:szCs w:val="20"/>
                <w:i w:val="1"/>
                <w:iCs w:val="1"/>
                <w:color w:val="auto"/>
                <w:w w:val="92"/>
              </w:rPr>
              <w:t>(Dollars in thousands)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000" w:type="dxa"/>
            <w:vAlign w:val="bottom"/>
            <w:shd w:val="clear" w:color="auto" w:fill="CFF0FC"/>
          </w:tcPr>
          <w:p>
            <w:pPr>
              <w:spacing w:after="0"/>
              <w:rPr>
                <w:sz w:val="20"/>
                <w:szCs w:val="20"/>
                <w:color w:val="auto"/>
              </w:rPr>
            </w:pPr>
            <w:r>
              <w:rPr>
                <w:rFonts w:ascii="Arial" w:cs="Arial" w:eastAsia="Arial" w:hAnsi="Arial"/>
                <w:sz w:val="20"/>
                <w:szCs w:val="20"/>
                <w:color w:val="auto"/>
              </w:rPr>
              <w:t>Earnings from continuing operations attributable to Martin Marietta</w:t>
            </w:r>
          </w:p>
        </w:tc>
        <w:tc>
          <w:tcPr>
            <w:tcW w:w="180" w:type="dxa"/>
            <w:vAlign w:val="bottom"/>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2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752,804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0" w:type="dxa"/>
            <w:vAlign w:val="bottom"/>
          </w:tcPr>
          <w:p>
            <w:pPr>
              <w:spacing w:after="0"/>
              <w:rPr>
                <w:sz w:val="20"/>
                <w:szCs w:val="20"/>
                <w:color w:val="auto"/>
              </w:rPr>
            </w:pPr>
            <w:r>
              <w:rPr>
                <w:rFonts w:ascii="Arial" w:cs="Arial" w:eastAsia="Arial" w:hAnsi="Arial"/>
                <w:sz w:val="20"/>
                <w:szCs w:val="20"/>
                <w:color w:val="auto"/>
              </w:rPr>
              <w:t>Add back:</w:t>
            </w:r>
          </w:p>
        </w:tc>
        <w:tc>
          <w:tcPr>
            <w:tcW w:w="1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Interest expense</w:t>
            </w:r>
          </w:p>
        </w:tc>
        <w:tc>
          <w:tcPr>
            <w:tcW w:w="180" w:type="dxa"/>
            <w:vAlign w:val="bottom"/>
            <w:shd w:val="clear" w:color="auto" w:fill="CFF0FC"/>
          </w:tcPr>
          <w:p>
            <w:pPr>
              <w:spacing w:after="0"/>
              <w:rPr>
                <w:sz w:val="21"/>
                <w:szCs w:val="21"/>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126,976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0" w:type="dxa"/>
            <w:vAlign w:val="bottom"/>
          </w:tcPr>
          <w:p>
            <w:pPr>
              <w:ind w:left="260"/>
              <w:spacing w:after="0"/>
              <w:rPr>
                <w:sz w:val="20"/>
                <w:szCs w:val="20"/>
                <w:color w:val="auto"/>
              </w:rPr>
            </w:pPr>
            <w:r>
              <w:rPr>
                <w:rFonts w:ascii="Arial" w:cs="Arial" w:eastAsia="Arial" w:hAnsi="Arial"/>
                <w:sz w:val="20"/>
                <w:szCs w:val="20"/>
                <w:color w:val="auto"/>
              </w:rPr>
              <w:t>Depreciation, depletion and amortization expense</w:t>
            </w:r>
          </w:p>
        </w:tc>
        <w:tc>
          <w:tcPr>
            <w:tcW w:w="1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325,410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Stock-based compensation expense</w:t>
            </w:r>
          </w:p>
        </w:tc>
        <w:tc>
          <w:tcPr>
            <w:tcW w:w="180" w:type="dxa"/>
            <w:vAlign w:val="bottom"/>
            <w:shd w:val="clear" w:color="auto" w:fill="CFF0FC"/>
          </w:tcPr>
          <w:p>
            <w:pPr>
              <w:spacing w:after="0"/>
              <w:rPr>
                <w:sz w:val="21"/>
                <w:szCs w:val="21"/>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29,846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0" w:type="dxa"/>
            <w:vAlign w:val="bottom"/>
          </w:tcPr>
          <w:p>
            <w:pPr>
              <w:ind w:left="260"/>
              <w:spacing w:after="0"/>
              <w:rPr>
                <w:sz w:val="20"/>
                <w:szCs w:val="20"/>
                <w:color w:val="auto"/>
              </w:rPr>
            </w:pPr>
            <w:r>
              <w:rPr>
                <w:rFonts w:ascii="Arial" w:cs="Arial" w:eastAsia="Arial" w:hAnsi="Arial"/>
                <w:sz w:val="20"/>
                <w:szCs w:val="20"/>
                <w:color w:val="auto"/>
              </w:rPr>
              <w:t>Acquisition-related expenses, net</w:t>
            </w:r>
          </w:p>
        </w:tc>
        <w:tc>
          <w:tcPr>
            <w:tcW w:w="1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51,441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Noncash portion of restructuring expenses</w:t>
            </w:r>
          </w:p>
        </w:tc>
        <w:tc>
          <w:tcPr>
            <w:tcW w:w="180" w:type="dxa"/>
            <w:vAlign w:val="bottom"/>
            <w:shd w:val="clear" w:color="auto" w:fill="CFF0FC"/>
          </w:tcPr>
          <w:p>
            <w:pPr>
              <w:spacing w:after="0"/>
              <w:rPr>
                <w:sz w:val="21"/>
                <w:szCs w:val="21"/>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5,245</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0" w:type="dxa"/>
            <w:vAlign w:val="bottom"/>
          </w:tcPr>
          <w:p>
            <w:pPr>
              <w:ind w:left="260"/>
              <w:spacing w:after="0"/>
              <w:rPr>
                <w:sz w:val="20"/>
                <w:szCs w:val="20"/>
                <w:color w:val="auto"/>
              </w:rPr>
            </w:pPr>
            <w:r>
              <w:rPr>
                <w:rFonts w:ascii="Arial" w:cs="Arial" w:eastAsia="Arial" w:hAnsi="Arial"/>
                <w:sz w:val="20"/>
                <w:szCs w:val="20"/>
                <w:color w:val="auto"/>
              </w:rPr>
              <w:t>Bluegrass EBITDA - Pre-acquisition adjusted (October 2017 to April 2018)</w:t>
            </w:r>
          </w:p>
        </w:tc>
        <w:tc>
          <w:tcPr>
            <w:tcW w:w="1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43,417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0" w:type="dxa"/>
            <w:vAlign w:val="bottom"/>
            <w:shd w:val="clear" w:color="auto" w:fill="CFF0FC"/>
          </w:tcPr>
          <w:p>
            <w:pPr>
              <w:spacing w:after="0"/>
              <w:rPr>
                <w:sz w:val="20"/>
                <w:szCs w:val="20"/>
                <w:color w:val="auto"/>
              </w:rPr>
            </w:pPr>
            <w:r>
              <w:rPr>
                <w:rFonts w:ascii="Arial" w:cs="Arial" w:eastAsia="Arial" w:hAnsi="Arial"/>
                <w:sz w:val="20"/>
                <w:szCs w:val="20"/>
                <w:color w:val="auto"/>
              </w:rPr>
              <w:t>Deduct:</w:t>
            </w:r>
          </w:p>
        </w:tc>
        <w:tc>
          <w:tcPr>
            <w:tcW w:w="180" w:type="dxa"/>
            <w:vAlign w:val="bottom"/>
            <w:shd w:val="clear" w:color="auto" w:fill="CFF0FC"/>
          </w:tcPr>
          <w:p>
            <w:pPr>
              <w:spacing w:after="0"/>
              <w:rPr>
                <w:sz w:val="21"/>
                <w:szCs w:val="21"/>
                <w:color w:val="auto"/>
              </w:rPr>
            </w:pPr>
          </w:p>
        </w:tc>
        <w:tc>
          <w:tcPr>
            <w:tcW w:w="2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00" w:type="dxa"/>
            <w:vAlign w:val="bottom"/>
          </w:tcPr>
          <w:p>
            <w:pPr>
              <w:ind w:left="260"/>
              <w:spacing w:after="0"/>
              <w:rPr>
                <w:sz w:val="20"/>
                <w:szCs w:val="20"/>
                <w:color w:val="auto"/>
              </w:rPr>
            </w:pPr>
            <w:r>
              <w:rPr>
                <w:rFonts w:ascii="Arial" w:cs="Arial" w:eastAsia="Arial" w:hAnsi="Arial"/>
                <w:sz w:val="20"/>
                <w:szCs w:val="20"/>
                <w:color w:val="auto"/>
              </w:rPr>
              <w:t>Interest income</w:t>
            </w:r>
          </w:p>
        </w:tc>
        <w:tc>
          <w:tcPr>
            <w:tcW w:w="180" w:type="dxa"/>
            <w:vAlign w:val="bottom"/>
          </w:tcPr>
          <w:p>
            <w:pPr>
              <w:spacing w:after="0"/>
              <w:rPr>
                <w:sz w:val="21"/>
                <w:szCs w:val="21"/>
                <w:color w:val="auto"/>
              </w:rPr>
            </w:pPr>
          </w:p>
        </w:tc>
        <w:tc>
          <w:tcPr>
            <w:tcW w:w="2240" w:type="dxa"/>
            <w:vAlign w:val="bottom"/>
            <w:gridSpan w:val="2"/>
          </w:tcPr>
          <w:p>
            <w:pPr>
              <w:jc w:val="right"/>
              <w:ind w:right="60"/>
              <w:spacing w:after="0"/>
              <w:rPr>
                <w:sz w:val="20"/>
                <w:szCs w:val="20"/>
                <w:color w:val="auto"/>
              </w:rPr>
            </w:pPr>
            <w:r>
              <w:rPr>
                <w:rFonts w:ascii="Arial" w:cs="Arial" w:eastAsia="Arial" w:hAnsi="Arial"/>
                <w:sz w:val="20"/>
                <w:szCs w:val="20"/>
                <w:color w:val="auto"/>
              </w:rPr>
              <w:t>(7,149)</w:t>
            </w:r>
          </w:p>
        </w:tc>
        <w:tc>
          <w:tcPr>
            <w:tcW w:w="0" w:type="dxa"/>
            <w:vAlign w:val="bottom"/>
          </w:tcPr>
          <w:p>
            <w:pPr>
              <w:spacing w:after="0"/>
              <w:rPr>
                <w:sz w:val="1"/>
                <w:szCs w:val="1"/>
                <w:color w:val="auto"/>
              </w:rPr>
            </w:pPr>
          </w:p>
        </w:tc>
      </w:tr>
      <w:tr>
        <w:trPr>
          <w:trHeight w:val="243"/>
        </w:trPr>
        <w:tc>
          <w:tcPr>
            <w:tcW w:w="90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Income tax benefit</w:t>
            </w:r>
          </w:p>
        </w:tc>
        <w:tc>
          <w:tcPr>
            <w:tcW w:w="180" w:type="dxa"/>
            <w:vAlign w:val="bottom"/>
            <w:shd w:val="clear" w:color="auto" w:fill="CFF0FC"/>
          </w:tcPr>
          <w:p>
            <w:pPr>
              <w:spacing w:after="0"/>
              <w:rPr>
                <w:sz w:val="21"/>
                <w:szCs w:val="21"/>
                <w:color w:val="auto"/>
              </w:rPr>
            </w:pPr>
          </w:p>
        </w:tc>
        <w:tc>
          <w:tcPr>
            <w:tcW w:w="2240" w:type="dxa"/>
            <w:vAlign w:val="bottom"/>
            <w:gridSpan w:val="2"/>
            <w:shd w:val="clear" w:color="auto" w:fill="CFF0FC"/>
          </w:tcPr>
          <w:p>
            <w:pPr>
              <w:jc w:val="right"/>
              <w:ind w:right="60"/>
              <w:spacing w:after="0"/>
              <w:rPr>
                <w:sz w:val="20"/>
                <w:szCs w:val="20"/>
                <w:color w:val="auto"/>
              </w:rPr>
            </w:pPr>
            <w:r>
              <w:rPr>
                <w:rFonts w:ascii="Arial" w:cs="Arial" w:eastAsia="Arial" w:hAnsi="Arial"/>
                <w:sz w:val="20"/>
                <w:szCs w:val="20"/>
                <w:color w:val="auto"/>
              </w:rPr>
              <w:t>(129,691)</w:t>
            </w:r>
          </w:p>
        </w:tc>
        <w:tc>
          <w:tcPr>
            <w:tcW w:w="0" w:type="dxa"/>
            <w:vAlign w:val="bottom"/>
          </w:tcPr>
          <w:p>
            <w:pPr>
              <w:spacing w:after="0"/>
              <w:rPr>
                <w:sz w:val="1"/>
                <w:szCs w:val="1"/>
                <w:color w:val="auto"/>
              </w:rPr>
            </w:pPr>
          </w:p>
        </w:tc>
      </w:tr>
      <w:tr>
        <w:trPr>
          <w:trHeight w:val="243"/>
        </w:trPr>
        <w:tc>
          <w:tcPr>
            <w:tcW w:w="9000" w:type="dxa"/>
            <w:vAlign w:val="bottom"/>
          </w:tcPr>
          <w:p>
            <w:pPr>
              <w:ind w:left="260"/>
              <w:spacing w:after="0"/>
              <w:rPr>
                <w:sz w:val="20"/>
                <w:szCs w:val="20"/>
                <w:color w:val="auto"/>
              </w:rPr>
            </w:pPr>
            <w:r>
              <w:rPr>
                <w:rFonts w:ascii="Arial" w:cs="Arial" w:eastAsia="Arial" w:hAnsi="Arial"/>
                <w:sz w:val="20"/>
                <w:szCs w:val="20"/>
                <w:color w:val="auto"/>
              </w:rPr>
              <w:t>Gain on divestiture</w:t>
            </w:r>
          </w:p>
        </w:tc>
        <w:tc>
          <w:tcPr>
            <w:tcW w:w="180" w:type="dxa"/>
            <w:vAlign w:val="bottom"/>
          </w:tcPr>
          <w:p>
            <w:pPr>
              <w:spacing w:after="0"/>
              <w:rPr>
                <w:sz w:val="21"/>
                <w:szCs w:val="21"/>
                <w:color w:val="auto"/>
              </w:rPr>
            </w:pPr>
          </w:p>
        </w:tc>
        <w:tc>
          <w:tcPr>
            <w:tcW w:w="2240" w:type="dxa"/>
            <w:vAlign w:val="bottom"/>
            <w:gridSpan w:val="2"/>
          </w:tcPr>
          <w:p>
            <w:pPr>
              <w:jc w:val="right"/>
              <w:ind w:right="60"/>
              <w:spacing w:after="0"/>
              <w:rPr>
                <w:sz w:val="20"/>
                <w:szCs w:val="20"/>
                <w:color w:val="auto"/>
              </w:rPr>
            </w:pPr>
            <w:r>
              <w:rPr>
                <w:rFonts w:ascii="Arial" w:cs="Arial" w:eastAsia="Arial" w:hAnsi="Arial"/>
                <w:sz w:val="20"/>
                <w:szCs w:val="20"/>
                <w:color w:val="auto"/>
              </w:rPr>
              <w:t>(14,785)</w:t>
            </w:r>
          </w:p>
        </w:tc>
        <w:tc>
          <w:tcPr>
            <w:tcW w:w="0" w:type="dxa"/>
            <w:vAlign w:val="bottom"/>
          </w:tcPr>
          <w:p>
            <w:pPr>
              <w:spacing w:after="0"/>
              <w:rPr>
                <w:sz w:val="1"/>
                <w:szCs w:val="1"/>
                <w:color w:val="auto"/>
              </w:rPr>
            </w:pPr>
          </w:p>
        </w:tc>
      </w:tr>
      <w:tr>
        <w:trPr>
          <w:trHeight w:val="237"/>
        </w:trPr>
        <w:tc>
          <w:tcPr>
            <w:tcW w:w="9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Consolidated EBITDA, as defined by the Company’s Revolving Facility</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w w:val="71"/>
              </w:rPr>
              <w:t>$</w:t>
            </w:r>
          </w:p>
        </w:tc>
        <w:tc>
          <w:tcPr>
            <w:tcW w:w="2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20"/>
                <w:szCs w:val="20"/>
                <w:color w:val="auto"/>
              </w:rPr>
              <w:t>1,183,514</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000" w:type="dxa"/>
            <w:vAlign w:val="bottom"/>
            <w:vMerge w:val="restart"/>
          </w:tcPr>
          <w:p>
            <w:pPr>
              <w:spacing w:after="0"/>
              <w:rPr>
                <w:sz w:val="20"/>
                <w:szCs w:val="20"/>
                <w:color w:val="auto"/>
              </w:rPr>
            </w:pPr>
            <w:r>
              <w:rPr>
                <w:rFonts w:ascii="Arial" w:cs="Arial" w:eastAsia="Arial" w:hAnsi="Arial"/>
                <w:sz w:val="20"/>
                <w:szCs w:val="20"/>
                <w:color w:val="auto"/>
              </w:rPr>
              <w:t>Consolidated net debt, as defined and including debt for which the</w:t>
            </w:r>
          </w:p>
        </w:tc>
        <w:tc>
          <w:tcPr>
            <w:tcW w:w="1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0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6"/>
        </w:trPr>
        <w:tc>
          <w:tcPr>
            <w:tcW w:w="9000" w:type="dxa"/>
            <w:vAlign w:val="bottom"/>
            <w:tcBorders>
              <w:bottom w:val="single" w:sz="8" w:color="CFF0FC"/>
            </w:tcBorders>
          </w:tcPr>
          <w:p>
            <w:pPr>
              <w:ind w:left="260"/>
              <w:spacing w:after="0"/>
              <w:rPr>
                <w:sz w:val="20"/>
                <w:szCs w:val="20"/>
                <w:color w:val="auto"/>
              </w:rPr>
            </w:pPr>
            <w:r>
              <w:rPr>
                <w:rFonts w:ascii="Arial" w:cs="Arial" w:eastAsia="Arial" w:hAnsi="Arial"/>
                <w:sz w:val="20"/>
                <w:szCs w:val="20"/>
                <w:color w:val="auto"/>
              </w:rPr>
              <w:t>Company is a co-borrower, at September 30, 2018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3,224,046</w:t>
            </w: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9000" w:type="dxa"/>
            <w:vAlign w:val="bottom"/>
            <w:shd w:val="clear" w:color="auto" w:fill="CFF0FC"/>
          </w:tcPr>
          <w:p>
            <w:pPr>
              <w:spacing w:after="0" w:line="207" w:lineRule="exact"/>
              <w:rPr>
                <w:sz w:val="20"/>
                <w:szCs w:val="20"/>
                <w:color w:val="auto"/>
              </w:rPr>
            </w:pPr>
            <w:r>
              <w:rPr>
                <w:rFonts w:ascii="Arial" w:cs="Arial" w:eastAsia="Arial" w:hAnsi="Arial"/>
                <w:sz w:val="20"/>
                <w:szCs w:val="20"/>
                <w:color w:val="auto"/>
              </w:rPr>
              <w:t>Consolidated debt-to-consolidated EBITDA, as defined by the Company’s</w:t>
            </w:r>
          </w:p>
        </w:tc>
        <w:tc>
          <w:tcPr>
            <w:tcW w:w="180" w:type="dxa"/>
            <w:vAlign w:val="bottom"/>
            <w:shd w:val="clear" w:color="auto" w:fill="CFF0FC"/>
          </w:tcPr>
          <w:p>
            <w:pPr>
              <w:spacing w:after="0"/>
              <w:rPr>
                <w:sz w:val="17"/>
                <w:szCs w:val="17"/>
                <w:color w:val="auto"/>
              </w:rPr>
            </w:pPr>
          </w:p>
        </w:tc>
        <w:tc>
          <w:tcPr>
            <w:tcW w:w="2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Revolving Facility, at September 30, 2018 for the trailing-twelve</w:t>
            </w:r>
          </w:p>
        </w:tc>
        <w:tc>
          <w:tcPr>
            <w:tcW w:w="180" w:type="dxa"/>
            <w:vAlign w:val="bottom"/>
            <w:shd w:val="clear" w:color="auto" w:fill="CFF0FC"/>
          </w:tcPr>
          <w:p>
            <w:pPr>
              <w:spacing w:after="0"/>
              <w:rPr>
                <w:sz w:val="19"/>
                <w:szCs w:val="19"/>
                <w:color w:val="auto"/>
              </w:rPr>
            </w:pPr>
          </w:p>
        </w:tc>
        <w:tc>
          <w:tcPr>
            <w:tcW w:w="2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90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months EBITDA</w:t>
            </w:r>
          </w:p>
        </w:tc>
        <w:tc>
          <w:tcPr>
            <w:tcW w:w="180" w:type="dxa"/>
            <w:vAlign w:val="bottom"/>
            <w:shd w:val="clear" w:color="auto" w:fill="CFF0FC"/>
          </w:tcPr>
          <w:p>
            <w:pPr>
              <w:spacing w:after="0"/>
              <w:rPr>
                <w:sz w:val="21"/>
                <w:szCs w:val="21"/>
                <w:color w:val="auto"/>
              </w:rPr>
            </w:pPr>
          </w:p>
        </w:tc>
        <w:tc>
          <w:tcPr>
            <w:tcW w:w="2240" w:type="dxa"/>
            <w:vAlign w:val="bottom"/>
            <w:gridSpan w:val="2"/>
            <w:shd w:val="clear" w:color="auto" w:fill="CFF0FC"/>
          </w:tcPr>
          <w:p>
            <w:pPr>
              <w:jc w:val="right"/>
              <w:ind w:right="140"/>
              <w:spacing w:after="0"/>
              <w:rPr>
                <w:sz w:val="20"/>
                <w:szCs w:val="20"/>
                <w:color w:val="auto"/>
              </w:rPr>
            </w:pPr>
            <w:r>
              <w:rPr>
                <w:rFonts w:ascii="Arial" w:cs="Arial" w:eastAsia="Arial" w:hAnsi="Arial"/>
                <w:sz w:val="20"/>
                <w:szCs w:val="20"/>
                <w:color w:val="auto"/>
              </w:rPr>
              <w:t>2.72x</w:t>
            </w:r>
          </w:p>
        </w:tc>
        <w:tc>
          <w:tcPr>
            <w:tcW w:w="0" w:type="dxa"/>
            <w:vAlign w:val="bottom"/>
          </w:tcPr>
          <w:p>
            <w:pPr>
              <w:spacing w:after="0"/>
              <w:rPr>
                <w:sz w:val="1"/>
                <w:szCs w:val="1"/>
                <w:color w:val="auto"/>
              </w:rPr>
            </w:pPr>
          </w:p>
        </w:tc>
      </w:tr>
      <w:tr>
        <w:trPr>
          <w:trHeight w:val="20"/>
        </w:trPr>
        <w:tc>
          <w:tcPr>
            <w:tcW w:w="90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Trade Receivable Facility contains a cross-default provision to the Company’s other debt agreements. In the event of a default on the Ratio, the lenders can terminate the Revolving Facility and Trade Receivable Facility and declare any outstanding balances as immediately due. Outstanding amounts on the Trade Receivable Facility have been classified as a current liability on the Company’s consolidated balance sheet.</w:t>
      </w:r>
    </w:p>
    <w:p>
      <w:pPr>
        <w:spacing w:after="0" w:line="83"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Cash on hand, along with the Company’s projected internal cash flows and availability of financing resources, including its access to debt and equity capital markets, is expected to continue to be sufficient to provide the capital resources necessary to support anticipated operating needs, cover debt service requirements, address near-term debt maturities, meet capital expenditures and discretionary investment needs, fund certain acquisition opportunities that may arise, allow the repurchase of shares of the Company’s common stock and allow for payment of dividends for the foreseeable future. On April 27, 2018, the Company successfully completed its acquisition of Bluegrass Materials Company (Bluegrass), the largest privately-held, pure-play aggregates company in the United States, for $1.617 billion in cash. The Company financed the Bluegrass acquisition using proceeds from issuances of senior notes in December 2017 and borrowings under credit facilities. Any future significant strategic acquisition for cash would likely require an appropriate balance of newly-issued equity with debt in order to maintain a composite investment-grade credit rating.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47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2018</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At September 30, 2018, the Company had $617.7 million of unused borrowing capacity under its Revolving Facility and Trade Receivable Facility, subject to complying with the related leverage covenant. The Revolving Facility expires on December 5, 2021. On April 17, 2018, the Company and its wholly-owned subsidiary amended its Trade Receivable Facility to increase the facility limit to $400 million. On September 25, 2018, the Company extended the maturity of the Trade Receivable Facility to September 25, 2019.</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The Company repaid the $300 million of 6.60% Senior Notes with cash on hand on April 16, 2018, the maturity date.</w:t>
      </w:r>
    </w:p>
    <w:p>
      <w:pPr>
        <w:spacing w:after="0" w:line="1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On May 22, 2017, the Company issued $300 million aggregate principal amount of Floating Rate Senior Notes due in 2020 and $300 million aggregate principal amount of 3.450% Senior Notes due in 2027. On December 20, 2017, the Company issued $300 million aggregate principal amount of Floating Rate Senior Notes due 2019, $500 million aggregate principal amount of 3.500% Senior Notes due 2027 and $600 million aggregate principal amount of 4.250% Senior Notes due 2047. The Company repaid $300 million aggregate principal amount of Floating Rate Senior at its maturity in June 2017.</w:t>
      </w:r>
    </w:p>
    <w:p>
      <w:pPr>
        <w:spacing w:after="0" w:line="8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is exposed to the credit markets, through the interest cost related to its variable-rate debt, which included borrowings under its Revolving Facility and Trade Receivable Facility and the obligations in respect of the Floating Rate Notes. The Company is currently rated at an investment-grade level by all three credit rating agencies.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TRENDS AND RISKS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outlined the risks associated with its business in its Annual Report on Form 10-K for the year ended December 31, 2017. Management continues to evaluate its exposure to all operating risks on an ongoing basis.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OUTLOOK</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Management has updated its full-year 2018 guidance to reflect current trends and expectations, including the impact of extraordinary weather-related events encountered during the third quarter.</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Specifically:</w:t>
      </w:r>
    </w:p>
    <w:p>
      <w:pPr>
        <w:spacing w:after="0" w:line="108" w:lineRule="exact"/>
        <w:rPr>
          <w:sz w:val="20"/>
          <w:szCs w:val="20"/>
          <w:color w:val="auto"/>
        </w:rPr>
      </w:pPr>
    </w:p>
    <w:p>
      <w:pPr>
        <w:ind w:left="760" w:hanging="374"/>
        <w:spacing w:after="0"/>
        <w:tabs>
          <w:tab w:leader="none" w:pos="760" w:val="left"/>
        </w:tabs>
        <w:numPr>
          <w:ilvl w:val="0"/>
          <w:numId w:val="32"/>
        </w:numPr>
        <w:rPr>
          <w:rFonts w:ascii="Arial" w:cs="Arial" w:eastAsia="Arial" w:hAnsi="Arial"/>
          <w:sz w:val="20"/>
          <w:szCs w:val="20"/>
          <w:color w:val="007DC6"/>
        </w:rPr>
      </w:pPr>
      <w:r>
        <w:rPr>
          <w:rFonts w:ascii="Arial" w:cs="Arial" w:eastAsia="Arial" w:hAnsi="Arial"/>
          <w:sz w:val="20"/>
          <w:szCs w:val="20"/>
          <w:color w:val="auto"/>
        </w:rPr>
        <w:t>Heritage aggregates average selling price is expected to increase in a range of 3% to 4%.</w:t>
      </w:r>
    </w:p>
    <w:p>
      <w:pPr>
        <w:spacing w:after="0" w:line="15" w:lineRule="exact"/>
        <w:rPr>
          <w:rFonts w:ascii="Arial" w:cs="Arial" w:eastAsia="Arial" w:hAnsi="Arial"/>
          <w:sz w:val="20"/>
          <w:szCs w:val="20"/>
          <w:color w:val="007DC6"/>
        </w:rPr>
      </w:pPr>
    </w:p>
    <w:p>
      <w:pPr>
        <w:ind w:left="760" w:right="20" w:hanging="374"/>
        <w:spacing w:after="0" w:line="266" w:lineRule="auto"/>
        <w:tabs>
          <w:tab w:leader="none" w:pos="760" w:val="left"/>
        </w:tabs>
        <w:numPr>
          <w:ilvl w:val="0"/>
          <w:numId w:val="32"/>
        </w:numPr>
        <w:rPr>
          <w:rFonts w:ascii="Arial" w:cs="Arial" w:eastAsia="Arial" w:hAnsi="Arial"/>
          <w:sz w:val="18"/>
          <w:szCs w:val="18"/>
          <w:color w:val="007DC6"/>
        </w:rPr>
      </w:pPr>
      <w:r>
        <w:rPr>
          <w:rFonts w:ascii="Arial" w:cs="Arial" w:eastAsia="Arial" w:hAnsi="Arial"/>
          <w:sz w:val="18"/>
          <w:szCs w:val="18"/>
          <w:color w:val="auto"/>
        </w:rPr>
        <w:t>Heritage aggregates volume is expected to be flat to up to 1% and expected shipments by end-use market, both compared with 2017 levels and excluding 2017 shipments of the Company’s Forsyth, Georgia, quarry that was divested in April 2018, are as follows:</w:t>
      </w:r>
    </w:p>
    <w:p>
      <w:pPr>
        <w:ind w:left="1140" w:hanging="376"/>
        <w:spacing w:after="0"/>
        <w:tabs>
          <w:tab w:leader="none" w:pos="1140" w:val="left"/>
        </w:tabs>
        <w:numPr>
          <w:ilvl w:val="1"/>
          <w:numId w:val="32"/>
        </w:numPr>
        <w:rPr>
          <w:rFonts w:ascii="Arial" w:cs="Arial" w:eastAsia="Arial" w:hAnsi="Arial"/>
          <w:sz w:val="20"/>
          <w:szCs w:val="20"/>
          <w:color w:val="auto"/>
        </w:rPr>
      </w:pPr>
      <w:r>
        <w:rPr>
          <w:rFonts w:ascii="Arial" w:cs="Arial" w:eastAsia="Arial" w:hAnsi="Arial"/>
          <w:sz w:val="20"/>
          <w:szCs w:val="20"/>
          <w:color w:val="auto"/>
        </w:rPr>
        <w:t>Infrastructure shipments to be relatively flat.</w:t>
      </w:r>
    </w:p>
    <w:p>
      <w:pPr>
        <w:ind w:left="1140" w:hanging="376"/>
        <w:spacing w:after="0"/>
        <w:tabs>
          <w:tab w:leader="none" w:pos="1140" w:val="left"/>
        </w:tabs>
        <w:numPr>
          <w:ilvl w:val="1"/>
          <w:numId w:val="32"/>
        </w:numPr>
        <w:rPr>
          <w:rFonts w:ascii="Arial" w:cs="Arial" w:eastAsia="Arial" w:hAnsi="Arial"/>
          <w:sz w:val="20"/>
          <w:szCs w:val="20"/>
          <w:color w:val="auto"/>
        </w:rPr>
      </w:pPr>
      <w:r>
        <w:rPr>
          <w:rFonts w:ascii="Arial" w:cs="Arial" w:eastAsia="Arial" w:hAnsi="Arial"/>
          <w:sz w:val="20"/>
          <w:szCs w:val="20"/>
          <w:color w:val="auto"/>
        </w:rPr>
        <w:t>Nonresidential shipments to increase in the low- to mid-single digits.</w:t>
      </w:r>
    </w:p>
    <w:p>
      <w:pPr>
        <w:ind w:left="1140" w:hanging="376"/>
        <w:spacing w:after="0"/>
        <w:tabs>
          <w:tab w:leader="none" w:pos="1140" w:val="left"/>
        </w:tabs>
        <w:numPr>
          <w:ilvl w:val="1"/>
          <w:numId w:val="32"/>
        </w:numPr>
        <w:rPr>
          <w:rFonts w:ascii="Arial" w:cs="Arial" w:eastAsia="Arial" w:hAnsi="Arial"/>
          <w:sz w:val="20"/>
          <w:szCs w:val="20"/>
          <w:color w:val="auto"/>
        </w:rPr>
      </w:pPr>
      <w:r>
        <w:rPr>
          <w:rFonts w:ascii="Arial" w:cs="Arial" w:eastAsia="Arial" w:hAnsi="Arial"/>
          <w:sz w:val="20"/>
          <w:szCs w:val="20"/>
          <w:color w:val="auto"/>
        </w:rPr>
        <w:t>Residential shipments to increase in the high-single digits.</w:t>
      </w:r>
    </w:p>
    <w:p>
      <w:pPr>
        <w:ind w:left="1140" w:hanging="376"/>
        <w:spacing w:after="0"/>
        <w:tabs>
          <w:tab w:leader="none" w:pos="1140" w:val="left"/>
        </w:tabs>
        <w:numPr>
          <w:ilvl w:val="1"/>
          <w:numId w:val="32"/>
        </w:numPr>
        <w:rPr>
          <w:rFonts w:ascii="Arial" w:cs="Arial" w:eastAsia="Arial" w:hAnsi="Arial"/>
          <w:sz w:val="20"/>
          <w:szCs w:val="20"/>
          <w:color w:val="auto"/>
        </w:rPr>
      </w:pPr>
      <w:r>
        <w:rPr>
          <w:rFonts w:ascii="Arial" w:cs="Arial" w:eastAsia="Arial" w:hAnsi="Arial"/>
          <w:sz w:val="20"/>
          <w:szCs w:val="20"/>
          <w:color w:val="auto"/>
        </w:rPr>
        <w:t>ChemRock/Rail shipments to decrease.</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OTHER MATTERS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If you are interested in Martin Marietta stock, management recommends that, at a minimum, you read the Company’s current annual report and Forms 10-K, 10-Q and 8-K reports to the Securities and Exchange Commission (SEC) over the past year. The Company’s recent proxy statement for the annual meeting of shareholders also contains important information. These and other materials that have been filed with the SEC are accessible through the Company’s website at www.martinmarietta.com and are also available at the SEC’s website at www.sec.gov. You may also write or call the Company’s Corporate Secretary, who will provide copies of such reports.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48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2018</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Investors are cautioned that all statements in this Form 10-Q that relate to the future involve risks and uncertainties, and are based on assumptions that the Company believes in good faith are reasonable but which may be materially different from actual results. These statements, which are forward-looking statements under the Private Securities Litigation Reform Act of 1995, give the investor the Company’s expectations or forecasts of future events. You can identify these statements by the fact that they do not relate only to historical or current facts. They may use words such as "anticipate," "expect," "should be," "believe," “will,” and other words of similar meaning in connection with future events or future operating or financial performance. Any or all of management’s forward-looking statements here and in other publications may turn out to be wrong.</w:t>
      </w:r>
    </w:p>
    <w:p>
      <w:pPr>
        <w:spacing w:after="0" w:line="85" w:lineRule="exact"/>
        <w:rPr>
          <w:sz w:val="20"/>
          <w:szCs w:val="20"/>
          <w:color w:val="auto"/>
        </w:rPr>
      </w:pPr>
    </w:p>
    <w:p>
      <w:pPr>
        <w:jc w:val="both"/>
        <w:spacing w:after="0" w:line="231" w:lineRule="exact"/>
        <w:rPr>
          <w:sz w:val="20"/>
          <w:szCs w:val="20"/>
          <w:color w:val="auto"/>
        </w:rPr>
      </w:pPr>
      <w:r>
        <w:rPr>
          <w:rFonts w:ascii="Arial" w:cs="Arial" w:eastAsia="Arial" w:hAnsi="Arial"/>
          <w:sz w:val="18"/>
          <w:szCs w:val="18"/>
          <w:color w:val="auto"/>
        </w:rPr>
        <w:t>The Company’s outlook is subject to various risks and uncertainties, and is based on assumptions that the Company believes in good faith are reasonable but which may be materially different from actual results. Factors that the Company currently believes could cause actual results to differ materially from the forward-looking statements in this Form 10-Q (including the outlook) include, but are not limited to: the performance of the United States economy; shipment declines resulting from economic events beyond the Company’s control; widespread decline in aggregates pricing, including a decline in aggregates volume negatively affecting aggregates price; the history of both cement and ready mixed concrete being subject to significant changes in supply, demand and price fluctuations; the termination, capping and/or reduction or suspension of the federal and/or state gasoline tax(es) or other revenue related to infrastructure construction; the level and timing of federal, state or local transportation or infrastructure projects funding, most particularly in Texas, North Carolina, Iowa, Colorado, Georgia and Maryland; the United States Congress’ inability to reach agreement among themselves or with the current Administration on policy issues that impact the federal budget; the ability of states and/or other entities to finance approved projects either with tax revenues or alternative financing structures; levels of construction spending in the markets the Company serves; a reduction in defense spending, and the subsequent impact on construction activity on or near military bases; a decline in the commercial component of the nonresidential construction market, notably office and retail space; a decline in energy-related construction activity resulting from a sustained period of low global oil prices or changes in oil production patterns in response to this decline, particularly in Texas; a slowdown in residential construction recovery; continuing unfavorable weather conditions, particularly Atlantic Ocean and Gulf Coast hurricane activity, excessive rainfall in the markets served by the Company and the early onset of winter, any of which can significantly affect production schedules, volumes and profitability; the volatility of fuel costs, particularly diesel fuel, and the impact on the cost, or the availability generally, of other consumables, namely steel, explosives, tires and conveyor belts, and with respect to the Company’s Magnesia Specialties business, natural gas; continued increases in the cost of other repair and supply parts; continuing construction labor shortages and/or supply</w:t>
      </w:r>
      <w:r>
        <w:rPr>
          <w:rFonts w:ascii="MS PGothic" w:cs="MS PGothic" w:eastAsia="MS PGothic" w:hAnsi="MS PGothic"/>
          <w:sz w:val="18"/>
          <w:szCs w:val="18"/>
          <w:color w:val="auto"/>
        </w:rPr>
        <w:t>‐</w:t>
      </w:r>
      <w:r>
        <w:rPr>
          <w:rFonts w:ascii="Arial" w:cs="Arial" w:eastAsia="Arial" w:hAnsi="Arial"/>
          <w:sz w:val="18"/>
          <w:szCs w:val="18"/>
          <w:color w:val="auto"/>
        </w:rPr>
        <w:t>chain challenges; unexpected equipment failures, unscheduled maintenance, industrial accident or other prolonged and/or significant disruption to production facilities; increasing governmental regulation, including environmental laws; transportation availability or a sustained reduction in capital investment by the railroads, notably the availability of railcars, and locomotive power and the condition of rail infrastructure to move trains to supply the Company’s Texas, Colorado, Florida, North Carolina and the Gulf Coast markets, including the movement of essential dolomitic lime for magnesia chemicals to the Company’s plant in Manistee, Michigan and its customers; increased transportation costs, including increases from higher or fluctuating passed-through energy costs or fuel surcharges, and other costs to comply with tightening regulations, as well as higher volumes of rail and water shipments; availability of trucks and licensed drivers for transport of the Company’s materials; availability and cost of construction equipment in the United States; weakening in the steel industry markets served by the Company’s dolomitic lime products; a trade dispute with one or more nations impacting the U.S. economy, including the impact of tariffs on the steel industry; unplanned changes in costs or realignment of customers that introduce volatility to earnings, including that of the Magnesia Specialties business that is running at capacity; proper functioning</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49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September 30,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MANAGEMENT’S DISCUSSION AND ANALYSIS OF FINANCIAL CONDITION AND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RESULTS OF OPERATIONS</w:t>
      </w:r>
    </w:p>
    <w:p>
      <w:pPr>
        <w:jc w:val="center"/>
        <w:spacing w:after="0"/>
        <w:rPr>
          <w:sz w:val="20"/>
          <w:szCs w:val="20"/>
          <w:color w:val="auto"/>
        </w:rPr>
      </w:pPr>
      <w:r>
        <w:rPr>
          <w:rFonts w:ascii="Arial" w:cs="Arial" w:eastAsia="Arial" w:hAnsi="Arial"/>
          <w:sz w:val="20"/>
          <w:szCs w:val="20"/>
          <w:color w:val="auto"/>
        </w:rPr>
        <w:t>Third Quarter Ended September 30, 2018</w:t>
      </w:r>
    </w:p>
    <w:p>
      <w:pPr>
        <w:jc w:val="center"/>
        <w:spacing w:after="0"/>
        <w:rPr>
          <w:sz w:val="20"/>
          <w:szCs w:val="20"/>
          <w:color w:val="auto"/>
        </w:rPr>
      </w:pPr>
      <w:r>
        <w:rPr>
          <w:rFonts w:ascii="Arial" w:cs="Arial" w:eastAsia="Arial" w:hAnsi="Arial"/>
          <w:sz w:val="20"/>
          <w:szCs w:val="20"/>
          <w:color w:val="auto"/>
        </w:rPr>
        <w:t>(Continued)</w:t>
      </w:r>
    </w:p>
    <w:p>
      <w:pPr>
        <w:spacing w:after="0" w:line="240"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of information technology and automated operating systems to manage or support operations; inflation and its effect on both production and interest costs; the concentration of customers in construction markets and the increased risk of potential losses on customer receivables; the impact of the level of demand in the Company’s end-use markets, production levels and management of production costs on the operating leverage and therefore profitability of the Company; the possibility that the expected synergies from acquisitions (including the acquisition of Bluegrass) will not be realized or will not be realized within the expected time period, including achieving anticipated profitability to maintain compliance with the Company’s leverage ratio debt covenant; changes in tax laws, the interpretation of such laws and/or administrative practices that would increase the Company’s tax rate; violation of the Company’s debt covenant if price and/or volumes return to previous levels of instability; continued downward pressure on the Company’s common stock price and its impact on goodwill impairment evaluations; reduction of the Company’s credit rating to non-investment grade resulting from strategic acquisitions; and other risk factors listed from time to time found in the Company’s filings with the SEC.</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You should consider these forward-looking statements in light of risk factors discussed in our Annual Report on</w:t>
      </w:r>
    </w:p>
    <w:p>
      <w:pPr>
        <w:spacing w:after="0" w:line="16" w:lineRule="exact"/>
        <w:rPr>
          <w:sz w:val="20"/>
          <w:szCs w:val="20"/>
          <w:color w:val="auto"/>
        </w:rPr>
      </w:pPr>
    </w:p>
    <w:p>
      <w:pPr>
        <w:jc w:val="both"/>
        <w:spacing w:after="0"/>
        <w:rPr>
          <w:sz w:val="20"/>
          <w:szCs w:val="20"/>
          <w:color w:val="auto"/>
        </w:rPr>
      </w:pPr>
      <w:r>
        <w:rPr>
          <w:rFonts w:ascii="Arial" w:cs="Arial" w:eastAsia="Arial" w:hAnsi="Arial"/>
          <w:sz w:val="20"/>
          <w:szCs w:val="20"/>
          <w:color w:val="auto"/>
        </w:rPr>
        <w:t>Form 10-K for the year ended December 31, 2017, the Current Report on Form 8-K filed on March 16, 2018 and other periodic filings made with the SEC. All of the Company’s forward-looking statements should be considered in light of these factors. In addition, other risks and uncertainties not presently known to the Company or that the Company considers immaterial could affect the accuracy of the Company’s forward-looking statements, or adversely affect or be material to the Company. The Company assumes no obligation to update any such forward-looking statements.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INVESTOR ACCESS TO COMPANY FILINGS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Shareholders may obtain, without charge, a copy of Martin Marietta’s Annual Report on Form 10-K, as filed with the Securities and Exchange Commission for the fiscal year ended December 31, 2017, by writing to:</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20"/>
          <w:szCs w:val="20"/>
          <w:color w:val="auto"/>
        </w:rPr>
        <w:t>Martin Marietta</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20"/>
          <w:szCs w:val="20"/>
          <w:color w:val="auto"/>
        </w:rPr>
        <w:t>Attn: Corporate Secretary</w:t>
      </w:r>
    </w:p>
    <w:p>
      <w:pPr>
        <w:ind w:left="260"/>
        <w:spacing w:after="0"/>
        <w:rPr>
          <w:sz w:val="20"/>
          <w:szCs w:val="20"/>
          <w:color w:val="auto"/>
        </w:rPr>
      </w:pPr>
      <w:r>
        <w:rPr>
          <w:rFonts w:ascii="Arial" w:cs="Arial" w:eastAsia="Arial" w:hAnsi="Arial"/>
          <w:sz w:val="20"/>
          <w:szCs w:val="20"/>
          <w:color w:val="auto"/>
        </w:rPr>
        <w:t>2710 Wycliff Road</w:t>
      </w:r>
    </w:p>
    <w:p>
      <w:pPr>
        <w:ind w:left="260"/>
        <w:spacing w:after="0"/>
        <w:rPr>
          <w:sz w:val="20"/>
          <w:szCs w:val="20"/>
          <w:color w:val="auto"/>
        </w:rPr>
      </w:pPr>
      <w:r>
        <w:rPr>
          <w:rFonts w:ascii="Arial" w:cs="Arial" w:eastAsia="Arial" w:hAnsi="Arial"/>
          <w:sz w:val="20"/>
          <w:szCs w:val="20"/>
          <w:color w:val="auto"/>
        </w:rPr>
        <w:t>Raleigh, North Carolina 27607-3033</w:t>
      </w:r>
    </w:p>
    <w:p>
      <w:pPr>
        <w:spacing w:after="0" w:line="9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Additionally, Martin Marietta’s Annual Report, press releases and filings with the Securities and Exchange Commission, including Forms 10-K, 10-Q, 8-K and 11-K, can generally be accessed via the Company’s website. Filings with the Securities and Exchange Commission accessed via the website are available through a link with the Electronic Data Gathering, Analysis, and Retrieval (EDGAR) system. Accordingly, access to such filings is available upon EDGAR placing the related document in its database. Investor relations contact information is as follows:</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20"/>
          <w:szCs w:val="20"/>
          <w:color w:val="auto"/>
        </w:rPr>
        <w:t>Telephone: (919) 510-4776</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20"/>
          <w:szCs w:val="20"/>
          <w:color w:val="auto"/>
        </w:rPr>
        <w:t>Website address: www.martinmarietta.com</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color w:val="auto"/>
        </w:rPr>
        <w:t>Information included on the Company’s website is not incorporated into, or otherwise create a part of, this report.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50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2018</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Item 3. Quantitative and Qualitative Disclosures About Market Risk.</w:t>
      </w:r>
    </w:p>
    <w:p>
      <w:pPr>
        <w:spacing w:after="0" w:line="108"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color w:val="auto"/>
        </w:rPr>
        <w:t>The Company’s operations are highly dependent upon the interest rate-sensitive construction and steelmaking industries. Consequently, these marketplaces could experience lower levels of economic activity in an environment of rising interest rates or escalating costs.</w:t>
      </w:r>
    </w:p>
    <w:p>
      <w:pPr>
        <w:spacing w:after="0" w:line="2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Management has considered the current economic environment and its potential impact to the Company’s business. Demand for aggregates products, particularly in the infrastructure construction market, is affected by federal and state budget and deficit issues. Further, delays or cancellations of capital projects in the nonresidential and residential construction markets could occur if companies and consumers are unable to obtain financing for construction projects or if consumer confidence continues to be eroded by economic uncertainty.</w:t>
      </w:r>
    </w:p>
    <w:p>
      <w:pPr>
        <w:spacing w:after="0" w:line="5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Demand in the residential construction market is affected by interest rates. The Federal Reserve has raised rates three times during 2018, increasing the federal funds rate to 2.2%. The residential construction market accounted for 21% of the Company’s aggregates product line shipments in 2017.</w:t>
      </w:r>
    </w:p>
    <w:p>
      <w:pPr>
        <w:spacing w:after="0" w:line="7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Aside from these inherent risks from within its operations, the Company’s earnings are also affected by changes in short-term interest rates. However, rising interest rates are not necessarily predictive of weaker operating results. Historically, the Company’s profitability increased during periods of rising interest rates. In essence, the Company’s underlying business generally serves as a natural hedge to rising interest rates.</w:t>
      </w:r>
    </w:p>
    <w:p>
      <w:pPr>
        <w:spacing w:after="0" w:line="8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i w:val="1"/>
          <w:iCs w:val="1"/>
          <w:color w:val="auto"/>
        </w:rPr>
        <w:t xml:space="preserve">Variable-Rate Borrowing Facilities. </w:t>
      </w:r>
      <w:r>
        <w:rPr>
          <w:rFonts w:ascii="Arial" w:cs="Arial" w:eastAsia="Arial" w:hAnsi="Arial"/>
          <w:sz w:val="19"/>
          <w:szCs w:val="19"/>
          <w:color w:val="auto"/>
        </w:rPr>
        <w:t>At September 30, 2018, the Company had a $700 million Revolving Facility and a $400 million Trade</w:t>
      </w:r>
      <w:r>
        <w:rPr>
          <w:rFonts w:ascii="Arial" w:cs="Arial" w:eastAsia="Arial" w:hAnsi="Arial"/>
          <w:sz w:val="19"/>
          <w:szCs w:val="19"/>
          <w:i w:val="1"/>
          <w:iCs w:val="1"/>
          <w:color w:val="auto"/>
        </w:rPr>
        <w:t xml:space="preserve"> </w:t>
      </w:r>
      <w:r>
        <w:rPr>
          <w:rFonts w:ascii="Arial" w:cs="Arial" w:eastAsia="Arial" w:hAnsi="Arial"/>
          <w:sz w:val="19"/>
          <w:szCs w:val="19"/>
          <w:color w:val="auto"/>
        </w:rPr>
        <w:t>Receivable Facility. The Company also has $600 million variable-rate senior notes. Borrowings under these facilities bear interest at a variable interest rate. A hypothetical 100-basis-point increase in interest rates on borrowings of $1.08 billion, which was the collective outstanding balance at September 30, 2018, would increase interest expense by $10.8 million on an annual basis.</w:t>
      </w:r>
    </w:p>
    <w:p>
      <w:pPr>
        <w:spacing w:after="0" w:line="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 xml:space="preserve">Pension Expense. </w:t>
      </w:r>
      <w:r>
        <w:rPr>
          <w:rFonts w:ascii="Arial" w:cs="Arial" w:eastAsia="Arial" w:hAnsi="Arial"/>
          <w:sz w:val="18"/>
          <w:szCs w:val="18"/>
          <w:color w:val="auto"/>
        </w:rPr>
        <w:t>The Company’s results of operations are affected by its pension expense. Assumptions that affect pension expense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the discount rate and, for the qualified defined benefit pension plan only, the expected long-term rate of return on assets. Therefore, the Company has interest rate risk associated with these factors. The impact of hypothetical changes in these assumptions on the Company’s annual pension expense is discussed in the Company’s Annual Report on Form 10-K for the year ended December 31, 2017.</w:t>
      </w:r>
    </w:p>
    <w:p>
      <w:pPr>
        <w:spacing w:after="0" w:line="5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i w:val="1"/>
          <w:iCs w:val="1"/>
          <w:color w:val="auto"/>
        </w:rPr>
        <w:t>Energy Costs</w:t>
      </w:r>
      <w:r>
        <w:rPr>
          <w:rFonts w:ascii="Arial" w:cs="Arial" w:eastAsia="Arial" w:hAnsi="Arial"/>
          <w:sz w:val="20"/>
          <w:szCs w:val="20"/>
          <w:color w:val="auto"/>
        </w:rPr>
        <w:t>. Energy costs, including diesel fuel, natural gas, coal and liquid asphalt, represent significant production costs of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The cement operations and Magnesia Specialties business have fixed price agreements covering 100% of its 2018 coal requirements. Energy costs for the nine-months ended September 30, 2018 increased approximately 13% over the prior-year period. A hypothetical 15% change in the Company’s energy prices for the full year 2018 as compared with 2017, assuming constant volumes, would change full year 2018 energy expense by $37.4 million.</w:t>
      </w:r>
    </w:p>
    <w:p>
      <w:pPr>
        <w:spacing w:after="0" w:line="87" w:lineRule="exact"/>
        <w:rPr>
          <w:sz w:val="20"/>
          <w:szCs w:val="20"/>
          <w:color w:val="auto"/>
        </w:rPr>
      </w:pPr>
    </w:p>
    <w:p>
      <w:pPr>
        <w:jc w:val="both"/>
        <w:spacing w:after="0" w:line="242" w:lineRule="auto"/>
        <w:rPr>
          <w:sz w:val="20"/>
          <w:szCs w:val="20"/>
          <w:color w:val="auto"/>
        </w:rPr>
      </w:pPr>
      <w:r>
        <w:rPr>
          <w:rFonts w:ascii="Arial" w:cs="Arial" w:eastAsia="Arial" w:hAnsi="Arial"/>
          <w:sz w:val="20"/>
          <w:szCs w:val="20"/>
          <w:i w:val="1"/>
          <w:iCs w:val="1"/>
          <w:color w:val="auto"/>
        </w:rPr>
        <w:t xml:space="preserve">Commodity Risk. </w:t>
      </w:r>
      <w:r>
        <w:rPr>
          <w:rFonts w:ascii="Arial" w:cs="Arial" w:eastAsia="Arial" w:hAnsi="Arial"/>
          <w:sz w:val="20"/>
          <w:szCs w:val="20"/>
          <w:color w:val="auto"/>
        </w:rPr>
        <w:t>Cement is a commodity and competition is based principally on price, which is highly sensitive to changes in supply and</w:t>
      </w:r>
      <w:r>
        <w:rPr>
          <w:rFonts w:ascii="Arial" w:cs="Arial" w:eastAsia="Arial" w:hAnsi="Arial"/>
          <w:sz w:val="20"/>
          <w:szCs w:val="20"/>
          <w:i w:val="1"/>
          <w:iCs w:val="1"/>
          <w:color w:val="auto"/>
        </w:rPr>
        <w:t xml:space="preserve"> </w:t>
      </w:r>
      <w:r>
        <w:rPr>
          <w:rFonts w:ascii="Arial" w:cs="Arial" w:eastAsia="Arial" w:hAnsi="Arial"/>
          <w:sz w:val="20"/>
          <w:szCs w:val="20"/>
          <w:color w:val="auto"/>
        </w:rPr>
        <w:t>demand. Prices are often subject to material changes in response to relatively minor fluctuations in supply and demand, general economic conditions and other market conditions beyond the Company’s control. Increases in the production capacity of industry participants or increases in cement imports tend to create an oversupply of such products leading to an imbalance between supply and demand, which can have a negative impact on product prices. There can be no assurance that prices for products sold will not decline in the future or that such declines will not have a material adverse effect on the Company’s business, financial condition and results of operations. Assuming total revenues for cement for full-year 2018 of $415 million to $445 million, a hypothetical 10% change in sales price would impact net sales by $41.5 million to $44.5 million.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51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FORM 10-Q</w:t>
      </w:r>
    </w:p>
    <w:p>
      <w:pPr>
        <w:jc w:val="center"/>
        <w:ind w:right="-19"/>
        <w:spacing w:after="0"/>
        <w:rPr>
          <w:sz w:val="20"/>
          <w:szCs w:val="20"/>
          <w:color w:val="auto"/>
        </w:rPr>
      </w:pPr>
      <w:r>
        <w:rPr>
          <w:rFonts w:ascii="Arial" w:cs="Arial" w:eastAsia="Arial" w:hAnsi="Arial"/>
          <w:sz w:val="20"/>
          <w:szCs w:val="20"/>
          <w:color w:val="auto"/>
        </w:rPr>
        <w:t>For the Quarter Ended September 30, 2018</w:t>
      </w:r>
    </w:p>
    <w:p>
      <w:pPr>
        <w:jc w:val="center"/>
        <w:ind w:right="-19"/>
        <w:spacing w:after="0"/>
        <w:rPr>
          <w:sz w:val="20"/>
          <w:szCs w:val="20"/>
          <w:color w:val="auto"/>
        </w:rPr>
      </w:pPr>
      <w:r>
        <w:rPr>
          <w:rFonts w:ascii="Arial" w:cs="Arial" w:eastAsia="Arial" w:hAnsi="Arial"/>
          <w:sz w:val="20"/>
          <w:szCs w:val="20"/>
          <w:color w:val="auto"/>
        </w:rPr>
        <w:t>(Continued)</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color w:val="auto"/>
        </w:rPr>
        <w:t>Item 4. Controls and Procedures</w:t>
      </w:r>
    </w:p>
    <w:p>
      <w:pPr>
        <w:spacing w:after="0" w:line="108"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As of September 30, 2018, an evaluation was performed under the supervision and with the participation of the Company’s management, including the Chief Executive Officer and Chief Financial Officer, of the effectiveness of the design and the operation of the Company’s disclosure controls and procedures. Based on that evaluation, the Company’s management, including the Chief Executive Officer and Chief Financial Officer, concluded that the Company’s disclosure controls and procedures were effective as of September 30, 2018. There were no changes in the Company’s internal control over financial reporting during the most recently completed fiscal quarter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Page 52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20"/>
          <w:szCs w:val="20"/>
          <w:color w:val="auto"/>
        </w:rPr>
        <w:t>MARTIN MARIETTA MATERIALS, INC. AND CONSOLIDATED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10-Q</w:t>
      </w:r>
    </w:p>
    <w:p>
      <w:pPr>
        <w:jc w:val="center"/>
        <w:spacing w:after="0"/>
        <w:rPr>
          <w:sz w:val="20"/>
          <w:szCs w:val="20"/>
          <w:color w:val="auto"/>
        </w:rPr>
      </w:pPr>
      <w:r>
        <w:rPr>
          <w:rFonts w:ascii="Arial" w:cs="Arial" w:eastAsia="Arial" w:hAnsi="Arial"/>
          <w:sz w:val="20"/>
          <w:szCs w:val="20"/>
          <w:color w:val="auto"/>
        </w:rPr>
        <w:t>For the Quarter Ended September 30, 2018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PART II- 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1. Legal Proceedings.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Reference is made to </w:t>
      </w:r>
      <w:r>
        <w:rPr>
          <w:rFonts w:ascii="Arial" w:cs="Arial" w:eastAsia="Arial" w:hAnsi="Arial"/>
          <w:sz w:val="20"/>
          <w:szCs w:val="20"/>
          <w:i w:val="1"/>
          <w:iCs w:val="1"/>
          <w:color w:val="auto"/>
        </w:rPr>
        <w:t>Part I</w:t>
      </w:r>
      <w:r>
        <w:rPr>
          <w:rFonts w:ascii="Arial" w:cs="Arial" w:eastAsia="Arial" w:hAnsi="Arial"/>
          <w:sz w:val="20"/>
          <w:szCs w:val="20"/>
          <w:color w:val="auto"/>
        </w:rPr>
        <w:t xml:space="preserve">. </w:t>
      </w:r>
      <w:r>
        <w:rPr>
          <w:rFonts w:ascii="Arial" w:cs="Arial" w:eastAsia="Arial" w:hAnsi="Arial"/>
          <w:sz w:val="20"/>
          <w:szCs w:val="20"/>
          <w:i w:val="1"/>
          <w:iCs w:val="1"/>
          <w:color w:val="auto"/>
        </w:rPr>
        <w:t>Item 3. Legal Proceedings</w:t>
      </w:r>
      <w:r>
        <w:rPr>
          <w:rFonts w:ascii="Arial" w:cs="Arial" w:eastAsia="Arial" w:hAnsi="Arial"/>
          <w:sz w:val="20"/>
          <w:szCs w:val="20"/>
          <w:color w:val="auto"/>
        </w:rPr>
        <w:t xml:space="preserve"> of the Martin Marietta Annual Report on Form 10-K for the year ended December 31, 2017.</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1A. Risk Factors.</w:t>
      </w:r>
    </w:p>
    <w:p>
      <w:pPr>
        <w:spacing w:after="0" w:line="10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Reference is made to </w:t>
      </w:r>
      <w:r>
        <w:rPr>
          <w:rFonts w:ascii="Arial" w:cs="Arial" w:eastAsia="Arial" w:hAnsi="Arial"/>
          <w:sz w:val="19"/>
          <w:szCs w:val="19"/>
          <w:i w:val="1"/>
          <w:iCs w:val="1"/>
          <w:color w:val="auto"/>
        </w:rPr>
        <w:t>Part I. Item 1A. Risk Factors and Forward-Looking Statements</w:t>
      </w:r>
      <w:r>
        <w:rPr>
          <w:rFonts w:ascii="Arial" w:cs="Arial" w:eastAsia="Arial" w:hAnsi="Arial"/>
          <w:sz w:val="19"/>
          <w:szCs w:val="19"/>
          <w:color w:val="auto"/>
        </w:rPr>
        <w:t xml:space="preserve"> of the Martin Marietta Annual Report on Form 10-K for the year ended December 31, 2017 and the Current Report on Form 8-K of Marin Marietta Materials, Inc. filed on March 16, 2018.</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2. Unregistered Sales of Equity Securities and Use of Proceeds</w:t>
      </w:r>
      <w:r>
        <w:rPr>
          <w:rFonts w:ascii="Arial" w:cs="Arial" w:eastAsia="Arial" w:hAnsi="Arial"/>
          <w:sz w:val="20"/>
          <w:szCs w:val="20"/>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ISSUER PURCHASES OF EQUITY SECURITIES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center"/>
              <w:spacing w:after="0"/>
              <w:rPr>
                <w:sz w:val="20"/>
                <w:szCs w:val="20"/>
                <w:color w:val="auto"/>
              </w:rPr>
            </w:pPr>
            <w:r>
              <w:rPr>
                <w:rFonts w:ascii="Arial" w:cs="Arial" w:eastAsia="Arial" w:hAnsi="Arial"/>
                <w:sz w:val="20"/>
                <w:szCs w:val="20"/>
                <w:color w:val="auto"/>
                <w:w w:val="89"/>
              </w:rPr>
              <w:t>Total Number of Shares</w:t>
            </w:r>
          </w:p>
        </w:tc>
        <w:tc>
          <w:tcPr>
            <w:tcW w:w="240" w:type="dxa"/>
            <w:vAlign w:val="bottom"/>
          </w:tcPr>
          <w:p>
            <w:pPr>
              <w:spacing w:after="0"/>
              <w:rPr>
                <w:sz w:val="21"/>
                <w:szCs w:val="21"/>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20"/>
                <w:szCs w:val="20"/>
                <w:color w:val="auto"/>
                <w:w w:val="92"/>
              </w:rPr>
              <w:t>Maximum Number of</w:t>
            </w:r>
          </w:p>
        </w:tc>
      </w:tr>
      <w:tr>
        <w:trPr>
          <w:trHeight w:val="243"/>
        </w:trPr>
        <w:tc>
          <w:tcPr>
            <w:tcW w:w="2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center"/>
              <w:spacing w:after="0"/>
              <w:rPr>
                <w:sz w:val="20"/>
                <w:szCs w:val="20"/>
                <w:color w:val="auto"/>
              </w:rPr>
            </w:pPr>
            <w:r>
              <w:rPr>
                <w:rFonts w:ascii="Arial" w:cs="Arial" w:eastAsia="Arial" w:hAnsi="Arial"/>
                <w:sz w:val="20"/>
                <w:szCs w:val="20"/>
                <w:color w:val="auto"/>
                <w:w w:val="86"/>
              </w:rPr>
              <w:t>Purchased as Part of</w:t>
            </w:r>
          </w:p>
        </w:tc>
        <w:tc>
          <w:tcPr>
            <w:tcW w:w="240" w:type="dxa"/>
            <w:vAlign w:val="bottom"/>
          </w:tcPr>
          <w:p>
            <w:pPr>
              <w:spacing w:after="0"/>
              <w:rPr>
                <w:sz w:val="21"/>
                <w:szCs w:val="21"/>
                <w:color w:val="auto"/>
              </w:rPr>
            </w:pPr>
          </w:p>
        </w:tc>
        <w:tc>
          <w:tcPr>
            <w:tcW w:w="1860" w:type="dxa"/>
            <w:vAlign w:val="bottom"/>
            <w:gridSpan w:val="2"/>
          </w:tcPr>
          <w:p>
            <w:pPr>
              <w:ind w:left="80"/>
              <w:spacing w:after="0"/>
              <w:rPr>
                <w:sz w:val="20"/>
                <w:szCs w:val="20"/>
                <w:color w:val="auto"/>
              </w:rPr>
            </w:pPr>
            <w:r>
              <w:rPr>
                <w:rFonts w:ascii="Arial" w:cs="Arial" w:eastAsia="Arial" w:hAnsi="Arial"/>
                <w:sz w:val="20"/>
                <w:szCs w:val="20"/>
                <w:color w:val="auto"/>
                <w:w w:val="97"/>
              </w:rPr>
              <w:t>Shares that May Yet</w:t>
            </w:r>
          </w:p>
        </w:tc>
      </w:tr>
      <w:tr>
        <w:trPr>
          <w:trHeight w:val="243"/>
        </w:trPr>
        <w:tc>
          <w:tcPr>
            <w:tcW w:w="2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ind w:right="21"/>
              <w:spacing w:after="0"/>
              <w:rPr>
                <w:sz w:val="20"/>
                <w:szCs w:val="20"/>
                <w:color w:val="auto"/>
              </w:rPr>
            </w:pPr>
            <w:r>
              <w:rPr>
                <w:rFonts w:ascii="Arial" w:cs="Arial" w:eastAsia="Arial" w:hAnsi="Arial"/>
                <w:sz w:val="20"/>
                <w:szCs w:val="20"/>
                <w:color w:val="auto"/>
                <w:w w:val="97"/>
              </w:rPr>
              <w:t>Total Number of</w:t>
            </w:r>
          </w:p>
        </w:tc>
        <w:tc>
          <w:tcPr>
            <w:tcW w:w="240" w:type="dxa"/>
            <w:vAlign w:val="bottom"/>
          </w:tcPr>
          <w:p>
            <w:pPr>
              <w:spacing w:after="0"/>
              <w:rPr>
                <w:sz w:val="21"/>
                <w:szCs w:val="21"/>
                <w:color w:val="auto"/>
              </w:rPr>
            </w:pPr>
          </w:p>
        </w:tc>
        <w:tc>
          <w:tcPr>
            <w:tcW w:w="1460" w:type="dxa"/>
            <w:vAlign w:val="bottom"/>
            <w:gridSpan w:val="3"/>
          </w:tcPr>
          <w:p>
            <w:pPr>
              <w:ind w:left="40"/>
              <w:spacing w:after="0"/>
              <w:rPr>
                <w:sz w:val="20"/>
                <w:szCs w:val="20"/>
                <w:color w:val="auto"/>
              </w:rPr>
            </w:pPr>
            <w:r>
              <w:rPr>
                <w:rFonts w:ascii="Arial" w:cs="Arial" w:eastAsia="Arial" w:hAnsi="Arial"/>
                <w:sz w:val="20"/>
                <w:szCs w:val="20"/>
                <w:color w:val="auto"/>
              </w:rPr>
              <w:t>Average Price</w:t>
            </w:r>
          </w:p>
        </w:tc>
        <w:tc>
          <w:tcPr>
            <w:tcW w:w="1920" w:type="dxa"/>
            <w:vAlign w:val="bottom"/>
          </w:tcPr>
          <w:p>
            <w:pPr>
              <w:jc w:val="center"/>
              <w:spacing w:after="0"/>
              <w:rPr>
                <w:sz w:val="20"/>
                <w:szCs w:val="20"/>
                <w:color w:val="auto"/>
              </w:rPr>
            </w:pPr>
            <w:r>
              <w:rPr>
                <w:rFonts w:ascii="Arial" w:cs="Arial" w:eastAsia="Arial" w:hAnsi="Arial"/>
                <w:sz w:val="20"/>
                <w:szCs w:val="20"/>
                <w:color w:val="auto"/>
                <w:w w:val="92"/>
              </w:rPr>
              <w:t>Publicly Announced</w:t>
            </w:r>
          </w:p>
        </w:tc>
        <w:tc>
          <w:tcPr>
            <w:tcW w:w="240" w:type="dxa"/>
            <w:vAlign w:val="bottom"/>
          </w:tcPr>
          <w:p>
            <w:pPr>
              <w:spacing w:after="0"/>
              <w:rPr>
                <w:sz w:val="21"/>
                <w:szCs w:val="21"/>
                <w:color w:val="auto"/>
              </w:rPr>
            </w:pPr>
          </w:p>
        </w:tc>
        <w:tc>
          <w:tcPr>
            <w:tcW w:w="1860" w:type="dxa"/>
            <w:vAlign w:val="bottom"/>
            <w:gridSpan w:val="2"/>
          </w:tcPr>
          <w:p>
            <w:pPr>
              <w:ind w:left="80"/>
              <w:spacing w:after="0"/>
              <w:rPr>
                <w:sz w:val="20"/>
                <w:szCs w:val="20"/>
                <w:color w:val="auto"/>
              </w:rPr>
            </w:pPr>
            <w:r>
              <w:rPr>
                <w:rFonts w:ascii="Arial" w:cs="Arial" w:eastAsia="Arial" w:hAnsi="Arial"/>
                <w:sz w:val="20"/>
                <w:szCs w:val="20"/>
                <w:color w:val="auto"/>
                <w:w w:val="95"/>
              </w:rPr>
              <w:t>be Purchased Under</w:t>
            </w:r>
          </w:p>
        </w:tc>
      </w:tr>
      <w:tr>
        <w:trPr>
          <w:trHeight w:val="246"/>
        </w:trPr>
        <w:tc>
          <w:tcPr>
            <w:tcW w:w="20" w:type="dxa"/>
            <w:vAlign w:val="bottom"/>
          </w:tcPr>
          <w:p>
            <w:pPr>
              <w:spacing w:after="0"/>
              <w:rPr>
                <w:sz w:val="21"/>
                <w:szCs w:val="21"/>
                <w:color w:val="auto"/>
              </w:rPr>
            </w:pPr>
          </w:p>
        </w:tc>
        <w:tc>
          <w:tcPr>
            <w:tcW w:w="4140" w:type="dxa"/>
            <w:vAlign w:val="bottom"/>
            <w:gridSpan w:val="2"/>
          </w:tcPr>
          <w:p>
            <w:pPr>
              <w:ind w:left="1740"/>
              <w:spacing w:after="0"/>
              <w:rPr>
                <w:sz w:val="20"/>
                <w:szCs w:val="20"/>
                <w:color w:val="auto"/>
              </w:rPr>
            </w:pPr>
            <w:r>
              <w:rPr>
                <w:rFonts w:ascii="Arial" w:cs="Arial" w:eastAsia="Arial" w:hAnsi="Arial"/>
                <w:sz w:val="20"/>
                <w:szCs w:val="20"/>
                <w:color w:val="auto"/>
              </w:rPr>
              <w:t>Period</w:t>
            </w:r>
          </w:p>
        </w:tc>
        <w:tc>
          <w:tcPr>
            <w:tcW w:w="1540" w:type="dxa"/>
            <w:vAlign w:val="bottom"/>
          </w:tcPr>
          <w:p>
            <w:pPr>
              <w:jc w:val="right"/>
              <w:spacing w:after="0"/>
              <w:rPr>
                <w:sz w:val="20"/>
                <w:szCs w:val="20"/>
                <w:color w:val="auto"/>
              </w:rPr>
            </w:pPr>
            <w:r>
              <w:rPr>
                <w:rFonts w:ascii="Arial" w:cs="Arial" w:eastAsia="Arial" w:hAnsi="Arial"/>
                <w:sz w:val="20"/>
                <w:szCs w:val="20"/>
                <w:color w:val="auto"/>
                <w:w w:val="87"/>
              </w:rPr>
              <w:t>Shares Purchased</w:t>
            </w:r>
          </w:p>
        </w:tc>
        <w:tc>
          <w:tcPr>
            <w:tcW w:w="240" w:type="dxa"/>
            <w:vAlign w:val="bottom"/>
          </w:tcPr>
          <w:p>
            <w:pPr>
              <w:spacing w:after="0"/>
              <w:rPr>
                <w:sz w:val="21"/>
                <w:szCs w:val="21"/>
                <w:color w:val="auto"/>
              </w:rPr>
            </w:pPr>
          </w:p>
        </w:tc>
        <w:tc>
          <w:tcPr>
            <w:tcW w:w="1460" w:type="dxa"/>
            <w:vAlign w:val="bottom"/>
            <w:gridSpan w:val="3"/>
          </w:tcPr>
          <w:p>
            <w:pPr>
              <w:ind w:left="20"/>
              <w:spacing w:after="0"/>
              <w:rPr>
                <w:sz w:val="20"/>
                <w:szCs w:val="20"/>
                <w:color w:val="auto"/>
              </w:rPr>
            </w:pPr>
            <w:r>
              <w:rPr>
                <w:rFonts w:ascii="Arial" w:cs="Arial" w:eastAsia="Arial" w:hAnsi="Arial"/>
                <w:sz w:val="20"/>
                <w:szCs w:val="20"/>
                <w:color w:val="auto"/>
              </w:rPr>
              <w:t>Paid per Share</w:t>
            </w:r>
          </w:p>
        </w:tc>
        <w:tc>
          <w:tcPr>
            <w:tcW w:w="1920" w:type="dxa"/>
            <w:vAlign w:val="bottom"/>
          </w:tcPr>
          <w:p>
            <w:pPr>
              <w:jc w:val="center"/>
              <w:spacing w:after="0"/>
              <w:rPr>
                <w:sz w:val="20"/>
                <w:szCs w:val="20"/>
                <w:color w:val="auto"/>
              </w:rPr>
            </w:pPr>
            <w:r>
              <w:rPr>
                <w:rFonts w:ascii="Arial" w:cs="Arial" w:eastAsia="Arial" w:hAnsi="Arial"/>
                <w:sz w:val="20"/>
                <w:szCs w:val="20"/>
                <w:color w:val="auto"/>
                <w:w w:val="88"/>
              </w:rPr>
              <w:t>Plans or Programs</w:t>
            </w:r>
          </w:p>
        </w:tc>
        <w:tc>
          <w:tcPr>
            <w:tcW w:w="2100" w:type="dxa"/>
            <w:vAlign w:val="bottom"/>
            <w:gridSpan w:val="3"/>
          </w:tcPr>
          <w:p>
            <w:pPr>
              <w:jc w:val="right"/>
              <w:ind w:right="120"/>
              <w:spacing w:after="0"/>
              <w:rPr>
                <w:sz w:val="20"/>
                <w:szCs w:val="20"/>
                <w:color w:val="auto"/>
              </w:rPr>
            </w:pPr>
            <w:r>
              <w:rPr>
                <w:rFonts w:ascii="Arial" w:cs="Arial" w:eastAsia="Arial" w:hAnsi="Arial"/>
                <w:sz w:val="20"/>
                <w:szCs w:val="20"/>
                <w:color w:val="auto"/>
                <w:w w:val="98"/>
              </w:rPr>
              <w:t>the Plans or Programs</w:t>
            </w:r>
          </w:p>
        </w:tc>
      </w:tr>
      <w:tr>
        <w:trPr>
          <w:trHeight w:val="237"/>
        </w:trPr>
        <w:tc>
          <w:tcPr>
            <w:tcW w:w="20" w:type="dxa"/>
            <w:vAlign w:val="bottom"/>
          </w:tcPr>
          <w:p>
            <w:pPr>
              <w:spacing w:after="0"/>
              <w:rPr>
                <w:sz w:val="20"/>
                <w:szCs w:val="20"/>
                <w:color w:val="auto"/>
              </w:rPr>
            </w:pPr>
          </w:p>
        </w:tc>
        <w:tc>
          <w:tcPr>
            <w:tcW w:w="402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July 1, 2018 - July 31, 2018</w:t>
            </w:r>
          </w:p>
        </w:tc>
        <w:tc>
          <w:tcPr>
            <w:tcW w:w="12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0"/>
                <w:szCs w:val="20"/>
                <w:color w:val="auto"/>
              </w:rPr>
            </w:pPr>
          </w:p>
        </w:tc>
        <w:tc>
          <w:tcPr>
            <w:tcW w:w="380" w:type="dxa"/>
            <w:vAlign w:val="bottom"/>
            <w:tcBorders>
              <w:top w:val="single" w:sz="8" w:color="auto"/>
            </w:tcBorders>
          </w:tcPr>
          <w:p>
            <w:pPr>
              <w:jc w:val="right"/>
              <w:ind w:right="181"/>
              <w:spacing w:after="0"/>
              <w:rPr>
                <w:sz w:val="20"/>
                <w:szCs w:val="20"/>
                <w:color w:val="auto"/>
              </w:rPr>
            </w:pPr>
            <w:r>
              <w:rPr>
                <w:rFonts w:ascii="Arial" w:cs="Arial" w:eastAsia="Arial" w:hAnsi="Arial"/>
                <w:sz w:val="20"/>
                <w:szCs w:val="20"/>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0"/>
                <w:szCs w:val="20"/>
                <w:color w:val="auto"/>
              </w:rPr>
            </w:pP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14,668,891</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14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August 1, 2018 - August 31, 2018</w:t>
            </w:r>
          </w:p>
        </w:tc>
        <w:tc>
          <w:tcPr>
            <w:tcW w:w="15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175,000</w:t>
            </w:r>
          </w:p>
        </w:tc>
        <w:tc>
          <w:tcPr>
            <w:tcW w:w="620" w:type="dxa"/>
            <w:vAlign w:val="bottom"/>
            <w:gridSpan w:val="2"/>
            <w:shd w:val="clear" w:color="auto" w:fill="CFF0FC"/>
          </w:tcPr>
          <w:p>
            <w:pPr>
              <w:jc w:val="right"/>
              <w:ind w:right="181"/>
              <w:spacing w:after="0"/>
              <w:rPr>
                <w:sz w:val="20"/>
                <w:szCs w:val="20"/>
                <w:color w:val="auto"/>
              </w:rPr>
            </w:pPr>
            <w:r>
              <w:rPr>
                <w:rFonts w:ascii="Arial" w:cs="Arial" w:eastAsia="Arial" w:hAnsi="Arial"/>
                <w:sz w:val="20"/>
                <w:szCs w:val="20"/>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202.49</w:t>
            </w:r>
          </w:p>
        </w:tc>
        <w:tc>
          <w:tcPr>
            <w:tcW w:w="240" w:type="dxa"/>
            <w:vAlign w:val="bottom"/>
            <w:shd w:val="clear" w:color="auto" w:fill="CFF0FC"/>
          </w:tcPr>
          <w:p>
            <w:pPr>
              <w:spacing w:after="0"/>
              <w:rPr>
                <w:sz w:val="21"/>
                <w:szCs w:val="21"/>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175,000</w:t>
            </w:r>
          </w:p>
        </w:tc>
        <w:tc>
          <w:tcPr>
            <w:tcW w:w="2000" w:type="dxa"/>
            <w:vAlign w:val="bottom"/>
            <w:gridSpan w:val="2"/>
            <w:shd w:val="clear" w:color="auto" w:fill="CFF0FC"/>
          </w:tcPr>
          <w:p>
            <w:pPr>
              <w:jc w:val="right"/>
              <w:spacing w:after="0"/>
              <w:rPr>
                <w:sz w:val="20"/>
                <w:szCs w:val="20"/>
                <w:color w:val="auto"/>
              </w:rPr>
            </w:pPr>
            <w:r>
              <w:rPr>
                <w:rFonts w:ascii="Arial" w:cs="Arial" w:eastAsia="Arial" w:hAnsi="Arial"/>
                <w:sz w:val="20"/>
                <w:szCs w:val="20"/>
                <w:color w:val="auto"/>
              </w:rPr>
              <w:t>14,493,891</w:t>
            </w:r>
          </w:p>
        </w:tc>
        <w:tc>
          <w:tcPr>
            <w:tcW w:w="100" w:type="dxa"/>
            <w:vAlign w:val="bottom"/>
            <w:shd w:val="clear" w:color="auto" w:fill="CFF0FC"/>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4140" w:type="dxa"/>
            <w:vAlign w:val="bottom"/>
            <w:gridSpan w:val="2"/>
          </w:tcPr>
          <w:p>
            <w:pPr>
              <w:spacing w:after="0"/>
              <w:rPr>
                <w:sz w:val="20"/>
                <w:szCs w:val="20"/>
                <w:color w:val="auto"/>
              </w:rPr>
            </w:pPr>
            <w:r>
              <w:rPr>
                <w:rFonts w:ascii="Arial" w:cs="Arial" w:eastAsia="Arial" w:hAnsi="Arial"/>
                <w:sz w:val="20"/>
                <w:szCs w:val="20"/>
                <w:color w:val="auto"/>
              </w:rPr>
              <w:t>September 1, 2018 - September 30, 2018</w:t>
            </w:r>
          </w:p>
        </w:tc>
        <w:tc>
          <w:tcPr>
            <w:tcW w:w="1540" w:type="dxa"/>
            <w:vAlign w:val="bottom"/>
          </w:tcPr>
          <w:p>
            <w:pPr>
              <w:jc w:val="right"/>
              <w:spacing w:after="0"/>
              <w:rPr>
                <w:sz w:val="20"/>
                <w:szCs w:val="20"/>
                <w:color w:val="auto"/>
              </w:rPr>
            </w:pPr>
            <w:r>
              <w:rPr>
                <w:rFonts w:ascii="Arial" w:cs="Arial" w:eastAsia="Arial" w:hAnsi="Arial"/>
                <w:sz w:val="20"/>
                <w:szCs w:val="20"/>
                <w:color w:val="auto"/>
              </w:rPr>
              <w:t>129,568</w:t>
            </w:r>
          </w:p>
        </w:tc>
        <w:tc>
          <w:tcPr>
            <w:tcW w:w="620" w:type="dxa"/>
            <w:vAlign w:val="bottom"/>
            <w:gridSpan w:val="2"/>
          </w:tcPr>
          <w:p>
            <w:pPr>
              <w:jc w:val="right"/>
              <w:ind w:right="181"/>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192.49</w:t>
            </w: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20"/>
                <w:szCs w:val="20"/>
                <w:color w:val="auto"/>
              </w:rPr>
              <w:t>129,568</w:t>
            </w:r>
          </w:p>
        </w:tc>
        <w:tc>
          <w:tcPr>
            <w:tcW w:w="2000" w:type="dxa"/>
            <w:vAlign w:val="bottom"/>
            <w:gridSpan w:val="2"/>
          </w:tcPr>
          <w:p>
            <w:pPr>
              <w:jc w:val="right"/>
              <w:spacing w:after="0"/>
              <w:rPr>
                <w:sz w:val="20"/>
                <w:szCs w:val="20"/>
                <w:color w:val="auto"/>
              </w:rPr>
            </w:pPr>
            <w:r>
              <w:rPr>
                <w:rFonts w:ascii="Arial" w:cs="Arial" w:eastAsia="Arial" w:hAnsi="Arial"/>
                <w:sz w:val="20"/>
                <w:szCs w:val="20"/>
                <w:color w:val="auto"/>
              </w:rPr>
              <w:t>14,364,323</w:t>
            </w:r>
          </w:p>
        </w:tc>
        <w:tc>
          <w:tcPr>
            <w:tcW w:w="100" w:type="dxa"/>
            <w:vAlign w:val="bottom"/>
          </w:tcPr>
          <w:p>
            <w:pPr>
              <w:spacing w:after="0"/>
              <w:rPr>
                <w:sz w:val="21"/>
                <w:szCs w:val="21"/>
                <w:color w:val="auto"/>
              </w:rPr>
            </w:pPr>
          </w:p>
        </w:tc>
      </w:tr>
    </w:tbl>
    <w:p>
      <w:pPr>
        <w:spacing w:after="0" w:line="21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Reference is made to the press release dated February 10, 2015 for the December 31, 2014 fourth-quarter and full-year results and announcement of the share repurchase program. The Company’s Board of Directors authorized a maximum of 20 million shares to be repurchased under the program. The program does not have an expiration date.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Item 4. Mine Safety Disclosures.</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information concerning mine safety violations or other regulatory matters required by Section 1503(a) of the Dodd-Frank Wall Street Reform and Consumer Protection Act and Item 104 of Regulation S-K (17 CFR 229.104) is included in Exhibit 95 to this Quarterly Report on Form 10-Q.</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53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1"/>
        </w:trPr>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100" w:type="dxa"/>
            <w:vAlign w:val="bottom"/>
          </w:tcPr>
          <w:p>
            <w:pPr>
              <w:jc w:val="center"/>
              <w:ind w:right="1221"/>
              <w:spacing w:after="0"/>
              <w:rPr>
                <w:sz w:val="20"/>
                <w:szCs w:val="20"/>
                <w:color w:val="auto"/>
              </w:rPr>
            </w:pPr>
            <w:r>
              <w:rPr>
                <w:rFonts w:ascii="Arial" w:cs="Arial" w:eastAsia="Arial" w:hAnsi="Arial"/>
                <w:sz w:val="20"/>
                <w:szCs w:val="20"/>
                <w:color w:val="auto"/>
                <w:w w:val="97"/>
              </w:rPr>
              <w:t>MARTIN MARIETTA MATERIALS, INC. AND CONSOLIDATED SUBSIDIARIES</w:t>
            </w:r>
          </w:p>
        </w:tc>
      </w:tr>
      <w:tr>
        <w:trPr>
          <w:trHeight w:val="230"/>
        </w:trPr>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100" w:type="dxa"/>
            <w:vAlign w:val="bottom"/>
          </w:tcPr>
          <w:p>
            <w:pPr>
              <w:jc w:val="center"/>
              <w:ind w:right="1221"/>
              <w:spacing w:after="0"/>
              <w:rPr>
                <w:sz w:val="20"/>
                <w:szCs w:val="20"/>
                <w:color w:val="auto"/>
              </w:rPr>
            </w:pPr>
            <w:r>
              <w:rPr>
                <w:rFonts w:ascii="Arial" w:cs="Arial" w:eastAsia="Arial" w:hAnsi="Arial"/>
                <w:sz w:val="20"/>
                <w:szCs w:val="20"/>
                <w:color w:val="auto"/>
                <w:w w:val="93"/>
              </w:rPr>
              <w:t>FORM 10-Q</w:t>
            </w:r>
          </w:p>
        </w:tc>
      </w:tr>
      <w:tr>
        <w:trPr>
          <w:trHeight w:val="250"/>
        </w:trPr>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100" w:type="dxa"/>
            <w:vAlign w:val="bottom"/>
          </w:tcPr>
          <w:p>
            <w:pPr>
              <w:jc w:val="center"/>
              <w:ind w:right="1221"/>
              <w:spacing w:after="0"/>
              <w:rPr>
                <w:sz w:val="20"/>
                <w:szCs w:val="20"/>
                <w:color w:val="auto"/>
              </w:rPr>
            </w:pPr>
            <w:r>
              <w:rPr>
                <w:rFonts w:ascii="Arial" w:cs="Arial" w:eastAsia="Arial" w:hAnsi="Arial"/>
                <w:sz w:val="20"/>
                <w:szCs w:val="20"/>
                <w:color w:val="auto"/>
                <w:w w:val="88"/>
              </w:rPr>
              <w:t>For the Quarter Ended September 30, 2018</w:t>
            </w:r>
          </w:p>
        </w:tc>
      </w:tr>
      <w:tr>
        <w:trPr>
          <w:trHeight w:val="425"/>
        </w:trPr>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100" w:type="dxa"/>
            <w:vAlign w:val="bottom"/>
          </w:tcPr>
          <w:p>
            <w:pPr>
              <w:jc w:val="center"/>
              <w:ind w:right="1201"/>
              <w:spacing w:after="0"/>
              <w:rPr>
                <w:sz w:val="20"/>
                <w:szCs w:val="20"/>
                <w:color w:val="auto"/>
              </w:rPr>
            </w:pPr>
            <w:r>
              <w:rPr>
                <w:rFonts w:ascii="Arial" w:cs="Arial" w:eastAsia="Arial" w:hAnsi="Arial"/>
                <w:sz w:val="20"/>
                <w:szCs w:val="20"/>
                <w:color w:val="auto"/>
                <w:w w:val="95"/>
              </w:rPr>
              <w:t>PART II- OTHER INFORMATION</w:t>
            </w:r>
          </w:p>
        </w:tc>
      </w:tr>
      <w:tr>
        <w:trPr>
          <w:trHeight w:val="250"/>
        </w:trPr>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100" w:type="dxa"/>
            <w:vAlign w:val="bottom"/>
          </w:tcPr>
          <w:p>
            <w:pPr>
              <w:jc w:val="center"/>
              <w:ind w:right="1201"/>
              <w:spacing w:after="0"/>
              <w:rPr>
                <w:sz w:val="20"/>
                <w:szCs w:val="20"/>
                <w:color w:val="auto"/>
              </w:rPr>
            </w:pPr>
            <w:r>
              <w:rPr>
                <w:rFonts w:ascii="Arial" w:cs="Arial" w:eastAsia="Arial" w:hAnsi="Arial"/>
                <w:sz w:val="20"/>
                <w:szCs w:val="20"/>
                <w:color w:val="auto"/>
                <w:w w:val="91"/>
              </w:rPr>
              <w:t>(Continued)</w:t>
            </w:r>
          </w:p>
        </w:tc>
      </w:tr>
      <w:tr>
        <w:trPr>
          <w:trHeight w:val="334"/>
        </w:trPr>
        <w:tc>
          <w:tcPr>
            <w:tcW w:w="11420" w:type="dxa"/>
            <w:vAlign w:val="bottom"/>
            <w:gridSpan w:val="6"/>
          </w:tcPr>
          <w:p>
            <w:pPr>
              <w:spacing w:after="0"/>
              <w:rPr>
                <w:sz w:val="20"/>
                <w:szCs w:val="20"/>
                <w:color w:val="auto"/>
              </w:rPr>
            </w:pPr>
            <w:r>
              <w:rPr>
                <w:rFonts w:ascii="Arial" w:cs="Arial" w:eastAsia="Arial" w:hAnsi="Arial"/>
                <w:sz w:val="20"/>
                <w:szCs w:val="20"/>
                <w:color w:val="auto"/>
              </w:rPr>
              <w:t>Item 6. Exhibits.</w:t>
            </w:r>
          </w:p>
        </w:tc>
      </w:tr>
      <w:tr>
        <w:trPr>
          <w:trHeight w:val="480"/>
        </w:trPr>
        <w:tc>
          <w:tcPr>
            <w:tcW w:w="1180" w:type="dxa"/>
            <w:vAlign w:val="bottom"/>
            <w:tcBorders>
              <w:top w:val="single" w:sz="8" w:color="auto"/>
            </w:tcBorders>
            <w:gridSpan w:val="4"/>
          </w:tcPr>
          <w:p>
            <w:pPr>
              <w:ind w:left="80"/>
              <w:spacing w:after="0"/>
              <w:rPr>
                <w:sz w:val="20"/>
                <w:szCs w:val="20"/>
                <w:color w:val="auto"/>
              </w:rPr>
            </w:pPr>
            <w:r>
              <w:rPr>
                <w:rFonts w:ascii="Arial" w:cs="Arial" w:eastAsia="Arial" w:hAnsi="Arial"/>
                <w:sz w:val="20"/>
                <w:szCs w:val="20"/>
                <w:color w:val="auto"/>
              </w:rPr>
              <w:t>Exhibit No.</w:t>
            </w:r>
          </w:p>
        </w:tc>
        <w:tc>
          <w:tcPr>
            <w:tcW w:w="140" w:type="dxa"/>
            <w:vAlign w:val="bottom"/>
            <w:tcBorders>
              <w:top w:val="single" w:sz="8" w:color="auto"/>
            </w:tcBorders>
          </w:tcPr>
          <w:p>
            <w:pPr>
              <w:spacing w:after="0"/>
              <w:rPr>
                <w:sz w:val="24"/>
                <w:szCs w:val="24"/>
                <w:color w:val="auto"/>
              </w:rPr>
            </w:pPr>
          </w:p>
        </w:tc>
        <w:tc>
          <w:tcPr>
            <w:tcW w:w="10100" w:type="dxa"/>
            <w:vAlign w:val="bottom"/>
          </w:tcPr>
          <w:p>
            <w:pPr>
              <w:ind w:left="4560"/>
              <w:spacing w:after="0"/>
              <w:rPr>
                <w:sz w:val="20"/>
                <w:szCs w:val="20"/>
                <w:color w:val="auto"/>
              </w:rPr>
            </w:pPr>
            <w:r>
              <w:rPr>
                <w:rFonts w:ascii="Arial" w:cs="Arial" w:eastAsia="Arial" w:hAnsi="Arial"/>
                <w:sz w:val="20"/>
                <w:szCs w:val="20"/>
                <w:color w:val="auto"/>
              </w:rPr>
              <w:t>Document</w:t>
            </w:r>
          </w:p>
        </w:tc>
      </w:tr>
      <w:tr>
        <w:trPr>
          <w:trHeight w:val="304"/>
        </w:trPr>
        <w:tc>
          <w:tcPr>
            <w:tcW w:w="460" w:type="dxa"/>
            <w:vAlign w:val="bottom"/>
            <w:tcBorders>
              <w:top w:val="single" w:sz="8" w:color="auto"/>
            </w:tcBorders>
            <w:gridSpan w:val="2"/>
          </w:tcPr>
          <w:p>
            <w:pPr>
              <w:spacing w:after="0"/>
              <w:rPr>
                <w:rFonts w:ascii="Arial" w:cs="Arial" w:eastAsia="Arial" w:hAnsi="Arial"/>
                <w:sz w:val="20"/>
                <w:szCs w:val="20"/>
                <w:color w:val="0000EE"/>
              </w:rPr>
            </w:pPr>
            <w:hyperlink r:id="rId98">
              <w:r>
                <w:rPr>
                  <w:rFonts w:ascii="Arial" w:cs="Arial" w:eastAsia="Arial" w:hAnsi="Arial"/>
                  <w:sz w:val="20"/>
                  <w:szCs w:val="20"/>
                  <w:color w:val="0000EE"/>
                </w:rPr>
                <w:t>10.</w:t>
              </w:r>
              <w:r>
                <w:rPr>
                  <w:rFonts w:ascii="Arial" w:cs="Arial" w:eastAsia="Arial" w:hAnsi="Arial"/>
                  <w:sz w:val="20"/>
                  <w:szCs w:val="20"/>
                  <w:u w:val="single" w:color="auto"/>
                  <w:color w:val="0000EE"/>
                </w:rPr>
                <w:t>1</w:t>
              </w:r>
            </w:hyperlink>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4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w w:val="90"/>
              </w:rPr>
              <w:t>Tenth Amendment to Credit and Security Agreement, dated as of September 25, 2018, among Martin Marietta Funding LLC, as</w:t>
            </w:r>
          </w:p>
        </w:tc>
      </w:tr>
      <w:tr>
        <w:trPr>
          <w:trHeight w:val="233"/>
        </w:trPr>
        <w:tc>
          <w:tcPr>
            <w:tcW w:w="36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w w:val="90"/>
              </w:rPr>
              <w:t>borrower, Martin Marietta Materials, Inc., as servicer, and SunTrust Bank, as lender together with the other lenders from time to</w:t>
            </w:r>
          </w:p>
        </w:tc>
      </w:tr>
      <w:tr>
        <w:trPr>
          <w:trHeight w:val="230"/>
        </w:trPr>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w w:val="91"/>
              </w:rPr>
              <w:t>time party thereto, and SunTrust Bank, as administrative agent for the lenders (incorporated by reference to Exhibit 10.1 to the</w:t>
            </w:r>
          </w:p>
        </w:tc>
      </w:tr>
      <w:tr>
        <w:trPr>
          <w:trHeight w:val="250"/>
        </w:trPr>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w w:val="95"/>
              </w:rPr>
              <w:t>Martin Marietta Materials, Inc. Current Report on Form 8-K, filed on September 25, 2018 (Commission File No. 1-12744))</w:t>
            </w:r>
          </w:p>
        </w:tc>
      </w:tr>
      <w:tr>
        <w:trPr>
          <w:trHeight w:val="307"/>
        </w:trPr>
        <w:tc>
          <w:tcPr>
            <w:tcW w:w="1060" w:type="dxa"/>
            <w:vAlign w:val="bottom"/>
            <w:gridSpan w:val="3"/>
          </w:tcPr>
          <w:p>
            <w:pPr>
              <w:spacing w:after="0"/>
              <w:rPr>
                <w:rFonts w:ascii="Arial" w:cs="Arial" w:eastAsia="Arial" w:hAnsi="Arial"/>
                <w:sz w:val="20"/>
                <w:szCs w:val="20"/>
                <w:color w:val="0000EE"/>
              </w:rPr>
            </w:pPr>
            <w:hyperlink w:anchor="page57">
              <w:r>
                <w:rPr>
                  <w:rFonts w:ascii="Arial" w:cs="Arial" w:eastAsia="Arial" w:hAnsi="Arial"/>
                  <w:sz w:val="20"/>
                  <w:szCs w:val="20"/>
                  <w:color w:val="0000EE"/>
                </w:rPr>
                <w:t>31.</w:t>
              </w:r>
              <w:r>
                <w:rPr>
                  <w:rFonts w:ascii="Arial" w:cs="Arial" w:eastAsia="Arial" w:hAnsi="Arial"/>
                  <w:sz w:val="20"/>
                  <w:szCs w:val="20"/>
                  <w:u w:val="single" w:color="auto"/>
                  <w:color w:val="0000EE"/>
                </w:rPr>
                <w:t>01</w:t>
              </w:r>
            </w:hyperlink>
          </w:p>
        </w:tc>
        <w:tc>
          <w:tcPr>
            <w:tcW w:w="1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w w:val="92"/>
              </w:rPr>
              <w:t>Certification dated November 7, 2018 of Chief Executive Officer pursuant to Securities and Exchange Act of 1934 rule 13a-14</w:t>
            </w:r>
          </w:p>
        </w:tc>
      </w:tr>
      <w:tr>
        <w:trPr>
          <w:trHeight w:val="254"/>
        </w:trPr>
        <w:tc>
          <w:tcPr>
            <w:tcW w:w="36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rPr>
              <w:t>as adopted pursuant to Section 302 of the Sarbanes-Oxley Act of 2002</w:t>
            </w:r>
          </w:p>
        </w:tc>
      </w:tr>
      <w:tr>
        <w:trPr>
          <w:trHeight w:val="307"/>
        </w:trPr>
        <w:tc>
          <w:tcPr>
            <w:tcW w:w="1060" w:type="dxa"/>
            <w:vAlign w:val="bottom"/>
            <w:gridSpan w:val="3"/>
          </w:tcPr>
          <w:p>
            <w:pPr>
              <w:spacing w:after="0"/>
              <w:rPr>
                <w:rFonts w:ascii="Arial" w:cs="Arial" w:eastAsia="Arial" w:hAnsi="Arial"/>
                <w:sz w:val="20"/>
                <w:szCs w:val="20"/>
                <w:color w:val="0000EE"/>
              </w:rPr>
            </w:pPr>
            <w:hyperlink w:anchor="page59">
              <w:r>
                <w:rPr>
                  <w:rFonts w:ascii="Arial" w:cs="Arial" w:eastAsia="Arial" w:hAnsi="Arial"/>
                  <w:sz w:val="20"/>
                  <w:szCs w:val="20"/>
                  <w:color w:val="0000EE"/>
                </w:rPr>
                <w:t>31.</w:t>
              </w:r>
              <w:r>
                <w:rPr>
                  <w:rFonts w:ascii="Arial" w:cs="Arial" w:eastAsia="Arial" w:hAnsi="Arial"/>
                  <w:sz w:val="20"/>
                  <w:szCs w:val="20"/>
                  <w:u w:val="single" w:color="auto"/>
                  <w:color w:val="0000EE"/>
                </w:rPr>
                <w:t>02</w:t>
              </w:r>
            </w:hyperlink>
          </w:p>
        </w:tc>
        <w:tc>
          <w:tcPr>
            <w:tcW w:w="1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w w:val="90"/>
              </w:rPr>
              <w:t>Certification dated November 7, 2018 of Chief Financial Officer pursuant to Securities and Exchange Act of 1934 rule 13a-14 as</w:t>
            </w:r>
          </w:p>
        </w:tc>
      </w:tr>
      <w:tr>
        <w:trPr>
          <w:trHeight w:val="254"/>
        </w:trPr>
        <w:tc>
          <w:tcPr>
            <w:tcW w:w="36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rPr>
              <w:t>adopted pursuant to Section 302 of the Sarbanes-Oxley Act of 2002</w:t>
            </w:r>
          </w:p>
        </w:tc>
      </w:tr>
      <w:tr>
        <w:trPr>
          <w:trHeight w:val="307"/>
        </w:trPr>
        <w:tc>
          <w:tcPr>
            <w:tcW w:w="1060" w:type="dxa"/>
            <w:vAlign w:val="bottom"/>
            <w:gridSpan w:val="3"/>
          </w:tcPr>
          <w:p>
            <w:pPr>
              <w:spacing w:after="0"/>
              <w:rPr>
                <w:rFonts w:ascii="Arial" w:cs="Arial" w:eastAsia="Arial" w:hAnsi="Arial"/>
                <w:sz w:val="20"/>
                <w:szCs w:val="20"/>
                <w:color w:val="0000EE"/>
              </w:rPr>
            </w:pPr>
            <w:hyperlink w:anchor="page61">
              <w:r>
                <w:rPr>
                  <w:rFonts w:ascii="Arial" w:cs="Arial" w:eastAsia="Arial" w:hAnsi="Arial"/>
                  <w:sz w:val="20"/>
                  <w:szCs w:val="20"/>
                  <w:color w:val="0000EE"/>
                </w:rPr>
                <w:t>32.</w:t>
              </w:r>
              <w:r>
                <w:rPr>
                  <w:rFonts w:ascii="Arial" w:cs="Arial" w:eastAsia="Arial" w:hAnsi="Arial"/>
                  <w:sz w:val="20"/>
                  <w:szCs w:val="20"/>
                  <w:u w:val="single" w:color="auto"/>
                  <w:color w:val="0000EE"/>
                </w:rPr>
                <w:t>01</w:t>
              </w:r>
            </w:hyperlink>
          </w:p>
        </w:tc>
        <w:tc>
          <w:tcPr>
            <w:tcW w:w="1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w w:val="94"/>
              </w:rPr>
              <w:t>Written Statement dated November 7, 2018 of Chief Executive Officer required by 18 U.S.C. 1350, as adopted pursuant to</w:t>
            </w:r>
          </w:p>
        </w:tc>
      </w:tr>
      <w:tr>
        <w:trPr>
          <w:trHeight w:val="254"/>
        </w:trPr>
        <w:tc>
          <w:tcPr>
            <w:tcW w:w="36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rPr>
              <w:t>Section 906 of the Sarbanes-Oxley Act of 2002</w:t>
            </w:r>
          </w:p>
        </w:tc>
      </w:tr>
      <w:tr>
        <w:trPr>
          <w:trHeight w:val="307"/>
        </w:trPr>
        <w:tc>
          <w:tcPr>
            <w:tcW w:w="1060" w:type="dxa"/>
            <w:vAlign w:val="bottom"/>
            <w:gridSpan w:val="3"/>
          </w:tcPr>
          <w:p>
            <w:pPr>
              <w:spacing w:after="0"/>
              <w:rPr>
                <w:rFonts w:ascii="Arial" w:cs="Arial" w:eastAsia="Arial" w:hAnsi="Arial"/>
                <w:sz w:val="20"/>
                <w:szCs w:val="20"/>
                <w:color w:val="0000EE"/>
              </w:rPr>
            </w:pPr>
            <w:hyperlink w:anchor="page62">
              <w:r>
                <w:rPr>
                  <w:rFonts w:ascii="Arial" w:cs="Arial" w:eastAsia="Arial" w:hAnsi="Arial"/>
                  <w:sz w:val="20"/>
                  <w:szCs w:val="20"/>
                  <w:color w:val="0000EE"/>
                </w:rPr>
                <w:t>32.</w:t>
              </w:r>
              <w:r>
                <w:rPr>
                  <w:rFonts w:ascii="Arial" w:cs="Arial" w:eastAsia="Arial" w:hAnsi="Arial"/>
                  <w:sz w:val="20"/>
                  <w:szCs w:val="20"/>
                  <w:u w:val="single" w:color="auto"/>
                  <w:color w:val="0000EE"/>
                </w:rPr>
                <w:t>02</w:t>
              </w:r>
            </w:hyperlink>
          </w:p>
        </w:tc>
        <w:tc>
          <w:tcPr>
            <w:tcW w:w="1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w w:val="95"/>
              </w:rPr>
              <w:t>Written Statement dated November 7, 2018 of Chief Financial Officer required by 18 U.S.C. 1350, as adopted pursuant to</w:t>
            </w:r>
          </w:p>
        </w:tc>
      </w:tr>
      <w:tr>
        <w:trPr>
          <w:trHeight w:val="254"/>
        </w:trPr>
        <w:tc>
          <w:tcPr>
            <w:tcW w:w="36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40" w:type="dxa"/>
            <w:vAlign w:val="bottom"/>
            <w:gridSpan w:val="2"/>
          </w:tcPr>
          <w:p>
            <w:pPr>
              <w:spacing w:after="0"/>
              <w:rPr>
                <w:sz w:val="20"/>
                <w:szCs w:val="20"/>
                <w:color w:val="auto"/>
              </w:rPr>
            </w:pPr>
            <w:r>
              <w:rPr>
                <w:rFonts w:ascii="Arial" w:cs="Arial" w:eastAsia="Arial" w:hAnsi="Arial"/>
                <w:sz w:val="20"/>
                <w:szCs w:val="20"/>
                <w:color w:val="auto"/>
              </w:rPr>
              <w:t>Section 906 of the Sarbanes-Oxley Act of 2002</w:t>
            </w:r>
          </w:p>
        </w:tc>
      </w:tr>
    </w:tbl>
    <w:p>
      <w:pPr>
        <w:spacing w:after="0" w:line="101" w:lineRule="exact"/>
        <w:rPr>
          <w:sz w:val="20"/>
          <w:szCs w:val="20"/>
          <w:color w:val="auto"/>
        </w:rPr>
      </w:pPr>
    </w:p>
    <w:p>
      <w:pPr>
        <w:ind w:left="1180" w:hanging="1172"/>
        <w:spacing w:after="0"/>
        <w:tabs>
          <w:tab w:leader="none" w:pos="1180" w:val="left"/>
        </w:tabs>
        <w:numPr>
          <w:ilvl w:val="0"/>
          <w:numId w:val="33"/>
        </w:numPr>
        <w:rPr>
          <w:rFonts w:ascii="Arial" w:cs="Arial" w:eastAsia="Arial" w:hAnsi="Arial"/>
          <w:sz w:val="20"/>
          <w:szCs w:val="20"/>
          <w:u w:val="single" w:color="auto"/>
          <w:color w:val="0000EE"/>
        </w:rPr>
      </w:pPr>
      <w:r>
        <w:rPr>
          <w:rFonts w:ascii="Arial" w:cs="Arial" w:eastAsia="Arial" w:hAnsi="Arial"/>
          <w:sz w:val="20"/>
          <w:szCs w:val="20"/>
          <w:color w:val="auto"/>
        </w:rPr>
        <w:t>Mine Safety Disclosures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20"/>
                <w:szCs w:val="20"/>
                <w:color w:val="auto"/>
              </w:rPr>
              <w:t>101.INS</w:t>
            </w:r>
          </w:p>
        </w:tc>
        <w:tc>
          <w:tcPr>
            <w:tcW w:w="10460" w:type="dxa"/>
            <w:vAlign w:val="bottom"/>
          </w:tcPr>
          <w:p>
            <w:pPr>
              <w:ind w:left="220"/>
              <w:spacing w:after="0"/>
              <w:rPr>
                <w:sz w:val="20"/>
                <w:szCs w:val="20"/>
                <w:color w:val="auto"/>
              </w:rPr>
            </w:pPr>
            <w:r>
              <w:rPr>
                <w:rFonts w:ascii="Arial" w:cs="Arial" w:eastAsia="Arial" w:hAnsi="Arial"/>
                <w:sz w:val="20"/>
                <w:szCs w:val="20"/>
                <w:color w:val="auto"/>
                <w:w w:val="93"/>
              </w:rPr>
              <w:t>XBRL Instance Document – The instance document does not appear in the Interactive Data File because its XBRL tags are</w:t>
            </w:r>
          </w:p>
        </w:tc>
      </w:tr>
      <w:tr>
        <w:trPr>
          <w:trHeight w:val="250"/>
        </w:trPr>
        <w:tc>
          <w:tcPr>
            <w:tcW w:w="960" w:type="dxa"/>
            <w:vAlign w:val="bottom"/>
          </w:tcPr>
          <w:p>
            <w:pPr>
              <w:spacing w:after="0"/>
              <w:rPr>
                <w:sz w:val="21"/>
                <w:szCs w:val="21"/>
                <w:color w:val="auto"/>
              </w:rPr>
            </w:pPr>
          </w:p>
        </w:tc>
        <w:tc>
          <w:tcPr>
            <w:tcW w:w="10460" w:type="dxa"/>
            <w:vAlign w:val="bottom"/>
          </w:tcPr>
          <w:p>
            <w:pPr>
              <w:ind w:left="220"/>
              <w:spacing w:after="0"/>
              <w:rPr>
                <w:sz w:val="20"/>
                <w:szCs w:val="20"/>
                <w:color w:val="auto"/>
              </w:rPr>
            </w:pPr>
            <w:r>
              <w:rPr>
                <w:rFonts w:ascii="Arial" w:cs="Arial" w:eastAsia="Arial" w:hAnsi="Arial"/>
                <w:sz w:val="20"/>
                <w:szCs w:val="20"/>
                <w:color w:val="auto"/>
              </w:rPr>
              <w:t>embedded within the Inline XBRL document.</w:t>
            </w:r>
          </w:p>
        </w:tc>
      </w:tr>
      <w:tr>
        <w:trPr>
          <w:trHeight w:val="351"/>
        </w:trPr>
        <w:tc>
          <w:tcPr>
            <w:tcW w:w="960" w:type="dxa"/>
            <w:vAlign w:val="bottom"/>
          </w:tcPr>
          <w:p>
            <w:pPr>
              <w:spacing w:after="0"/>
              <w:rPr>
                <w:sz w:val="20"/>
                <w:szCs w:val="20"/>
                <w:color w:val="auto"/>
              </w:rPr>
            </w:pPr>
            <w:r>
              <w:rPr>
                <w:rFonts w:ascii="Arial" w:cs="Arial" w:eastAsia="Arial" w:hAnsi="Arial"/>
                <w:sz w:val="20"/>
                <w:szCs w:val="20"/>
                <w:color w:val="auto"/>
              </w:rPr>
              <w:t>101.SCH</w:t>
            </w:r>
          </w:p>
        </w:tc>
        <w:tc>
          <w:tcPr>
            <w:tcW w:w="10460" w:type="dxa"/>
            <w:vAlign w:val="bottom"/>
          </w:tcPr>
          <w:p>
            <w:pPr>
              <w:ind w:left="220"/>
              <w:spacing w:after="0"/>
              <w:rPr>
                <w:sz w:val="20"/>
                <w:szCs w:val="20"/>
                <w:color w:val="auto"/>
              </w:rPr>
            </w:pPr>
            <w:r>
              <w:rPr>
                <w:rFonts w:ascii="Arial" w:cs="Arial" w:eastAsia="Arial" w:hAnsi="Arial"/>
                <w:sz w:val="20"/>
                <w:szCs w:val="20"/>
                <w:color w:val="auto"/>
              </w:rPr>
              <w:t>XBRL Taxonomy Extension Schema Document</w:t>
            </w:r>
          </w:p>
        </w:tc>
      </w:tr>
      <w:tr>
        <w:trPr>
          <w:trHeight w:val="351"/>
        </w:trPr>
        <w:tc>
          <w:tcPr>
            <w:tcW w:w="960" w:type="dxa"/>
            <w:vAlign w:val="bottom"/>
          </w:tcPr>
          <w:p>
            <w:pPr>
              <w:spacing w:after="0"/>
              <w:rPr>
                <w:sz w:val="20"/>
                <w:szCs w:val="20"/>
                <w:color w:val="auto"/>
              </w:rPr>
            </w:pPr>
            <w:r>
              <w:rPr>
                <w:rFonts w:ascii="Arial" w:cs="Arial" w:eastAsia="Arial" w:hAnsi="Arial"/>
                <w:sz w:val="20"/>
                <w:szCs w:val="20"/>
                <w:color w:val="auto"/>
              </w:rPr>
              <w:t>101.CAL</w:t>
            </w:r>
          </w:p>
        </w:tc>
        <w:tc>
          <w:tcPr>
            <w:tcW w:w="10460" w:type="dxa"/>
            <w:vAlign w:val="bottom"/>
          </w:tcPr>
          <w:p>
            <w:pPr>
              <w:ind w:left="220"/>
              <w:spacing w:after="0"/>
              <w:rPr>
                <w:sz w:val="20"/>
                <w:szCs w:val="20"/>
                <w:color w:val="auto"/>
              </w:rPr>
            </w:pPr>
            <w:r>
              <w:rPr>
                <w:rFonts w:ascii="Arial" w:cs="Arial" w:eastAsia="Arial" w:hAnsi="Arial"/>
                <w:sz w:val="20"/>
                <w:szCs w:val="20"/>
                <w:color w:val="auto"/>
              </w:rPr>
              <w:t>XBRL Taxonomy Extension Calculation Linkbase Document</w:t>
            </w:r>
          </w:p>
        </w:tc>
      </w:tr>
      <w:tr>
        <w:trPr>
          <w:trHeight w:val="351"/>
        </w:trPr>
        <w:tc>
          <w:tcPr>
            <w:tcW w:w="960" w:type="dxa"/>
            <w:vAlign w:val="bottom"/>
          </w:tcPr>
          <w:p>
            <w:pPr>
              <w:spacing w:after="0"/>
              <w:rPr>
                <w:sz w:val="20"/>
                <w:szCs w:val="20"/>
                <w:color w:val="auto"/>
              </w:rPr>
            </w:pPr>
            <w:r>
              <w:rPr>
                <w:rFonts w:ascii="Arial" w:cs="Arial" w:eastAsia="Arial" w:hAnsi="Arial"/>
                <w:sz w:val="20"/>
                <w:szCs w:val="20"/>
                <w:color w:val="auto"/>
              </w:rPr>
              <w:t>101.LAB</w:t>
            </w:r>
          </w:p>
        </w:tc>
        <w:tc>
          <w:tcPr>
            <w:tcW w:w="10460" w:type="dxa"/>
            <w:vAlign w:val="bottom"/>
          </w:tcPr>
          <w:p>
            <w:pPr>
              <w:ind w:left="220"/>
              <w:spacing w:after="0"/>
              <w:rPr>
                <w:sz w:val="20"/>
                <w:szCs w:val="20"/>
                <w:color w:val="auto"/>
              </w:rPr>
            </w:pPr>
            <w:r>
              <w:rPr>
                <w:rFonts w:ascii="Arial" w:cs="Arial" w:eastAsia="Arial" w:hAnsi="Arial"/>
                <w:sz w:val="20"/>
                <w:szCs w:val="20"/>
                <w:color w:val="auto"/>
              </w:rPr>
              <w:t>XBRL Taxonomy Extension Label Linkbase Document</w:t>
            </w:r>
          </w:p>
        </w:tc>
      </w:tr>
      <w:tr>
        <w:trPr>
          <w:trHeight w:val="351"/>
        </w:trPr>
        <w:tc>
          <w:tcPr>
            <w:tcW w:w="960" w:type="dxa"/>
            <w:vAlign w:val="bottom"/>
          </w:tcPr>
          <w:p>
            <w:pPr>
              <w:spacing w:after="0"/>
              <w:rPr>
                <w:sz w:val="20"/>
                <w:szCs w:val="20"/>
                <w:color w:val="auto"/>
              </w:rPr>
            </w:pPr>
            <w:r>
              <w:rPr>
                <w:rFonts w:ascii="Arial" w:cs="Arial" w:eastAsia="Arial" w:hAnsi="Arial"/>
                <w:sz w:val="20"/>
                <w:szCs w:val="20"/>
                <w:color w:val="auto"/>
              </w:rPr>
              <w:t>101.PRE</w:t>
            </w:r>
          </w:p>
        </w:tc>
        <w:tc>
          <w:tcPr>
            <w:tcW w:w="10460" w:type="dxa"/>
            <w:vAlign w:val="bottom"/>
          </w:tcPr>
          <w:p>
            <w:pPr>
              <w:ind w:left="220"/>
              <w:spacing w:after="0"/>
              <w:rPr>
                <w:sz w:val="20"/>
                <w:szCs w:val="20"/>
                <w:color w:val="auto"/>
              </w:rPr>
            </w:pPr>
            <w:r>
              <w:rPr>
                <w:rFonts w:ascii="Arial" w:cs="Arial" w:eastAsia="Arial" w:hAnsi="Arial"/>
                <w:sz w:val="20"/>
                <w:szCs w:val="20"/>
                <w:color w:val="auto"/>
              </w:rPr>
              <w:t>XBRL Taxonomy Extension Presentation Linkbase Document</w:t>
            </w:r>
          </w:p>
        </w:tc>
      </w:tr>
      <w:tr>
        <w:trPr>
          <w:trHeight w:val="351"/>
        </w:trPr>
        <w:tc>
          <w:tcPr>
            <w:tcW w:w="960" w:type="dxa"/>
            <w:vAlign w:val="bottom"/>
          </w:tcPr>
          <w:p>
            <w:pPr>
              <w:spacing w:after="0"/>
              <w:rPr>
                <w:sz w:val="20"/>
                <w:szCs w:val="20"/>
                <w:color w:val="auto"/>
              </w:rPr>
            </w:pPr>
            <w:r>
              <w:rPr>
                <w:rFonts w:ascii="Arial" w:cs="Arial" w:eastAsia="Arial" w:hAnsi="Arial"/>
                <w:sz w:val="20"/>
                <w:szCs w:val="20"/>
                <w:color w:val="auto"/>
              </w:rPr>
              <w:t>101.DEF</w:t>
            </w:r>
          </w:p>
        </w:tc>
        <w:tc>
          <w:tcPr>
            <w:tcW w:w="10460" w:type="dxa"/>
            <w:vAlign w:val="bottom"/>
          </w:tcPr>
          <w:p>
            <w:pPr>
              <w:ind w:left="220"/>
              <w:spacing w:after="0"/>
              <w:rPr>
                <w:sz w:val="20"/>
                <w:szCs w:val="20"/>
                <w:color w:val="auto"/>
              </w:rPr>
            </w:pPr>
            <w:r>
              <w:rPr>
                <w:rFonts w:ascii="Arial" w:cs="Arial" w:eastAsia="Arial" w:hAnsi="Arial"/>
                <w:sz w:val="20"/>
                <w:szCs w:val="20"/>
                <w:color w:val="auto"/>
              </w:rPr>
              <w:t>XBRL Taxonomy Extension Definition Linkbase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Page 54 of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20"/>
          <w:szCs w:val="20"/>
          <w:color w:val="auto"/>
        </w:rPr>
        <w:t>SIGNATURES</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20"/>
                <w:szCs w:val="20"/>
                <w:color w:val="auto"/>
              </w:rPr>
              <w:t>MARTIN MARIETTA MATERIALS, INC.</w:t>
            </w:r>
          </w:p>
        </w:tc>
      </w:tr>
      <w:tr>
        <w:trPr>
          <w:trHeight w:val="250"/>
        </w:trPr>
        <w:tc>
          <w:tcPr>
            <w:tcW w:w="356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4200" w:type="dxa"/>
            <w:vAlign w:val="bottom"/>
          </w:tcPr>
          <w:p>
            <w:pPr>
              <w:jc w:val="center"/>
              <w:ind w:right="1961"/>
              <w:spacing w:after="0"/>
              <w:rPr>
                <w:sz w:val="20"/>
                <w:szCs w:val="20"/>
                <w:color w:val="auto"/>
              </w:rPr>
            </w:pPr>
            <w:r>
              <w:rPr>
                <w:rFonts w:ascii="Arial" w:cs="Arial" w:eastAsia="Arial" w:hAnsi="Arial"/>
                <w:sz w:val="20"/>
                <w:szCs w:val="20"/>
                <w:color w:val="auto"/>
                <w:w w:val="89"/>
              </w:rPr>
              <w:t>(Registrant)</w:t>
            </w:r>
          </w:p>
        </w:tc>
      </w:tr>
      <w:tr>
        <w:trPr>
          <w:trHeight w:val="455"/>
        </w:trPr>
        <w:tc>
          <w:tcPr>
            <w:tcW w:w="3560" w:type="dxa"/>
            <w:vAlign w:val="bottom"/>
          </w:tcPr>
          <w:p>
            <w:pPr>
              <w:spacing w:after="0"/>
              <w:rPr>
                <w:sz w:val="20"/>
                <w:szCs w:val="20"/>
                <w:color w:val="auto"/>
              </w:rPr>
            </w:pPr>
            <w:r>
              <w:rPr>
                <w:rFonts w:ascii="Arial" w:cs="Arial" w:eastAsia="Arial" w:hAnsi="Arial"/>
                <w:sz w:val="20"/>
                <w:szCs w:val="20"/>
                <w:color w:val="auto"/>
              </w:rPr>
              <w:t>Date: November 7, 2018</w:t>
            </w:r>
          </w:p>
        </w:tc>
        <w:tc>
          <w:tcPr>
            <w:tcW w:w="7860" w:type="dxa"/>
            <w:vAlign w:val="bottom"/>
            <w:gridSpan w:val="2"/>
          </w:tcPr>
          <w:p>
            <w:pPr>
              <w:ind w:left="3260"/>
              <w:spacing w:after="0"/>
              <w:rPr>
                <w:sz w:val="20"/>
                <w:szCs w:val="20"/>
                <w:color w:val="auto"/>
              </w:rPr>
            </w:pPr>
            <w:r>
              <w:rPr>
                <w:rFonts w:ascii="Arial" w:cs="Arial" w:eastAsia="Arial" w:hAnsi="Arial"/>
                <w:sz w:val="20"/>
                <w:szCs w:val="20"/>
                <w:color w:val="auto"/>
              </w:rPr>
              <w:t>By: /s/ James A. J. Nickolas</w:t>
            </w:r>
          </w:p>
        </w:tc>
      </w:tr>
      <w:tr>
        <w:trPr>
          <w:trHeight w:val="206"/>
        </w:trPr>
        <w:tc>
          <w:tcPr>
            <w:tcW w:w="35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420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James A. J. Nickolas</w:t>
            </w:r>
          </w:p>
        </w:tc>
      </w:tr>
      <w:tr>
        <w:trPr>
          <w:trHeight w:val="230"/>
        </w:trPr>
        <w:tc>
          <w:tcPr>
            <w:tcW w:w="35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20"/>
                <w:szCs w:val="20"/>
                <w:color w:val="auto"/>
              </w:rPr>
              <w:t>Sr. Vice President and</w:t>
            </w:r>
          </w:p>
        </w:tc>
      </w:tr>
      <w:tr>
        <w:trPr>
          <w:trHeight w:val="250"/>
        </w:trPr>
        <w:tc>
          <w:tcPr>
            <w:tcW w:w="356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4200" w:type="dxa"/>
            <w:vAlign w:val="bottom"/>
          </w:tcPr>
          <w:p>
            <w:pPr>
              <w:jc w:val="center"/>
              <w:ind w:right="1961"/>
              <w:spacing w:after="0"/>
              <w:rPr>
                <w:sz w:val="20"/>
                <w:szCs w:val="20"/>
                <w:color w:val="auto"/>
              </w:rPr>
            </w:pPr>
            <w:r>
              <w:rPr>
                <w:rFonts w:ascii="Arial" w:cs="Arial" w:eastAsia="Arial" w:hAnsi="Arial"/>
                <w:sz w:val="20"/>
                <w:szCs w:val="20"/>
                <w:color w:val="auto"/>
                <w:w w:val="94"/>
              </w:rPr>
              <w:t>Chief Financial Officer</w:t>
            </w:r>
          </w:p>
        </w:tc>
      </w:tr>
      <w:tr>
        <w:trPr>
          <w:trHeight w:val="905"/>
        </w:trPr>
        <w:tc>
          <w:tcPr>
            <w:tcW w:w="3560" w:type="dxa"/>
            <w:vAlign w:val="bottom"/>
          </w:tcPr>
          <w:p>
            <w:pPr>
              <w:spacing w:after="0"/>
              <w:rPr>
                <w:sz w:val="24"/>
                <w:szCs w:val="24"/>
                <w:color w:val="auto"/>
              </w:rPr>
            </w:pPr>
          </w:p>
        </w:tc>
        <w:tc>
          <w:tcPr>
            <w:tcW w:w="7860" w:type="dxa"/>
            <w:vAlign w:val="bottom"/>
            <w:gridSpan w:val="2"/>
          </w:tcPr>
          <w:p>
            <w:pPr>
              <w:ind w:left="1600"/>
              <w:spacing w:after="0"/>
              <w:rPr>
                <w:sz w:val="20"/>
                <w:szCs w:val="20"/>
                <w:color w:val="auto"/>
              </w:rPr>
            </w:pPr>
            <w:r>
              <w:rPr>
                <w:rFonts w:ascii="Arial" w:cs="Arial" w:eastAsia="Arial" w:hAnsi="Arial"/>
                <w:sz w:val="20"/>
                <w:szCs w:val="20"/>
                <w:color w:val="auto"/>
              </w:rPr>
              <w:t>Page 55 of 55</w:t>
            </w:r>
          </w:p>
        </w:tc>
      </w:tr>
    </w:tbl>
    <w:p>
      <w:pPr>
        <w:sectPr>
          <w:pgSz w:w="11900" w:h="16838" w:orient="portrait"/>
          <w:cols w:equalWidth="0" w:num="1">
            <w:col w:w="11420"/>
          </w:cols>
          <w:pgMar w:left="240" w:top="352"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20"/>
          <w:szCs w:val="20"/>
          <w:b w:val="1"/>
          <w:bCs w:val="1"/>
          <w:color w:val="auto"/>
        </w:rPr>
        <w:t>EXHIBIT 31.01</w:t>
      </w:r>
    </w:p>
    <w:p>
      <w:pPr>
        <w:spacing w:after="0" w:line="200" w:lineRule="exact"/>
        <w:rPr>
          <w:sz w:val="20"/>
          <w:szCs w:val="20"/>
          <w:color w:val="auto"/>
        </w:rPr>
      </w:pPr>
    </w:p>
    <w:p>
      <w:pPr>
        <w:spacing w:after="0" w:line="286" w:lineRule="exact"/>
        <w:rPr>
          <w:sz w:val="20"/>
          <w:szCs w:val="20"/>
          <w:color w:val="auto"/>
        </w:rPr>
      </w:pPr>
    </w:p>
    <w:p>
      <w:pPr>
        <w:jc w:val="center"/>
        <w:ind w:left="260" w:right="100"/>
        <w:spacing w:after="0" w:line="267" w:lineRule="auto"/>
        <w:rPr>
          <w:sz w:val="20"/>
          <w:szCs w:val="20"/>
          <w:color w:val="auto"/>
        </w:rPr>
      </w:pPr>
      <w:r>
        <w:rPr>
          <w:rFonts w:ascii="Arial" w:cs="Arial" w:eastAsia="Arial" w:hAnsi="Arial"/>
          <w:sz w:val="20"/>
          <w:szCs w:val="20"/>
          <w:b w:val="1"/>
          <w:bCs w:val="1"/>
          <w:color w:val="auto"/>
        </w:rPr>
        <w:t>CERTIFICATION PURSUANT TO SECURITIES AND EXCHANGE ACT OF 1934 RULE 13a-14 AS ADOPTED PURSUANT TO SECTION 302 OF SARBANES-OXLEY ACT OF 2002</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I, C. Howard Nye, certify that:</w:t>
      </w:r>
    </w:p>
    <w:p>
      <w:pPr>
        <w:spacing w:after="0" w:line="229" w:lineRule="exact"/>
        <w:rPr>
          <w:sz w:val="20"/>
          <w:szCs w:val="20"/>
          <w:color w:val="auto"/>
        </w:rPr>
      </w:pPr>
    </w:p>
    <w:p>
      <w:pPr>
        <w:ind w:left="1300" w:hanging="428"/>
        <w:spacing w:after="0"/>
        <w:tabs>
          <w:tab w:leader="none" w:pos="13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I have reviewed this Form 10-Q of Martin Marietta Materials, Inc.;</w:t>
      </w:r>
    </w:p>
    <w:p>
      <w:pPr>
        <w:spacing w:after="0" w:line="229" w:lineRule="exact"/>
        <w:rPr>
          <w:rFonts w:ascii="Arial" w:cs="Arial" w:eastAsia="Arial" w:hAnsi="Arial"/>
          <w:sz w:val="20"/>
          <w:szCs w:val="20"/>
          <w:color w:val="auto"/>
        </w:rPr>
      </w:pPr>
    </w:p>
    <w:p>
      <w:pPr>
        <w:jc w:val="both"/>
        <w:ind w:left="1300" w:hanging="428"/>
        <w:spacing w:after="0" w:line="250" w:lineRule="auto"/>
        <w:tabs>
          <w:tab w:leader="none" w:pos="13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jc w:val="both"/>
        <w:ind w:left="1300" w:hanging="428"/>
        <w:spacing w:after="0" w:line="250" w:lineRule="auto"/>
        <w:tabs>
          <w:tab w:leader="none" w:pos="13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199" w:lineRule="exact"/>
        <w:rPr>
          <w:rFonts w:ascii="Arial" w:cs="Arial" w:eastAsia="Arial" w:hAnsi="Arial"/>
          <w:sz w:val="20"/>
          <w:szCs w:val="20"/>
          <w:color w:val="auto"/>
        </w:rPr>
      </w:pPr>
    </w:p>
    <w:p>
      <w:pPr>
        <w:jc w:val="both"/>
        <w:ind w:left="1300" w:right="20" w:hanging="428"/>
        <w:spacing w:after="0" w:line="250" w:lineRule="auto"/>
        <w:tabs>
          <w:tab w:leader="none" w:pos="130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2180" w:hanging="430"/>
        <w:spacing w:after="0" w:line="246" w:lineRule="auto"/>
        <w:tabs>
          <w:tab w:leader="none" w:pos="2180" w:val="left"/>
        </w:tabs>
        <w:numPr>
          <w:ilvl w:val="1"/>
          <w:numId w:val="34"/>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5" w:lineRule="exact"/>
        <w:rPr>
          <w:rFonts w:ascii="Arial" w:cs="Arial" w:eastAsia="Arial" w:hAnsi="Arial"/>
          <w:sz w:val="20"/>
          <w:szCs w:val="20"/>
          <w:color w:val="auto"/>
        </w:rPr>
      </w:pPr>
    </w:p>
    <w:p>
      <w:pPr>
        <w:jc w:val="both"/>
        <w:ind w:left="2180" w:hanging="430"/>
        <w:spacing w:after="0" w:line="246" w:lineRule="auto"/>
        <w:tabs>
          <w:tab w:leader="none" w:pos="2180" w:val="left"/>
        </w:tabs>
        <w:numPr>
          <w:ilvl w:val="1"/>
          <w:numId w:val="34"/>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205" w:lineRule="exact"/>
        <w:rPr>
          <w:rFonts w:ascii="Arial" w:cs="Arial" w:eastAsia="Arial" w:hAnsi="Arial"/>
          <w:sz w:val="20"/>
          <w:szCs w:val="20"/>
          <w:color w:val="auto"/>
        </w:rPr>
      </w:pPr>
    </w:p>
    <w:p>
      <w:pPr>
        <w:jc w:val="both"/>
        <w:ind w:left="2180" w:hanging="430"/>
        <w:spacing w:after="0" w:line="250" w:lineRule="auto"/>
        <w:tabs>
          <w:tab w:leader="none" w:pos="2180" w:val="left"/>
        </w:tabs>
        <w:numPr>
          <w:ilvl w:val="1"/>
          <w:numId w:val="34"/>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2180" w:hanging="430"/>
        <w:spacing w:after="0" w:line="246" w:lineRule="auto"/>
        <w:tabs>
          <w:tab w:leader="none" w:pos="2180" w:val="left"/>
        </w:tabs>
        <w:numPr>
          <w:ilvl w:val="1"/>
          <w:numId w:val="34"/>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bookmarkStart w:id="57" w:name="page58"/>
    <w:bookmarkEnd w:id="57"/>
    <w:p>
      <w:pPr>
        <w:spacing w:after="0" w:line="47" w:lineRule="exact"/>
        <w:rPr>
          <w:sz w:val="20"/>
          <w:szCs w:val="20"/>
          <w:color w:val="auto"/>
        </w:rPr>
      </w:pPr>
    </w:p>
    <w:p>
      <w:pPr>
        <w:jc w:val="both"/>
        <w:ind w:left="1300" w:hanging="428"/>
        <w:spacing w:after="0" w:line="250" w:lineRule="auto"/>
        <w:tabs>
          <w:tab w:leader="none" w:pos="13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2180" w:hanging="430"/>
        <w:spacing w:after="0" w:line="250" w:lineRule="auto"/>
        <w:tabs>
          <w:tab w:leader="none" w:pos="2180" w:val="left"/>
        </w:tabs>
        <w:numPr>
          <w:ilvl w:val="1"/>
          <w:numId w:val="35"/>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2180" w:hanging="430"/>
        <w:spacing w:after="0" w:line="260" w:lineRule="auto"/>
        <w:tabs>
          <w:tab w:leader="none" w:pos="2180" w:val="left"/>
        </w:tabs>
        <w:numPr>
          <w:ilvl w:val="1"/>
          <w:numId w:val="35"/>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420" w:type="dxa"/>
            <w:vAlign w:val="bottom"/>
          </w:tcPr>
          <w:p>
            <w:pPr>
              <w:spacing w:after="0"/>
              <w:rPr>
                <w:sz w:val="20"/>
                <w:szCs w:val="20"/>
                <w:color w:val="auto"/>
              </w:rPr>
            </w:pPr>
            <w:r>
              <w:rPr>
                <w:rFonts w:ascii="Arial" w:cs="Arial" w:eastAsia="Arial" w:hAnsi="Arial"/>
                <w:sz w:val="20"/>
                <w:szCs w:val="20"/>
                <w:color w:val="auto"/>
              </w:rPr>
              <w:t>Date: November 7, 2018</w:t>
            </w:r>
          </w:p>
        </w:tc>
        <w:tc>
          <w:tcPr>
            <w:tcW w:w="7000" w:type="dxa"/>
            <w:vAlign w:val="bottom"/>
            <w:gridSpan w:val="2"/>
          </w:tcPr>
          <w:p>
            <w:pPr>
              <w:ind w:left="2440"/>
              <w:spacing w:after="0"/>
              <w:rPr>
                <w:sz w:val="20"/>
                <w:szCs w:val="20"/>
                <w:color w:val="auto"/>
              </w:rPr>
            </w:pPr>
            <w:r>
              <w:rPr>
                <w:rFonts w:ascii="Arial" w:cs="Arial" w:eastAsia="Arial" w:hAnsi="Arial"/>
                <w:sz w:val="20"/>
                <w:szCs w:val="20"/>
                <w:color w:val="auto"/>
              </w:rPr>
              <w:t>By:  /s/ C. Howard Nye</w:t>
            </w:r>
          </w:p>
        </w:tc>
      </w:tr>
      <w:tr>
        <w:trPr>
          <w:trHeight w:val="206"/>
        </w:trPr>
        <w:tc>
          <w:tcPr>
            <w:tcW w:w="44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410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C. Howard Nye</w:t>
            </w:r>
          </w:p>
        </w:tc>
      </w:tr>
      <w:tr>
        <w:trPr>
          <w:trHeight w:val="230"/>
        </w:trPr>
        <w:tc>
          <w:tcPr>
            <w:tcW w:w="44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20"/>
                <w:szCs w:val="20"/>
                <w:color w:val="auto"/>
              </w:rPr>
              <w:t>Chairman, President and</w:t>
            </w:r>
          </w:p>
        </w:tc>
      </w:tr>
      <w:tr>
        <w:trPr>
          <w:trHeight w:val="250"/>
        </w:trPr>
        <w:tc>
          <w:tcPr>
            <w:tcW w:w="44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4100" w:type="dxa"/>
            <w:vAlign w:val="bottom"/>
          </w:tcPr>
          <w:p>
            <w:pPr>
              <w:ind w:left="140"/>
              <w:spacing w:after="0"/>
              <w:rPr>
                <w:sz w:val="20"/>
                <w:szCs w:val="20"/>
                <w:color w:val="auto"/>
              </w:rPr>
            </w:pPr>
            <w:r>
              <w:rPr>
                <w:rFonts w:ascii="Arial" w:cs="Arial" w:eastAsia="Arial" w:hAnsi="Arial"/>
                <w:sz w:val="20"/>
                <w:szCs w:val="20"/>
                <w:color w:val="auto"/>
              </w:rPr>
              <w:t>Chief Executive Officer</w:t>
            </w:r>
          </w:p>
        </w:tc>
      </w:tr>
    </w:tbl>
    <w:p>
      <w:pPr>
        <w:sectPr>
          <w:pgSz w:w="11900" w:h="16838" w:orient="portrait"/>
          <w:cols w:equalWidth="0" w:num="1">
            <w:col w:w="11420"/>
          </w:cols>
          <w:pgMar w:left="240" w:top="1440"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20"/>
          <w:szCs w:val="20"/>
          <w:b w:val="1"/>
          <w:bCs w:val="1"/>
          <w:color w:val="auto"/>
        </w:rPr>
        <w:t>EXHIBIT 31.02</w:t>
      </w:r>
    </w:p>
    <w:p>
      <w:pPr>
        <w:spacing w:after="0" w:line="200" w:lineRule="exact"/>
        <w:rPr>
          <w:sz w:val="20"/>
          <w:szCs w:val="20"/>
          <w:color w:val="auto"/>
        </w:rPr>
      </w:pPr>
    </w:p>
    <w:p>
      <w:pPr>
        <w:spacing w:after="0" w:line="286" w:lineRule="exact"/>
        <w:rPr>
          <w:sz w:val="20"/>
          <w:szCs w:val="20"/>
          <w:color w:val="auto"/>
        </w:rPr>
      </w:pPr>
    </w:p>
    <w:p>
      <w:pPr>
        <w:jc w:val="center"/>
        <w:ind w:left="260" w:right="100"/>
        <w:spacing w:after="0" w:line="267" w:lineRule="auto"/>
        <w:rPr>
          <w:sz w:val="20"/>
          <w:szCs w:val="20"/>
          <w:color w:val="auto"/>
        </w:rPr>
      </w:pPr>
      <w:r>
        <w:rPr>
          <w:rFonts w:ascii="Arial" w:cs="Arial" w:eastAsia="Arial" w:hAnsi="Arial"/>
          <w:sz w:val="20"/>
          <w:szCs w:val="20"/>
          <w:b w:val="1"/>
          <w:bCs w:val="1"/>
          <w:color w:val="auto"/>
        </w:rPr>
        <w:t>CERTIFICATION PURSUANT TO SECURITIES AND EXCHANGE ACT OF 1934 RULE 13a-14 AS ADOPTED PURSUANT TO SECTION 302 OF SARBANES-OXLEY ACT OF 2002</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I, James A. J. Nickolas, certify that:</w:t>
      </w:r>
    </w:p>
    <w:p>
      <w:pPr>
        <w:spacing w:after="0" w:line="229" w:lineRule="exact"/>
        <w:rPr>
          <w:sz w:val="20"/>
          <w:szCs w:val="20"/>
          <w:color w:val="auto"/>
        </w:rPr>
      </w:pPr>
    </w:p>
    <w:p>
      <w:pPr>
        <w:ind w:left="1300" w:hanging="428"/>
        <w:spacing w:after="0"/>
        <w:tabs>
          <w:tab w:leader="none" w:pos="13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I have reviewed this Form 10-Q of Martin Marietta Materials, Inc.;</w:t>
      </w:r>
    </w:p>
    <w:p>
      <w:pPr>
        <w:spacing w:after="0" w:line="229" w:lineRule="exact"/>
        <w:rPr>
          <w:rFonts w:ascii="Arial" w:cs="Arial" w:eastAsia="Arial" w:hAnsi="Arial"/>
          <w:sz w:val="20"/>
          <w:szCs w:val="20"/>
          <w:color w:val="auto"/>
        </w:rPr>
      </w:pPr>
    </w:p>
    <w:p>
      <w:pPr>
        <w:jc w:val="both"/>
        <w:ind w:left="1300" w:hanging="428"/>
        <w:spacing w:after="0" w:line="250" w:lineRule="auto"/>
        <w:tabs>
          <w:tab w:leader="none" w:pos="13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jc w:val="both"/>
        <w:ind w:left="1300" w:hanging="428"/>
        <w:spacing w:after="0" w:line="250" w:lineRule="auto"/>
        <w:tabs>
          <w:tab w:leader="none" w:pos="13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Based on my knowledge, the consolidated financial statements, and other financial information included in this report, fairly present in all material respects the consolidated financial condition, results of operations and cash flows of the registrant as of, and for, the periods presented in this report;</w:t>
      </w:r>
    </w:p>
    <w:p>
      <w:pPr>
        <w:spacing w:after="0" w:line="199" w:lineRule="exact"/>
        <w:rPr>
          <w:rFonts w:ascii="Arial" w:cs="Arial" w:eastAsia="Arial" w:hAnsi="Arial"/>
          <w:sz w:val="20"/>
          <w:szCs w:val="20"/>
          <w:color w:val="auto"/>
        </w:rPr>
      </w:pPr>
    </w:p>
    <w:p>
      <w:pPr>
        <w:jc w:val="both"/>
        <w:ind w:left="1300" w:right="20" w:hanging="428"/>
        <w:spacing w:after="0" w:line="250" w:lineRule="auto"/>
        <w:tabs>
          <w:tab w:leader="none" w:pos="13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2180" w:hanging="430"/>
        <w:spacing w:after="0" w:line="246" w:lineRule="auto"/>
        <w:tabs>
          <w:tab w:leader="none" w:pos="2180" w:val="left"/>
        </w:tabs>
        <w:numPr>
          <w:ilvl w:val="1"/>
          <w:numId w:val="36"/>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5" w:lineRule="exact"/>
        <w:rPr>
          <w:rFonts w:ascii="Arial" w:cs="Arial" w:eastAsia="Arial" w:hAnsi="Arial"/>
          <w:sz w:val="20"/>
          <w:szCs w:val="20"/>
          <w:color w:val="auto"/>
        </w:rPr>
      </w:pPr>
    </w:p>
    <w:p>
      <w:pPr>
        <w:jc w:val="both"/>
        <w:ind w:left="2180" w:hanging="430"/>
        <w:spacing w:after="0" w:line="246" w:lineRule="auto"/>
        <w:tabs>
          <w:tab w:leader="none" w:pos="2180" w:val="left"/>
        </w:tabs>
        <w:numPr>
          <w:ilvl w:val="1"/>
          <w:numId w:val="36"/>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205" w:lineRule="exact"/>
        <w:rPr>
          <w:rFonts w:ascii="Arial" w:cs="Arial" w:eastAsia="Arial" w:hAnsi="Arial"/>
          <w:sz w:val="20"/>
          <w:szCs w:val="20"/>
          <w:color w:val="auto"/>
        </w:rPr>
      </w:pPr>
    </w:p>
    <w:p>
      <w:pPr>
        <w:jc w:val="both"/>
        <w:ind w:left="2180" w:hanging="430"/>
        <w:spacing w:after="0" w:line="250" w:lineRule="auto"/>
        <w:tabs>
          <w:tab w:leader="none" w:pos="2180" w:val="left"/>
        </w:tabs>
        <w:numPr>
          <w:ilvl w:val="1"/>
          <w:numId w:val="36"/>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2180" w:hanging="430"/>
        <w:spacing w:after="0" w:line="246" w:lineRule="auto"/>
        <w:tabs>
          <w:tab w:leader="none" w:pos="2180" w:val="left"/>
        </w:tabs>
        <w:numPr>
          <w:ilvl w:val="1"/>
          <w:numId w:val="36"/>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819" w:right="239" w:bottom="1440" w:gutter="0" w:footer="0" w:header="0"/>
        </w:sectPr>
      </w:pPr>
    </w:p>
    <w:bookmarkStart w:id="59" w:name="page60"/>
    <w:bookmarkEnd w:id="59"/>
    <w:p>
      <w:pPr>
        <w:spacing w:after="0" w:line="47" w:lineRule="exact"/>
        <w:rPr>
          <w:sz w:val="20"/>
          <w:szCs w:val="20"/>
          <w:color w:val="auto"/>
        </w:rPr>
      </w:pPr>
    </w:p>
    <w:p>
      <w:pPr>
        <w:jc w:val="both"/>
        <w:ind w:left="1300" w:hanging="428"/>
        <w:spacing w:after="0" w:line="250" w:lineRule="auto"/>
        <w:tabs>
          <w:tab w:leader="none" w:pos="130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2180" w:hanging="430"/>
        <w:spacing w:after="0" w:line="250" w:lineRule="auto"/>
        <w:tabs>
          <w:tab w:leader="none" w:pos="2180" w:val="left"/>
        </w:tabs>
        <w:numPr>
          <w:ilvl w:val="1"/>
          <w:numId w:val="37"/>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2180" w:hanging="430"/>
        <w:spacing w:after="0" w:line="260" w:lineRule="auto"/>
        <w:tabs>
          <w:tab w:leader="none" w:pos="2180" w:val="left"/>
        </w:tabs>
        <w:numPr>
          <w:ilvl w:val="1"/>
          <w:numId w:val="3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400" w:type="dxa"/>
            <w:vAlign w:val="bottom"/>
          </w:tcPr>
          <w:p>
            <w:pPr>
              <w:spacing w:after="0"/>
              <w:rPr>
                <w:sz w:val="20"/>
                <w:szCs w:val="20"/>
                <w:color w:val="auto"/>
              </w:rPr>
            </w:pPr>
            <w:r>
              <w:rPr>
                <w:rFonts w:ascii="Arial" w:cs="Arial" w:eastAsia="Arial" w:hAnsi="Arial"/>
                <w:sz w:val="20"/>
                <w:szCs w:val="20"/>
                <w:color w:val="auto"/>
              </w:rPr>
              <w:t>Date: November 7, 2018</w:t>
            </w:r>
          </w:p>
        </w:tc>
        <w:tc>
          <w:tcPr>
            <w:tcW w:w="7020" w:type="dxa"/>
            <w:vAlign w:val="bottom"/>
            <w:gridSpan w:val="2"/>
          </w:tcPr>
          <w:p>
            <w:pPr>
              <w:ind w:left="2460"/>
              <w:spacing w:after="0"/>
              <w:rPr>
                <w:sz w:val="20"/>
                <w:szCs w:val="20"/>
                <w:color w:val="auto"/>
              </w:rPr>
            </w:pPr>
            <w:r>
              <w:rPr>
                <w:rFonts w:ascii="Arial" w:cs="Arial" w:eastAsia="Arial" w:hAnsi="Arial"/>
                <w:sz w:val="20"/>
                <w:szCs w:val="20"/>
                <w:color w:val="auto"/>
              </w:rPr>
              <w:t>By:  /s/ James A. J. Nickolas</w:t>
            </w:r>
          </w:p>
        </w:tc>
      </w:tr>
      <w:tr>
        <w:trPr>
          <w:trHeight w:val="206"/>
        </w:trPr>
        <w:tc>
          <w:tcPr>
            <w:tcW w:w="44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412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James A. J. Nickolas</w:t>
            </w:r>
          </w:p>
        </w:tc>
      </w:tr>
      <w:tr>
        <w:trPr>
          <w:trHeight w:val="230"/>
        </w:trPr>
        <w:tc>
          <w:tcPr>
            <w:tcW w:w="44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20"/>
                <w:szCs w:val="20"/>
                <w:color w:val="auto"/>
              </w:rPr>
              <w:t>Sr. Vice President and</w:t>
            </w:r>
          </w:p>
        </w:tc>
      </w:tr>
      <w:tr>
        <w:trPr>
          <w:trHeight w:val="250"/>
        </w:trPr>
        <w:tc>
          <w:tcPr>
            <w:tcW w:w="440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4120" w:type="dxa"/>
            <w:vAlign w:val="bottom"/>
          </w:tcPr>
          <w:p>
            <w:pPr>
              <w:ind w:left="140"/>
              <w:spacing w:after="0"/>
              <w:rPr>
                <w:sz w:val="20"/>
                <w:szCs w:val="20"/>
                <w:color w:val="auto"/>
              </w:rPr>
            </w:pPr>
            <w:r>
              <w:rPr>
                <w:rFonts w:ascii="Arial" w:cs="Arial" w:eastAsia="Arial" w:hAnsi="Arial"/>
                <w:sz w:val="20"/>
                <w:szCs w:val="20"/>
                <w:color w:val="auto"/>
              </w:rPr>
              <w:t>Chief Financial Officer</w:t>
            </w:r>
          </w:p>
        </w:tc>
      </w:tr>
    </w:tbl>
    <w:p>
      <w:pPr>
        <w:sectPr>
          <w:pgSz w:w="11900" w:h="16838" w:orient="portrait"/>
          <w:cols w:equalWidth="0" w:num="1">
            <w:col w:w="11420"/>
          </w:cols>
          <w:pgMar w:left="240" w:top="144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20"/>
          <w:szCs w:val="20"/>
          <w:b w:val="1"/>
          <w:bCs w:val="1"/>
          <w:color w:val="auto"/>
        </w:rPr>
        <w:t>EXHIBIT 32.01</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Written Statement Pursuant to 18 U.S.C. 1350,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 of the Sarbanes-Oxley Act of 2002</w:t>
      </w:r>
    </w:p>
    <w:p>
      <w:pPr>
        <w:spacing w:after="0" w:line="213"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In connection with the Quarterly Report on Form 10-Q for the period ended September 30, 2018 (the “Report”) of Martin Marietta Materials, Inc. (the “Registrant”), as filed with the Securities and Exchange Commission on the date hereof, I, C. Howard Nye, the Chief Executive Officer of the Registrant, certify, to the best of my knowledge, that:</w:t>
      </w:r>
    </w:p>
    <w:p>
      <w:pPr>
        <w:spacing w:after="0" w:line="200" w:lineRule="exact"/>
        <w:rPr>
          <w:sz w:val="20"/>
          <w:szCs w:val="20"/>
          <w:color w:val="auto"/>
        </w:rPr>
      </w:pPr>
    </w:p>
    <w:p>
      <w:pPr>
        <w:ind w:left="1740" w:hanging="868"/>
        <w:spacing w:after="0" w:line="260" w:lineRule="auto"/>
        <w:tabs>
          <w:tab w:leader="none" w:pos="17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1740" w:right="20" w:hanging="868"/>
        <w:spacing w:after="0" w:line="260" w:lineRule="auto"/>
        <w:tabs>
          <w:tab w:leader="none" w:pos="17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Registrant.</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 C. Howard Nye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28987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20"/>
          <w:szCs w:val="20"/>
          <w:color w:val="auto"/>
        </w:rPr>
        <w:t>C. Howard Nye</w:t>
      </w:r>
    </w:p>
    <w:p>
      <w:pPr>
        <w:spacing w:after="0" w:line="8"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Chairman, President and</w:t>
      </w:r>
    </w:p>
    <w:p>
      <w:pPr>
        <w:ind w:left="7000"/>
        <w:spacing w:after="0"/>
        <w:rPr>
          <w:sz w:val="20"/>
          <w:szCs w:val="20"/>
          <w:color w:val="auto"/>
        </w:rPr>
      </w:pPr>
      <w:r>
        <w:rPr>
          <w:rFonts w:ascii="Arial" w:cs="Arial" w:eastAsia="Arial" w:hAnsi="Arial"/>
          <w:sz w:val="20"/>
          <w:szCs w:val="20"/>
          <w:color w:val="auto"/>
        </w:rPr>
        <w:t>Chief Executive Officer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Dated: November 7, 2018</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420"/>
          </w:cols>
          <w:pgMar w:left="240" w:top="118"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20"/>
          <w:szCs w:val="20"/>
          <w:b w:val="1"/>
          <w:bCs w:val="1"/>
          <w:color w:val="auto"/>
        </w:rPr>
        <w:t>EXHIBIT 32.02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Written Statement Pursuant to 18 U.S.C. 1350,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 of the Sarbanes-Oxley Act of 2002</w:t>
      </w:r>
    </w:p>
    <w:p>
      <w:pPr>
        <w:spacing w:after="0" w:line="213" w:lineRule="exact"/>
        <w:rPr>
          <w:sz w:val="20"/>
          <w:szCs w:val="20"/>
          <w:color w:val="auto"/>
        </w:rPr>
      </w:pPr>
    </w:p>
    <w:p>
      <w:pPr>
        <w:jc w:val="both"/>
        <w:ind w:firstLine="877"/>
        <w:spacing w:after="0" w:line="250" w:lineRule="auto"/>
        <w:rPr>
          <w:sz w:val="20"/>
          <w:szCs w:val="20"/>
          <w:color w:val="auto"/>
        </w:rPr>
      </w:pPr>
      <w:r>
        <w:rPr>
          <w:rFonts w:ascii="Arial" w:cs="Arial" w:eastAsia="Arial" w:hAnsi="Arial"/>
          <w:sz w:val="20"/>
          <w:szCs w:val="20"/>
          <w:color w:val="auto"/>
        </w:rPr>
        <w:t>In connection with the Quarterly Report on Form 10-Q for the period ended September 30, 2018 (the “Report”) of Martin Marietta Materials, Inc. (the “Registrant”), as filed with the Securities and Exchange Commission on the date hereof, I, James A. J. Nickolas, the Chief Financial Officer of the Registrant, certify, to the best of my knowledge, that:</w:t>
      </w:r>
    </w:p>
    <w:p>
      <w:pPr>
        <w:spacing w:after="0" w:line="200" w:lineRule="exact"/>
        <w:rPr>
          <w:sz w:val="20"/>
          <w:szCs w:val="20"/>
          <w:color w:val="auto"/>
        </w:rPr>
      </w:pPr>
    </w:p>
    <w:p>
      <w:pPr>
        <w:ind w:left="1740" w:hanging="868"/>
        <w:spacing w:after="0" w:line="260" w:lineRule="auto"/>
        <w:tabs>
          <w:tab w:leader="none" w:pos="17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1740" w:right="20" w:hanging="868"/>
        <w:spacing w:after="0" w:line="260" w:lineRule="auto"/>
        <w:tabs>
          <w:tab w:leader="none" w:pos="17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Registrant.</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 James A. J. Nickolas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28987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20"/>
          <w:szCs w:val="20"/>
          <w:color w:val="auto"/>
        </w:rPr>
        <w:t>James A. J. Nickolas</w:t>
      </w:r>
    </w:p>
    <w:p>
      <w:pPr>
        <w:spacing w:after="0" w:line="8"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Sr. Vice President and</w:t>
      </w:r>
    </w:p>
    <w:p>
      <w:pPr>
        <w:ind w:left="7000"/>
        <w:spacing w:after="0"/>
        <w:rPr>
          <w:sz w:val="20"/>
          <w:szCs w:val="20"/>
          <w:color w:val="auto"/>
        </w:rPr>
      </w:pPr>
      <w:r>
        <w:rPr>
          <w:rFonts w:ascii="Arial" w:cs="Arial" w:eastAsia="Arial" w:hAnsi="Arial"/>
          <w:sz w:val="20"/>
          <w:szCs w:val="20"/>
          <w:color w:val="auto"/>
        </w:rPr>
        <w:t>Chief Financial Officer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Dated: November 7, 2018</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Martin Marietta Materials, Inc. and will be retained by Martin Marietta Materials, Inc. and furnished to the Securities and Exchange Commission or its staff upon request.</w:t>
      </w:r>
    </w:p>
    <w:p>
      <w:pPr>
        <w:sectPr>
          <w:pgSz w:w="11900" w:h="16838" w:orient="portrait"/>
          <w:cols w:equalWidth="0" w:num="1">
            <w:col w:w="11420"/>
          </w:cols>
          <w:pgMar w:left="240" w:top="116"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20"/>
          <w:szCs w:val="20"/>
          <w:b w:val="1"/>
          <w:bCs w:val="1"/>
          <w:color w:val="auto"/>
        </w:rPr>
        <w:t>EXHIBIT 95</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MINE SAFETY DISCLOSURES</w:t>
      </w:r>
    </w:p>
    <w:p>
      <w:pPr>
        <w:spacing w:after="0" w:line="23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operation of the Corporation’s domestic aggregates quarries and mines is subject to regulation by the federal Mine Safety and Health Administration (MSHA) under the Federal Mine Safety and Health Act of 1977 (the Mine Act). MSHA inspects the Corporation’s quarries and mines on a regular basis and issues various citations and orders when it believes a violation has occurred under the Mine Act. Whenever MSHA issues a citation or order, it also generally proposes a civil penalty, or fine, related to the alleged violation. Citations or orders may be contested and appealed, and as part of that process, are often reduced in severity and amount, and are sometimes dismissed.</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Under the Dodd-Frank Wall Street Reform and Consumer Protection Act (the Dodd-Frank Act), the Corporation is required to present information regarding certain mining safety and health citations which MSHA has issued with respect to its aggregates mining operations in its periodic reports filed with the Securities and Exchange Commission (SEC). In evaluating this information, consideration should be given to factors such as: (i) the number of citations and orders will vary depending on the size of the quarry or mine and types of operations (underground or surface), (ii) the number of citations issued will vary from inspector to inspector and location to location, and (iii) citations and orders can be contested and appealed, and in that process, may be reduced in severity and amount, and are sometimes dismissed.</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Corporation has provided the information below in response to the SEC’s rules and regulations issued under the provisions of the Dodd-Frank Act. The disclosures reflect U.S. mining operations only, as the requirements of the Dodd-Frank Act and the SEC rules and regulations thereunder do not apply to the Corporation’s quarries and mines operated outside the United States.</w:t>
      </w:r>
    </w:p>
    <w:p>
      <w:pPr>
        <w:spacing w:after="0" w:line="20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Corporation presents the following items regarding certain mining safety and health matters for the three months ended September 30, 2018:</w:t>
      </w:r>
    </w:p>
    <w:p>
      <w:pPr>
        <w:spacing w:after="0" w:line="190" w:lineRule="exact"/>
        <w:rPr>
          <w:sz w:val="20"/>
          <w:szCs w:val="20"/>
          <w:color w:val="auto"/>
        </w:rPr>
      </w:pPr>
    </w:p>
    <w:p>
      <w:pPr>
        <w:jc w:val="both"/>
        <w:ind w:left="440" w:hanging="432"/>
        <w:spacing w:after="0" w:line="243" w:lineRule="auto"/>
        <w:tabs>
          <w:tab w:leader="none" w:pos="440" w:val="left"/>
        </w:tabs>
        <w:numPr>
          <w:ilvl w:val="0"/>
          <w:numId w:val="40"/>
        </w:numPr>
        <w:rPr>
          <w:rFonts w:ascii="Arial" w:cs="Arial" w:eastAsia="Arial" w:hAnsi="Arial"/>
          <w:sz w:val="20"/>
          <w:szCs w:val="20"/>
          <w:b w:val="1"/>
          <w:bCs w:val="1"/>
          <w:color w:val="auto"/>
        </w:rPr>
      </w:pPr>
      <w:r>
        <w:rPr>
          <w:rFonts w:ascii="Arial" w:cs="Arial" w:eastAsia="Arial" w:hAnsi="Arial"/>
          <w:sz w:val="20"/>
          <w:szCs w:val="20"/>
          <w:color w:val="auto"/>
        </w:rPr>
        <w:t>Total number of violations of mandatory health or safety standards that could significantly and substantially contribute to the cause and effect of a mine safety or health hazard under section 104 of the Mine Act for which the Corporation has received a citation from MSHA (hereinafter, “Section 104 S&amp;S Citations”). If MSHA determines that a violation of a mandatory health or safety standard is likely to result in a reasonably serious injury or illness under the unique circumstance contributed to by the violation, MSHA will classify the violation as a “significant and substantial” violation (commonly referred to as an S&amp;S violation). MSHA inspectors will classify each citation or order written as an S&amp;S violation or not.</w:t>
      </w:r>
    </w:p>
    <w:p>
      <w:pPr>
        <w:spacing w:after="0" w:line="182" w:lineRule="exact"/>
        <w:rPr>
          <w:rFonts w:ascii="Arial" w:cs="Arial" w:eastAsia="Arial" w:hAnsi="Arial"/>
          <w:sz w:val="20"/>
          <w:szCs w:val="20"/>
          <w:b w:val="1"/>
          <w:bCs w:val="1"/>
          <w:color w:val="auto"/>
        </w:rPr>
      </w:pPr>
    </w:p>
    <w:p>
      <w:pPr>
        <w:jc w:val="both"/>
        <w:ind w:left="440" w:hanging="432"/>
        <w:spacing w:after="0" w:line="246" w:lineRule="auto"/>
        <w:tabs>
          <w:tab w:leader="none" w:pos="440" w:val="left"/>
        </w:tabs>
        <w:numPr>
          <w:ilvl w:val="0"/>
          <w:numId w:val="40"/>
        </w:numPr>
        <w:rPr>
          <w:rFonts w:ascii="Arial" w:cs="Arial" w:eastAsia="Arial" w:hAnsi="Arial"/>
          <w:sz w:val="20"/>
          <w:szCs w:val="20"/>
          <w:b w:val="1"/>
          <w:bCs w:val="1"/>
          <w:color w:val="auto"/>
        </w:rPr>
      </w:pPr>
      <w:r>
        <w:rPr>
          <w:rFonts w:ascii="Arial" w:cs="Arial" w:eastAsia="Arial" w:hAnsi="Arial"/>
          <w:sz w:val="20"/>
          <w:szCs w:val="20"/>
          <w:color w:val="auto"/>
        </w:rPr>
        <w:t>Total number of orders issued under section 104(b) of the Mine Act (hereinafter, “Section 104(b) Orders”). These orders are issued for situations in which MSHA determines a previous violation covered by a Section 104(a) citation has not been totally abated within the prescribed time period, so a further order is needed to require the mine operator to immediately withdraw all persons (except authorized persons) from the affected area of a quarry or mine.</w:t>
      </w:r>
    </w:p>
    <w:p>
      <w:pPr>
        <w:spacing w:after="0" w:line="205" w:lineRule="exact"/>
        <w:rPr>
          <w:rFonts w:ascii="Arial" w:cs="Arial" w:eastAsia="Arial" w:hAnsi="Arial"/>
          <w:sz w:val="20"/>
          <w:szCs w:val="20"/>
          <w:b w:val="1"/>
          <w:bCs w:val="1"/>
          <w:color w:val="auto"/>
        </w:rPr>
      </w:pPr>
    </w:p>
    <w:p>
      <w:pPr>
        <w:jc w:val="both"/>
        <w:ind w:left="440" w:hanging="432"/>
        <w:spacing w:after="0" w:line="250" w:lineRule="auto"/>
        <w:tabs>
          <w:tab w:leader="none" w:pos="440" w:val="left"/>
        </w:tabs>
        <w:numPr>
          <w:ilvl w:val="0"/>
          <w:numId w:val="40"/>
        </w:numPr>
        <w:rPr>
          <w:rFonts w:ascii="Arial" w:cs="Arial" w:eastAsia="Arial" w:hAnsi="Arial"/>
          <w:sz w:val="20"/>
          <w:szCs w:val="20"/>
          <w:b w:val="1"/>
          <w:bCs w:val="1"/>
          <w:color w:val="auto"/>
        </w:rPr>
      </w:pPr>
      <w:r>
        <w:rPr>
          <w:rFonts w:ascii="Arial" w:cs="Arial" w:eastAsia="Arial" w:hAnsi="Arial"/>
          <w:sz w:val="20"/>
          <w:szCs w:val="20"/>
          <w:color w:val="auto"/>
        </w:rPr>
        <w:t>Total number of citations and orders for unwarrantable failure of the mine operator to comply with mandatory health or safety standards under Section 104(d) of the Mine Act (hereinafter, “Section 104(d) Citations and Orders”). These violations are similar to those described above, but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459105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63" w:name="page64"/>
    <w:bookmarkEnd w:id="63"/>
    <w:p>
      <w:pPr>
        <w:jc w:val="both"/>
        <w:ind w:left="432"/>
        <w:spacing w:after="0" w:line="250" w:lineRule="auto"/>
        <w:rPr>
          <w:sz w:val="20"/>
          <w:szCs w:val="20"/>
          <w:color w:val="auto"/>
        </w:rPr>
      </w:pPr>
      <w:r>
        <w:rPr>
          <w:rFonts w:ascii="Arial" w:cs="Arial" w:eastAsia="Arial" w:hAnsi="Arial"/>
          <w:sz w:val="20"/>
          <w:szCs w:val="20"/>
          <w:color w:val="auto"/>
        </w:rPr>
        <w:t>standard is that the violation could significantly and substantially contribute to the cause and effect of a safety or health hazard, but the conditions do not cause imminent danger, and the MSHA inspector finds that the violation is caused by an unwarranted failure of the operator to comply with the health and safety standards.</w:t>
      </w:r>
    </w:p>
    <w:p>
      <w:pPr>
        <w:spacing w:after="0" w:line="201" w:lineRule="exact"/>
        <w:rPr>
          <w:sz w:val="20"/>
          <w:szCs w:val="20"/>
          <w:color w:val="auto"/>
        </w:rPr>
      </w:pPr>
    </w:p>
    <w:p>
      <w:pPr>
        <w:jc w:val="both"/>
        <w:ind w:left="432" w:hanging="432"/>
        <w:spacing w:after="0" w:line="282" w:lineRule="auto"/>
        <w:tabs>
          <w:tab w:leader="none" w:pos="432"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Total number of flagrant violations under section 110(b)(2) of the Mine Act (hereinafter, “Section 110(b)(2) Violations”). These violations are penalty violations issued if MSHA determines that violations are “flagrant”, for which civil penalties may be assessed. A “flagrant” violation means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75" w:lineRule="exact"/>
        <w:rPr>
          <w:rFonts w:ascii="Arial" w:cs="Arial" w:eastAsia="Arial" w:hAnsi="Arial"/>
          <w:sz w:val="18"/>
          <w:szCs w:val="18"/>
          <w:b w:val="1"/>
          <w:bCs w:val="1"/>
          <w:color w:val="auto"/>
        </w:rPr>
      </w:pPr>
    </w:p>
    <w:p>
      <w:pPr>
        <w:jc w:val="both"/>
        <w:ind w:left="432" w:hanging="432"/>
        <w:spacing w:after="0" w:line="263" w:lineRule="auto"/>
        <w:tabs>
          <w:tab w:leader="none" w:pos="432" w:val="left"/>
        </w:tabs>
        <w:numPr>
          <w:ilvl w:val="0"/>
          <w:numId w:val="41"/>
        </w:numPr>
        <w:rPr>
          <w:rFonts w:ascii="Arial" w:cs="Arial" w:eastAsia="Arial" w:hAnsi="Arial"/>
          <w:sz w:val="19"/>
          <w:szCs w:val="19"/>
          <w:b w:val="1"/>
          <w:bCs w:val="1"/>
          <w:color w:val="auto"/>
        </w:rPr>
      </w:pPr>
      <w:r>
        <w:rPr>
          <w:rFonts w:ascii="Arial" w:cs="Arial" w:eastAsia="Arial" w:hAnsi="Arial"/>
          <w:sz w:val="19"/>
          <w:szCs w:val="19"/>
          <w:color w:val="auto"/>
        </w:rPr>
        <w:t>Total number of imminent danger orders issued under section 107(a) of the Mine Act (hereinafter, “Section 107(a) Orders”). These orders are issued for situations in which MSHA determines an imminent danger exists in the quarry or mine and results in orders of immediate withdrawal of all persons (except certain authorized persons) from the area of the quarry or mine affected by its condition until the imminent danger and the underlying conditions causing the imminent danger no longer exist.</w:t>
      </w:r>
    </w:p>
    <w:p>
      <w:pPr>
        <w:spacing w:after="0" w:line="190" w:lineRule="exact"/>
        <w:rPr>
          <w:rFonts w:ascii="Arial" w:cs="Arial" w:eastAsia="Arial" w:hAnsi="Arial"/>
          <w:sz w:val="19"/>
          <w:szCs w:val="19"/>
          <w:b w:val="1"/>
          <w:bCs w:val="1"/>
          <w:color w:val="auto"/>
        </w:rPr>
      </w:pPr>
    </w:p>
    <w:p>
      <w:pPr>
        <w:jc w:val="both"/>
        <w:ind w:left="432" w:hanging="432"/>
        <w:spacing w:after="0" w:line="263" w:lineRule="auto"/>
        <w:tabs>
          <w:tab w:leader="none" w:pos="432" w:val="left"/>
        </w:tabs>
        <w:numPr>
          <w:ilvl w:val="0"/>
          <w:numId w:val="41"/>
        </w:numPr>
        <w:rPr>
          <w:rFonts w:ascii="Arial" w:cs="Arial" w:eastAsia="Arial" w:hAnsi="Arial"/>
          <w:sz w:val="19"/>
          <w:szCs w:val="19"/>
          <w:b w:val="1"/>
          <w:bCs w:val="1"/>
          <w:color w:val="auto"/>
        </w:rPr>
      </w:pPr>
      <w:r>
        <w:rPr>
          <w:rFonts w:ascii="Arial" w:cs="Arial" w:eastAsia="Arial" w:hAnsi="Arial"/>
          <w:sz w:val="19"/>
          <w:szCs w:val="19"/>
          <w:color w:val="auto"/>
        </w:rPr>
        <w:t>Total dollar value of proposed assessments from MSHA under the Mine Act. These are the amounts of proposed assessments issued by MSHA with each citation or order for the time period covered by the reports. Penalties are assessed by MSHA according to a formula that considers a number of factors, including the mine operator’s history, size, negligence, gravity of the violation, good faith in trying to correct the violation promptly, and the effect of the penalty on the operator’s ability to continue in business.</w:t>
      </w:r>
    </w:p>
    <w:p>
      <w:pPr>
        <w:spacing w:after="0" w:line="190" w:lineRule="exact"/>
        <w:rPr>
          <w:rFonts w:ascii="Arial" w:cs="Arial" w:eastAsia="Arial" w:hAnsi="Arial"/>
          <w:sz w:val="19"/>
          <w:szCs w:val="19"/>
          <w:b w:val="1"/>
          <w:bCs w:val="1"/>
          <w:color w:val="auto"/>
        </w:rPr>
      </w:pPr>
    </w:p>
    <w:p>
      <w:pPr>
        <w:jc w:val="both"/>
        <w:ind w:left="432" w:hanging="432"/>
        <w:spacing w:after="0" w:line="291" w:lineRule="auto"/>
        <w:tabs>
          <w:tab w:leader="none" w:pos="432"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Total number of mining-related fatalities. Mines subject to the Mine Act are required to report all fatalities occurring at their facilities unless the fatality is determined to be “non-chargeable” to the mining industry. The final rules of the SEC require disclosure of mining-related fatalities at mines subject to the Mine Act. Only fatalities determined by MSHA not to be mining-related may be excluded.</w:t>
      </w:r>
    </w:p>
    <w:p>
      <w:pPr>
        <w:spacing w:after="0" w:line="165" w:lineRule="exact"/>
        <w:rPr>
          <w:rFonts w:ascii="Arial" w:cs="Arial" w:eastAsia="Arial" w:hAnsi="Arial"/>
          <w:sz w:val="18"/>
          <w:szCs w:val="18"/>
          <w:b w:val="1"/>
          <w:bCs w:val="1"/>
          <w:color w:val="auto"/>
        </w:rPr>
      </w:pPr>
    </w:p>
    <w:p>
      <w:pPr>
        <w:jc w:val="both"/>
        <w:ind w:left="432" w:hanging="432"/>
        <w:spacing w:after="0" w:line="263" w:lineRule="auto"/>
        <w:tabs>
          <w:tab w:leader="none" w:pos="432" w:val="left"/>
        </w:tabs>
        <w:numPr>
          <w:ilvl w:val="0"/>
          <w:numId w:val="41"/>
        </w:numPr>
        <w:rPr>
          <w:rFonts w:ascii="Arial" w:cs="Arial" w:eastAsia="Arial" w:hAnsi="Arial"/>
          <w:sz w:val="19"/>
          <w:szCs w:val="19"/>
          <w:b w:val="1"/>
          <w:bCs w:val="1"/>
          <w:color w:val="auto"/>
        </w:rPr>
      </w:pPr>
      <w:r>
        <w:rPr>
          <w:rFonts w:ascii="Arial" w:cs="Arial" w:eastAsia="Arial" w:hAnsi="Arial"/>
          <w:sz w:val="19"/>
          <w:szCs w:val="19"/>
          <w:color w:val="auto"/>
        </w:rPr>
        <w:t>Receipt of written notice from MSHA of a pattern (or a potential to have such a pattern) of violations of mandatory health or safety standards that are of such nature as could have significantly and substantially contributed to the cause and effect of other mine health or safety hazards under Section 104(e) of the Mine Act. If MSHA determines that a mine has a “pattern” of these types of violations, or the potential to have such a pattern, MSHA is required to notify the mine operator of the existence of such a thing.</w:t>
      </w:r>
    </w:p>
    <w:p>
      <w:pPr>
        <w:spacing w:after="0" w:line="190" w:lineRule="exact"/>
        <w:rPr>
          <w:rFonts w:ascii="Arial" w:cs="Arial" w:eastAsia="Arial" w:hAnsi="Arial"/>
          <w:sz w:val="19"/>
          <w:szCs w:val="19"/>
          <w:b w:val="1"/>
          <w:bCs w:val="1"/>
          <w:color w:val="auto"/>
        </w:rPr>
      </w:pPr>
    </w:p>
    <w:p>
      <w:pPr>
        <w:ind w:left="432" w:hanging="432"/>
        <w:spacing w:after="0"/>
        <w:tabs>
          <w:tab w:leader="none" w:pos="432" w:val="left"/>
        </w:tabs>
        <w:numPr>
          <w:ilvl w:val="0"/>
          <w:numId w:val="41"/>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pending as of the last day of period.</w:t>
      </w:r>
    </w:p>
    <w:p>
      <w:pPr>
        <w:spacing w:after="0" w:line="229" w:lineRule="exact"/>
        <w:rPr>
          <w:rFonts w:ascii="Arial" w:cs="Arial" w:eastAsia="Arial" w:hAnsi="Arial"/>
          <w:sz w:val="20"/>
          <w:szCs w:val="20"/>
          <w:b w:val="1"/>
          <w:bCs w:val="1"/>
          <w:color w:val="auto"/>
        </w:rPr>
      </w:pPr>
    </w:p>
    <w:p>
      <w:pPr>
        <w:ind w:left="432" w:hanging="432"/>
        <w:spacing w:after="0"/>
        <w:tabs>
          <w:tab w:leader="none" w:pos="432" w:val="left"/>
        </w:tabs>
        <w:numPr>
          <w:ilvl w:val="0"/>
          <w:numId w:val="41"/>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initiated during period.</w:t>
      </w:r>
    </w:p>
    <w:p>
      <w:pPr>
        <w:spacing w:after="0" w:line="229" w:lineRule="exact"/>
        <w:rPr>
          <w:rFonts w:ascii="Arial" w:cs="Arial" w:eastAsia="Arial" w:hAnsi="Arial"/>
          <w:sz w:val="20"/>
          <w:szCs w:val="20"/>
          <w:b w:val="1"/>
          <w:bCs w:val="1"/>
          <w:color w:val="auto"/>
        </w:rPr>
      </w:pPr>
    </w:p>
    <w:p>
      <w:pPr>
        <w:ind w:left="432" w:hanging="432"/>
        <w:spacing w:after="0"/>
        <w:tabs>
          <w:tab w:leader="none" w:pos="432" w:val="left"/>
        </w:tabs>
        <w:numPr>
          <w:ilvl w:val="0"/>
          <w:numId w:val="41"/>
        </w:numPr>
        <w:rPr>
          <w:rFonts w:ascii="Arial" w:cs="Arial" w:eastAsia="Arial" w:hAnsi="Arial"/>
          <w:sz w:val="20"/>
          <w:szCs w:val="20"/>
          <w:b w:val="1"/>
          <w:bCs w:val="1"/>
          <w:color w:val="auto"/>
        </w:rPr>
      </w:pPr>
      <w:r>
        <w:rPr>
          <w:rFonts w:ascii="Arial" w:cs="Arial" w:eastAsia="Arial" w:hAnsi="Arial"/>
          <w:sz w:val="20"/>
          <w:szCs w:val="20"/>
          <w:color w:val="auto"/>
        </w:rPr>
        <w:t>Legal actions before the Federal Mine Safety and Health Review Commissions resolved during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623570</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12"/>
          </w:cols>
          <w:pgMar w:left="248" w:top="122" w:right="239" w:bottom="1440" w:gutter="0" w:footer="0" w:header="0"/>
        </w:sectPr>
      </w:pPr>
    </w:p>
    <w:bookmarkStart w:id="64" w:name="page65"/>
    <w:bookmarkEnd w:id="64"/>
    <w:p>
      <w:pPr>
        <w:jc w:val="both"/>
        <w:spacing w:after="0" w:line="273" w:lineRule="auto"/>
        <w:rPr>
          <w:sz w:val="20"/>
          <w:szCs w:val="20"/>
          <w:color w:val="auto"/>
        </w:rPr>
      </w:pPr>
      <w:r>
        <w:rPr>
          <w:rFonts w:ascii="Arial" w:cs="Arial" w:eastAsia="Arial" w:hAnsi="Arial"/>
          <w:sz w:val="18"/>
          <w:szCs w:val="18"/>
          <w:color w:val="auto"/>
        </w:rPr>
        <w:t>The Federal Mine Safety and Health Review Commission (the Commission) is an independent adjudicative agency that provides administrative trial and appellate review of legal disputes arising under the Mine Act. The cases may involve, among other questions, challenges by operators to citations, orders and penalties they have received from MSHA, or complaints of discrimination by miners under Section 105 of the Mine Act. Appendix 1 shows, for each of the Corporation’s quarries and mines identified, as of September 30, 2018, the number of legal actions pending before the Commission, along with the number of legal actions initiated before the Commission during the quarter as well as resolved during the quarter. In addition, Appendix 1 includes a footnote to the column for legal actions before the Commission pending as of the last day of the period, which footnote breaks down that total number of legal actions pending by categories according to the type of proceeding in accordance with various categories established by the Procedural Rules of the Commission.</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Appendix 1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52"/>
        </w:trPr>
        <w:tc>
          <w:tcPr>
            <w:tcW w:w="10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40" w:type="dxa"/>
            <w:vAlign w:val="bottom"/>
            <w:gridSpan w:val="2"/>
          </w:tcPr>
          <w:p>
            <w:pPr>
              <w:ind w:left="700"/>
              <w:spacing w:after="0"/>
              <w:rPr>
                <w:sz w:val="20"/>
                <w:szCs w:val="20"/>
                <w:color w:val="auto"/>
              </w:rPr>
            </w:pPr>
            <w:r>
              <w:rPr>
                <w:rFonts w:ascii="Arial" w:cs="Arial" w:eastAsia="Arial" w:hAnsi="Arial"/>
                <w:sz w:val="20"/>
                <w:szCs w:val="20"/>
                <w:color w:val="auto"/>
                <w:w w:val="91"/>
              </w:rPr>
              <w:t>Appendix 1</w:t>
            </w:r>
          </w:p>
        </w:tc>
      </w:tr>
      <w:tr>
        <w:trPr>
          <w:trHeight w:val="446"/>
        </w:trPr>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0" w:type="dxa"/>
            <w:vAlign w:val="bottom"/>
            <w:gridSpan w:val="2"/>
          </w:tcPr>
          <w:p>
            <w:pPr>
              <w:spacing w:after="0"/>
              <w:rPr>
                <w:sz w:val="20"/>
                <w:szCs w:val="20"/>
                <w:color w:val="auto"/>
              </w:rPr>
            </w:pPr>
            <w:r>
              <w:rPr>
                <w:rFonts w:ascii="Arial" w:cs="Arial" w:eastAsia="Arial" w:hAnsi="Arial"/>
                <w:sz w:val="20"/>
                <w:szCs w:val="20"/>
                <w:b w:val="1"/>
                <w:bCs w:val="1"/>
                <w:color w:val="auto"/>
                <w:w w:val="87"/>
              </w:rPr>
              <w:t>Received Received</w:t>
            </w: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Arial" w:cs="Arial" w:eastAsia="Arial" w:hAnsi="Arial"/>
                <w:sz w:val="20"/>
                <w:szCs w:val="20"/>
                <w:b w:val="1"/>
                <w:bCs w:val="1"/>
                <w:color w:val="auto"/>
                <w:w w:val="88"/>
              </w:rPr>
              <w:t>Notice of Notice of</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87"/>
              </w:rPr>
              <w:t>Legal</w:t>
            </w: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7"/>
              </w:rPr>
              <w:t>Total</w:t>
            </w:r>
          </w:p>
        </w:tc>
        <w:tc>
          <w:tcPr>
            <w:tcW w:w="2280" w:type="dxa"/>
            <w:vAlign w:val="bottom"/>
            <w:gridSpan w:val="3"/>
          </w:tcPr>
          <w:p>
            <w:pPr>
              <w:jc w:val="center"/>
              <w:spacing w:after="0"/>
              <w:rPr>
                <w:sz w:val="20"/>
                <w:szCs w:val="20"/>
                <w:color w:val="auto"/>
              </w:rPr>
            </w:pPr>
            <w:r>
              <w:rPr>
                <w:rFonts w:ascii="Arial" w:cs="Arial" w:eastAsia="Arial" w:hAnsi="Arial"/>
                <w:sz w:val="20"/>
                <w:szCs w:val="20"/>
                <w:b w:val="1"/>
                <w:bCs w:val="1"/>
                <w:color w:val="auto"/>
                <w:w w:val="91"/>
              </w:rPr>
              <w:t>Pattern Potential Actions</w:t>
            </w: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5"/>
              </w:rPr>
              <w:t>Section</w:t>
            </w: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2"/>
              </w:rPr>
              <w:t>Number</w:t>
            </w: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95"/>
              </w:rPr>
              <w:t>of</w:t>
            </w:r>
          </w:p>
        </w:tc>
        <w:tc>
          <w:tcPr>
            <w:tcW w:w="1500" w:type="dxa"/>
            <w:vAlign w:val="bottom"/>
            <w:gridSpan w:val="2"/>
          </w:tcPr>
          <w:p>
            <w:pPr>
              <w:ind w:left="100"/>
              <w:spacing w:after="0"/>
              <w:rPr>
                <w:sz w:val="20"/>
                <w:szCs w:val="20"/>
                <w:color w:val="auto"/>
              </w:rPr>
            </w:pPr>
            <w:r>
              <w:rPr>
                <w:rFonts w:ascii="Arial" w:cs="Arial" w:eastAsia="Arial" w:hAnsi="Arial"/>
                <w:sz w:val="20"/>
                <w:szCs w:val="20"/>
                <w:b w:val="1"/>
                <w:bCs w:val="1"/>
                <w:color w:val="auto"/>
                <w:w w:val="89"/>
              </w:rPr>
              <w:t>to have Pending</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87"/>
              </w:rPr>
              <w:t>Legal</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7"/>
              </w:rPr>
              <w:t>Legal</w:t>
            </w:r>
          </w:p>
        </w:tc>
      </w:tr>
      <w:tr>
        <w:trPr>
          <w:trHeight w:val="230"/>
        </w:trPr>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1"/>
              </w:rPr>
              <w:t>104(d)</w:t>
            </w: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20" w:type="dxa"/>
            <w:vAlign w:val="bottom"/>
            <w:gridSpan w:val="2"/>
          </w:tcPr>
          <w:p>
            <w:pPr>
              <w:jc w:val="center"/>
              <w:spacing w:after="0"/>
              <w:rPr>
                <w:sz w:val="20"/>
                <w:szCs w:val="20"/>
                <w:color w:val="auto"/>
              </w:rPr>
            </w:pPr>
            <w:r>
              <w:rPr>
                <w:rFonts w:ascii="Arial" w:cs="Arial" w:eastAsia="Arial" w:hAnsi="Arial"/>
                <w:sz w:val="20"/>
                <w:szCs w:val="20"/>
                <w:b w:val="1"/>
                <w:bCs w:val="1"/>
                <w:color w:val="auto"/>
                <w:w w:val="92"/>
              </w:rPr>
              <w:t>Total Dollar</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5"/>
              </w:rPr>
              <w:t>of</w:t>
            </w:r>
          </w:p>
        </w:tc>
        <w:tc>
          <w:tcPr>
            <w:tcW w:w="1600" w:type="dxa"/>
            <w:vAlign w:val="bottom"/>
            <w:gridSpan w:val="2"/>
          </w:tcPr>
          <w:p>
            <w:pPr>
              <w:spacing w:after="0"/>
              <w:rPr>
                <w:sz w:val="20"/>
                <w:szCs w:val="20"/>
                <w:color w:val="auto"/>
              </w:rPr>
            </w:pPr>
            <w:r>
              <w:rPr>
                <w:rFonts w:ascii="Arial" w:cs="Arial" w:eastAsia="Arial" w:hAnsi="Arial"/>
                <w:sz w:val="20"/>
                <w:szCs w:val="20"/>
                <w:b w:val="1"/>
                <w:bCs w:val="1"/>
                <w:color w:val="auto"/>
                <w:w w:val="99"/>
              </w:rPr>
              <w:t>Violation Pattern</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81"/>
              </w:rPr>
              <w:t>as of</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87"/>
              </w:rPr>
              <w:t>Actions</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7"/>
              </w:rPr>
              <w:t>Actions</w:t>
            </w:r>
          </w:p>
        </w:tc>
      </w:tr>
      <w:tr>
        <w:trPr>
          <w:trHeight w:val="230"/>
        </w:trPr>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20" w:type="dxa"/>
            <w:vAlign w:val="bottom"/>
            <w:gridSpan w:val="3"/>
          </w:tcPr>
          <w:p>
            <w:pPr>
              <w:ind w:left="80"/>
              <w:spacing w:after="0"/>
              <w:rPr>
                <w:sz w:val="20"/>
                <w:szCs w:val="20"/>
                <w:color w:val="auto"/>
              </w:rPr>
            </w:pPr>
            <w:r>
              <w:rPr>
                <w:rFonts w:ascii="Arial" w:cs="Arial" w:eastAsia="Arial" w:hAnsi="Arial"/>
                <w:sz w:val="20"/>
                <w:szCs w:val="20"/>
                <w:b w:val="1"/>
                <w:bCs w:val="1"/>
                <w:color w:val="auto"/>
                <w:w w:val="87"/>
              </w:rPr>
              <w:t>Section Section Citations</w:t>
            </w:r>
          </w:p>
        </w:tc>
        <w:tc>
          <w:tcPr>
            <w:tcW w:w="820" w:type="dxa"/>
            <w:vAlign w:val="bottom"/>
          </w:tcPr>
          <w:p>
            <w:pPr>
              <w:ind w:left="120"/>
              <w:spacing w:after="0"/>
              <w:rPr>
                <w:sz w:val="20"/>
                <w:szCs w:val="20"/>
                <w:color w:val="auto"/>
              </w:rPr>
            </w:pPr>
            <w:r>
              <w:rPr>
                <w:rFonts w:ascii="Arial" w:cs="Arial" w:eastAsia="Arial" w:hAnsi="Arial"/>
                <w:sz w:val="20"/>
                <w:szCs w:val="20"/>
                <w:b w:val="1"/>
                <w:bCs w:val="1"/>
                <w:color w:val="auto"/>
                <w:w w:val="94"/>
              </w:rPr>
              <w:t>Section</w:t>
            </w:r>
          </w:p>
        </w:tc>
        <w:tc>
          <w:tcPr>
            <w:tcW w:w="720" w:type="dxa"/>
            <w:vAlign w:val="bottom"/>
          </w:tcPr>
          <w:p>
            <w:pPr>
              <w:jc w:val="right"/>
              <w:spacing w:after="0"/>
              <w:rPr>
                <w:sz w:val="20"/>
                <w:szCs w:val="20"/>
                <w:color w:val="auto"/>
              </w:rPr>
            </w:pPr>
            <w:r>
              <w:rPr>
                <w:rFonts w:ascii="Arial" w:cs="Arial" w:eastAsia="Arial" w:hAnsi="Arial"/>
                <w:sz w:val="20"/>
                <w:szCs w:val="20"/>
                <w:b w:val="1"/>
                <w:bCs w:val="1"/>
                <w:color w:val="auto"/>
                <w:w w:val="91"/>
              </w:rPr>
              <w:t>Section</w:t>
            </w:r>
          </w:p>
        </w:tc>
        <w:tc>
          <w:tcPr>
            <w:tcW w:w="180" w:type="dxa"/>
            <w:vAlign w:val="bottom"/>
          </w:tcPr>
          <w:p>
            <w:pPr>
              <w:spacing w:after="0"/>
              <w:rPr>
                <w:sz w:val="19"/>
                <w:szCs w:val="19"/>
                <w:color w:val="auto"/>
              </w:rPr>
            </w:pPr>
          </w:p>
        </w:tc>
        <w:tc>
          <w:tcPr>
            <w:tcW w:w="1040" w:type="dxa"/>
            <w:vAlign w:val="bottom"/>
          </w:tcPr>
          <w:p>
            <w:pPr>
              <w:jc w:val="center"/>
              <w:ind w:right="101"/>
              <w:spacing w:after="0"/>
              <w:rPr>
                <w:sz w:val="20"/>
                <w:szCs w:val="20"/>
                <w:color w:val="auto"/>
              </w:rPr>
            </w:pPr>
            <w:r>
              <w:rPr>
                <w:rFonts w:ascii="Arial" w:cs="Arial" w:eastAsia="Arial" w:hAnsi="Arial"/>
                <w:sz w:val="20"/>
                <w:szCs w:val="20"/>
                <w:b w:val="1"/>
                <w:bCs w:val="1"/>
                <w:color w:val="auto"/>
                <w:w w:val="87"/>
              </w:rPr>
              <w:t>Value of</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6"/>
              </w:rPr>
              <w:t>Mining</w:t>
            </w: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93"/>
              </w:rPr>
              <w:t>Under</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3"/>
              </w:rPr>
              <w:t>under</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92"/>
              </w:rPr>
              <w:t>Last</w:t>
            </w:r>
          </w:p>
        </w:tc>
        <w:tc>
          <w:tcPr>
            <w:tcW w:w="1640" w:type="dxa"/>
            <w:vAlign w:val="bottom"/>
            <w:gridSpan w:val="2"/>
          </w:tcPr>
          <w:p>
            <w:pPr>
              <w:ind w:left="20"/>
              <w:spacing w:after="0"/>
              <w:rPr>
                <w:sz w:val="20"/>
                <w:szCs w:val="20"/>
                <w:color w:val="auto"/>
              </w:rPr>
            </w:pPr>
            <w:r>
              <w:rPr>
                <w:rFonts w:ascii="Arial" w:cs="Arial" w:eastAsia="Arial" w:hAnsi="Arial"/>
                <w:sz w:val="20"/>
                <w:szCs w:val="20"/>
                <w:b w:val="1"/>
                <w:bCs w:val="1"/>
                <w:color w:val="auto"/>
                <w:w w:val="86"/>
              </w:rPr>
              <w:t>Instituted Resolved</w:t>
            </w:r>
          </w:p>
        </w:tc>
      </w:tr>
      <w:tr>
        <w:trPr>
          <w:trHeight w:val="230"/>
        </w:trPr>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60" w:type="dxa"/>
            <w:vAlign w:val="bottom"/>
            <w:gridSpan w:val="2"/>
          </w:tcPr>
          <w:p>
            <w:pPr>
              <w:ind w:left="20"/>
              <w:spacing w:after="0"/>
              <w:rPr>
                <w:sz w:val="20"/>
                <w:szCs w:val="20"/>
                <w:color w:val="auto"/>
              </w:rPr>
            </w:pPr>
            <w:r>
              <w:rPr>
                <w:rFonts w:ascii="Arial" w:cs="Arial" w:eastAsia="Arial" w:hAnsi="Arial"/>
                <w:sz w:val="20"/>
                <w:szCs w:val="20"/>
                <w:b w:val="1"/>
                <w:bCs w:val="1"/>
                <w:color w:val="auto"/>
                <w:w w:val="98"/>
              </w:rPr>
              <w:t>104 S&amp;S 104(b)</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9"/>
              </w:rPr>
              <w:t>and</w:t>
            </w:r>
          </w:p>
        </w:tc>
        <w:tc>
          <w:tcPr>
            <w:tcW w:w="1540" w:type="dxa"/>
            <w:vAlign w:val="bottom"/>
            <w:gridSpan w:val="2"/>
          </w:tcPr>
          <w:p>
            <w:pPr>
              <w:jc w:val="right"/>
              <w:spacing w:after="0"/>
              <w:rPr>
                <w:sz w:val="20"/>
                <w:szCs w:val="20"/>
                <w:color w:val="auto"/>
              </w:rPr>
            </w:pPr>
            <w:r>
              <w:rPr>
                <w:rFonts w:ascii="Arial" w:cs="Arial" w:eastAsia="Arial" w:hAnsi="Arial"/>
                <w:sz w:val="20"/>
                <w:szCs w:val="20"/>
                <w:b w:val="1"/>
                <w:bCs w:val="1"/>
                <w:color w:val="auto"/>
                <w:w w:val="98"/>
              </w:rPr>
              <w:t>110(b)(2) 107(a)</w:t>
            </w:r>
          </w:p>
        </w:tc>
        <w:tc>
          <w:tcPr>
            <w:tcW w:w="180" w:type="dxa"/>
            <w:vAlign w:val="bottom"/>
          </w:tcPr>
          <w:p>
            <w:pPr>
              <w:spacing w:after="0"/>
              <w:rPr>
                <w:sz w:val="19"/>
                <w:szCs w:val="19"/>
                <w:color w:val="auto"/>
              </w:rPr>
            </w:pPr>
          </w:p>
        </w:tc>
        <w:tc>
          <w:tcPr>
            <w:tcW w:w="1040" w:type="dxa"/>
            <w:vAlign w:val="bottom"/>
          </w:tcPr>
          <w:p>
            <w:pPr>
              <w:jc w:val="center"/>
              <w:ind w:right="101"/>
              <w:spacing w:after="0"/>
              <w:rPr>
                <w:sz w:val="20"/>
                <w:szCs w:val="20"/>
                <w:color w:val="auto"/>
              </w:rPr>
            </w:pPr>
            <w:r>
              <w:rPr>
                <w:rFonts w:ascii="Arial" w:cs="Arial" w:eastAsia="Arial" w:hAnsi="Arial"/>
                <w:sz w:val="20"/>
                <w:szCs w:val="20"/>
                <w:b w:val="1"/>
                <w:bCs w:val="1"/>
                <w:color w:val="auto"/>
              </w:rPr>
              <w:t>MSHA</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1"/>
              </w:rPr>
              <w:t>Related</w:t>
            </w: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85"/>
              </w:rPr>
              <w:t>Section</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2"/>
              </w:rPr>
              <w:t>Section</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88"/>
              </w:rPr>
              <w:t>Day of</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96"/>
              </w:rPr>
              <w:t>During</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96"/>
              </w:rPr>
              <w:t>During</w:t>
            </w:r>
          </w:p>
        </w:tc>
      </w:tr>
      <w:tr>
        <w:trPr>
          <w:trHeight w:val="230"/>
        </w:trPr>
        <w:tc>
          <w:tcPr>
            <w:tcW w:w="1000" w:type="dxa"/>
            <w:vAlign w:val="bottom"/>
          </w:tcPr>
          <w:p>
            <w:pPr>
              <w:spacing w:after="0"/>
              <w:rPr>
                <w:sz w:val="19"/>
                <w:szCs w:val="19"/>
                <w:color w:val="auto"/>
              </w:rPr>
            </w:pPr>
          </w:p>
        </w:tc>
        <w:tc>
          <w:tcPr>
            <w:tcW w:w="2180" w:type="dxa"/>
            <w:vAlign w:val="bottom"/>
            <w:gridSpan w:val="3"/>
          </w:tcPr>
          <w:p>
            <w:pPr>
              <w:ind w:left="60"/>
              <w:spacing w:after="0"/>
              <w:rPr>
                <w:sz w:val="20"/>
                <w:szCs w:val="20"/>
                <w:color w:val="auto"/>
              </w:rPr>
            </w:pPr>
            <w:r>
              <w:rPr>
                <w:rFonts w:ascii="Arial" w:cs="Arial" w:eastAsia="Arial" w:hAnsi="Arial"/>
                <w:sz w:val="20"/>
                <w:szCs w:val="20"/>
                <w:b w:val="1"/>
                <w:bCs w:val="1"/>
                <w:color w:val="auto"/>
                <w:w w:val="94"/>
              </w:rPr>
              <w:t>MSHA Citations Orders</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1"/>
              </w:rPr>
              <w:t>Orders</w:t>
            </w:r>
          </w:p>
        </w:tc>
        <w:tc>
          <w:tcPr>
            <w:tcW w:w="1540" w:type="dxa"/>
            <w:vAlign w:val="bottom"/>
            <w:gridSpan w:val="2"/>
          </w:tcPr>
          <w:p>
            <w:pPr>
              <w:jc w:val="right"/>
              <w:spacing w:after="0"/>
              <w:rPr>
                <w:sz w:val="20"/>
                <w:szCs w:val="20"/>
                <w:color w:val="auto"/>
              </w:rPr>
            </w:pPr>
            <w:r>
              <w:rPr>
                <w:rFonts w:ascii="Arial" w:cs="Arial" w:eastAsia="Arial" w:hAnsi="Arial"/>
                <w:sz w:val="20"/>
                <w:szCs w:val="20"/>
                <w:b w:val="1"/>
                <w:bCs w:val="1"/>
                <w:color w:val="auto"/>
                <w:w w:val="87"/>
              </w:rPr>
              <w:t>Violations Orders</w:t>
            </w:r>
          </w:p>
        </w:tc>
        <w:tc>
          <w:tcPr>
            <w:tcW w:w="2040" w:type="dxa"/>
            <w:vAlign w:val="bottom"/>
            <w:gridSpan w:val="3"/>
          </w:tcPr>
          <w:p>
            <w:pPr>
              <w:ind w:left="40"/>
              <w:spacing w:after="0"/>
              <w:rPr>
                <w:sz w:val="20"/>
                <w:szCs w:val="20"/>
                <w:color w:val="auto"/>
              </w:rPr>
            </w:pPr>
            <w:r>
              <w:rPr>
                <w:rFonts w:ascii="Arial" w:cs="Arial" w:eastAsia="Arial" w:hAnsi="Arial"/>
                <w:sz w:val="20"/>
                <w:szCs w:val="20"/>
                <w:b w:val="1"/>
                <w:bCs w:val="1"/>
                <w:color w:val="auto"/>
                <w:w w:val="87"/>
              </w:rPr>
              <w:t>Assessment/$ Fatalities</w:t>
            </w: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86"/>
              </w:rPr>
              <w:t>104(e)</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9"/>
              </w:rPr>
              <w:t>104(e)</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w w:val="89"/>
              </w:rPr>
              <w:t>Period</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89"/>
              </w:rPr>
              <w:t>Period</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9"/>
              </w:rPr>
              <w:t>Period</w:t>
            </w:r>
          </w:p>
        </w:tc>
      </w:tr>
      <w:tr>
        <w:trPr>
          <w:trHeight w:val="252"/>
        </w:trPr>
        <w:tc>
          <w:tcPr>
            <w:tcW w:w="1000" w:type="dxa"/>
            <w:vAlign w:val="bottom"/>
          </w:tcPr>
          <w:p>
            <w:pPr>
              <w:ind w:left="120"/>
              <w:spacing w:after="0"/>
              <w:rPr>
                <w:sz w:val="20"/>
                <w:szCs w:val="20"/>
                <w:color w:val="auto"/>
              </w:rPr>
            </w:pPr>
            <w:r>
              <w:rPr>
                <w:rFonts w:ascii="Arial" w:cs="Arial" w:eastAsia="Arial" w:hAnsi="Arial"/>
                <w:sz w:val="20"/>
                <w:szCs w:val="20"/>
                <w:b w:val="1"/>
                <w:bCs w:val="1"/>
                <w:color w:val="auto"/>
              </w:rPr>
              <w:t>Location</w:t>
            </w:r>
          </w:p>
        </w:tc>
        <w:tc>
          <w:tcPr>
            <w:tcW w:w="720" w:type="dxa"/>
            <w:vAlign w:val="bottom"/>
          </w:tcPr>
          <w:p>
            <w:pPr>
              <w:jc w:val="right"/>
              <w:ind w:right="161"/>
              <w:spacing w:after="0"/>
              <w:rPr>
                <w:sz w:val="20"/>
                <w:szCs w:val="20"/>
                <w:color w:val="auto"/>
              </w:rPr>
            </w:pPr>
            <w:r>
              <w:rPr>
                <w:rFonts w:ascii="Arial" w:cs="Arial" w:eastAsia="Arial" w:hAnsi="Arial"/>
                <w:sz w:val="20"/>
                <w:szCs w:val="20"/>
                <w:b w:val="1"/>
                <w:bCs w:val="1"/>
                <w:color w:val="auto"/>
              </w:rPr>
              <w:t>ID</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70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97"/>
              </w:rPr>
              <w:t>(#)</w:t>
            </w:r>
          </w:p>
        </w:tc>
        <w:tc>
          <w:tcPr>
            <w:tcW w:w="72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180" w:type="dxa"/>
            <w:vAlign w:val="bottom"/>
          </w:tcPr>
          <w:p>
            <w:pPr>
              <w:spacing w:after="0"/>
              <w:rPr>
                <w:sz w:val="21"/>
                <w:szCs w:val="21"/>
                <w:color w:val="auto"/>
              </w:rPr>
            </w:pPr>
          </w:p>
        </w:tc>
        <w:tc>
          <w:tcPr>
            <w:tcW w:w="1040" w:type="dxa"/>
            <w:vAlign w:val="bottom"/>
          </w:tcPr>
          <w:p>
            <w:pPr>
              <w:jc w:val="center"/>
              <w:ind w:right="101"/>
              <w:spacing w:after="0"/>
              <w:rPr>
                <w:sz w:val="20"/>
                <w:szCs w:val="20"/>
                <w:color w:val="auto"/>
              </w:rPr>
            </w:pPr>
            <w:r>
              <w:rPr>
                <w:rFonts w:ascii="Arial" w:cs="Arial" w:eastAsia="Arial" w:hAnsi="Arial"/>
                <w:sz w:val="20"/>
                <w:szCs w:val="20"/>
                <w:b w:val="1"/>
                <w:bCs w:val="1"/>
                <w:color w:val="auto"/>
                <w:w w:val="86"/>
              </w:rPr>
              <w:t>Proposed</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86"/>
              </w:rPr>
              <w:t>(yes/no)</w:t>
            </w:r>
          </w:p>
        </w:tc>
        <w:tc>
          <w:tcPr>
            <w:tcW w:w="820" w:type="dxa"/>
            <w:vAlign w:val="bottom"/>
          </w:tcPr>
          <w:p>
            <w:pPr>
              <w:jc w:val="center"/>
              <w:spacing w:after="0"/>
              <w:rPr>
                <w:sz w:val="20"/>
                <w:szCs w:val="20"/>
                <w:color w:val="auto"/>
              </w:rPr>
            </w:pPr>
            <w:r>
              <w:rPr>
                <w:rFonts w:ascii="Arial" w:cs="Arial" w:eastAsia="Arial" w:hAnsi="Arial"/>
                <w:sz w:val="20"/>
                <w:szCs w:val="20"/>
                <w:b w:val="1"/>
                <w:bCs w:val="1"/>
                <w:color w:val="auto"/>
                <w:w w:val="86"/>
              </w:rPr>
              <w:t>(yes/no)</w:t>
            </w:r>
          </w:p>
        </w:tc>
        <w:tc>
          <w:tcPr>
            <w:tcW w:w="680" w:type="dxa"/>
            <w:vAlign w:val="bottom"/>
          </w:tcPr>
          <w:p>
            <w:pPr>
              <w:jc w:val="center"/>
              <w:spacing w:after="0"/>
              <w:rPr>
                <w:sz w:val="20"/>
                <w:szCs w:val="20"/>
                <w:color w:val="auto"/>
              </w:rPr>
            </w:pPr>
            <w:r>
              <w:rPr>
                <w:rFonts w:ascii="Arial" w:cs="Arial" w:eastAsia="Arial" w:hAnsi="Arial"/>
                <w:sz w:val="20"/>
                <w:szCs w:val="20"/>
                <w:b w:val="1"/>
                <w:bCs w:val="1"/>
                <w:color w:val="auto"/>
              </w:rPr>
              <w:t>(#)*</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c>
          <w:tcPr>
            <w:tcW w:w="800" w:type="dxa"/>
            <w:vAlign w:val="bottom"/>
          </w:tcPr>
          <w:p>
            <w:pPr>
              <w:jc w:val="center"/>
              <w:spacing w:after="0"/>
              <w:rPr>
                <w:sz w:val="20"/>
                <w:szCs w:val="20"/>
                <w:color w:val="auto"/>
              </w:rPr>
            </w:pPr>
            <w:r>
              <w:rPr>
                <w:rFonts w:ascii="Arial" w:cs="Arial" w:eastAsia="Arial" w:hAnsi="Arial"/>
                <w:sz w:val="20"/>
                <w:szCs w:val="20"/>
                <w:b w:val="1"/>
                <w:bCs w:val="1"/>
                <w:color w:val="auto"/>
                <w:w w:val="89"/>
              </w:rPr>
              <w:t>(#)</w:t>
            </w: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Alexander</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BN5</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Amelia</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4407372</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American</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Stone</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3100189</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Anderson</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20"/>
                <w:szCs w:val="20"/>
                <w:color w:val="auto"/>
              </w:rPr>
              <w:t>Creek</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4402963</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Arrowood</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3100059</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Asheboro</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3100066</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Bakers</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3100071</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Belgrade</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3100064</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Benson</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3101979</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Berkeley</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3800072</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Bessemer</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1720" w:type="dxa"/>
            <w:vAlign w:val="bottom"/>
            <w:gridSpan w:val="2"/>
            <w:shd w:val="clear" w:color="auto" w:fill="CFF0FC"/>
          </w:tcPr>
          <w:p>
            <w:pPr>
              <w:spacing w:after="0"/>
              <w:rPr>
                <w:sz w:val="20"/>
                <w:szCs w:val="20"/>
                <w:color w:val="auto"/>
              </w:rPr>
            </w:pPr>
            <w:r>
              <w:rPr>
                <w:rFonts w:ascii="Arial" w:cs="Arial" w:eastAsia="Arial" w:hAnsi="Arial"/>
                <w:sz w:val="20"/>
                <w:szCs w:val="20"/>
                <w:color w:val="auto"/>
                <w:w w:val="92"/>
              </w:rPr>
              <w:t>City Quarry 3101105</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Black</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20"/>
                <w:szCs w:val="20"/>
                <w:color w:val="auto"/>
              </w:rPr>
              <w:t>Ankle</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3102220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Bonds</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3101963</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w w:val="90"/>
              </w:rPr>
              <w:t>Boonesboro</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1800024</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Burlington</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3100042</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Caldwell</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3101869</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Calhoun</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Sand</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3800716</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Castle</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20"/>
                <w:szCs w:val="20"/>
                <w:color w:val="auto"/>
              </w:rPr>
              <w:t>Hayne</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3100063</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1</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43"/>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Cayce</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3800016</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Central</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20"/>
                <w:szCs w:val="20"/>
                <w:color w:val="auto"/>
              </w:rPr>
              <w:t>Rock</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3100050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Charlotte</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3100057</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w w:val="99"/>
              </w:rPr>
              <w:t>Churchville</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1800012</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118</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Clarks</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3102009</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w w:val="89"/>
              </w:rPr>
              <w:t>Cumberland</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1000" w:type="dxa"/>
            <w:vAlign w:val="bottom"/>
          </w:tcPr>
          <w:p>
            <w:pPr>
              <w:spacing w:after="0"/>
              <w:rPr>
                <w:sz w:val="20"/>
                <w:szCs w:val="20"/>
                <w:color w:val="auto"/>
              </w:rPr>
            </w:pPr>
            <w:r>
              <w:rPr>
                <w:rFonts w:ascii="Arial" w:cs="Arial" w:eastAsia="Arial" w:hAnsi="Arial"/>
                <w:sz w:val="20"/>
                <w:szCs w:val="20"/>
                <w:color w:val="auto"/>
              </w:rPr>
              <w:t>Quarry</w:t>
            </w:r>
          </w:p>
        </w:tc>
        <w:tc>
          <w:tcPr>
            <w:tcW w:w="720" w:type="dxa"/>
            <w:vAlign w:val="bottom"/>
          </w:tcPr>
          <w:p>
            <w:pPr>
              <w:jc w:val="right"/>
              <w:spacing w:after="0"/>
              <w:rPr>
                <w:sz w:val="20"/>
                <w:szCs w:val="20"/>
                <w:color w:val="auto"/>
              </w:rPr>
            </w:pPr>
            <w:r>
              <w:rPr>
                <w:rFonts w:ascii="Arial" w:cs="Arial" w:eastAsia="Arial" w:hAnsi="Arial"/>
                <w:sz w:val="20"/>
                <w:szCs w:val="20"/>
                <w:color w:val="auto"/>
                <w:w w:val="87"/>
              </w:rPr>
              <w:t>3102237</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Denver</w:t>
            </w:r>
          </w:p>
        </w:tc>
        <w:tc>
          <w:tcPr>
            <w:tcW w:w="7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46"/>
        </w:trPr>
        <w:tc>
          <w:tcPr>
            <w:tcW w:w="1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w w:val="87"/>
              </w:rPr>
              <w:t>3101971</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r>
      <w:tr>
        <w:trPr>
          <w:trHeight w:val="226"/>
        </w:trPr>
        <w:tc>
          <w:tcPr>
            <w:tcW w:w="1000" w:type="dxa"/>
            <w:vAlign w:val="bottom"/>
          </w:tcPr>
          <w:p>
            <w:pPr>
              <w:spacing w:after="0" w:line="227" w:lineRule="exact"/>
              <w:rPr>
                <w:sz w:val="20"/>
                <w:szCs w:val="20"/>
                <w:color w:val="auto"/>
              </w:rPr>
            </w:pPr>
            <w:r>
              <w:rPr>
                <w:rFonts w:ascii="Arial" w:cs="Arial" w:eastAsia="Arial" w:hAnsi="Arial"/>
                <w:sz w:val="20"/>
                <w:szCs w:val="20"/>
                <w:color w:val="auto"/>
              </w:rPr>
              <w:t>Doswell</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20"/>
                <w:szCs w:val="20"/>
                <w:color w:val="auto"/>
                <w:w w:val="96"/>
              </w:rPr>
              <w:t>Quarry VA 4400045</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0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180" w:type="dxa"/>
            <w:vAlign w:val="bottom"/>
          </w:tcPr>
          <w:p>
            <w:pPr>
              <w:ind w:left="4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no</w:t>
            </w:r>
          </w:p>
        </w:tc>
        <w:tc>
          <w:tcPr>
            <w:tcW w:w="68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800" w:type="dxa"/>
            <w:vAlign w:val="bottom"/>
          </w:tcPr>
          <w:p>
            <w:pPr>
              <w:jc w:val="center"/>
              <w:spacing w:after="0"/>
              <w:rPr>
                <w:sz w:val="20"/>
                <w:szCs w:val="20"/>
                <w:color w:val="auto"/>
              </w:rPr>
            </w:pPr>
            <w:r>
              <w:rPr>
                <w:rFonts w:ascii="Arial" w:cs="Arial" w:eastAsia="Arial" w:hAnsi="Arial"/>
                <w:sz w:val="20"/>
                <w:szCs w:val="20"/>
                <w:color w:val="auto"/>
                <w:w w:val="89"/>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122" w:right="219" w:bottom="612"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52"/>
        </w:trPr>
        <w:tc>
          <w:tcPr>
            <w:tcW w:w="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20"/>
                <w:szCs w:val="20"/>
                <w:color w:val="auto"/>
                <w:w w:val="91"/>
              </w:rPr>
              <w:t>Appendix 1</w:t>
            </w: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2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w w:val="99"/>
              </w:rPr>
              <w:t>East Alamance Quarry</w:t>
            </w:r>
          </w:p>
        </w:tc>
        <w:tc>
          <w:tcPr>
            <w:tcW w:w="9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3102021</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tcPr>
          <w:p>
            <w:pPr>
              <w:spacing w:after="0"/>
              <w:rPr>
                <w:sz w:val="20"/>
                <w:szCs w:val="20"/>
                <w:color w:val="auto"/>
              </w:rPr>
            </w:pPr>
            <w:r>
              <w:rPr>
                <w:rFonts w:ascii="Arial" w:cs="Arial" w:eastAsia="Arial" w:hAnsi="Arial"/>
                <w:sz w:val="20"/>
                <w:szCs w:val="20"/>
                <w:color w:val="auto"/>
              </w:rPr>
              <w:t>Edmund Sand</w:t>
            </w: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3800662</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118</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Fountain Quarry</w:t>
            </w:r>
          </w:p>
        </w:tc>
        <w:tc>
          <w:tcPr>
            <w:tcW w:w="9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3100065</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tcPr>
          <w:p>
            <w:pPr>
              <w:spacing w:after="0"/>
              <w:rPr>
                <w:sz w:val="20"/>
                <w:szCs w:val="20"/>
                <w:color w:val="auto"/>
              </w:rPr>
            </w:pPr>
            <w:r>
              <w:rPr>
                <w:rFonts w:ascii="Arial" w:cs="Arial" w:eastAsia="Arial" w:hAnsi="Arial"/>
                <w:sz w:val="20"/>
                <w:szCs w:val="20"/>
                <w:color w:val="auto"/>
              </w:rPr>
              <w:t>Franklin Quarry</w:t>
            </w: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3102130</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Frederick Quarry</w:t>
            </w:r>
          </w:p>
        </w:tc>
        <w:tc>
          <w:tcPr>
            <w:tcW w:w="9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1800013</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tcPr>
          <w:p>
            <w:pPr>
              <w:spacing w:after="0"/>
              <w:rPr>
                <w:sz w:val="20"/>
                <w:szCs w:val="20"/>
                <w:color w:val="auto"/>
              </w:rPr>
            </w:pPr>
            <w:r>
              <w:rPr>
                <w:rFonts w:ascii="Arial" w:cs="Arial" w:eastAsia="Arial" w:hAnsi="Arial"/>
                <w:sz w:val="20"/>
                <w:szCs w:val="20"/>
                <w:color w:val="auto"/>
              </w:rPr>
              <w:t>Fuquay Quarry</w:t>
            </w: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3102055</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Garner Quarry</w:t>
            </w:r>
          </w:p>
        </w:tc>
        <w:tc>
          <w:tcPr>
            <w:tcW w:w="9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3100072</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tcPr>
          <w:p>
            <w:pPr>
              <w:spacing w:after="0"/>
              <w:rPr>
                <w:sz w:val="20"/>
                <w:szCs w:val="20"/>
                <w:color w:val="auto"/>
              </w:rPr>
            </w:pPr>
            <w:r>
              <w:rPr>
                <w:rFonts w:ascii="Arial" w:cs="Arial" w:eastAsia="Arial" w:hAnsi="Arial"/>
                <w:sz w:val="20"/>
                <w:szCs w:val="20"/>
                <w:color w:val="auto"/>
              </w:rPr>
              <w:t>Georgetown II Quarry</w:t>
            </w: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3800525</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Hickory Quarry</w:t>
            </w:r>
          </w:p>
        </w:tc>
        <w:tc>
          <w:tcPr>
            <w:tcW w:w="9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3100043</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tcPr>
          <w:p>
            <w:pPr>
              <w:spacing w:after="0"/>
              <w:rPr>
                <w:sz w:val="20"/>
                <w:szCs w:val="20"/>
                <w:color w:val="auto"/>
              </w:rPr>
            </w:pPr>
            <w:r>
              <w:rPr>
                <w:rFonts w:ascii="Arial" w:cs="Arial" w:eastAsia="Arial" w:hAnsi="Arial"/>
                <w:sz w:val="20"/>
                <w:szCs w:val="20"/>
                <w:color w:val="auto"/>
              </w:rPr>
              <w:t>Hicone</w:t>
            </w: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3102088</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Jamestown Quarry</w:t>
            </w:r>
          </w:p>
        </w:tc>
        <w:tc>
          <w:tcPr>
            <w:tcW w:w="9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3100051</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tcPr>
          <w:p>
            <w:pPr>
              <w:spacing w:after="0"/>
              <w:rPr>
                <w:sz w:val="20"/>
                <w:szCs w:val="20"/>
                <w:color w:val="auto"/>
              </w:rPr>
            </w:pPr>
            <w:r>
              <w:rPr>
                <w:rFonts w:ascii="Arial" w:cs="Arial" w:eastAsia="Arial" w:hAnsi="Arial"/>
                <w:sz w:val="20"/>
                <w:szCs w:val="20"/>
                <w:color w:val="auto"/>
              </w:rPr>
              <w:t>Kannapolis Quarry</w:t>
            </w: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3100070</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Kent Sand &amp; Gravel</w:t>
            </w:r>
          </w:p>
        </w:tc>
        <w:tc>
          <w:tcPr>
            <w:tcW w:w="9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1800745</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tcPr>
          <w:p>
            <w:pPr>
              <w:spacing w:after="0"/>
              <w:rPr>
                <w:sz w:val="20"/>
                <w:szCs w:val="20"/>
                <w:color w:val="auto"/>
              </w:rPr>
            </w:pPr>
            <w:r>
              <w:rPr>
                <w:rFonts w:ascii="Arial" w:cs="Arial" w:eastAsia="Arial" w:hAnsi="Arial"/>
                <w:sz w:val="20"/>
                <w:szCs w:val="20"/>
                <w:color w:val="auto"/>
                <w:w w:val="97"/>
              </w:rPr>
              <w:t>Kings Mountain Quarry</w:t>
            </w: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3100047</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236</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w w:val="99"/>
              </w:rPr>
              <w:t>Lemon Springs Quarry</w:t>
            </w:r>
          </w:p>
        </w:tc>
        <w:tc>
          <w:tcPr>
            <w:tcW w:w="9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3101104</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tcPr>
          <w:p>
            <w:pPr>
              <w:spacing w:after="0"/>
              <w:rPr>
                <w:sz w:val="20"/>
                <w:szCs w:val="20"/>
                <w:color w:val="auto"/>
              </w:rPr>
            </w:pPr>
            <w:r>
              <w:rPr>
                <w:rFonts w:ascii="Arial" w:cs="Arial" w:eastAsia="Arial" w:hAnsi="Arial"/>
                <w:sz w:val="20"/>
                <w:szCs w:val="20"/>
                <w:color w:val="auto"/>
              </w:rPr>
              <w:t>Loamy Sand Gravel</w:t>
            </w: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3800721</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Maiden Quarry</w:t>
            </w:r>
          </w:p>
        </w:tc>
        <w:tc>
          <w:tcPr>
            <w:tcW w:w="9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3102125</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tcPr>
          <w:p>
            <w:pPr>
              <w:spacing w:after="0"/>
              <w:rPr>
                <w:sz w:val="20"/>
                <w:szCs w:val="20"/>
                <w:color w:val="auto"/>
              </w:rPr>
            </w:pPr>
            <w:r>
              <w:rPr>
                <w:rFonts w:ascii="Arial" w:cs="Arial" w:eastAsia="Arial" w:hAnsi="Arial"/>
                <w:sz w:val="20"/>
                <w:szCs w:val="20"/>
                <w:color w:val="auto"/>
              </w:rPr>
              <w:t>Mallard Creek Quarry</w:t>
            </w: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3102006</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Matthews Quarry</w:t>
            </w:r>
          </w:p>
        </w:tc>
        <w:tc>
          <w:tcPr>
            <w:tcW w:w="9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3102084</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tcPr>
          <w:p>
            <w:pPr>
              <w:spacing w:after="0"/>
              <w:rPr>
                <w:sz w:val="20"/>
                <w:szCs w:val="20"/>
                <w:color w:val="auto"/>
              </w:rPr>
            </w:pPr>
            <w:r>
              <w:rPr>
                <w:rFonts w:ascii="Arial" w:cs="Arial" w:eastAsia="Arial" w:hAnsi="Arial"/>
                <w:sz w:val="20"/>
                <w:szCs w:val="20"/>
                <w:color w:val="auto"/>
              </w:rPr>
              <w:t>Medford Quarry</w:t>
            </w: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1800035</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Midlothian Quarry</w:t>
            </w:r>
          </w:p>
        </w:tc>
        <w:tc>
          <w:tcPr>
            <w:tcW w:w="9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4403767</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tcPr>
          <w:p>
            <w:pPr>
              <w:spacing w:after="0"/>
              <w:rPr>
                <w:sz w:val="20"/>
                <w:szCs w:val="20"/>
                <w:color w:val="auto"/>
              </w:rPr>
            </w:pPr>
            <w:r>
              <w:rPr>
                <w:rFonts w:ascii="Arial" w:cs="Arial" w:eastAsia="Arial" w:hAnsi="Arial"/>
                <w:sz w:val="20"/>
                <w:szCs w:val="20"/>
                <w:color w:val="auto"/>
              </w:rPr>
              <w:t>North Columbia</w:t>
            </w: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3800146</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North East Quarry</w:t>
            </w:r>
          </w:p>
        </w:tc>
        <w:tc>
          <w:tcPr>
            <w:tcW w:w="9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1800417</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tcPr>
          <w:p>
            <w:pPr>
              <w:spacing w:after="0"/>
              <w:rPr>
                <w:sz w:val="20"/>
                <w:szCs w:val="20"/>
                <w:color w:val="auto"/>
              </w:rPr>
            </w:pPr>
            <w:r>
              <w:rPr>
                <w:rFonts w:ascii="Arial" w:cs="Arial" w:eastAsia="Arial" w:hAnsi="Arial"/>
                <w:sz w:val="20"/>
                <w:szCs w:val="20"/>
                <w:color w:val="auto"/>
              </w:rPr>
              <w:t>Old Charleston Sand</w:t>
            </w: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3800702</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Onslow Quarry</w:t>
            </w:r>
          </w:p>
        </w:tc>
        <w:tc>
          <w:tcPr>
            <w:tcW w:w="9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3102120</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tcPr>
          <w:p>
            <w:pPr>
              <w:spacing w:after="0"/>
              <w:rPr>
                <w:sz w:val="20"/>
                <w:szCs w:val="20"/>
                <w:color w:val="auto"/>
              </w:rPr>
            </w:pPr>
            <w:r>
              <w:rPr>
                <w:rFonts w:ascii="Arial" w:cs="Arial" w:eastAsia="Arial" w:hAnsi="Arial"/>
                <w:sz w:val="20"/>
                <w:szCs w:val="20"/>
                <w:color w:val="auto"/>
              </w:rPr>
              <w:t>Pinesburg Quarry</w:t>
            </w: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1800021</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Pomona Quarry</w:t>
            </w:r>
          </w:p>
        </w:tc>
        <w:tc>
          <w:tcPr>
            <w:tcW w:w="9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3100052</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tcPr>
          <w:p>
            <w:pPr>
              <w:spacing w:after="0"/>
              <w:rPr>
                <w:sz w:val="20"/>
                <w:szCs w:val="20"/>
                <w:color w:val="auto"/>
              </w:rPr>
            </w:pPr>
            <w:r>
              <w:rPr>
                <w:rFonts w:ascii="Arial" w:cs="Arial" w:eastAsia="Arial" w:hAnsi="Arial"/>
                <w:sz w:val="20"/>
                <w:szCs w:val="20"/>
                <w:color w:val="auto"/>
                <w:w w:val="94"/>
              </w:rPr>
              <w:t>Raleigh Durham Quarry</w:t>
            </w: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3101941</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Red Hill Quarry</w:t>
            </w:r>
          </w:p>
        </w:tc>
        <w:tc>
          <w:tcPr>
            <w:tcW w:w="9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4400072</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tcPr>
          <w:p>
            <w:pPr>
              <w:spacing w:after="0"/>
              <w:rPr>
                <w:sz w:val="20"/>
                <w:szCs w:val="20"/>
                <w:color w:val="auto"/>
              </w:rPr>
            </w:pPr>
            <w:r>
              <w:rPr>
                <w:rFonts w:ascii="Arial" w:cs="Arial" w:eastAsia="Arial" w:hAnsi="Arial"/>
                <w:sz w:val="20"/>
                <w:szCs w:val="20"/>
                <w:color w:val="auto"/>
              </w:rPr>
              <w:t>Reidsville Quarry</w:t>
            </w: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3100068</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Rock Hill Quarry</w:t>
            </w:r>
          </w:p>
        </w:tc>
        <w:tc>
          <w:tcPr>
            <w:tcW w:w="9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3800026</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tcPr>
          <w:p>
            <w:pPr>
              <w:spacing w:after="0"/>
              <w:rPr>
                <w:sz w:val="20"/>
                <w:szCs w:val="20"/>
                <w:color w:val="auto"/>
              </w:rPr>
            </w:pPr>
            <w:r>
              <w:rPr>
                <w:rFonts w:ascii="Arial" w:cs="Arial" w:eastAsia="Arial" w:hAnsi="Arial"/>
                <w:sz w:val="20"/>
                <w:szCs w:val="20"/>
                <w:color w:val="auto"/>
              </w:rPr>
              <w:t>Rocky Point Quarry</w:t>
            </w: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3101956</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20" w:type="dxa"/>
            <w:vAlign w:val="bottom"/>
            <w:shd w:val="clear" w:color="auto" w:fill="CFF0FC"/>
          </w:tcPr>
          <w:p>
            <w:pPr>
              <w:spacing w:after="0"/>
              <w:rPr>
                <w:sz w:val="20"/>
                <w:szCs w:val="20"/>
                <w:color w:val="auto"/>
              </w:rPr>
            </w:pPr>
            <w:r>
              <w:rPr>
                <w:rFonts w:ascii="Arial" w:cs="Arial" w:eastAsia="Arial" w:hAnsi="Arial"/>
                <w:sz w:val="20"/>
                <w:szCs w:val="20"/>
                <w:color w:val="auto"/>
              </w:rPr>
              <w:t>Rocky River Quarry</w:t>
            </w:r>
          </w:p>
        </w:tc>
        <w:tc>
          <w:tcPr>
            <w:tcW w:w="9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3102033</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20" w:type="dxa"/>
            <w:vAlign w:val="bottom"/>
          </w:tcPr>
          <w:p>
            <w:pPr>
              <w:spacing w:after="0"/>
              <w:rPr>
                <w:sz w:val="20"/>
                <w:szCs w:val="20"/>
                <w:color w:val="auto"/>
              </w:rPr>
            </w:pPr>
            <w:r>
              <w:rPr>
                <w:rFonts w:ascii="Arial" w:cs="Arial" w:eastAsia="Arial" w:hAnsi="Arial"/>
                <w:sz w:val="20"/>
                <w:szCs w:val="20"/>
                <w:color w:val="auto"/>
              </w:rPr>
              <w:t>Salem Stone</w:t>
            </w: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3102038</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118</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6"/>
        </w:trPr>
        <w:tc>
          <w:tcPr>
            <w:tcW w:w="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52"/>
        </w:trPr>
        <w:tc>
          <w:tcPr>
            <w:tcW w:w="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20"/>
                <w:szCs w:val="20"/>
                <w:color w:val="auto"/>
                <w:w w:val="91"/>
              </w:rPr>
              <w:t>Appendix 1</w:t>
            </w: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2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000" w:type="dxa"/>
            <w:vAlign w:val="bottom"/>
            <w:shd w:val="clear" w:color="auto" w:fill="CFF0FC"/>
          </w:tcPr>
          <w:p>
            <w:pPr>
              <w:spacing w:after="0"/>
              <w:rPr>
                <w:sz w:val="20"/>
                <w:szCs w:val="20"/>
                <w:color w:val="auto"/>
              </w:rPr>
            </w:pPr>
            <w:r>
              <w:rPr>
                <w:rFonts w:ascii="Arial" w:cs="Arial" w:eastAsia="Arial" w:hAnsi="Arial"/>
                <w:sz w:val="20"/>
                <w:szCs w:val="20"/>
                <w:color w:val="auto"/>
              </w:rPr>
              <w:t>Statesville Quarry</w:t>
            </w:r>
          </w:p>
        </w:tc>
        <w:tc>
          <w:tcPr>
            <w:tcW w:w="9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3100055</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0" w:type="dxa"/>
            <w:vAlign w:val="bottom"/>
          </w:tcPr>
          <w:p>
            <w:pPr>
              <w:spacing w:after="0"/>
              <w:rPr>
                <w:sz w:val="20"/>
                <w:szCs w:val="20"/>
                <w:color w:val="auto"/>
              </w:rPr>
            </w:pPr>
            <w:r>
              <w:rPr>
                <w:rFonts w:ascii="Arial" w:cs="Arial" w:eastAsia="Arial" w:hAnsi="Arial"/>
                <w:sz w:val="20"/>
                <w:szCs w:val="20"/>
                <w:color w:val="auto"/>
              </w:rPr>
              <w:t>Texas Quarry</w:t>
            </w: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1800009</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0" w:type="dxa"/>
            <w:vAlign w:val="bottom"/>
            <w:shd w:val="clear" w:color="auto" w:fill="CFF0FC"/>
          </w:tcPr>
          <w:p>
            <w:pPr>
              <w:spacing w:after="0"/>
              <w:rPr>
                <w:sz w:val="20"/>
                <w:szCs w:val="20"/>
                <w:color w:val="auto"/>
              </w:rPr>
            </w:pPr>
            <w:r>
              <w:rPr>
                <w:rFonts w:ascii="Arial" w:cs="Arial" w:eastAsia="Arial" w:hAnsi="Arial"/>
                <w:sz w:val="20"/>
                <w:szCs w:val="20"/>
                <w:color w:val="auto"/>
              </w:rPr>
              <w:t>Thomasville Quarry</w:t>
            </w:r>
          </w:p>
        </w:tc>
        <w:tc>
          <w:tcPr>
            <w:tcW w:w="9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3101475</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0" w:type="dxa"/>
            <w:vAlign w:val="bottom"/>
          </w:tcPr>
          <w:p>
            <w:pPr>
              <w:spacing w:after="0"/>
              <w:rPr>
                <w:sz w:val="20"/>
                <w:szCs w:val="20"/>
                <w:color w:val="auto"/>
              </w:rPr>
            </w:pPr>
            <w:r>
              <w:rPr>
                <w:rFonts w:ascii="Arial" w:cs="Arial" w:eastAsia="Arial" w:hAnsi="Arial"/>
                <w:sz w:val="20"/>
                <w:szCs w:val="20"/>
                <w:color w:val="auto"/>
              </w:rPr>
              <w:t>Warfordsburg Quarry</w:t>
            </w: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3600168</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0" w:type="dxa"/>
            <w:vAlign w:val="bottom"/>
            <w:shd w:val="clear" w:color="auto" w:fill="CFF0FC"/>
          </w:tcPr>
          <w:p>
            <w:pPr>
              <w:spacing w:after="0"/>
              <w:rPr>
                <w:sz w:val="20"/>
                <w:szCs w:val="20"/>
                <w:color w:val="auto"/>
              </w:rPr>
            </w:pPr>
            <w:r>
              <w:rPr>
                <w:rFonts w:ascii="Arial" w:cs="Arial" w:eastAsia="Arial" w:hAnsi="Arial"/>
                <w:sz w:val="20"/>
                <w:szCs w:val="20"/>
                <w:color w:val="auto"/>
              </w:rPr>
              <w:t>Wilmington Sand</w:t>
            </w:r>
          </w:p>
        </w:tc>
        <w:tc>
          <w:tcPr>
            <w:tcW w:w="9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3101308</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0" w:type="dxa"/>
            <w:vAlign w:val="bottom"/>
          </w:tcPr>
          <w:p>
            <w:pPr>
              <w:spacing w:after="0"/>
              <w:rPr>
                <w:sz w:val="20"/>
                <w:szCs w:val="20"/>
                <w:color w:val="auto"/>
              </w:rPr>
            </w:pPr>
            <w:r>
              <w:rPr>
                <w:rFonts w:ascii="Arial" w:cs="Arial" w:eastAsia="Arial" w:hAnsi="Arial"/>
                <w:sz w:val="20"/>
                <w:szCs w:val="20"/>
                <w:color w:val="auto"/>
              </w:rPr>
              <w:t>Wilson Quarry</w:t>
            </w: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3102230</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0" w:type="dxa"/>
            <w:vAlign w:val="bottom"/>
            <w:shd w:val="clear" w:color="auto" w:fill="CFF0FC"/>
          </w:tcPr>
          <w:p>
            <w:pPr>
              <w:spacing w:after="0"/>
              <w:rPr>
                <w:sz w:val="20"/>
                <w:szCs w:val="20"/>
                <w:color w:val="auto"/>
              </w:rPr>
            </w:pPr>
            <w:r>
              <w:rPr>
                <w:rFonts w:ascii="Arial" w:cs="Arial" w:eastAsia="Arial" w:hAnsi="Arial"/>
                <w:sz w:val="20"/>
                <w:szCs w:val="20"/>
                <w:color w:val="auto"/>
              </w:rPr>
              <w:t>Woodleaf Quarry</w:t>
            </w:r>
          </w:p>
        </w:tc>
        <w:tc>
          <w:tcPr>
            <w:tcW w:w="9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3100069</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000" w:type="dxa"/>
            <w:vAlign w:val="bottom"/>
          </w:tcPr>
          <w:p>
            <w:pPr>
              <w:spacing w:after="0" w:line="227" w:lineRule="exact"/>
              <w:rPr>
                <w:sz w:val="20"/>
                <w:szCs w:val="20"/>
                <w:color w:val="auto"/>
              </w:rPr>
            </w:pPr>
            <w:r>
              <w:rPr>
                <w:rFonts w:ascii="Arial" w:cs="Arial" w:eastAsia="Arial" w:hAnsi="Arial"/>
                <w:sz w:val="20"/>
                <w:szCs w:val="20"/>
                <w:color w:val="auto"/>
                <w:w w:val="97"/>
              </w:rPr>
              <w:t>(45) North Indianapolis</w:t>
            </w: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20" w:type="dxa"/>
            <w:vAlign w:val="bottom"/>
            <w:gridSpan w:val="2"/>
          </w:tcPr>
          <w:p>
            <w:pPr>
              <w:spacing w:after="0"/>
              <w:rPr>
                <w:sz w:val="20"/>
                <w:szCs w:val="20"/>
                <w:color w:val="auto"/>
              </w:rPr>
            </w:pPr>
            <w:r>
              <w:rPr>
                <w:rFonts w:ascii="Arial" w:cs="Arial" w:eastAsia="Arial" w:hAnsi="Arial"/>
                <w:sz w:val="20"/>
                <w:szCs w:val="20"/>
                <w:color w:val="auto"/>
              </w:rPr>
              <w:t>SURFACE</w:t>
            </w: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1200002</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0" w:type="dxa"/>
            <w:vAlign w:val="bottom"/>
            <w:shd w:val="clear" w:color="auto" w:fill="CFF0FC"/>
          </w:tcPr>
          <w:p>
            <w:pPr>
              <w:spacing w:after="0"/>
              <w:rPr>
                <w:sz w:val="20"/>
                <w:szCs w:val="20"/>
                <w:color w:val="auto"/>
              </w:rPr>
            </w:pPr>
            <w:r>
              <w:rPr>
                <w:rFonts w:ascii="Arial" w:cs="Arial" w:eastAsia="Arial" w:hAnsi="Arial"/>
                <w:sz w:val="20"/>
                <w:szCs w:val="20"/>
                <w:color w:val="auto"/>
              </w:rPr>
              <w:t>Apple Grove S G</w:t>
            </w:r>
          </w:p>
        </w:tc>
        <w:tc>
          <w:tcPr>
            <w:tcW w:w="9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3301676</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0" w:type="dxa"/>
            <w:vAlign w:val="bottom"/>
          </w:tcPr>
          <w:p>
            <w:pPr>
              <w:spacing w:after="0"/>
              <w:rPr>
                <w:sz w:val="20"/>
                <w:szCs w:val="20"/>
                <w:color w:val="auto"/>
              </w:rPr>
            </w:pPr>
            <w:r>
              <w:rPr>
                <w:rFonts w:ascii="Arial" w:cs="Arial" w:eastAsia="Arial" w:hAnsi="Arial"/>
                <w:sz w:val="20"/>
                <w:szCs w:val="20"/>
                <w:color w:val="auto"/>
              </w:rPr>
              <w:t>Belmont Sand</w:t>
            </w: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1201911</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rPr>
              <w:t>Bowling Green North</w:t>
            </w:r>
          </w:p>
        </w:tc>
        <w:tc>
          <w:tcPr>
            <w:tcW w:w="9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000" w:type="dxa"/>
            <w:vAlign w:val="bottom"/>
            <w:shd w:val="clear" w:color="auto" w:fill="CFF0FC"/>
          </w:tcPr>
          <w:p>
            <w:pPr>
              <w:spacing w:after="0"/>
              <w:rPr>
                <w:sz w:val="20"/>
                <w:szCs w:val="20"/>
                <w:color w:val="auto"/>
              </w:rPr>
            </w:pPr>
            <w:r>
              <w:rPr>
                <w:rFonts w:ascii="Arial" w:cs="Arial" w:eastAsia="Arial" w:hAnsi="Arial"/>
                <w:sz w:val="20"/>
                <w:szCs w:val="20"/>
                <w:color w:val="auto"/>
              </w:rPr>
              <w:t>Quarry</w:t>
            </w:r>
          </w:p>
        </w:tc>
        <w:tc>
          <w:tcPr>
            <w:tcW w:w="9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1500065</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118</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000" w:type="dxa"/>
            <w:vAlign w:val="bottom"/>
          </w:tcPr>
          <w:p>
            <w:pPr>
              <w:spacing w:after="0" w:line="227" w:lineRule="exact"/>
              <w:rPr>
                <w:sz w:val="20"/>
                <w:szCs w:val="20"/>
                <w:color w:val="auto"/>
              </w:rPr>
            </w:pPr>
            <w:r>
              <w:rPr>
                <w:rFonts w:ascii="Arial" w:cs="Arial" w:eastAsia="Arial" w:hAnsi="Arial"/>
                <w:sz w:val="20"/>
                <w:szCs w:val="20"/>
                <w:color w:val="auto"/>
              </w:rPr>
              <w:t>Bowling Green South</w:t>
            </w: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20" w:type="dxa"/>
            <w:vAlign w:val="bottom"/>
            <w:gridSpan w:val="2"/>
          </w:tcPr>
          <w:p>
            <w:pPr>
              <w:spacing w:after="0"/>
              <w:rPr>
                <w:sz w:val="20"/>
                <w:szCs w:val="20"/>
                <w:color w:val="auto"/>
              </w:rPr>
            </w:pPr>
            <w:r>
              <w:rPr>
                <w:rFonts w:ascii="Arial" w:cs="Arial" w:eastAsia="Arial" w:hAnsi="Arial"/>
                <w:sz w:val="20"/>
                <w:szCs w:val="20"/>
                <w:color w:val="auto"/>
              </w:rPr>
              <w:t>Quarry</w:t>
            </w: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1500025</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236</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0" w:type="dxa"/>
            <w:vAlign w:val="bottom"/>
            <w:shd w:val="clear" w:color="auto" w:fill="CFF0FC"/>
          </w:tcPr>
          <w:p>
            <w:pPr>
              <w:spacing w:after="0"/>
              <w:rPr>
                <w:sz w:val="20"/>
                <w:szCs w:val="20"/>
                <w:color w:val="auto"/>
              </w:rPr>
            </w:pPr>
            <w:r>
              <w:rPr>
                <w:rFonts w:ascii="Arial" w:cs="Arial" w:eastAsia="Arial" w:hAnsi="Arial"/>
                <w:sz w:val="20"/>
                <w:szCs w:val="20"/>
                <w:color w:val="auto"/>
              </w:rPr>
              <w:t>Burning Springs Mine</w:t>
            </w:r>
          </w:p>
        </w:tc>
        <w:tc>
          <w:tcPr>
            <w:tcW w:w="9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4608862</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0" w:type="dxa"/>
            <w:vAlign w:val="bottom"/>
          </w:tcPr>
          <w:p>
            <w:pPr>
              <w:spacing w:after="0"/>
              <w:rPr>
                <w:sz w:val="20"/>
                <w:szCs w:val="20"/>
                <w:color w:val="auto"/>
              </w:rPr>
            </w:pPr>
            <w:r>
              <w:rPr>
                <w:rFonts w:ascii="Arial" w:cs="Arial" w:eastAsia="Arial" w:hAnsi="Arial"/>
                <w:sz w:val="20"/>
                <w:szCs w:val="20"/>
                <w:color w:val="auto"/>
              </w:rPr>
              <w:t>Carmel Sand</w:t>
            </w: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1202124</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0" w:type="dxa"/>
            <w:vAlign w:val="bottom"/>
            <w:shd w:val="clear" w:color="auto" w:fill="CFF0FC"/>
          </w:tcPr>
          <w:p>
            <w:pPr>
              <w:spacing w:after="0"/>
              <w:rPr>
                <w:sz w:val="20"/>
                <w:szCs w:val="20"/>
                <w:color w:val="auto"/>
              </w:rPr>
            </w:pPr>
            <w:r>
              <w:rPr>
                <w:rFonts w:ascii="Arial" w:cs="Arial" w:eastAsia="Arial" w:hAnsi="Arial"/>
                <w:sz w:val="20"/>
                <w:szCs w:val="20"/>
                <w:color w:val="auto"/>
              </w:rPr>
              <w:t>Cedarville Quarry</w:t>
            </w:r>
          </w:p>
        </w:tc>
        <w:tc>
          <w:tcPr>
            <w:tcW w:w="9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3304072</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2</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0" w:type="dxa"/>
            <w:vAlign w:val="bottom"/>
          </w:tcPr>
          <w:p>
            <w:pPr>
              <w:spacing w:after="0"/>
              <w:rPr>
                <w:sz w:val="20"/>
                <w:szCs w:val="20"/>
                <w:color w:val="auto"/>
              </w:rPr>
            </w:pPr>
            <w:r>
              <w:rPr>
                <w:rFonts w:ascii="Arial" w:cs="Arial" w:eastAsia="Arial" w:hAnsi="Arial"/>
                <w:sz w:val="20"/>
                <w:szCs w:val="20"/>
                <w:color w:val="auto"/>
              </w:rPr>
              <w:t>Cloverdale Quarry</w:t>
            </w: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1201744</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0" w:type="dxa"/>
            <w:vAlign w:val="bottom"/>
            <w:shd w:val="clear" w:color="auto" w:fill="CFF0FC"/>
          </w:tcPr>
          <w:p>
            <w:pPr>
              <w:spacing w:after="0"/>
              <w:rPr>
                <w:sz w:val="20"/>
                <w:szCs w:val="20"/>
                <w:color w:val="auto"/>
              </w:rPr>
            </w:pPr>
            <w:r>
              <w:rPr>
                <w:rFonts w:ascii="Arial" w:cs="Arial" w:eastAsia="Arial" w:hAnsi="Arial"/>
                <w:sz w:val="20"/>
                <w:szCs w:val="20"/>
                <w:color w:val="auto"/>
              </w:rPr>
              <w:t>Cumberland Quarry</w:t>
            </w:r>
          </w:p>
        </w:tc>
        <w:tc>
          <w:tcPr>
            <w:tcW w:w="9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1500037</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0" w:type="dxa"/>
            <w:vAlign w:val="bottom"/>
          </w:tcPr>
          <w:p>
            <w:pPr>
              <w:spacing w:after="0"/>
              <w:rPr>
                <w:sz w:val="20"/>
                <w:szCs w:val="20"/>
                <w:color w:val="auto"/>
              </w:rPr>
            </w:pPr>
            <w:r>
              <w:rPr>
                <w:rFonts w:ascii="Arial" w:cs="Arial" w:eastAsia="Arial" w:hAnsi="Arial"/>
                <w:sz w:val="20"/>
                <w:szCs w:val="20"/>
                <w:color w:val="auto"/>
              </w:rPr>
              <w:t>E Town Sand Gravel</w:t>
            </w: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3304279</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0" w:type="dxa"/>
            <w:vAlign w:val="bottom"/>
            <w:shd w:val="clear" w:color="auto" w:fill="CFF0FC"/>
          </w:tcPr>
          <w:p>
            <w:pPr>
              <w:spacing w:after="0"/>
              <w:rPr>
                <w:sz w:val="20"/>
                <w:szCs w:val="20"/>
                <w:color w:val="auto"/>
              </w:rPr>
            </w:pPr>
            <w:r>
              <w:rPr>
                <w:rFonts w:ascii="Arial" w:cs="Arial" w:eastAsia="Arial" w:hAnsi="Arial"/>
                <w:sz w:val="20"/>
                <w:szCs w:val="20"/>
                <w:color w:val="auto"/>
              </w:rPr>
              <w:t>Fairfield Quarry</w:t>
            </w:r>
          </w:p>
        </w:tc>
        <w:tc>
          <w:tcPr>
            <w:tcW w:w="9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3301396</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0" w:type="dxa"/>
            <w:vAlign w:val="bottom"/>
          </w:tcPr>
          <w:p>
            <w:pPr>
              <w:spacing w:after="0"/>
              <w:rPr>
                <w:sz w:val="20"/>
                <w:szCs w:val="20"/>
                <w:color w:val="auto"/>
              </w:rPr>
            </w:pPr>
            <w:r>
              <w:rPr>
                <w:rFonts w:ascii="Arial" w:cs="Arial" w:eastAsia="Arial" w:hAnsi="Arial"/>
                <w:sz w:val="20"/>
                <w:szCs w:val="20"/>
                <w:color w:val="auto"/>
              </w:rPr>
              <w:t>Franklin Gravel</w:t>
            </w: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3302940</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0" w:type="dxa"/>
            <w:vAlign w:val="bottom"/>
            <w:shd w:val="clear" w:color="auto" w:fill="CFF0FC"/>
          </w:tcPr>
          <w:p>
            <w:pPr>
              <w:spacing w:after="0"/>
              <w:rPr>
                <w:sz w:val="20"/>
                <w:szCs w:val="20"/>
                <w:color w:val="auto"/>
              </w:rPr>
            </w:pPr>
            <w:r>
              <w:rPr>
                <w:rFonts w:ascii="Arial" w:cs="Arial" w:eastAsia="Arial" w:hAnsi="Arial"/>
                <w:sz w:val="20"/>
                <w:szCs w:val="20"/>
                <w:color w:val="auto"/>
              </w:rPr>
              <w:t>Harlan Quarry</w:t>
            </w:r>
          </w:p>
        </w:tc>
        <w:tc>
          <w:tcPr>
            <w:tcW w:w="9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1500071</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236</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0" w:type="dxa"/>
            <w:vAlign w:val="bottom"/>
          </w:tcPr>
          <w:p>
            <w:pPr>
              <w:spacing w:after="0"/>
              <w:rPr>
                <w:sz w:val="20"/>
                <w:szCs w:val="20"/>
                <w:color w:val="auto"/>
              </w:rPr>
            </w:pPr>
            <w:r>
              <w:rPr>
                <w:rFonts w:ascii="Arial" w:cs="Arial" w:eastAsia="Arial" w:hAnsi="Arial"/>
                <w:sz w:val="20"/>
                <w:szCs w:val="20"/>
                <w:color w:val="auto"/>
              </w:rPr>
              <w:t>Hartford Quarry</w:t>
            </w: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1500095</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0" w:type="dxa"/>
            <w:vAlign w:val="bottom"/>
            <w:shd w:val="clear" w:color="auto" w:fill="CFF0FC"/>
          </w:tcPr>
          <w:p>
            <w:pPr>
              <w:spacing w:after="0"/>
              <w:rPr>
                <w:sz w:val="20"/>
                <w:szCs w:val="20"/>
                <w:color w:val="auto"/>
              </w:rPr>
            </w:pPr>
            <w:r>
              <w:rPr>
                <w:rFonts w:ascii="Arial" w:cs="Arial" w:eastAsia="Arial" w:hAnsi="Arial"/>
                <w:sz w:val="20"/>
                <w:szCs w:val="20"/>
                <w:color w:val="auto"/>
              </w:rPr>
              <w:t>Kentucky Ave Mine</w:t>
            </w:r>
          </w:p>
        </w:tc>
        <w:tc>
          <w:tcPr>
            <w:tcW w:w="9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1201762</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1</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0" w:type="dxa"/>
            <w:vAlign w:val="bottom"/>
          </w:tcPr>
          <w:p>
            <w:pPr>
              <w:spacing w:after="0"/>
              <w:rPr>
                <w:sz w:val="20"/>
                <w:szCs w:val="20"/>
                <w:color w:val="auto"/>
              </w:rPr>
            </w:pPr>
            <w:r>
              <w:rPr>
                <w:rFonts w:ascii="Arial" w:cs="Arial" w:eastAsia="Arial" w:hAnsi="Arial"/>
                <w:sz w:val="20"/>
                <w:szCs w:val="20"/>
                <w:color w:val="auto"/>
              </w:rPr>
              <w:t>Kokomo Mine</w:t>
            </w: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1202105</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0" w:type="dxa"/>
            <w:vAlign w:val="bottom"/>
            <w:shd w:val="clear" w:color="auto" w:fill="CFF0FC"/>
          </w:tcPr>
          <w:p>
            <w:pPr>
              <w:spacing w:after="0"/>
              <w:rPr>
                <w:sz w:val="20"/>
                <w:szCs w:val="20"/>
                <w:color w:val="auto"/>
              </w:rPr>
            </w:pPr>
            <w:r>
              <w:rPr>
                <w:rFonts w:ascii="Arial" w:cs="Arial" w:eastAsia="Arial" w:hAnsi="Arial"/>
                <w:sz w:val="20"/>
                <w:szCs w:val="20"/>
                <w:color w:val="auto"/>
              </w:rPr>
              <w:t>Kokomo Sand</w:t>
            </w:r>
          </w:p>
        </w:tc>
        <w:tc>
          <w:tcPr>
            <w:tcW w:w="9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1202203</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0" w:type="dxa"/>
            <w:vAlign w:val="bottom"/>
          </w:tcPr>
          <w:p>
            <w:pPr>
              <w:spacing w:after="0"/>
              <w:rPr>
                <w:sz w:val="20"/>
                <w:szCs w:val="20"/>
                <w:color w:val="auto"/>
              </w:rPr>
            </w:pPr>
            <w:r>
              <w:rPr>
                <w:rFonts w:ascii="Arial" w:cs="Arial" w:eastAsia="Arial" w:hAnsi="Arial"/>
                <w:sz w:val="20"/>
                <w:szCs w:val="20"/>
                <w:color w:val="auto"/>
              </w:rPr>
              <w:t>Kokomo Stone</w:t>
            </w: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1200142</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236</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0" w:type="dxa"/>
            <w:vAlign w:val="bottom"/>
            <w:shd w:val="clear" w:color="auto" w:fill="CFF0FC"/>
          </w:tcPr>
          <w:p>
            <w:pPr>
              <w:spacing w:after="0"/>
              <w:rPr>
                <w:sz w:val="20"/>
                <w:szCs w:val="20"/>
                <w:color w:val="auto"/>
              </w:rPr>
            </w:pPr>
            <w:r>
              <w:rPr>
                <w:rFonts w:ascii="Arial" w:cs="Arial" w:eastAsia="Arial" w:hAnsi="Arial"/>
                <w:sz w:val="20"/>
                <w:szCs w:val="20"/>
                <w:color w:val="auto"/>
              </w:rPr>
              <w:t>Noblesville Sand</w:t>
            </w:r>
          </w:p>
        </w:tc>
        <w:tc>
          <w:tcPr>
            <w:tcW w:w="9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1201994</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0" w:type="dxa"/>
            <w:vAlign w:val="bottom"/>
          </w:tcPr>
          <w:p>
            <w:pPr>
              <w:spacing w:after="0"/>
              <w:rPr>
                <w:sz w:val="20"/>
                <w:szCs w:val="20"/>
                <w:color w:val="auto"/>
              </w:rPr>
            </w:pPr>
            <w:r>
              <w:rPr>
                <w:rFonts w:ascii="Arial" w:cs="Arial" w:eastAsia="Arial" w:hAnsi="Arial"/>
                <w:sz w:val="20"/>
                <w:szCs w:val="20"/>
                <w:color w:val="auto"/>
              </w:rPr>
              <w:t>Noblesville Stone</w:t>
            </w: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1202176</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3</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128</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60" w:type="dxa"/>
            <w:vAlign w:val="bottom"/>
            <w:gridSpan w:val="2"/>
            <w:shd w:val="clear" w:color="auto" w:fill="CFF0FC"/>
          </w:tcPr>
          <w:p>
            <w:pPr>
              <w:spacing w:after="0"/>
              <w:rPr>
                <w:sz w:val="20"/>
                <w:szCs w:val="20"/>
                <w:color w:val="auto"/>
              </w:rPr>
            </w:pPr>
            <w:r>
              <w:rPr>
                <w:rFonts w:ascii="Arial" w:cs="Arial" w:eastAsia="Arial" w:hAnsi="Arial"/>
                <w:sz w:val="20"/>
                <w:szCs w:val="20"/>
                <w:color w:val="auto"/>
                <w:w w:val="94"/>
              </w:rPr>
              <w:t>North Indianapolis Quarry 1201993</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118</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0" w:type="dxa"/>
            <w:vAlign w:val="bottom"/>
          </w:tcPr>
          <w:p>
            <w:pPr>
              <w:spacing w:after="0"/>
              <w:rPr>
                <w:sz w:val="20"/>
                <w:szCs w:val="20"/>
                <w:color w:val="auto"/>
              </w:rPr>
            </w:pPr>
            <w:r>
              <w:rPr>
                <w:rFonts w:ascii="Arial" w:cs="Arial" w:eastAsia="Arial" w:hAnsi="Arial"/>
                <w:sz w:val="20"/>
                <w:szCs w:val="20"/>
                <w:color w:val="auto"/>
              </w:rPr>
              <w:t>Petersburg, Ky Gravel</w:t>
            </w: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1516895</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0" w:type="dxa"/>
            <w:vAlign w:val="bottom"/>
            <w:shd w:val="clear" w:color="auto" w:fill="CFF0FC"/>
          </w:tcPr>
          <w:p>
            <w:pPr>
              <w:spacing w:after="0"/>
              <w:rPr>
                <w:sz w:val="20"/>
                <w:szCs w:val="20"/>
                <w:color w:val="auto"/>
              </w:rPr>
            </w:pPr>
            <w:r>
              <w:rPr>
                <w:rFonts w:ascii="Arial" w:cs="Arial" w:eastAsia="Arial" w:hAnsi="Arial"/>
                <w:sz w:val="20"/>
                <w:szCs w:val="20"/>
                <w:color w:val="auto"/>
              </w:rPr>
              <w:t>Phillipsburg Quarry</w:t>
            </w:r>
          </w:p>
        </w:tc>
        <w:tc>
          <w:tcPr>
            <w:tcW w:w="9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3300006</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0" w:type="dxa"/>
            <w:vAlign w:val="bottom"/>
          </w:tcPr>
          <w:p>
            <w:pPr>
              <w:spacing w:after="0"/>
              <w:rPr>
                <w:sz w:val="20"/>
                <w:szCs w:val="20"/>
                <w:color w:val="auto"/>
              </w:rPr>
            </w:pPr>
            <w:r>
              <w:rPr>
                <w:rFonts w:ascii="Arial" w:cs="Arial" w:eastAsia="Arial" w:hAnsi="Arial"/>
                <w:sz w:val="20"/>
                <w:szCs w:val="20"/>
                <w:color w:val="auto"/>
              </w:rPr>
              <w:t>Shamrock SG</w:t>
            </w:r>
          </w:p>
        </w:tc>
        <w:tc>
          <w:tcPr>
            <w:tcW w:w="960" w:type="dxa"/>
            <w:vAlign w:val="bottom"/>
          </w:tcPr>
          <w:p>
            <w:pPr>
              <w:jc w:val="right"/>
              <w:ind w:right="41"/>
              <w:spacing w:after="0"/>
              <w:rPr>
                <w:sz w:val="20"/>
                <w:szCs w:val="20"/>
                <w:color w:val="auto"/>
              </w:rPr>
            </w:pPr>
            <w:r>
              <w:rPr>
                <w:rFonts w:ascii="Arial" w:cs="Arial" w:eastAsia="Arial" w:hAnsi="Arial"/>
                <w:sz w:val="20"/>
                <w:szCs w:val="20"/>
                <w:color w:val="auto"/>
              </w:rPr>
              <w:t>3304011</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000" w:type="dxa"/>
            <w:vAlign w:val="bottom"/>
            <w:shd w:val="clear" w:color="auto" w:fill="CFF0FC"/>
          </w:tcPr>
          <w:p>
            <w:pPr>
              <w:spacing w:after="0" w:line="227" w:lineRule="exact"/>
              <w:rPr>
                <w:sz w:val="20"/>
                <w:szCs w:val="20"/>
                <w:color w:val="auto"/>
              </w:rPr>
            </w:pPr>
            <w:r>
              <w:rPr>
                <w:rFonts w:ascii="Arial" w:cs="Arial" w:eastAsia="Arial" w:hAnsi="Arial"/>
                <w:sz w:val="20"/>
                <w:szCs w:val="20"/>
                <w:color w:val="auto"/>
                <w:w w:val="98"/>
              </w:rPr>
              <w:t>Spring Valley Cook Rd</w:t>
            </w:r>
          </w:p>
        </w:tc>
        <w:tc>
          <w:tcPr>
            <w:tcW w:w="9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000" w:type="dxa"/>
            <w:vAlign w:val="bottom"/>
            <w:shd w:val="clear" w:color="auto" w:fill="CFF0FC"/>
          </w:tcPr>
          <w:p>
            <w:pPr>
              <w:spacing w:after="0"/>
              <w:rPr>
                <w:sz w:val="20"/>
                <w:szCs w:val="20"/>
                <w:color w:val="auto"/>
              </w:rPr>
            </w:pPr>
            <w:r>
              <w:rPr>
                <w:rFonts w:ascii="Arial" w:cs="Arial" w:eastAsia="Arial" w:hAnsi="Arial"/>
                <w:sz w:val="20"/>
                <w:szCs w:val="20"/>
                <w:color w:val="auto"/>
              </w:rPr>
              <w:t>SG</w:t>
            </w:r>
          </w:p>
        </w:tc>
        <w:tc>
          <w:tcPr>
            <w:tcW w:w="96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3304534</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3"/>
        </w:trPr>
        <w:tc>
          <w:tcPr>
            <w:tcW w:w="20" w:type="dxa"/>
            <w:vAlign w:val="bottom"/>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52"/>
        </w:trPr>
        <w:tc>
          <w:tcPr>
            <w:tcW w:w="2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20"/>
                <w:szCs w:val="20"/>
                <w:color w:val="auto"/>
                <w:w w:val="91"/>
              </w:rPr>
              <w:t>Appendix 1</w:t>
            </w:r>
          </w:p>
        </w:tc>
      </w:tr>
      <w:tr>
        <w:trPr>
          <w:trHeight w:val="469"/>
        </w:trPr>
        <w:tc>
          <w:tcPr>
            <w:tcW w:w="2100" w:type="dxa"/>
            <w:vAlign w:val="bottom"/>
          </w:tcPr>
          <w:p>
            <w:pPr>
              <w:spacing w:after="0"/>
              <w:rPr>
                <w:sz w:val="20"/>
                <w:szCs w:val="20"/>
                <w:color w:val="auto"/>
              </w:rPr>
            </w:pPr>
            <w:r>
              <w:rPr>
                <w:rFonts w:ascii="Arial" w:cs="Arial" w:eastAsia="Arial" w:hAnsi="Arial"/>
                <w:sz w:val="20"/>
                <w:szCs w:val="20"/>
                <w:color w:val="auto"/>
              </w:rPr>
              <w:t>Troy Gravel</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3301678</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4"/>
                <w:szCs w:val="24"/>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Waverly Sand</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1202038</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Xenia Gravel</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3301393</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Appling Quarry</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901083</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Auburn Al Quarry</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rPr>
              <w:t>100006</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Auburn, GA Quarry</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900436</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Augusta, GA Quarry</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rPr>
              <w:t>900065</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Ball Ground Quarry</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900955</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Calhoun Quarry</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4003395</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Chattanooga Quarry</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4003159</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118</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Cumming Quarry</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rPr>
              <w:t>900460</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1</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395</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Douglasville Quarry</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900024</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Edgefield Quarry</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3800738</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236</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Jefferson Quarry</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901106</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Junction City Quarry</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rPr>
              <w:t>901029</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Lithonia Quarry</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900023</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Maylene Quarry</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rPr>
              <w:t>100634</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Morgan County</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901126</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Newton Quarry</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rPr>
              <w:t>900899</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O'Neal Plant  Co 19</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103076</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Paulding Quarry</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rPr>
              <w:t>901107</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Perry Quarry</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801083</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Red Oak Quarry</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rPr>
              <w:t>900069</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Ruby Quarry</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900074</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Six Mile Quarry</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rPr>
              <w:t>901144</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118</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w w:val="91"/>
              </w:rPr>
              <w:t>St. Marys Sand Company</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901199</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Tyrone Quarry</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rPr>
              <w:t>900306</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Vance Quarry  Co 19</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103022</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Warrenton Quarry</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0900580</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w w:val="98"/>
              </w:rPr>
              <w:t>Alden Portable Plant #1</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1302031</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w w:val="98"/>
              </w:rPr>
              <w:t>Alden Portable Plant #2</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1302033</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Alden Portable Sand</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1302037</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tcPr>
          <w:p>
            <w:pPr>
              <w:spacing w:after="0"/>
              <w:rPr>
                <w:sz w:val="20"/>
                <w:szCs w:val="20"/>
                <w:color w:val="auto"/>
              </w:rPr>
            </w:pPr>
            <w:r>
              <w:rPr>
                <w:rFonts w:ascii="Arial" w:cs="Arial" w:eastAsia="Arial" w:hAnsi="Arial"/>
                <w:sz w:val="20"/>
                <w:szCs w:val="20"/>
                <w:color w:val="auto"/>
              </w:rPr>
              <w:t>Alden Quarry</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1300228</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00" w:type="dxa"/>
            <w:vAlign w:val="bottom"/>
            <w:shd w:val="clear" w:color="auto" w:fill="CFF0FC"/>
          </w:tcPr>
          <w:p>
            <w:pPr>
              <w:spacing w:after="0"/>
              <w:rPr>
                <w:sz w:val="20"/>
                <w:szCs w:val="20"/>
                <w:color w:val="auto"/>
              </w:rPr>
            </w:pPr>
            <w:r>
              <w:rPr>
                <w:rFonts w:ascii="Arial" w:cs="Arial" w:eastAsia="Arial" w:hAnsi="Arial"/>
                <w:sz w:val="20"/>
                <w:szCs w:val="20"/>
                <w:color w:val="auto"/>
              </w:rPr>
              <w:t>Ames Mine</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1300014</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01"/>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763"/>
        </w:trPr>
        <w:tc>
          <w:tcPr>
            <w:tcW w:w="2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52"/>
        </w:trPr>
        <w:tc>
          <w:tcPr>
            <w:tcW w:w="1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20"/>
                <w:szCs w:val="20"/>
                <w:color w:val="auto"/>
                <w:w w:val="91"/>
              </w:rPr>
              <w:t>Appendix 1</w:t>
            </w:r>
          </w:p>
        </w:tc>
      </w:tr>
      <w:tr>
        <w:trPr>
          <w:trHeight w:val="469"/>
        </w:trPr>
        <w:tc>
          <w:tcPr>
            <w:tcW w:w="2120" w:type="dxa"/>
            <w:vAlign w:val="bottom"/>
            <w:gridSpan w:val="2"/>
          </w:tcPr>
          <w:p>
            <w:pPr>
              <w:spacing w:after="0"/>
              <w:rPr>
                <w:sz w:val="20"/>
                <w:szCs w:val="20"/>
                <w:color w:val="auto"/>
              </w:rPr>
            </w:pPr>
            <w:r>
              <w:rPr>
                <w:rFonts w:ascii="Arial" w:cs="Arial" w:eastAsia="Arial" w:hAnsi="Arial"/>
                <w:sz w:val="20"/>
                <w:szCs w:val="20"/>
                <w:color w:val="auto"/>
              </w:rPr>
              <w:t>Cedar Rapids Quarry</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1300122</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118</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1</w:t>
            </w:r>
          </w:p>
        </w:tc>
        <w:tc>
          <w:tcPr>
            <w:tcW w:w="420" w:type="dxa"/>
            <w:vAlign w:val="bottom"/>
          </w:tcPr>
          <w:p>
            <w:pPr>
              <w:jc w:val="right"/>
              <w:spacing w:after="0"/>
              <w:rPr>
                <w:sz w:val="20"/>
                <w:szCs w:val="20"/>
                <w:color w:val="auto"/>
              </w:rPr>
            </w:pPr>
            <w:r>
              <w:rPr>
                <w:rFonts w:ascii="Arial" w:cs="Arial" w:eastAsia="Arial" w:hAnsi="Arial"/>
                <w:sz w:val="20"/>
                <w:szCs w:val="20"/>
                <w:color w:val="auto"/>
              </w:rPr>
              <w:t>1</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4"/>
                <w:szCs w:val="24"/>
                <w:color w:val="auto"/>
              </w:rPr>
            </w:pPr>
          </w:p>
        </w:tc>
      </w:tr>
      <w:tr>
        <w:trPr>
          <w:trHeight w:val="243"/>
        </w:trPr>
        <w:tc>
          <w:tcPr>
            <w:tcW w:w="212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Des Moines Portable</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1300150</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240" w:type="dxa"/>
            <w:vAlign w:val="bottom"/>
          </w:tcPr>
          <w:p>
            <w:pPr>
              <w:spacing w:after="0"/>
              <w:rPr>
                <w:sz w:val="20"/>
                <w:szCs w:val="20"/>
                <w:color w:val="auto"/>
              </w:rPr>
            </w:pPr>
            <w:r>
              <w:rPr>
                <w:rFonts w:ascii="Arial" w:cs="Arial" w:eastAsia="Arial" w:hAnsi="Arial"/>
                <w:sz w:val="20"/>
                <w:szCs w:val="20"/>
                <w:color w:val="auto"/>
                <w:w w:val="94"/>
              </w:rPr>
              <w:t>Dubois Quarry</w:t>
            </w:r>
          </w:p>
        </w:tc>
        <w:tc>
          <w:tcPr>
            <w:tcW w:w="880" w:type="dxa"/>
            <w:vAlign w:val="bottom"/>
          </w:tcPr>
          <w:p>
            <w:pPr>
              <w:spacing w:after="0"/>
              <w:rPr>
                <w:sz w:val="21"/>
                <w:szCs w:val="21"/>
                <w:color w:val="auto"/>
              </w:rPr>
            </w:pP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2501046</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1</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382</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rPr>
              <w:t>Durham Mine</w:t>
            </w:r>
          </w:p>
        </w:tc>
        <w:tc>
          <w:tcPr>
            <w:tcW w:w="88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1301225</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1,243</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gridSpan w:val="2"/>
          </w:tcPr>
          <w:p>
            <w:pPr>
              <w:spacing w:after="0"/>
              <w:rPr>
                <w:sz w:val="20"/>
                <w:szCs w:val="20"/>
                <w:color w:val="auto"/>
              </w:rPr>
            </w:pPr>
            <w:r>
              <w:rPr>
                <w:rFonts w:ascii="Arial" w:cs="Arial" w:eastAsia="Arial" w:hAnsi="Arial"/>
                <w:sz w:val="20"/>
                <w:szCs w:val="20"/>
                <w:color w:val="auto"/>
              </w:rPr>
              <w:t>Earlham Quarry</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1302123</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Ferguson Quarry</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1300124</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gridSpan w:val="2"/>
          </w:tcPr>
          <w:p>
            <w:pPr>
              <w:spacing w:after="0"/>
              <w:rPr>
                <w:sz w:val="20"/>
                <w:szCs w:val="20"/>
                <w:color w:val="auto"/>
              </w:rPr>
            </w:pPr>
            <w:r>
              <w:rPr>
                <w:rFonts w:ascii="Arial" w:cs="Arial" w:eastAsia="Arial" w:hAnsi="Arial"/>
                <w:sz w:val="20"/>
                <w:szCs w:val="20"/>
                <w:color w:val="auto"/>
              </w:rPr>
              <w:t>Fort Calhoun Quarry</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2500006</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Fort Calhoun UG</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2501300</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gridSpan w:val="2"/>
          </w:tcPr>
          <w:p>
            <w:pPr>
              <w:spacing w:after="0"/>
              <w:rPr>
                <w:sz w:val="20"/>
                <w:szCs w:val="20"/>
                <w:color w:val="auto"/>
              </w:rPr>
            </w:pPr>
            <w:r>
              <w:rPr>
                <w:rFonts w:ascii="Arial" w:cs="Arial" w:eastAsia="Arial" w:hAnsi="Arial"/>
                <w:sz w:val="20"/>
                <w:szCs w:val="20"/>
                <w:color w:val="auto"/>
              </w:rPr>
              <w:t>Fort Dodge Mine</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1300032</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236</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gridSpan w:val="2"/>
            <w:shd w:val="clear" w:color="auto" w:fill="CFF0FC"/>
          </w:tcPr>
          <w:p>
            <w:pPr>
              <w:spacing w:after="0"/>
              <w:rPr>
                <w:sz w:val="20"/>
                <w:szCs w:val="20"/>
                <w:color w:val="auto"/>
              </w:rPr>
            </w:pPr>
            <w:r>
              <w:rPr>
                <w:rFonts w:ascii="Arial" w:cs="Arial" w:eastAsia="Arial" w:hAnsi="Arial"/>
                <w:sz w:val="20"/>
                <w:szCs w:val="20"/>
                <w:color w:val="auto"/>
                <w:w w:val="94"/>
              </w:rPr>
              <w:t>Greenwood Quarry  New</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2300141</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gridSpan w:val="2"/>
          </w:tcPr>
          <w:p>
            <w:pPr>
              <w:spacing w:after="0"/>
              <w:rPr>
                <w:sz w:val="20"/>
                <w:szCs w:val="20"/>
                <w:color w:val="auto"/>
              </w:rPr>
            </w:pPr>
            <w:r>
              <w:rPr>
                <w:rFonts w:ascii="Arial" w:cs="Arial" w:eastAsia="Arial" w:hAnsi="Arial"/>
                <w:sz w:val="20"/>
                <w:szCs w:val="20"/>
                <w:color w:val="auto"/>
              </w:rPr>
              <w:t>Inactive Iowa Grading</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1302126</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rPr>
              <w:t>Iowa Grading</w:t>
            </w:r>
          </w:p>
        </w:tc>
        <w:tc>
          <w:tcPr>
            <w:tcW w:w="88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1302316</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gridSpan w:val="2"/>
          </w:tcPr>
          <w:p>
            <w:pPr>
              <w:spacing w:after="0"/>
              <w:rPr>
                <w:sz w:val="20"/>
                <w:szCs w:val="20"/>
                <w:color w:val="auto"/>
              </w:rPr>
            </w:pPr>
            <w:r>
              <w:rPr>
                <w:rFonts w:ascii="Arial" w:cs="Arial" w:eastAsia="Arial" w:hAnsi="Arial"/>
                <w:sz w:val="20"/>
                <w:szCs w:val="20"/>
                <w:color w:val="auto"/>
              </w:rPr>
              <w:t>Linn County Sand</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1302208</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rPr>
              <w:t>Malcom Mine</w:t>
            </w:r>
          </w:p>
        </w:tc>
        <w:tc>
          <w:tcPr>
            <w:tcW w:w="88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1300112</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1</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gridSpan w:val="2"/>
          </w:tcPr>
          <w:p>
            <w:pPr>
              <w:spacing w:after="0"/>
              <w:rPr>
                <w:sz w:val="20"/>
                <w:szCs w:val="20"/>
                <w:color w:val="auto"/>
              </w:rPr>
            </w:pPr>
            <w:r>
              <w:rPr>
                <w:rFonts w:ascii="Arial" w:cs="Arial" w:eastAsia="Arial" w:hAnsi="Arial"/>
                <w:sz w:val="20"/>
                <w:szCs w:val="20"/>
                <w:color w:val="auto"/>
              </w:rPr>
              <w:t>Marshalltown Sand</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1300718</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Midwest Division OH</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A2354</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240" w:type="dxa"/>
            <w:vAlign w:val="bottom"/>
          </w:tcPr>
          <w:p>
            <w:pPr>
              <w:spacing w:after="0"/>
              <w:rPr>
                <w:sz w:val="20"/>
                <w:szCs w:val="20"/>
                <w:color w:val="auto"/>
              </w:rPr>
            </w:pPr>
            <w:r>
              <w:rPr>
                <w:rFonts w:ascii="Arial" w:cs="Arial" w:eastAsia="Arial" w:hAnsi="Arial"/>
                <w:sz w:val="20"/>
                <w:szCs w:val="20"/>
                <w:color w:val="auto"/>
                <w:w w:val="98"/>
              </w:rPr>
              <w:t>Moore Quarry</w:t>
            </w:r>
          </w:p>
        </w:tc>
        <w:tc>
          <w:tcPr>
            <w:tcW w:w="880" w:type="dxa"/>
            <w:vAlign w:val="bottom"/>
          </w:tcPr>
          <w:p>
            <w:pPr>
              <w:spacing w:after="0"/>
              <w:rPr>
                <w:sz w:val="21"/>
                <w:szCs w:val="21"/>
                <w:color w:val="auto"/>
              </w:rPr>
            </w:pP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1302188</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New Harvey Sand</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1301778</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gridSpan w:val="2"/>
          </w:tcPr>
          <w:p>
            <w:pPr>
              <w:spacing w:after="0"/>
              <w:rPr>
                <w:sz w:val="20"/>
                <w:szCs w:val="20"/>
                <w:color w:val="auto"/>
              </w:rPr>
            </w:pPr>
            <w:r>
              <w:rPr>
                <w:rFonts w:ascii="Arial" w:cs="Arial" w:eastAsia="Arial" w:hAnsi="Arial"/>
                <w:sz w:val="20"/>
                <w:szCs w:val="20"/>
                <w:color w:val="auto"/>
              </w:rPr>
              <w:t>North Valley Sand</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2501271</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w w:val="93"/>
              </w:rPr>
              <w:t>Ottawa Quarry</w:t>
            </w:r>
          </w:p>
        </w:tc>
        <w:tc>
          <w:tcPr>
            <w:tcW w:w="880" w:type="dxa"/>
            <w:vAlign w:val="bottom"/>
            <w:shd w:val="clear" w:color="auto" w:fill="CFF0FC"/>
          </w:tcPr>
          <w:p>
            <w:pPr>
              <w:jc w:val="center"/>
              <w:ind w:right="201"/>
              <w:spacing w:after="0"/>
              <w:rPr>
                <w:sz w:val="20"/>
                <w:szCs w:val="20"/>
                <w:color w:val="auto"/>
              </w:rPr>
            </w:pPr>
            <w:r>
              <w:rPr>
                <w:rFonts w:ascii="Arial" w:cs="Arial" w:eastAsia="Arial" w:hAnsi="Arial"/>
                <w:sz w:val="20"/>
                <w:szCs w:val="20"/>
                <w:color w:val="auto"/>
                <w:w w:val="94"/>
              </w:rPr>
              <w:t>New</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1401590</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240" w:type="dxa"/>
            <w:vAlign w:val="bottom"/>
          </w:tcPr>
          <w:p>
            <w:pPr>
              <w:spacing w:after="0"/>
              <w:rPr>
                <w:sz w:val="20"/>
                <w:szCs w:val="20"/>
                <w:color w:val="auto"/>
              </w:rPr>
            </w:pPr>
            <w:r>
              <w:rPr>
                <w:rFonts w:ascii="Arial" w:cs="Arial" w:eastAsia="Arial" w:hAnsi="Arial"/>
                <w:sz w:val="20"/>
                <w:szCs w:val="20"/>
                <w:color w:val="auto"/>
                <w:w w:val="97"/>
              </w:rPr>
              <w:t>Pacific Quarry</w:t>
            </w:r>
          </w:p>
        </w:tc>
        <w:tc>
          <w:tcPr>
            <w:tcW w:w="880" w:type="dxa"/>
            <w:vAlign w:val="bottom"/>
          </w:tcPr>
          <w:p>
            <w:pPr>
              <w:spacing w:after="0"/>
              <w:rPr>
                <w:sz w:val="21"/>
                <w:szCs w:val="21"/>
                <w:color w:val="auto"/>
              </w:rPr>
            </w:pP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4500844</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w w:val="97"/>
              </w:rPr>
              <w:t>Parkville Mine</w:t>
            </w:r>
          </w:p>
        </w:tc>
        <w:tc>
          <w:tcPr>
            <w:tcW w:w="880" w:type="dxa"/>
            <w:vAlign w:val="bottom"/>
            <w:shd w:val="clear" w:color="auto" w:fill="CFF0FC"/>
          </w:tcPr>
          <w:p>
            <w:pPr>
              <w:jc w:val="center"/>
              <w:ind w:right="201"/>
              <w:spacing w:after="0"/>
              <w:rPr>
                <w:sz w:val="20"/>
                <w:szCs w:val="20"/>
                <w:color w:val="auto"/>
              </w:rPr>
            </w:pPr>
            <w:r>
              <w:rPr>
                <w:rFonts w:ascii="Arial" w:cs="Arial" w:eastAsia="Arial" w:hAnsi="Arial"/>
                <w:sz w:val="20"/>
                <w:szCs w:val="20"/>
                <w:color w:val="auto"/>
                <w:w w:val="94"/>
              </w:rPr>
              <w:t>New</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2301883</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1</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gridSpan w:val="2"/>
          </w:tcPr>
          <w:p>
            <w:pPr>
              <w:spacing w:after="0"/>
              <w:rPr>
                <w:sz w:val="20"/>
                <w:szCs w:val="20"/>
                <w:color w:val="auto"/>
              </w:rPr>
            </w:pPr>
            <w:r>
              <w:rPr>
                <w:rFonts w:ascii="Arial" w:cs="Arial" w:eastAsia="Arial" w:hAnsi="Arial"/>
                <w:sz w:val="20"/>
                <w:szCs w:val="20"/>
                <w:color w:val="auto"/>
              </w:rPr>
              <w:t>Pedersen Quarry</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1302192</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Portland Quarry</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1302122</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gridSpan w:val="2"/>
          </w:tcPr>
          <w:p>
            <w:pPr>
              <w:spacing w:after="0"/>
              <w:rPr>
                <w:sz w:val="20"/>
                <w:szCs w:val="20"/>
                <w:color w:val="auto"/>
              </w:rPr>
            </w:pPr>
            <w:r>
              <w:rPr>
                <w:rFonts w:ascii="Arial" w:cs="Arial" w:eastAsia="Arial" w:hAnsi="Arial"/>
                <w:sz w:val="20"/>
                <w:szCs w:val="20"/>
                <w:color w:val="auto"/>
              </w:rPr>
              <w:t>Raccoon River Sand</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1302315</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Randolph Deep Mine</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2302308</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r>
      <w:tr>
        <w:trPr>
          <w:trHeight w:val="243"/>
        </w:trPr>
        <w:tc>
          <w:tcPr>
            <w:tcW w:w="1240" w:type="dxa"/>
            <w:vAlign w:val="bottom"/>
          </w:tcPr>
          <w:p>
            <w:pPr>
              <w:spacing w:after="0"/>
              <w:rPr>
                <w:sz w:val="20"/>
                <w:szCs w:val="20"/>
                <w:color w:val="auto"/>
              </w:rPr>
            </w:pPr>
            <w:r>
              <w:rPr>
                <w:rFonts w:ascii="Arial" w:cs="Arial" w:eastAsia="Arial" w:hAnsi="Arial"/>
                <w:sz w:val="20"/>
                <w:szCs w:val="20"/>
                <w:color w:val="auto"/>
                <w:w w:val="95"/>
              </w:rPr>
              <w:t>Reasnor Sand</w:t>
            </w:r>
          </w:p>
        </w:tc>
        <w:tc>
          <w:tcPr>
            <w:tcW w:w="880" w:type="dxa"/>
            <w:vAlign w:val="bottom"/>
          </w:tcPr>
          <w:p>
            <w:pPr>
              <w:spacing w:after="0"/>
              <w:rPr>
                <w:sz w:val="21"/>
                <w:szCs w:val="21"/>
                <w:color w:val="auto"/>
              </w:rPr>
            </w:pP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1300814</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Saylorville Sand</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1302290</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gridSpan w:val="2"/>
          </w:tcPr>
          <w:p>
            <w:pPr>
              <w:spacing w:after="0"/>
              <w:rPr>
                <w:sz w:val="20"/>
                <w:szCs w:val="20"/>
                <w:color w:val="auto"/>
              </w:rPr>
            </w:pPr>
            <w:r>
              <w:rPr>
                <w:rFonts w:ascii="Arial" w:cs="Arial" w:eastAsia="Arial" w:hAnsi="Arial"/>
                <w:sz w:val="20"/>
                <w:szCs w:val="20"/>
                <w:color w:val="auto"/>
              </w:rPr>
              <w:t>St Cloud Quarry</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2100081</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w w:val="97"/>
              </w:rPr>
              <w:t>Stamper Mine</w:t>
            </w:r>
          </w:p>
        </w:tc>
        <w:tc>
          <w:tcPr>
            <w:tcW w:w="88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2302232</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2</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21"/>
                <w:szCs w:val="21"/>
                <w:color w:val="auto"/>
              </w:rPr>
            </w:pPr>
          </w:p>
        </w:tc>
      </w:tr>
      <w:tr>
        <w:trPr>
          <w:trHeight w:val="243"/>
        </w:trPr>
        <w:tc>
          <w:tcPr>
            <w:tcW w:w="1240" w:type="dxa"/>
            <w:vAlign w:val="bottom"/>
          </w:tcPr>
          <w:p>
            <w:pPr>
              <w:spacing w:after="0"/>
              <w:rPr>
                <w:sz w:val="20"/>
                <w:szCs w:val="20"/>
                <w:color w:val="auto"/>
              </w:rPr>
            </w:pPr>
            <w:r>
              <w:rPr>
                <w:rFonts w:ascii="Arial" w:cs="Arial" w:eastAsia="Arial" w:hAnsi="Arial"/>
                <w:sz w:val="20"/>
                <w:szCs w:val="20"/>
                <w:color w:val="auto"/>
              </w:rPr>
              <w:t>Sully Mine</w:t>
            </w:r>
          </w:p>
        </w:tc>
        <w:tc>
          <w:tcPr>
            <w:tcW w:w="880" w:type="dxa"/>
            <w:vAlign w:val="bottom"/>
          </w:tcPr>
          <w:p>
            <w:pPr>
              <w:spacing w:after="0"/>
              <w:rPr>
                <w:sz w:val="21"/>
                <w:szCs w:val="21"/>
                <w:color w:val="auto"/>
              </w:rPr>
            </w:pP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1300063</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1240" w:type="dxa"/>
            <w:vAlign w:val="bottom"/>
            <w:shd w:val="clear" w:color="auto" w:fill="CFF0FC"/>
          </w:tcPr>
          <w:p>
            <w:pPr>
              <w:spacing w:after="0"/>
              <w:rPr>
                <w:sz w:val="20"/>
                <w:szCs w:val="20"/>
                <w:color w:val="auto"/>
              </w:rPr>
            </w:pPr>
            <w:r>
              <w:rPr>
                <w:rFonts w:ascii="Arial" w:cs="Arial" w:eastAsia="Arial" w:hAnsi="Arial"/>
                <w:sz w:val="20"/>
                <w:szCs w:val="20"/>
                <w:color w:val="auto"/>
              </w:rPr>
              <w:t>Sunflower Qy</w:t>
            </w:r>
          </w:p>
        </w:tc>
        <w:tc>
          <w:tcPr>
            <w:tcW w:w="880" w:type="dxa"/>
            <w:vAlign w:val="bottom"/>
            <w:shd w:val="clear" w:color="auto" w:fill="CFF0FC"/>
          </w:tcPr>
          <w:p>
            <w:pPr>
              <w:jc w:val="center"/>
              <w:ind w:right="221"/>
              <w:spacing w:after="0"/>
              <w:rPr>
                <w:sz w:val="20"/>
                <w:szCs w:val="20"/>
                <w:color w:val="auto"/>
              </w:rPr>
            </w:pPr>
            <w:r>
              <w:rPr>
                <w:rFonts w:ascii="Arial" w:cs="Arial" w:eastAsia="Arial" w:hAnsi="Arial"/>
                <w:sz w:val="20"/>
                <w:szCs w:val="20"/>
                <w:color w:val="auto"/>
                <w:w w:val="89"/>
              </w:rPr>
              <w:t>Co 61</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1401556</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120" w:type="dxa"/>
            <w:vAlign w:val="bottom"/>
            <w:gridSpan w:val="2"/>
          </w:tcPr>
          <w:p>
            <w:pPr>
              <w:spacing w:after="0"/>
              <w:rPr>
                <w:sz w:val="20"/>
                <w:szCs w:val="20"/>
                <w:color w:val="auto"/>
              </w:rPr>
            </w:pPr>
            <w:r>
              <w:rPr>
                <w:rFonts w:ascii="Arial" w:cs="Arial" w:eastAsia="Arial" w:hAnsi="Arial"/>
                <w:sz w:val="20"/>
                <w:szCs w:val="20"/>
                <w:color w:val="auto"/>
              </w:rPr>
              <w:t>Weeping Water Mine</w:t>
            </w:r>
          </w:p>
        </w:tc>
        <w:tc>
          <w:tcPr>
            <w:tcW w:w="880" w:type="dxa"/>
            <w:vAlign w:val="bottom"/>
          </w:tcPr>
          <w:p>
            <w:pPr>
              <w:jc w:val="right"/>
              <w:ind w:right="41"/>
              <w:spacing w:after="0"/>
              <w:rPr>
                <w:sz w:val="20"/>
                <w:szCs w:val="20"/>
                <w:color w:val="auto"/>
              </w:rPr>
            </w:pPr>
            <w:r>
              <w:rPr>
                <w:rFonts w:ascii="Arial" w:cs="Arial" w:eastAsia="Arial" w:hAnsi="Arial"/>
                <w:sz w:val="20"/>
                <w:szCs w:val="20"/>
                <w:color w:val="auto"/>
                <w:w w:val="92"/>
              </w:rPr>
              <w:t>2500998</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3</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2</w:t>
            </w:r>
          </w:p>
        </w:tc>
        <w:tc>
          <w:tcPr>
            <w:tcW w:w="20" w:type="dxa"/>
            <w:vAlign w:val="bottom"/>
          </w:tcPr>
          <w:p>
            <w:pPr>
              <w:spacing w:after="0"/>
              <w:rPr>
                <w:sz w:val="21"/>
                <w:szCs w:val="21"/>
                <w:color w:val="auto"/>
              </w:rPr>
            </w:pPr>
          </w:p>
        </w:tc>
      </w:tr>
      <w:tr>
        <w:trPr>
          <w:trHeight w:val="243"/>
        </w:trPr>
        <w:tc>
          <w:tcPr>
            <w:tcW w:w="212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West Center Sand</w:t>
            </w:r>
          </w:p>
        </w:tc>
        <w:tc>
          <w:tcPr>
            <w:tcW w:w="88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2"/>
              </w:rPr>
              <w:t>2501231</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763"/>
        </w:trPr>
        <w:tc>
          <w:tcPr>
            <w:tcW w:w="1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52"/>
        </w:trPr>
        <w:tc>
          <w:tcPr>
            <w:tcW w:w="2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20"/>
                <w:szCs w:val="20"/>
                <w:color w:val="auto"/>
                <w:w w:val="91"/>
              </w:rPr>
              <w:t>Appendix 1</w:t>
            </w:r>
          </w:p>
        </w:tc>
      </w:tr>
      <w:tr>
        <w:trPr>
          <w:trHeight w:val="469"/>
        </w:trPr>
        <w:tc>
          <w:tcPr>
            <w:tcW w:w="2060" w:type="dxa"/>
            <w:vAlign w:val="bottom"/>
          </w:tcPr>
          <w:p>
            <w:pPr>
              <w:spacing w:after="0"/>
              <w:rPr>
                <w:sz w:val="20"/>
                <w:szCs w:val="20"/>
                <w:color w:val="auto"/>
              </w:rPr>
            </w:pPr>
            <w:r>
              <w:rPr>
                <w:rFonts w:ascii="Arial" w:cs="Arial" w:eastAsia="Arial" w:hAnsi="Arial"/>
                <w:sz w:val="20"/>
                <w:szCs w:val="20"/>
                <w:color w:val="auto"/>
                <w:w w:val="96"/>
              </w:rPr>
              <w:t>Yellow Medicine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2100033</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1</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4"/>
                <w:szCs w:val="24"/>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Augusta, KS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1400126</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Beckmann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4101335</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1</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2,282</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2</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Bedrock Sand Gravel</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4103283</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2</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Bells Savoy SG</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4104019</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413</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Black Rock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300011</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Black Spur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4104159</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1</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Blake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1401584</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Bridgeport Stone</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4100007</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236</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Broken Bow SG</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3400460</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1</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376</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Chico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4103360</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Davis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3401299</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Garfield SG</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4103909</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118</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Garwood Gravel</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4102886</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GMS  TXI</w:t>
            </w:r>
          </w:p>
        </w:tc>
        <w:tc>
          <w:tcPr>
            <w:tcW w:w="920" w:type="dxa"/>
            <w:vAlign w:val="bottom"/>
          </w:tcPr>
          <w:p>
            <w:pPr>
              <w:jc w:val="right"/>
              <w:ind w:right="301"/>
              <w:spacing w:after="0"/>
              <w:rPr>
                <w:sz w:val="20"/>
                <w:szCs w:val="20"/>
                <w:color w:val="auto"/>
              </w:rPr>
            </w:pPr>
            <w:r>
              <w:rPr>
                <w:rFonts w:ascii="Arial" w:cs="Arial" w:eastAsia="Arial" w:hAnsi="Arial"/>
                <w:sz w:val="20"/>
                <w:szCs w:val="20"/>
                <w:color w:val="auto"/>
              </w:rPr>
              <w:t>C335</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Hatton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rPr>
              <w:t>301614</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Helotes</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4103137</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1</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Highway 211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4103829</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1</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Hondo #2</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4104708</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5</w:t>
            </w:r>
          </w:p>
        </w:tc>
        <w:tc>
          <w:tcPr>
            <w:tcW w:w="420" w:type="dxa"/>
            <w:vAlign w:val="bottom"/>
          </w:tcPr>
          <w:p>
            <w:pPr>
              <w:jc w:val="right"/>
              <w:spacing w:after="0"/>
              <w:rPr>
                <w:sz w:val="20"/>
                <w:szCs w:val="20"/>
                <w:color w:val="auto"/>
              </w:rPr>
            </w:pPr>
            <w:r>
              <w:rPr>
                <w:rFonts w:ascii="Arial" w:cs="Arial" w:eastAsia="Arial" w:hAnsi="Arial"/>
                <w:sz w:val="20"/>
                <w:szCs w:val="20"/>
                <w:color w:val="auto"/>
              </w:rPr>
              <w:t>4</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Hondo West</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4104090</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Hugo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3400061</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Hunter Stone</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4105230</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118</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Idabel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3400507</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Jena Aggregates</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1601298</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Jones Mill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rPr>
              <w:t>301586</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Medina Rock Rail</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4105170</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Mill Creek Limestone</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3401859</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2</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484</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Mill Creek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3401285</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1</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26"/>
        </w:trPr>
        <w:tc>
          <w:tcPr>
            <w:tcW w:w="2060" w:type="dxa"/>
            <w:vAlign w:val="bottom"/>
          </w:tcPr>
          <w:p>
            <w:pPr>
              <w:spacing w:after="0" w:line="227" w:lineRule="exact"/>
              <w:rPr>
                <w:sz w:val="20"/>
                <w:szCs w:val="20"/>
                <w:color w:val="auto"/>
              </w:rPr>
            </w:pPr>
            <w:r>
              <w:rPr>
                <w:rFonts w:ascii="Arial" w:cs="Arial" w:eastAsia="Arial" w:hAnsi="Arial"/>
                <w:sz w:val="20"/>
                <w:szCs w:val="20"/>
                <w:color w:val="auto"/>
              </w:rPr>
              <w:t>Perryville Aggregates</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6"/>
        </w:trPr>
        <w:tc>
          <w:tcPr>
            <w:tcW w:w="2060" w:type="dxa"/>
            <w:vAlign w:val="bottom"/>
          </w:tcPr>
          <w:p>
            <w:pPr>
              <w:spacing w:after="0"/>
              <w:rPr>
                <w:sz w:val="20"/>
                <w:szCs w:val="20"/>
                <w:color w:val="auto"/>
              </w:rPr>
            </w:pPr>
            <w:r>
              <w:rPr>
                <w:rFonts w:ascii="Arial" w:cs="Arial" w:eastAsia="Arial" w:hAnsi="Arial"/>
                <w:sz w:val="20"/>
                <w:szCs w:val="20"/>
                <w:color w:val="auto"/>
              </w:rPr>
              <w:t>Plant #2</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1601417</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118</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Poteet Sand</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4101342</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118</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Rio Medina</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4103594</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rPr>
              <w:t>San Pedro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4101337</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354</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tcPr>
          <w:p>
            <w:pPr>
              <w:spacing w:after="0"/>
              <w:rPr>
                <w:sz w:val="20"/>
                <w:szCs w:val="20"/>
                <w:color w:val="auto"/>
              </w:rPr>
            </w:pPr>
            <w:r>
              <w:rPr>
                <w:rFonts w:ascii="Arial" w:cs="Arial" w:eastAsia="Arial" w:hAnsi="Arial"/>
                <w:sz w:val="20"/>
                <w:szCs w:val="20"/>
                <w:color w:val="auto"/>
              </w:rPr>
              <w:t>Sawyer Quarry</w:t>
            </w:r>
          </w:p>
        </w:tc>
        <w:tc>
          <w:tcPr>
            <w:tcW w:w="920" w:type="dxa"/>
            <w:vAlign w:val="bottom"/>
          </w:tcPr>
          <w:p>
            <w:pPr>
              <w:jc w:val="right"/>
              <w:ind w:right="41"/>
              <w:spacing w:after="0"/>
              <w:rPr>
                <w:sz w:val="20"/>
                <w:szCs w:val="20"/>
                <w:color w:val="auto"/>
              </w:rPr>
            </w:pPr>
            <w:r>
              <w:rPr>
                <w:rFonts w:ascii="Arial" w:cs="Arial" w:eastAsia="Arial" w:hAnsi="Arial"/>
                <w:sz w:val="20"/>
                <w:szCs w:val="20"/>
                <w:color w:val="auto"/>
                <w:w w:val="97"/>
              </w:rPr>
              <w:t>3401634</w:t>
            </w:r>
          </w:p>
        </w:tc>
        <w:tc>
          <w:tcPr>
            <w:tcW w:w="50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80" w:type="dxa"/>
            <w:vAlign w:val="bottom"/>
          </w:tcPr>
          <w:p>
            <w:pPr>
              <w:ind w:left="280"/>
              <w:spacing w:after="0"/>
              <w:rPr>
                <w:sz w:val="20"/>
                <w:szCs w:val="20"/>
                <w:color w:val="auto"/>
              </w:rPr>
            </w:pPr>
            <w:r>
              <w:rPr>
                <w:rFonts w:ascii="Arial" w:cs="Arial" w:eastAsia="Arial" w:hAnsi="Arial"/>
                <w:sz w:val="20"/>
                <w:szCs w:val="20"/>
                <w:color w:val="auto"/>
              </w:rPr>
              <w:t>no</w:t>
            </w:r>
          </w:p>
        </w:tc>
        <w:tc>
          <w:tcPr>
            <w:tcW w:w="700" w:type="dxa"/>
            <w:vAlign w:val="bottom"/>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243"/>
        </w:trPr>
        <w:tc>
          <w:tcPr>
            <w:tcW w:w="2060" w:type="dxa"/>
            <w:vAlign w:val="bottom"/>
            <w:shd w:val="clear" w:color="auto" w:fill="CFF0FC"/>
          </w:tcPr>
          <w:p>
            <w:pPr>
              <w:spacing w:after="0"/>
              <w:rPr>
                <w:sz w:val="20"/>
                <w:szCs w:val="20"/>
                <w:color w:val="auto"/>
              </w:rPr>
            </w:pPr>
            <w:r>
              <w:rPr>
                <w:rFonts w:ascii="Arial" w:cs="Arial" w:eastAsia="Arial" w:hAnsi="Arial"/>
                <w:sz w:val="20"/>
                <w:szCs w:val="20"/>
                <w:color w:val="auto"/>
                <w:w w:val="97"/>
              </w:rPr>
              <w:t>Smithson Valley Quarry</w:t>
            </w:r>
          </w:p>
        </w:tc>
        <w:tc>
          <w:tcPr>
            <w:tcW w:w="920" w:type="dxa"/>
            <w:vAlign w:val="bottom"/>
            <w:shd w:val="clear" w:color="auto" w:fill="CFF0FC"/>
          </w:tcPr>
          <w:p>
            <w:pPr>
              <w:jc w:val="right"/>
              <w:ind w:right="41"/>
              <w:spacing w:after="0"/>
              <w:rPr>
                <w:sz w:val="20"/>
                <w:szCs w:val="20"/>
                <w:color w:val="auto"/>
              </w:rPr>
            </w:pPr>
            <w:r>
              <w:rPr>
                <w:rFonts w:ascii="Arial" w:cs="Arial" w:eastAsia="Arial" w:hAnsi="Arial"/>
                <w:sz w:val="20"/>
                <w:szCs w:val="20"/>
                <w:color w:val="auto"/>
                <w:w w:val="97"/>
              </w:rPr>
              <w:t>4104108</w:t>
            </w:r>
          </w:p>
        </w:tc>
        <w:tc>
          <w:tcPr>
            <w:tcW w:w="50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2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w:t>
            </w:r>
          </w:p>
        </w:tc>
        <w:tc>
          <w:tcPr>
            <w:tcW w:w="460" w:type="dxa"/>
            <w:vAlign w:val="bottom"/>
            <w:shd w:val="clear" w:color="auto" w:fill="CFF0FC"/>
          </w:tcPr>
          <w:p>
            <w:pPr>
              <w:jc w:val="right"/>
              <w:ind w:right="1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8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00" w:type="dxa"/>
            <w:vAlign w:val="bottom"/>
            <w:shd w:val="clear" w:color="auto" w:fill="CFF0FC"/>
          </w:tcPr>
          <w:p>
            <w:pPr>
              <w:jc w:val="right"/>
              <w:ind w:right="221"/>
              <w:spacing w:after="0"/>
              <w:rPr>
                <w:sz w:val="20"/>
                <w:szCs w:val="20"/>
                <w:color w:val="auto"/>
              </w:rPr>
            </w:pPr>
            <w:r>
              <w:rPr>
                <w:rFonts w:ascii="Arial" w:cs="Arial" w:eastAsia="Arial" w:hAnsi="Arial"/>
                <w:sz w:val="20"/>
                <w:szCs w:val="20"/>
                <w:color w:val="auto"/>
              </w:rPr>
              <w:t>0</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20" w:type="dxa"/>
            <w:vAlign w:val="bottom"/>
          </w:tcPr>
          <w:p>
            <w:pPr>
              <w:spacing w:after="0"/>
              <w:rPr>
                <w:sz w:val="21"/>
                <w:szCs w:val="21"/>
                <w:color w:val="auto"/>
              </w:rPr>
            </w:pPr>
          </w:p>
        </w:tc>
      </w:tr>
      <w:tr>
        <w:trPr>
          <w:trHeight w:val="763"/>
        </w:trPr>
        <w:tc>
          <w:tcPr>
            <w:tcW w:w="20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52"/>
        </w:trPr>
        <w:tc>
          <w:tcPr>
            <w:tcW w:w="2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ind w:left="40"/>
              <w:spacing w:after="0"/>
              <w:rPr>
                <w:sz w:val="20"/>
                <w:szCs w:val="20"/>
                <w:color w:val="auto"/>
              </w:rPr>
            </w:pPr>
            <w:r>
              <w:rPr>
                <w:rFonts w:ascii="Arial" w:cs="Arial" w:eastAsia="Arial" w:hAnsi="Arial"/>
                <w:sz w:val="20"/>
                <w:szCs w:val="20"/>
                <w:color w:val="auto"/>
                <w:w w:val="89"/>
              </w:rPr>
              <w:t>Appendix 1</w:t>
            </w:r>
          </w:p>
        </w:tc>
      </w:tr>
      <w:tr>
        <w:trPr>
          <w:trHeight w:val="469"/>
        </w:trPr>
        <w:tc>
          <w:tcPr>
            <w:tcW w:w="2140" w:type="dxa"/>
            <w:vAlign w:val="bottom"/>
          </w:tcPr>
          <w:p>
            <w:pPr>
              <w:spacing w:after="0"/>
              <w:rPr>
                <w:sz w:val="20"/>
                <w:szCs w:val="20"/>
                <w:color w:val="auto"/>
              </w:rPr>
            </w:pPr>
            <w:r>
              <w:rPr>
                <w:rFonts w:ascii="Arial" w:cs="Arial" w:eastAsia="Arial" w:hAnsi="Arial"/>
                <w:sz w:val="20"/>
                <w:szCs w:val="20"/>
                <w:color w:val="auto"/>
              </w:rPr>
              <w:t>Snyder Quarry</w:t>
            </w:r>
          </w:p>
        </w:tc>
        <w:tc>
          <w:tcPr>
            <w:tcW w:w="840" w:type="dxa"/>
            <w:vAlign w:val="bottom"/>
          </w:tcPr>
          <w:p>
            <w:pPr>
              <w:jc w:val="right"/>
              <w:ind w:right="21"/>
              <w:spacing w:after="0"/>
              <w:rPr>
                <w:sz w:val="20"/>
                <w:szCs w:val="20"/>
                <w:color w:val="auto"/>
              </w:rPr>
            </w:pPr>
            <w:r>
              <w:rPr>
                <w:rFonts w:ascii="Arial" w:cs="Arial" w:eastAsia="Arial" w:hAnsi="Arial"/>
                <w:sz w:val="20"/>
                <w:szCs w:val="20"/>
                <w:color w:val="auto"/>
                <w:w w:val="89"/>
              </w:rPr>
              <w:t>3401651</w:t>
            </w:r>
          </w:p>
        </w:tc>
        <w:tc>
          <w:tcPr>
            <w:tcW w:w="540" w:type="dxa"/>
            <w:vAlign w:val="bottom"/>
          </w:tcPr>
          <w:p>
            <w:pPr>
              <w:jc w:val="center"/>
              <w:ind w:right="21"/>
              <w:spacing w:after="0"/>
              <w:rPr>
                <w:sz w:val="20"/>
                <w:szCs w:val="20"/>
                <w:color w:val="auto"/>
              </w:rPr>
            </w:pPr>
            <w:r>
              <w:rPr>
                <w:rFonts w:ascii="Arial" w:cs="Arial" w:eastAsia="Arial" w:hAnsi="Arial"/>
                <w:sz w:val="20"/>
                <w:szCs w:val="20"/>
                <w:color w:val="auto"/>
                <w:w w:val="89"/>
              </w:rPr>
              <w:t>0</w:t>
            </w:r>
          </w:p>
        </w:tc>
        <w:tc>
          <w:tcPr>
            <w:tcW w:w="6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4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center"/>
              <w:ind w:left="201"/>
              <w:spacing w:after="0"/>
              <w:rPr>
                <w:sz w:val="20"/>
                <w:szCs w:val="20"/>
                <w:color w:val="auto"/>
              </w:rPr>
            </w:pPr>
            <w:r>
              <w:rPr>
                <w:rFonts w:ascii="Arial" w:cs="Arial" w:eastAsia="Arial" w:hAnsi="Arial"/>
                <w:sz w:val="20"/>
                <w:szCs w:val="20"/>
                <w:color w:val="auto"/>
                <w:w w:val="89"/>
              </w:rPr>
              <w:t>0</w:t>
            </w: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South Texas Port #2</w:t>
            </w:r>
          </w:p>
        </w:tc>
        <w:tc>
          <w:tcPr>
            <w:tcW w:w="8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89"/>
              </w:rPr>
              <w:t>4104204</w:t>
            </w:r>
          </w:p>
        </w:tc>
        <w:tc>
          <w:tcPr>
            <w:tcW w:w="540" w:type="dxa"/>
            <w:vAlign w:val="bottom"/>
            <w:shd w:val="clear" w:color="auto" w:fill="CFF0FC"/>
          </w:tcPr>
          <w:p>
            <w:pPr>
              <w:jc w:val="center"/>
              <w:ind w:right="21"/>
              <w:spacing w:after="0"/>
              <w:rPr>
                <w:sz w:val="20"/>
                <w:szCs w:val="20"/>
                <w:color w:val="auto"/>
              </w:rPr>
            </w:pPr>
            <w:r>
              <w:rPr>
                <w:rFonts w:ascii="Arial" w:cs="Arial" w:eastAsia="Arial" w:hAnsi="Arial"/>
                <w:sz w:val="20"/>
                <w:szCs w:val="20"/>
                <w:color w:val="auto"/>
                <w:w w:val="89"/>
              </w:rPr>
              <w:t>0</w:t>
            </w:r>
          </w:p>
        </w:tc>
        <w:tc>
          <w:tcPr>
            <w:tcW w:w="6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9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center"/>
              <w:ind w:left="201"/>
              <w:spacing w:after="0"/>
              <w:rPr>
                <w:sz w:val="20"/>
                <w:szCs w:val="20"/>
                <w:color w:val="auto"/>
              </w:rPr>
            </w:pPr>
            <w:r>
              <w:rPr>
                <w:rFonts w:ascii="Arial" w:cs="Arial" w:eastAsia="Arial" w:hAnsi="Arial"/>
                <w:sz w:val="20"/>
                <w:szCs w:val="20"/>
                <w:color w:val="auto"/>
                <w:w w:val="89"/>
              </w:rPr>
              <w:t>0</w:t>
            </w: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Tin Top SG</w:t>
            </w:r>
          </w:p>
        </w:tc>
        <w:tc>
          <w:tcPr>
            <w:tcW w:w="840" w:type="dxa"/>
            <w:vAlign w:val="bottom"/>
          </w:tcPr>
          <w:p>
            <w:pPr>
              <w:jc w:val="right"/>
              <w:ind w:right="21"/>
              <w:spacing w:after="0"/>
              <w:rPr>
                <w:sz w:val="20"/>
                <w:szCs w:val="20"/>
                <w:color w:val="auto"/>
              </w:rPr>
            </w:pPr>
            <w:r>
              <w:rPr>
                <w:rFonts w:ascii="Arial" w:cs="Arial" w:eastAsia="Arial" w:hAnsi="Arial"/>
                <w:sz w:val="20"/>
                <w:szCs w:val="20"/>
                <w:color w:val="auto"/>
                <w:w w:val="89"/>
              </w:rPr>
              <w:t>4102852</w:t>
            </w:r>
          </w:p>
        </w:tc>
        <w:tc>
          <w:tcPr>
            <w:tcW w:w="540" w:type="dxa"/>
            <w:vAlign w:val="bottom"/>
          </w:tcPr>
          <w:p>
            <w:pPr>
              <w:jc w:val="center"/>
              <w:ind w:right="21"/>
              <w:spacing w:after="0"/>
              <w:rPr>
                <w:sz w:val="20"/>
                <w:szCs w:val="20"/>
                <w:color w:val="auto"/>
              </w:rPr>
            </w:pPr>
            <w:r>
              <w:rPr>
                <w:rFonts w:ascii="Arial" w:cs="Arial" w:eastAsia="Arial" w:hAnsi="Arial"/>
                <w:sz w:val="20"/>
                <w:szCs w:val="20"/>
                <w:color w:val="auto"/>
                <w:w w:val="89"/>
              </w:rPr>
              <w:t>0</w:t>
            </w:r>
          </w:p>
        </w:tc>
        <w:tc>
          <w:tcPr>
            <w:tcW w:w="6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4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center"/>
              <w:ind w:left="201"/>
              <w:spacing w:after="0"/>
              <w:rPr>
                <w:sz w:val="20"/>
                <w:szCs w:val="20"/>
                <w:color w:val="auto"/>
              </w:rPr>
            </w:pPr>
            <w:r>
              <w:rPr>
                <w:rFonts w:ascii="Arial" w:cs="Arial" w:eastAsia="Arial" w:hAnsi="Arial"/>
                <w:sz w:val="20"/>
                <w:szCs w:val="20"/>
                <w:color w:val="auto"/>
                <w:w w:val="89"/>
              </w:rPr>
              <w:t>0</w:t>
            </w: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Washita Quarry</w:t>
            </w:r>
          </w:p>
        </w:tc>
        <w:tc>
          <w:tcPr>
            <w:tcW w:w="8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89"/>
              </w:rPr>
              <w:t>3402049</w:t>
            </w:r>
          </w:p>
        </w:tc>
        <w:tc>
          <w:tcPr>
            <w:tcW w:w="540" w:type="dxa"/>
            <w:vAlign w:val="bottom"/>
            <w:shd w:val="clear" w:color="auto" w:fill="CFF0FC"/>
          </w:tcPr>
          <w:p>
            <w:pPr>
              <w:jc w:val="center"/>
              <w:ind w:right="21"/>
              <w:spacing w:after="0"/>
              <w:rPr>
                <w:sz w:val="20"/>
                <w:szCs w:val="20"/>
                <w:color w:val="auto"/>
              </w:rPr>
            </w:pPr>
            <w:r>
              <w:rPr>
                <w:rFonts w:ascii="Arial" w:cs="Arial" w:eastAsia="Arial" w:hAnsi="Arial"/>
                <w:sz w:val="20"/>
                <w:szCs w:val="20"/>
                <w:color w:val="auto"/>
                <w:w w:val="89"/>
              </w:rPr>
              <w:t>0</w:t>
            </w:r>
          </w:p>
        </w:tc>
        <w:tc>
          <w:tcPr>
            <w:tcW w:w="6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9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118</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center"/>
              <w:ind w:left="201"/>
              <w:spacing w:after="0"/>
              <w:rPr>
                <w:sz w:val="20"/>
                <w:szCs w:val="20"/>
                <w:color w:val="auto"/>
              </w:rPr>
            </w:pPr>
            <w:r>
              <w:rPr>
                <w:rFonts w:ascii="Arial" w:cs="Arial" w:eastAsia="Arial" w:hAnsi="Arial"/>
                <w:sz w:val="20"/>
                <w:szCs w:val="20"/>
                <w:color w:val="auto"/>
                <w:w w:val="89"/>
              </w:rPr>
              <w:t>0</w:t>
            </w: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Webberville</w:t>
            </w:r>
          </w:p>
        </w:tc>
        <w:tc>
          <w:tcPr>
            <w:tcW w:w="840" w:type="dxa"/>
            <w:vAlign w:val="bottom"/>
          </w:tcPr>
          <w:p>
            <w:pPr>
              <w:jc w:val="right"/>
              <w:ind w:right="21"/>
              <w:spacing w:after="0"/>
              <w:rPr>
                <w:sz w:val="20"/>
                <w:szCs w:val="20"/>
                <w:color w:val="auto"/>
              </w:rPr>
            </w:pPr>
            <w:r>
              <w:rPr>
                <w:rFonts w:ascii="Arial" w:cs="Arial" w:eastAsia="Arial" w:hAnsi="Arial"/>
                <w:sz w:val="20"/>
                <w:szCs w:val="20"/>
                <w:color w:val="auto"/>
                <w:w w:val="89"/>
              </w:rPr>
              <w:t>4104363</w:t>
            </w:r>
          </w:p>
        </w:tc>
        <w:tc>
          <w:tcPr>
            <w:tcW w:w="540" w:type="dxa"/>
            <w:vAlign w:val="bottom"/>
          </w:tcPr>
          <w:p>
            <w:pPr>
              <w:jc w:val="center"/>
              <w:ind w:right="21"/>
              <w:spacing w:after="0"/>
              <w:rPr>
                <w:sz w:val="20"/>
                <w:szCs w:val="20"/>
                <w:color w:val="auto"/>
              </w:rPr>
            </w:pPr>
            <w:r>
              <w:rPr>
                <w:rFonts w:ascii="Arial" w:cs="Arial" w:eastAsia="Arial" w:hAnsi="Arial"/>
                <w:sz w:val="20"/>
                <w:szCs w:val="20"/>
                <w:color w:val="auto"/>
                <w:w w:val="89"/>
              </w:rPr>
              <w:t>0</w:t>
            </w:r>
          </w:p>
        </w:tc>
        <w:tc>
          <w:tcPr>
            <w:tcW w:w="6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4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81"/>
              <w:spacing w:after="0"/>
              <w:rPr>
                <w:sz w:val="20"/>
                <w:szCs w:val="20"/>
                <w:color w:val="auto"/>
              </w:rPr>
            </w:pPr>
            <w:r>
              <w:rPr>
                <w:rFonts w:ascii="Arial" w:cs="Arial" w:eastAsia="Arial" w:hAnsi="Arial"/>
                <w:sz w:val="20"/>
                <w:szCs w:val="20"/>
                <w:color w:val="auto"/>
              </w:rPr>
              <w:t>269</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center"/>
              <w:ind w:left="201"/>
              <w:spacing w:after="0"/>
              <w:rPr>
                <w:sz w:val="20"/>
                <w:szCs w:val="20"/>
                <w:color w:val="auto"/>
              </w:rPr>
            </w:pPr>
            <w:r>
              <w:rPr>
                <w:rFonts w:ascii="Arial" w:cs="Arial" w:eastAsia="Arial" w:hAnsi="Arial"/>
                <w:sz w:val="20"/>
                <w:szCs w:val="20"/>
                <w:color w:val="auto"/>
                <w:w w:val="89"/>
              </w:rPr>
              <w:t>0</w:t>
            </w: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Woodworth Aggregates</w:t>
            </w:r>
          </w:p>
        </w:tc>
        <w:tc>
          <w:tcPr>
            <w:tcW w:w="8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89"/>
              </w:rPr>
              <w:t>1601070</w:t>
            </w:r>
          </w:p>
        </w:tc>
        <w:tc>
          <w:tcPr>
            <w:tcW w:w="540" w:type="dxa"/>
            <w:vAlign w:val="bottom"/>
            <w:shd w:val="clear" w:color="auto" w:fill="CFF0FC"/>
          </w:tcPr>
          <w:p>
            <w:pPr>
              <w:jc w:val="center"/>
              <w:ind w:right="21"/>
              <w:spacing w:after="0"/>
              <w:rPr>
                <w:sz w:val="20"/>
                <w:szCs w:val="20"/>
                <w:color w:val="auto"/>
              </w:rPr>
            </w:pPr>
            <w:r>
              <w:rPr>
                <w:rFonts w:ascii="Arial" w:cs="Arial" w:eastAsia="Arial" w:hAnsi="Arial"/>
                <w:sz w:val="20"/>
                <w:szCs w:val="20"/>
                <w:color w:val="auto"/>
                <w:w w:val="89"/>
              </w:rPr>
              <w:t>0</w:t>
            </w:r>
          </w:p>
        </w:tc>
        <w:tc>
          <w:tcPr>
            <w:tcW w:w="6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9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center"/>
              <w:ind w:left="201"/>
              <w:spacing w:after="0"/>
              <w:rPr>
                <w:sz w:val="20"/>
                <w:szCs w:val="20"/>
                <w:color w:val="auto"/>
              </w:rPr>
            </w:pPr>
            <w:r>
              <w:rPr>
                <w:rFonts w:ascii="Arial" w:cs="Arial" w:eastAsia="Arial" w:hAnsi="Arial"/>
                <w:sz w:val="20"/>
                <w:szCs w:val="20"/>
                <w:color w:val="auto"/>
                <w:w w:val="89"/>
              </w:rPr>
              <w:t>0</w:t>
            </w: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w w:val="94"/>
              </w:rPr>
              <w:t>Cottonwood Sand Gravel</w:t>
            </w:r>
          </w:p>
        </w:tc>
        <w:tc>
          <w:tcPr>
            <w:tcW w:w="840" w:type="dxa"/>
            <w:vAlign w:val="bottom"/>
          </w:tcPr>
          <w:p>
            <w:pPr>
              <w:jc w:val="right"/>
              <w:ind w:right="21"/>
              <w:spacing w:after="0"/>
              <w:rPr>
                <w:sz w:val="20"/>
                <w:szCs w:val="20"/>
                <w:color w:val="auto"/>
              </w:rPr>
            </w:pPr>
            <w:r>
              <w:rPr>
                <w:rFonts w:ascii="Arial" w:cs="Arial" w:eastAsia="Arial" w:hAnsi="Arial"/>
                <w:sz w:val="20"/>
                <w:szCs w:val="20"/>
                <w:color w:val="auto"/>
              </w:rPr>
              <w:t>504418</w:t>
            </w:r>
          </w:p>
        </w:tc>
        <w:tc>
          <w:tcPr>
            <w:tcW w:w="540" w:type="dxa"/>
            <w:vAlign w:val="bottom"/>
          </w:tcPr>
          <w:p>
            <w:pPr>
              <w:jc w:val="center"/>
              <w:ind w:right="21"/>
              <w:spacing w:after="0"/>
              <w:rPr>
                <w:sz w:val="20"/>
                <w:szCs w:val="20"/>
                <w:color w:val="auto"/>
              </w:rPr>
            </w:pPr>
            <w:r>
              <w:rPr>
                <w:rFonts w:ascii="Arial" w:cs="Arial" w:eastAsia="Arial" w:hAnsi="Arial"/>
                <w:sz w:val="20"/>
                <w:szCs w:val="20"/>
                <w:color w:val="auto"/>
                <w:w w:val="89"/>
              </w:rPr>
              <w:t>0</w:t>
            </w:r>
          </w:p>
        </w:tc>
        <w:tc>
          <w:tcPr>
            <w:tcW w:w="6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4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center"/>
              <w:ind w:left="201"/>
              <w:spacing w:after="0"/>
              <w:rPr>
                <w:sz w:val="20"/>
                <w:szCs w:val="20"/>
                <w:color w:val="auto"/>
              </w:rPr>
            </w:pPr>
            <w:r>
              <w:rPr>
                <w:rFonts w:ascii="Arial" w:cs="Arial" w:eastAsia="Arial" w:hAnsi="Arial"/>
                <w:sz w:val="20"/>
                <w:szCs w:val="20"/>
                <w:color w:val="auto"/>
                <w:w w:val="89"/>
              </w:rPr>
              <w:t>0</w:t>
            </w: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Fountain Sand Gravel</w:t>
            </w:r>
          </w:p>
        </w:tc>
        <w:tc>
          <w:tcPr>
            <w:tcW w:w="8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503821</w:t>
            </w:r>
          </w:p>
        </w:tc>
        <w:tc>
          <w:tcPr>
            <w:tcW w:w="540" w:type="dxa"/>
            <w:vAlign w:val="bottom"/>
            <w:shd w:val="clear" w:color="auto" w:fill="CFF0FC"/>
          </w:tcPr>
          <w:p>
            <w:pPr>
              <w:jc w:val="center"/>
              <w:ind w:right="21"/>
              <w:spacing w:after="0"/>
              <w:rPr>
                <w:sz w:val="20"/>
                <w:szCs w:val="20"/>
                <w:color w:val="auto"/>
              </w:rPr>
            </w:pPr>
            <w:r>
              <w:rPr>
                <w:rFonts w:ascii="Arial" w:cs="Arial" w:eastAsia="Arial" w:hAnsi="Arial"/>
                <w:sz w:val="20"/>
                <w:szCs w:val="20"/>
                <w:color w:val="auto"/>
                <w:w w:val="89"/>
              </w:rPr>
              <w:t>0</w:t>
            </w:r>
          </w:p>
        </w:tc>
        <w:tc>
          <w:tcPr>
            <w:tcW w:w="6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9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center"/>
              <w:ind w:left="201"/>
              <w:spacing w:after="0"/>
              <w:rPr>
                <w:sz w:val="20"/>
                <w:szCs w:val="20"/>
                <w:color w:val="auto"/>
              </w:rPr>
            </w:pPr>
            <w:r>
              <w:rPr>
                <w:rFonts w:ascii="Arial" w:cs="Arial" w:eastAsia="Arial" w:hAnsi="Arial"/>
                <w:sz w:val="20"/>
                <w:szCs w:val="20"/>
                <w:color w:val="auto"/>
                <w:w w:val="89"/>
              </w:rPr>
              <w:t>0</w:t>
            </w: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Granite Canyon Quarry</w:t>
            </w:r>
          </w:p>
        </w:tc>
        <w:tc>
          <w:tcPr>
            <w:tcW w:w="840" w:type="dxa"/>
            <w:vAlign w:val="bottom"/>
          </w:tcPr>
          <w:p>
            <w:pPr>
              <w:jc w:val="right"/>
              <w:ind w:right="21"/>
              <w:spacing w:after="0"/>
              <w:rPr>
                <w:sz w:val="20"/>
                <w:szCs w:val="20"/>
                <w:color w:val="auto"/>
              </w:rPr>
            </w:pPr>
            <w:r>
              <w:rPr>
                <w:rFonts w:ascii="Arial" w:cs="Arial" w:eastAsia="Arial" w:hAnsi="Arial"/>
                <w:sz w:val="20"/>
                <w:szCs w:val="20"/>
                <w:color w:val="auto"/>
                <w:w w:val="89"/>
              </w:rPr>
              <w:t>4800018</w:t>
            </w:r>
          </w:p>
        </w:tc>
        <w:tc>
          <w:tcPr>
            <w:tcW w:w="540" w:type="dxa"/>
            <w:vAlign w:val="bottom"/>
          </w:tcPr>
          <w:p>
            <w:pPr>
              <w:jc w:val="center"/>
              <w:ind w:right="21"/>
              <w:spacing w:after="0"/>
              <w:rPr>
                <w:sz w:val="20"/>
                <w:szCs w:val="20"/>
                <w:color w:val="auto"/>
              </w:rPr>
            </w:pPr>
            <w:r>
              <w:rPr>
                <w:rFonts w:ascii="Arial" w:cs="Arial" w:eastAsia="Arial" w:hAnsi="Arial"/>
                <w:sz w:val="20"/>
                <w:szCs w:val="20"/>
                <w:color w:val="auto"/>
                <w:w w:val="89"/>
              </w:rPr>
              <w:t>0</w:t>
            </w:r>
          </w:p>
        </w:tc>
        <w:tc>
          <w:tcPr>
            <w:tcW w:w="6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4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center"/>
              <w:ind w:left="201"/>
              <w:spacing w:after="0"/>
              <w:rPr>
                <w:sz w:val="20"/>
                <w:szCs w:val="20"/>
                <w:color w:val="auto"/>
              </w:rPr>
            </w:pPr>
            <w:r>
              <w:rPr>
                <w:rFonts w:ascii="Arial" w:cs="Arial" w:eastAsia="Arial" w:hAnsi="Arial"/>
                <w:sz w:val="20"/>
                <w:szCs w:val="20"/>
                <w:color w:val="auto"/>
                <w:w w:val="89"/>
              </w:rPr>
              <w:t>0</w:t>
            </w: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w w:val="98"/>
              </w:rPr>
              <w:t>Greeley 35th Ready Mix</w:t>
            </w:r>
          </w:p>
        </w:tc>
        <w:tc>
          <w:tcPr>
            <w:tcW w:w="8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503215</w:t>
            </w:r>
          </w:p>
        </w:tc>
        <w:tc>
          <w:tcPr>
            <w:tcW w:w="540" w:type="dxa"/>
            <w:vAlign w:val="bottom"/>
            <w:shd w:val="clear" w:color="auto" w:fill="CFF0FC"/>
          </w:tcPr>
          <w:p>
            <w:pPr>
              <w:jc w:val="center"/>
              <w:ind w:right="21"/>
              <w:spacing w:after="0"/>
              <w:rPr>
                <w:sz w:val="20"/>
                <w:szCs w:val="20"/>
                <w:color w:val="auto"/>
              </w:rPr>
            </w:pPr>
            <w:r>
              <w:rPr>
                <w:rFonts w:ascii="Arial" w:cs="Arial" w:eastAsia="Arial" w:hAnsi="Arial"/>
                <w:sz w:val="20"/>
                <w:szCs w:val="20"/>
                <w:color w:val="auto"/>
                <w:w w:val="89"/>
              </w:rPr>
              <w:t>0</w:t>
            </w:r>
          </w:p>
        </w:tc>
        <w:tc>
          <w:tcPr>
            <w:tcW w:w="6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9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center"/>
              <w:ind w:left="201"/>
              <w:spacing w:after="0"/>
              <w:rPr>
                <w:sz w:val="20"/>
                <w:szCs w:val="20"/>
                <w:color w:val="auto"/>
              </w:rPr>
            </w:pPr>
            <w:r>
              <w:rPr>
                <w:rFonts w:ascii="Arial" w:cs="Arial" w:eastAsia="Arial" w:hAnsi="Arial"/>
                <w:sz w:val="20"/>
                <w:szCs w:val="20"/>
                <w:color w:val="auto"/>
                <w:w w:val="89"/>
              </w:rPr>
              <w:t>0</w:t>
            </w: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w w:val="91"/>
              </w:rPr>
              <w:t>Greeley 35th Sand Gravel</w:t>
            </w:r>
          </w:p>
        </w:tc>
        <w:tc>
          <w:tcPr>
            <w:tcW w:w="840" w:type="dxa"/>
            <w:vAlign w:val="bottom"/>
          </w:tcPr>
          <w:p>
            <w:pPr>
              <w:jc w:val="right"/>
              <w:ind w:right="21"/>
              <w:spacing w:after="0"/>
              <w:rPr>
                <w:sz w:val="20"/>
                <w:szCs w:val="20"/>
                <w:color w:val="auto"/>
              </w:rPr>
            </w:pPr>
            <w:r>
              <w:rPr>
                <w:rFonts w:ascii="Arial" w:cs="Arial" w:eastAsia="Arial" w:hAnsi="Arial"/>
                <w:sz w:val="20"/>
                <w:szCs w:val="20"/>
                <w:color w:val="auto"/>
              </w:rPr>
              <w:t>504613</w:t>
            </w:r>
          </w:p>
        </w:tc>
        <w:tc>
          <w:tcPr>
            <w:tcW w:w="540" w:type="dxa"/>
            <w:vAlign w:val="bottom"/>
          </w:tcPr>
          <w:p>
            <w:pPr>
              <w:jc w:val="center"/>
              <w:ind w:right="21"/>
              <w:spacing w:after="0"/>
              <w:rPr>
                <w:sz w:val="20"/>
                <w:szCs w:val="20"/>
                <w:color w:val="auto"/>
              </w:rPr>
            </w:pPr>
            <w:r>
              <w:rPr>
                <w:rFonts w:ascii="Arial" w:cs="Arial" w:eastAsia="Arial" w:hAnsi="Arial"/>
                <w:sz w:val="20"/>
                <w:szCs w:val="20"/>
                <w:color w:val="auto"/>
                <w:w w:val="89"/>
              </w:rPr>
              <w:t>0</w:t>
            </w:r>
          </w:p>
        </w:tc>
        <w:tc>
          <w:tcPr>
            <w:tcW w:w="6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4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center"/>
              <w:ind w:left="201"/>
              <w:spacing w:after="0"/>
              <w:rPr>
                <w:sz w:val="20"/>
                <w:szCs w:val="20"/>
                <w:color w:val="auto"/>
              </w:rPr>
            </w:pPr>
            <w:r>
              <w:rPr>
                <w:rFonts w:ascii="Arial" w:cs="Arial" w:eastAsia="Arial" w:hAnsi="Arial"/>
                <w:sz w:val="20"/>
                <w:szCs w:val="20"/>
                <w:color w:val="auto"/>
                <w:w w:val="89"/>
              </w:rPr>
              <w:t>0</w:t>
            </w: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Guernsey Quarry</w:t>
            </w:r>
          </w:p>
        </w:tc>
        <w:tc>
          <w:tcPr>
            <w:tcW w:w="8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89"/>
              </w:rPr>
              <w:t>4800004</w:t>
            </w:r>
          </w:p>
        </w:tc>
        <w:tc>
          <w:tcPr>
            <w:tcW w:w="540" w:type="dxa"/>
            <w:vAlign w:val="bottom"/>
            <w:shd w:val="clear" w:color="auto" w:fill="CFF0FC"/>
          </w:tcPr>
          <w:p>
            <w:pPr>
              <w:jc w:val="center"/>
              <w:ind w:right="21"/>
              <w:spacing w:after="0"/>
              <w:rPr>
                <w:sz w:val="20"/>
                <w:szCs w:val="20"/>
                <w:color w:val="auto"/>
              </w:rPr>
            </w:pPr>
            <w:r>
              <w:rPr>
                <w:rFonts w:ascii="Arial" w:cs="Arial" w:eastAsia="Arial" w:hAnsi="Arial"/>
                <w:sz w:val="20"/>
                <w:szCs w:val="20"/>
                <w:color w:val="auto"/>
                <w:w w:val="89"/>
              </w:rPr>
              <w:t>0</w:t>
            </w:r>
          </w:p>
        </w:tc>
        <w:tc>
          <w:tcPr>
            <w:tcW w:w="6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9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center"/>
              <w:ind w:left="201"/>
              <w:spacing w:after="0"/>
              <w:rPr>
                <w:sz w:val="20"/>
                <w:szCs w:val="20"/>
                <w:color w:val="auto"/>
              </w:rPr>
            </w:pPr>
            <w:r>
              <w:rPr>
                <w:rFonts w:ascii="Arial" w:cs="Arial" w:eastAsia="Arial" w:hAnsi="Arial"/>
                <w:sz w:val="20"/>
                <w:szCs w:val="20"/>
                <w:color w:val="auto"/>
                <w:w w:val="89"/>
              </w:rPr>
              <w:t>0</w:t>
            </w: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Milford Quarry  Utah</w:t>
            </w:r>
          </w:p>
        </w:tc>
        <w:tc>
          <w:tcPr>
            <w:tcW w:w="840" w:type="dxa"/>
            <w:vAlign w:val="bottom"/>
          </w:tcPr>
          <w:p>
            <w:pPr>
              <w:jc w:val="right"/>
              <w:ind w:right="21"/>
              <w:spacing w:after="0"/>
              <w:rPr>
                <w:sz w:val="20"/>
                <w:szCs w:val="20"/>
                <w:color w:val="auto"/>
              </w:rPr>
            </w:pPr>
            <w:r>
              <w:rPr>
                <w:rFonts w:ascii="Arial" w:cs="Arial" w:eastAsia="Arial" w:hAnsi="Arial"/>
                <w:sz w:val="20"/>
                <w:szCs w:val="20"/>
                <w:color w:val="auto"/>
                <w:w w:val="89"/>
              </w:rPr>
              <w:t>4202177</w:t>
            </w:r>
          </w:p>
        </w:tc>
        <w:tc>
          <w:tcPr>
            <w:tcW w:w="540" w:type="dxa"/>
            <w:vAlign w:val="bottom"/>
          </w:tcPr>
          <w:p>
            <w:pPr>
              <w:jc w:val="center"/>
              <w:ind w:right="21"/>
              <w:spacing w:after="0"/>
              <w:rPr>
                <w:sz w:val="20"/>
                <w:szCs w:val="20"/>
                <w:color w:val="auto"/>
              </w:rPr>
            </w:pPr>
            <w:r>
              <w:rPr>
                <w:rFonts w:ascii="Arial" w:cs="Arial" w:eastAsia="Arial" w:hAnsi="Arial"/>
                <w:sz w:val="20"/>
                <w:szCs w:val="20"/>
                <w:color w:val="auto"/>
                <w:w w:val="89"/>
              </w:rPr>
              <w:t>1</w:t>
            </w:r>
          </w:p>
        </w:tc>
        <w:tc>
          <w:tcPr>
            <w:tcW w:w="6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4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81"/>
              <w:spacing w:after="0"/>
              <w:rPr>
                <w:sz w:val="20"/>
                <w:szCs w:val="20"/>
                <w:color w:val="auto"/>
              </w:rPr>
            </w:pPr>
            <w:r>
              <w:rPr>
                <w:rFonts w:ascii="Arial" w:cs="Arial" w:eastAsia="Arial" w:hAnsi="Arial"/>
                <w:sz w:val="20"/>
                <w:szCs w:val="20"/>
                <w:color w:val="auto"/>
              </w:rPr>
              <w:t>1,137</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center"/>
              <w:ind w:left="201"/>
              <w:spacing w:after="0"/>
              <w:rPr>
                <w:sz w:val="20"/>
                <w:szCs w:val="20"/>
                <w:color w:val="auto"/>
              </w:rPr>
            </w:pPr>
            <w:r>
              <w:rPr>
                <w:rFonts w:ascii="Arial" w:cs="Arial" w:eastAsia="Arial" w:hAnsi="Arial"/>
                <w:sz w:val="20"/>
                <w:szCs w:val="20"/>
                <w:color w:val="auto"/>
                <w:w w:val="89"/>
              </w:rPr>
              <w:t>0</w:t>
            </w: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Parkdale Quarry</w:t>
            </w:r>
          </w:p>
        </w:tc>
        <w:tc>
          <w:tcPr>
            <w:tcW w:w="8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504635</w:t>
            </w:r>
          </w:p>
        </w:tc>
        <w:tc>
          <w:tcPr>
            <w:tcW w:w="540" w:type="dxa"/>
            <w:vAlign w:val="bottom"/>
            <w:shd w:val="clear" w:color="auto" w:fill="CFF0FC"/>
          </w:tcPr>
          <w:p>
            <w:pPr>
              <w:jc w:val="center"/>
              <w:ind w:right="21"/>
              <w:spacing w:after="0"/>
              <w:rPr>
                <w:sz w:val="20"/>
                <w:szCs w:val="20"/>
                <w:color w:val="auto"/>
              </w:rPr>
            </w:pPr>
            <w:r>
              <w:rPr>
                <w:rFonts w:ascii="Arial" w:cs="Arial" w:eastAsia="Arial" w:hAnsi="Arial"/>
                <w:sz w:val="20"/>
                <w:szCs w:val="20"/>
                <w:color w:val="auto"/>
                <w:w w:val="89"/>
              </w:rPr>
              <w:t>0</w:t>
            </w:r>
          </w:p>
        </w:tc>
        <w:tc>
          <w:tcPr>
            <w:tcW w:w="6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9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center"/>
              <w:ind w:left="201"/>
              <w:spacing w:after="0"/>
              <w:rPr>
                <w:sz w:val="20"/>
                <w:szCs w:val="20"/>
                <w:color w:val="auto"/>
              </w:rPr>
            </w:pPr>
            <w:r>
              <w:rPr>
                <w:rFonts w:ascii="Arial" w:cs="Arial" w:eastAsia="Arial" w:hAnsi="Arial"/>
                <w:sz w:val="20"/>
                <w:szCs w:val="20"/>
                <w:color w:val="auto"/>
                <w:w w:val="89"/>
              </w:rPr>
              <w:t>0</w:t>
            </w: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Parsons Sand Gravel</w:t>
            </w:r>
          </w:p>
        </w:tc>
        <w:tc>
          <w:tcPr>
            <w:tcW w:w="840" w:type="dxa"/>
            <w:vAlign w:val="bottom"/>
          </w:tcPr>
          <w:p>
            <w:pPr>
              <w:jc w:val="right"/>
              <w:ind w:right="21"/>
              <w:spacing w:after="0"/>
              <w:rPr>
                <w:sz w:val="20"/>
                <w:szCs w:val="20"/>
                <w:color w:val="auto"/>
              </w:rPr>
            </w:pPr>
            <w:r>
              <w:rPr>
                <w:rFonts w:ascii="Arial" w:cs="Arial" w:eastAsia="Arial" w:hAnsi="Arial"/>
                <w:sz w:val="20"/>
                <w:szCs w:val="20"/>
                <w:color w:val="auto"/>
              </w:rPr>
              <w:t>504382</w:t>
            </w:r>
          </w:p>
        </w:tc>
        <w:tc>
          <w:tcPr>
            <w:tcW w:w="540" w:type="dxa"/>
            <w:vAlign w:val="bottom"/>
          </w:tcPr>
          <w:p>
            <w:pPr>
              <w:jc w:val="center"/>
              <w:ind w:right="21"/>
              <w:spacing w:after="0"/>
              <w:rPr>
                <w:sz w:val="20"/>
                <w:szCs w:val="20"/>
                <w:color w:val="auto"/>
              </w:rPr>
            </w:pPr>
            <w:r>
              <w:rPr>
                <w:rFonts w:ascii="Arial" w:cs="Arial" w:eastAsia="Arial" w:hAnsi="Arial"/>
                <w:sz w:val="20"/>
                <w:szCs w:val="20"/>
                <w:color w:val="auto"/>
                <w:w w:val="89"/>
              </w:rPr>
              <w:t>0</w:t>
            </w:r>
          </w:p>
        </w:tc>
        <w:tc>
          <w:tcPr>
            <w:tcW w:w="6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4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center"/>
              <w:ind w:left="201"/>
              <w:spacing w:after="0"/>
              <w:rPr>
                <w:sz w:val="20"/>
                <w:szCs w:val="20"/>
                <w:color w:val="auto"/>
              </w:rPr>
            </w:pPr>
            <w:r>
              <w:rPr>
                <w:rFonts w:ascii="Arial" w:cs="Arial" w:eastAsia="Arial" w:hAnsi="Arial"/>
                <w:sz w:val="20"/>
                <w:szCs w:val="20"/>
                <w:color w:val="auto"/>
                <w:w w:val="89"/>
              </w:rPr>
              <w:t>0</w:t>
            </w: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PC Portable Plant 4</w:t>
            </w:r>
          </w:p>
        </w:tc>
        <w:tc>
          <w:tcPr>
            <w:tcW w:w="8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89"/>
              </w:rPr>
              <w:t>4801565</w:t>
            </w:r>
          </w:p>
        </w:tc>
        <w:tc>
          <w:tcPr>
            <w:tcW w:w="540" w:type="dxa"/>
            <w:vAlign w:val="bottom"/>
            <w:shd w:val="clear" w:color="auto" w:fill="CFF0FC"/>
          </w:tcPr>
          <w:p>
            <w:pPr>
              <w:jc w:val="center"/>
              <w:ind w:right="21"/>
              <w:spacing w:after="0"/>
              <w:rPr>
                <w:sz w:val="20"/>
                <w:szCs w:val="20"/>
                <w:color w:val="auto"/>
              </w:rPr>
            </w:pPr>
            <w:r>
              <w:rPr>
                <w:rFonts w:ascii="Arial" w:cs="Arial" w:eastAsia="Arial" w:hAnsi="Arial"/>
                <w:sz w:val="20"/>
                <w:szCs w:val="20"/>
                <w:color w:val="auto"/>
                <w:w w:val="89"/>
              </w:rPr>
              <w:t>0</w:t>
            </w:r>
          </w:p>
        </w:tc>
        <w:tc>
          <w:tcPr>
            <w:tcW w:w="6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9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center"/>
              <w:ind w:left="201"/>
              <w:spacing w:after="0"/>
              <w:rPr>
                <w:sz w:val="20"/>
                <w:szCs w:val="20"/>
                <w:color w:val="auto"/>
              </w:rPr>
            </w:pPr>
            <w:r>
              <w:rPr>
                <w:rFonts w:ascii="Arial" w:cs="Arial" w:eastAsia="Arial" w:hAnsi="Arial"/>
                <w:sz w:val="20"/>
                <w:szCs w:val="20"/>
                <w:color w:val="auto"/>
                <w:w w:val="89"/>
              </w:rPr>
              <w:t>0</w:t>
            </w: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w w:val="92"/>
              </w:rPr>
              <w:t>Penrose Sand and Gravel</w:t>
            </w:r>
          </w:p>
        </w:tc>
        <w:tc>
          <w:tcPr>
            <w:tcW w:w="840" w:type="dxa"/>
            <w:vAlign w:val="bottom"/>
          </w:tcPr>
          <w:p>
            <w:pPr>
              <w:jc w:val="right"/>
              <w:ind w:right="21"/>
              <w:spacing w:after="0"/>
              <w:rPr>
                <w:sz w:val="20"/>
                <w:szCs w:val="20"/>
                <w:color w:val="auto"/>
              </w:rPr>
            </w:pPr>
            <w:r>
              <w:rPr>
                <w:rFonts w:ascii="Arial" w:cs="Arial" w:eastAsia="Arial" w:hAnsi="Arial"/>
                <w:sz w:val="20"/>
                <w:szCs w:val="20"/>
                <w:color w:val="auto"/>
              </w:rPr>
              <w:t>504509</w:t>
            </w:r>
          </w:p>
        </w:tc>
        <w:tc>
          <w:tcPr>
            <w:tcW w:w="540" w:type="dxa"/>
            <w:vAlign w:val="bottom"/>
          </w:tcPr>
          <w:p>
            <w:pPr>
              <w:jc w:val="center"/>
              <w:ind w:right="21"/>
              <w:spacing w:after="0"/>
              <w:rPr>
                <w:sz w:val="20"/>
                <w:szCs w:val="20"/>
                <w:color w:val="auto"/>
              </w:rPr>
            </w:pPr>
            <w:r>
              <w:rPr>
                <w:rFonts w:ascii="Arial" w:cs="Arial" w:eastAsia="Arial" w:hAnsi="Arial"/>
                <w:sz w:val="20"/>
                <w:szCs w:val="20"/>
                <w:color w:val="auto"/>
                <w:w w:val="89"/>
              </w:rPr>
              <w:t>0</w:t>
            </w:r>
          </w:p>
        </w:tc>
        <w:tc>
          <w:tcPr>
            <w:tcW w:w="6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4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center"/>
              <w:ind w:left="201"/>
              <w:spacing w:after="0"/>
              <w:rPr>
                <w:sz w:val="20"/>
                <w:szCs w:val="20"/>
                <w:color w:val="auto"/>
              </w:rPr>
            </w:pPr>
            <w:r>
              <w:rPr>
                <w:rFonts w:ascii="Arial" w:cs="Arial" w:eastAsia="Arial" w:hAnsi="Arial"/>
                <w:sz w:val="20"/>
                <w:szCs w:val="20"/>
                <w:color w:val="auto"/>
                <w:w w:val="89"/>
              </w:rPr>
              <w:t>0</w:t>
            </w: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Portable Crushing</w:t>
            </w:r>
          </w:p>
        </w:tc>
        <w:tc>
          <w:tcPr>
            <w:tcW w:w="8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503984</w:t>
            </w:r>
          </w:p>
        </w:tc>
        <w:tc>
          <w:tcPr>
            <w:tcW w:w="540" w:type="dxa"/>
            <w:vAlign w:val="bottom"/>
            <w:shd w:val="clear" w:color="auto" w:fill="CFF0FC"/>
          </w:tcPr>
          <w:p>
            <w:pPr>
              <w:jc w:val="center"/>
              <w:ind w:right="21"/>
              <w:spacing w:after="0"/>
              <w:rPr>
                <w:sz w:val="20"/>
                <w:szCs w:val="20"/>
                <w:color w:val="auto"/>
              </w:rPr>
            </w:pPr>
            <w:r>
              <w:rPr>
                <w:rFonts w:ascii="Arial" w:cs="Arial" w:eastAsia="Arial" w:hAnsi="Arial"/>
                <w:sz w:val="20"/>
                <w:szCs w:val="20"/>
                <w:color w:val="auto"/>
                <w:w w:val="89"/>
              </w:rPr>
              <w:t>0</w:t>
            </w:r>
          </w:p>
        </w:tc>
        <w:tc>
          <w:tcPr>
            <w:tcW w:w="6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9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118</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center"/>
              <w:ind w:left="201"/>
              <w:spacing w:after="0"/>
              <w:rPr>
                <w:sz w:val="20"/>
                <w:szCs w:val="20"/>
                <w:color w:val="auto"/>
              </w:rPr>
            </w:pPr>
            <w:r>
              <w:rPr>
                <w:rFonts w:ascii="Arial" w:cs="Arial" w:eastAsia="Arial" w:hAnsi="Arial"/>
                <w:sz w:val="20"/>
                <w:szCs w:val="20"/>
                <w:color w:val="auto"/>
                <w:w w:val="89"/>
              </w:rPr>
              <w:t>0</w:t>
            </w: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Portable Plant 1</w:t>
            </w:r>
          </w:p>
        </w:tc>
        <w:tc>
          <w:tcPr>
            <w:tcW w:w="840" w:type="dxa"/>
            <w:vAlign w:val="bottom"/>
          </w:tcPr>
          <w:p>
            <w:pPr>
              <w:jc w:val="right"/>
              <w:ind w:right="21"/>
              <w:spacing w:after="0"/>
              <w:rPr>
                <w:sz w:val="20"/>
                <w:szCs w:val="20"/>
                <w:color w:val="auto"/>
              </w:rPr>
            </w:pPr>
            <w:r>
              <w:rPr>
                <w:rFonts w:ascii="Arial" w:cs="Arial" w:eastAsia="Arial" w:hAnsi="Arial"/>
                <w:sz w:val="20"/>
                <w:szCs w:val="20"/>
                <w:color w:val="auto"/>
              </w:rPr>
              <w:t>504359</w:t>
            </w:r>
          </w:p>
        </w:tc>
        <w:tc>
          <w:tcPr>
            <w:tcW w:w="540" w:type="dxa"/>
            <w:vAlign w:val="bottom"/>
          </w:tcPr>
          <w:p>
            <w:pPr>
              <w:jc w:val="center"/>
              <w:ind w:right="21"/>
              <w:spacing w:after="0"/>
              <w:rPr>
                <w:sz w:val="20"/>
                <w:szCs w:val="20"/>
                <w:color w:val="auto"/>
              </w:rPr>
            </w:pPr>
            <w:r>
              <w:rPr>
                <w:rFonts w:ascii="Arial" w:cs="Arial" w:eastAsia="Arial" w:hAnsi="Arial"/>
                <w:sz w:val="20"/>
                <w:szCs w:val="20"/>
                <w:color w:val="auto"/>
                <w:w w:val="89"/>
              </w:rPr>
              <w:t>0</w:t>
            </w:r>
          </w:p>
        </w:tc>
        <w:tc>
          <w:tcPr>
            <w:tcW w:w="6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4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center"/>
              <w:ind w:left="201"/>
              <w:spacing w:after="0"/>
              <w:rPr>
                <w:sz w:val="20"/>
                <w:szCs w:val="20"/>
                <w:color w:val="auto"/>
              </w:rPr>
            </w:pPr>
            <w:r>
              <w:rPr>
                <w:rFonts w:ascii="Arial" w:cs="Arial" w:eastAsia="Arial" w:hAnsi="Arial"/>
                <w:sz w:val="20"/>
                <w:szCs w:val="20"/>
                <w:color w:val="auto"/>
                <w:w w:val="89"/>
              </w:rPr>
              <w:t>0</w:t>
            </w: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Portable Plant 21</w:t>
            </w:r>
          </w:p>
        </w:tc>
        <w:tc>
          <w:tcPr>
            <w:tcW w:w="8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504520</w:t>
            </w:r>
          </w:p>
        </w:tc>
        <w:tc>
          <w:tcPr>
            <w:tcW w:w="540" w:type="dxa"/>
            <w:vAlign w:val="bottom"/>
            <w:shd w:val="clear" w:color="auto" w:fill="CFF0FC"/>
          </w:tcPr>
          <w:p>
            <w:pPr>
              <w:jc w:val="center"/>
              <w:ind w:right="21"/>
              <w:spacing w:after="0"/>
              <w:rPr>
                <w:sz w:val="20"/>
                <w:szCs w:val="20"/>
                <w:color w:val="auto"/>
              </w:rPr>
            </w:pPr>
            <w:r>
              <w:rPr>
                <w:rFonts w:ascii="Arial" w:cs="Arial" w:eastAsia="Arial" w:hAnsi="Arial"/>
                <w:sz w:val="20"/>
                <w:szCs w:val="20"/>
                <w:color w:val="auto"/>
                <w:w w:val="89"/>
              </w:rPr>
              <w:t>0</w:t>
            </w:r>
          </w:p>
        </w:tc>
        <w:tc>
          <w:tcPr>
            <w:tcW w:w="6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9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center"/>
              <w:ind w:left="201"/>
              <w:spacing w:after="0"/>
              <w:rPr>
                <w:sz w:val="20"/>
                <w:szCs w:val="20"/>
                <w:color w:val="auto"/>
              </w:rPr>
            </w:pPr>
            <w:r>
              <w:rPr>
                <w:rFonts w:ascii="Arial" w:cs="Arial" w:eastAsia="Arial" w:hAnsi="Arial"/>
                <w:sz w:val="20"/>
                <w:szCs w:val="20"/>
                <w:color w:val="auto"/>
                <w:w w:val="89"/>
              </w:rPr>
              <w:t>0</w:t>
            </w: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Red Canyon Quarry</w:t>
            </w:r>
          </w:p>
        </w:tc>
        <w:tc>
          <w:tcPr>
            <w:tcW w:w="840" w:type="dxa"/>
            <w:vAlign w:val="bottom"/>
          </w:tcPr>
          <w:p>
            <w:pPr>
              <w:jc w:val="right"/>
              <w:ind w:right="21"/>
              <w:spacing w:after="0"/>
              <w:rPr>
                <w:sz w:val="20"/>
                <w:szCs w:val="20"/>
                <w:color w:val="auto"/>
              </w:rPr>
            </w:pPr>
            <w:r>
              <w:rPr>
                <w:rFonts w:ascii="Arial" w:cs="Arial" w:eastAsia="Arial" w:hAnsi="Arial"/>
                <w:sz w:val="20"/>
                <w:szCs w:val="20"/>
                <w:color w:val="auto"/>
              </w:rPr>
              <w:t>504136</w:t>
            </w:r>
          </w:p>
        </w:tc>
        <w:tc>
          <w:tcPr>
            <w:tcW w:w="540" w:type="dxa"/>
            <w:vAlign w:val="bottom"/>
          </w:tcPr>
          <w:p>
            <w:pPr>
              <w:jc w:val="center"/>
              <w:ind w:right="21"/>
              <w:spacing w:after="0"/>
              <w:rPr>
                <w:sz w:val="20"/>
                <w:szCs w:val="20"/>
                <w:color w:val="auto"/>
              </w:rPr>
            </w:pPr>
            <w:r>
              <w:rPr>
                <w:rFonts w:ascii="Arial" w:cs="Arial" w:eastAsia="Arial" w:hAnsi="Arial"/>
                <w:sz w:val="20"/>
                <w:szCs w:val="20"/>
                <w:color w:val="auto"/>
                <w:w w:val="89"/>
              </w:rPr>
              <w:t>1</w:t>
            </w:r>
          </w:p>
        </w:tc>
        <w:tc>
          <w:tcPr>
            <w:tcW w:w="6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4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81"/>
              <w:spacing w:after="0"/>
              <w:rPr>
                <w:sz w:val="20"/>
                <w:szCs w:val="20"/>
                <w:color w:val="auto"/>
              </w:rPr>
            </w:pPr>
            <w:r>
              <w:rPr>
                <w:rFonts w:ascii="Arial" w:cs="Arial" w:eastAsia="Arial" w:hAnsi="Arial"/>
                <w:sz w:val="20"/>
                <w:szCs w:val="20"/>
                <w:color w:val="auto"/>
              </w:rPr>
              <w:t>953</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center"/>
              <w:ind w:left="201"/>
              <w:spacing w:after="0"/>
              <w:rPr>
                <w:sz w:val="20"/>
                <w:szCs w:val="20"/>
                <w:color w:val="auto"/>
              </w:rPr>
            </w:pPr>
            <w:r>
              <w:rPr>
                <w:rFonts w:ascii="Arial" w:cs="Arial" w:eastAsia="Arial" w:hAnsi="Arial"/>
                <w:sz w:val="20"/>
                <w:szCs w:val="20"/>
                <w:color w:val="auto"/>
                <w:w w:val="89"/>
              </w:rPr>
              <w:t>0</w:t>
            </w: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Riverbend Sand Gravel</w:t>
            </w:r>
          </w:p>
        </w:tc>
        <w:tc>
          <w:tcPr>
            <w:tcW w:w="8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504841</w:t>
            </w:r>
          </w:p>
        </w:tc>
        <w:tc>
          <w:tcPr>
            <w:tcW w:w="540" w:type="dxa"/>
            <w:vAlign w:val="bottom"/>
            <w:shd w:val="clear" w:color="auto" w:fill="CFF0FC"/>
          </w:tcPr>
          <w:p>
            <w:pPr>
              <w:jc w:val="center"/>
              <w:ind w:right="21"/>
              <w:spacing w:after="0"/>
              <w:rPr>
                <w:sz w:val="20"/>
                <w:szCs w:val="20"/>
                <w:color w:val="auto"/>
              </w:rPr>
            </w:pPr>
            <w:r>
              <w:rPr>
                <w:rFonts w:ascii="Arial" w:cs="Arial" w:eastAsia="Arial" w:hAnsi="Arial"/>
                <w:sz w:val="20"/>
                <w:szCs w:val="20"/>
                <w:color w:val="auto"/>
                <w:w w:val="89"/>
              </w:rPr>
              <w:t>0</w:t>
            </w:r>
          </w:p>
        </w:tc>
        <w:tc>
          <w:tcPr>
            <w:tcW w:w="6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9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center"/>
              <w:ind w:left="201"/>
              <w:spacing w:after="0"/>
              <w:rPr>
                <w:sz w:val="20"/>
                <w:szCs w:val="20"/>
                <w:color w:val="auto"/>
              </w:rPr>
            </w:pPr>
            <w:r>
              <w:rPr>
                <w:rFonts w:ascii="Arial" w:cs="Arial" w:eastAsia="Arial" w:hAnsi="Arial"/>
                <w:sz w:val="20"/>
                <w:szCs w:val="20"/>
                <w:color w:val="auto"/>
                <w:w w:val="89"/>
              </w:rPr>
              <w:t>0</w:t>
            </w:r>
          </w:p>
        </w:tc>
      </w:tr>
      <w:tr>
        <w:trPr>
          <w:trHeight w:val="226"/>
        </w:trPr>
        <w:tc>
          <w:tcPr>
            <w:tcW w:w="2140" w:type="dxa"/>
            <w:vAlign w:val="bottom"/>
          </w:tcPr>
          <w:p>
            <w:pPr>
              <w:spacing w:after="0" w:line="227" w:lineRule="exact"/>
              <w:rPr>
                <w:sz w:val="20"/>
                <w:szCs w:val="20"/>
                <w:color w:val="auto"/>
              </w:rPr>
            </w:pPr>
            <w:r>
              <w:rPr>
                <w:rFonts w:ascii="Arial" w:cs="Arial" w:eastAsia="Arial" w:hAnsi="Arial"/>
                <w:sz w:val="20"/>
                <w:szCs w:val="20"/>
                <w:color w:val="auto"/>
                <w:w w:val="99"/>
              </w:rPr>
              <w:t>Spanish Springs Quarry</w:t>
            </w: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6"/>
        </w:trPr>
        <w:tc>
          <w:tcPr>
            <w:tcW w:w="2140" w:type="dxa"/>
            <w:vAlign w:val="bottom"/>
          </w:tcPr>
          <w:p>
            <w:pPr>
              <w:spacing w:after="0"/>
              <w:rPr>
                <w:sz w:val="20"/>
                <w:szCs w:val="20"/>
                <w:color w:val="auto"/>
              </w:rPr>
            </w:pPr>
            <w:r>
              <w:rPr>
                <w:rFonts w:ascii="Arial" w:cs="Arial" w:eastAsia="Arial" w:hAnsi="Arial"/>
                <w:sz w:val="20"/>
                <w:szCs w:val="20"/>
                <w:color w:val="auto"/>
              </w:rPr>
              <w:t>Co 2</w:t>
            </w:r>
          </w:p>
        </w:tc>
        <w:tc>
          <w:tcPr>
            <w:tcW w:w="840" w:type="dxa"/>
            <w:vAlign w:val="bottom"/>
          </w:tcPr>
          <w:p>
            <w:pPr>
              <w:jc w:val="right"/>
              <w:ind w:right="21"/>
              <w:spacing w:after="0"/>
              <w:rPr>
                <w:sz w:val="20"/>
                <w:szCs w:val="20"/>
                <w:color w:val="auto"/>
              </w:rPr>
            </w:pPr>
            <w:r>
              <w:rPr>
                <w:rFonts w:ascii="Arial" w:cs="Arial" w:eastAsia="Arial" w:hAnsi="Arial"/>
                <w:sz w:val="20"/>
                <w:szCs w:val="20"/>
                <w:color w:val="auto"/>
                <w:w w:val="89"/>
              </w:rPr>
              <w:t>2600803</w:t>
            </w:r>
          </w:p>
        </w:tc>
        <w:tc>
          <w:tcPr>
            <w:tcW w:w="540" w:type="dxa"/>
            <w:vAlign w:val="bottom"/>
          </w:tcPr>
          <w:p>
            <w:pPr>
              <w:jc w:val="center"/>
              <w:ind w:right="21"/>
              <w:spacing w:after="0"/>
              <w:rPr>
                <w:sz w:val="20"/>
                <w:szCs w:val="20"/>
                <w:color w:val="auto"/>
              </w:rPr>
            </w:pPr>
            <w:r>
              <w:rPr>
                <w:rFonts w:ascii="Arial" w:cs="Arial" w:eastAsia="Arial" w:hAnsi="Arial"/>
                <w:sz w:val="20"/>
                <w:szCs w:val="20"/>
                <w:color w:val="auto"/>
                <w:w w:val="89"/>
              </w:rPr>
              <w:t>0</w:t>
            </w:r>
          </w:p>
        </w:tc>
        <w:tc>
          <w:tcPr>
            <w:tcW w:w="6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4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center"/>
              <w:ind w:left="201"/>
              <w:spacing w:after="0"/>
              <w:rPr>
                <w:sz w:val="20"/>
                <w:szCs w:val="20"/>
                <w:color w:val="auto"/>
              </w:rPr>
            </w:pPr>
            <w:r>
              <w:rPr>
                <w:rFonts w:ascii="Arial" w:cs="Arial" w:eastAsia="Arial" w:hAnsi="Arial"/>
                <w:sz w:val="20"/>
                <w:szCs w:val="20"/>
                <w:color w:val="auto"/>
                <w:w w:val="89"/>
              </w:rPr>
              <w:t>0</w:t>
            </w: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Spec Agg Quarry</w:t>
            </w:r>
          </w:p>
        </w:tc>
        <w:tc>
          <w:tcPr>
            <w:tcW w:w="8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500860</w:t>
            </w:r>
          </w:p>
        </w:tc>
        <w:tc>
          <w:tcPr>
            <w:tcW w:w="540" w:type="dxa"/>
            <w:vAlign w:val="bottom"/>
            <w:shd w:val="clear" w:color="auto" w:fill="CFF0FC"/>
          </w:tcPr>
          <w:p>
            <w:pPr>
              <w:jc w:val="center"/>
              <w:ind w:right="21"/>
              <w:spacing w:after="0"/>
              <w:rPr>
                <w:sz w:val="20"/>
                <w:szCs w:val="20"/>
                <w:color w:val="auto"/>
              </w:rPr>
            </w:pPr>
            <w:r>
              <w:rPr>
                <w:rFonts w:ascii="Arial" w:cs="Arial" w:eastAsia="Arial" w:hAnsi="Arial"/>
                <w:sz w:val="20"/>
                <w:szCs w:val="20"/>
                <w:color w:val="auto"/>
                <w:w w:val="89"/>
              </w:rPr>
              <w:t>1</w:t>
            </w:r>
          </w:p>
        </w:tc>
        <w:tc>
          <w:tcPr>
            <w:tcW w:w="6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9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center"/>
              <w:ind w:left="201"/>
              <w:spacing w:after="0"/>
              <w:rPr>
                <w:sz w:val="20"/>
                <w:szCs w:val="20"/>
                <w:color w:val="auto"/>
              </w:rPr>
            </w:pPr>
            <w:r>
              <w:rPr>
                <w:rFonts w:ascii="Arial" w:cs="Arial" w:eastAsia="Arial" w:hAnsi="Arial"/>
                <w:sz w:val="20"/>
                <w:szCs w:val="20"/>
                <w:color w:val="auto"/>
                <w:w w:val="89"/>
              </w:rPr>
              <w:t>1</w:t>
            </w: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Taft Sand Gravel</w:t>
            </w:r>
          </w:p>
        </w:tc>
        <w:tc>
          <w:tcPr>
            <w:tcW w:w="840" w:type="dxa"/>
            <w:vAlign w:val="bottom"/>
          </w:tcPr>
          <w:p>
            <w:pPr>
              <w:jc w:val="right"/>
              <w:ind w:right="21"/>
              <w:spacing w:after="0"/>
              <w:rPr>
                <w:sz w:val="20"/>
                <w:szCs w:val="20"/>
                <w:color w:val="auto"/>
              </w:rPr>
            </w:pPr>
            <w:r>
              <w:rPr>
                <w:rFonts w:ascii="Arial" w:cs="Arial" w:eastAsia="Arial" w:hAnsi="Arial"/>
                <w:sz w:val="20"/>
                <w:szCs w:val="20"/>
                <w:color w:val="auto"/>
              </w:rPr>
              <w:t>504526</w:t>
            </w:r>
          </w:p>
        </w:tc>
        <w:tc>
          <w:tcPr>
            <w:tcW w:w="540" w:type="dxa"/>
            <w:vAlign w:val="bottom"/>
          </w:tcPr>
          <w:p>
            <w:pPr>
              <w:jc w:val="center"/>
              <w:ind w:right="21"/>
              <w:spacing w:after="0"/>
              <w:rPr>
                <w:sz w:val="20"/>
                <w:szCs w:val="20"/>
                <w:color w:val="auto"/>
              </w:rPr>
            </w:pPr>
            <w:r>
              <w:rPr>
                <w:rFonts w:ascii="Arial" w:cs="Arial" w:eastAsia="Arial" w:hAnsi="Arial"/>
                <w:sz w:val="20"/>
                <w:szCs w:val="20"/>
                <w:color w:val="auto"/>
                <w:w w:val="89"/>
              </w:rPr>
              <w:t>0</w:t>
            </w:r>
          </w:p>
        </w:tc>
        <w:tc>
          <w:tcPr>
            <w:tcW w:w="6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4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center"/>
              <w:ind w:left="201"/>
              <w:spacing w:after="0"/>
              <w:rPr>
                <w:sz w:val="20"/>
                <w:szCs w:val="20"/>
                <w:color w:val="auto"/>
              </w:rPr>
            </w:pPr>
            <w:r>
              <w:rPr>
                <w:rFonts w:ascii="Arial" w:cs="Arial" w:eastAsia="Arial" w:hAnsi="Arial"/>
                <w:sz w:val="20"/>
                <w:szCs w:val="20"/>
                <w:color w:val="auto"/>
                <w:w w:val="89"/>
              </w:rPr>
              <w:t>0</w:t>
            </w: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Taft Shop</w:t>
            </w:r>
          </w:p>
        </w:tc>
        <w:tc>
          <w:tcPr>
            <w:tcW w:w="8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504735</w:t>
            </w:r>
          </w:p>
        </w:tc>
        <w:tc>
          <w:tcPr>
            <w:tcW w:w="540" w:type="dxa"/>
            <w:vAlign w:val="bottom"/>
            <w:shd w:val="clear" w:color="auto" w:fill="CFF0FC"/>
          </w:tcPr>
          <w:p>
            <w:pPr>
              <w:jc w:val="center"/>
              <w:ind w:right="21"/>
              <w:spacing w:after="0"/>
              <w:rPr>
                <w:sz w:val="20"/>
                <w:szCs w:val="20"/>
                <w:color w:val="auto"/>
              </w:rPr>
            </w:pPr>
            <w:r>
              <w:rPr>
                <w:rFonts w:ascii="Arial" w:cs="Arial" w:eastAsia="Arial" w:hAnsi="Arial"/>
                <w:sz w:val="20"/>
                <w:szCs w:val="20"/>
                <w:color w:val="auto"/>
                <w:w w:val="89"/>
              </w:rPr>
              <w:t>1</w:t>
            </w:r>
          </w:p>
        </w:tc>
        <w:tc>
          <w:tcPr>
            <w:tcW w:w="6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9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236</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0</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center"/>
              <w:ind w:left="201"/>
              <w:spacing w:after="0"/>
              <w:rPr>
                <w:sz w:val="20"/>
                <w:szCs w:val="20"/>
                <w:color w:val="auto"/>
              </w:rPr>
            </w:pPr>
            <w:r>
              <w:rPr>
                <w:rFonts w:ascii="Arial" w:cs="Arial" w:eastAsia="Arial" w:hAnsi="Arial"/>
                <w:sz w:val="20"/>
                <w:szCs w:val="20"/>
                <w:color w:val="auto"/>
                <w:w w:val="89"/>
              </w:rPr>
              <w:t>0</w:t>
            </w: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rPr>
              <w:t>Hunter Cement</w:t>
            </w:r>
          </w:p>
        </w:tc>
        <w:tc>
          <w:tcPr>
            <w:tcW w:w="840" w:type="dxa"/>
            <w:vAlign w:val="bottom"/>
          </w:tcPr>
          <w:p>
            <w:pPr>
              <w:jc w:val="right"/>
              <w:ind w:right="21"/>
              <w:spacing w:after="0"/>
              <w:rPr>
                <w:sz w:val="20"/>
                <w:szCs w:val="20"/>
                <w:color w:val="auto"/>
              </w:rPr>
            </w:pPr>
            <w:r>
              <w:rPr>
                <w:rFonts w:ascii="Arial" w:cs="Arial" w:eastAsia="Arial" w:hAnsi="Arial"/>
                <w:sz w:val="20"/>
                <w:szCs w:val="20"/>
                <w:color w:val="auto"/>
                <w:w w:val="89"/>
              </w:rPr>
              <w:t>4102820</w:t>
            </w:r>
          </w:p>
        </w:tc>
        <w:tc>
          <w:tcPr>
            <w:tcW w:w="540" w:type="dxa"/>
            <w:vAlign w:val="bottom"/>
          </w:tcPr>
          <w:p>
            <w:pPr>
              <w:jc w:val="center"/>
              <w:ind w:right="21"/>
              <w:spacing w:after="0"/>
              <w:rPr>
                <w:sz w:val="20"/>
                <w:szCs w:val="20"/>
                <w:color w:val="auto"/>
              </w:rPr>
            </w:pPr>
            <w:r>
              <w:rPr>
                <w:rFonts w:ascii="Arial" w:cs="Arial" w:eastAsia="Arial" w:hAnsi="Arial"/>
                <w:sz w:val="20"/>
                <w:szCs w:val="20"/>
                <w:color w:val="auto"/>
                <w:w w:val="89"/>
              </w:rPr>
              <w:t>0</w:t>
            </w:r>
          </w:p>
        </w:tc>
        <w:tc>
          <w:tcPr>
            <w:tcW w:w="6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4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81"/>
              <w:spacing w:after="0"/>
              <w:rPr>
                <w:sz w:val="20"/>
                <w:szCs w:val="20"/>
                <w:color w:val="auto"/>
              </w:rPr>
            </w:pPr>
            <w:r>
              <w:rPr>
                <w:rFonts w:ascii="Arial" w:cs="Arial" w:eastAsia="Arial" w:hAnsi="Arial"/>
                <w:sz w:val="20"/>
                <w:szCs w:val="20"/>
                <w:color w:val="auto"/>
              </w:rPr>
              <w:t>489</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2</w:t>
            </w:r>
          </w:p>
        </w:tc>
        <w:tc>
          <w:tcPr>
            <w:tcW w:w="400" w:type="dxa"/>
            <w:vAlign w:val="bottom"/>
          </w:tcPr>
          <w:p>
            <w:pPr>
              <w:jc w:val="right"/>
              <w:spacing w:after="0"/>
              <w:rPr>
                <w:sz w:val="20"/>
                <w:szCs w:val="20"/>
                <w:color w:val="auto"/>
              </w:rPr>
            </w:pPr>
            <w:r>
              <w:rPr>
                <w:rFonts w:ascii="Arial" w:cs="Arial" w:eastAsia="Arial" w:hAnsi="Arial"/>
                <w:sz w:val="20"/>
                <w:szCs w:val="20"/>
                <w:color w:val="auto"/>
              </w:rPr>
              <w:t>1</w:t>
            </w:r>
          </w:p>
        </w:tc>
        <w:tc>
          <w:tcPr>
            <w:tcW w:w="960" w:type="dxa"/>
            <w:vAlign w:val="bottom"/>
          </w:tcPr>
          <w:p>
            <w:pPr>
              <w:jc w:val="center"/>
              <w:ind w:left="201"/>
              <w:spacing w:after="0"/>
              <w:rPr>
                <w:sz w:val="20"/>
                <w:szCs w:val="20"/>
                <w:color w:val="auto"/>
              </w:rPr>
            </w:pPr>
            <w:r>
              <w:rPr>
                <w:rFonts w:ascii="Arial" w:cs="Arial" w:eastAsia="Arial" w:hAnsi="Arial"/>
                <w:sz w:val="20"/>
                <w:szCs w:val="20"/>
                <w:color w:val="auto"/>
                <w:w w:val="89"/>
              </w:rPr>
              <w:t>0</w:t>
            </w: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Midlothian Cement</w:t>
            </w:r>
          </w:p>
        </w:tc>
        <w:tc>
          <w:tcPr>
            <w:tcW w:w="8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89"/>
              </w:rPr>
              <w:t>4100071</w:t>
            </w:r>
          </w:p>
        </w:tc>
        <w:tc>
          <w:tcPr>
            <w:tcW w:w="540" w:type="dxa"/>
            <w:vAlign w:val="bottom"/>
            <w:shd w:val="clear" w:color="auto" w:fill="CFF0FC"/>
          </w:tcPr>
          <w:p>
            <w:pPr>
              <w:jc w:val="center"/>
              <w:ind w:right="21"/>
              <w:spacing w:after="0"/>
              <w:rPr>
                <w:sz w:val="20"/>
                <w:szCs w:val="20"/>
                <w:color w:val="auto"/>
              </w:rPr>
            </w:pPr>
            <w:r>
              <w:rPr>
                <w:rFonts w:ascii="Arial" w:cs="Arial" w:eastAsia="Arial" w:hAnsi="Arial"/>
                <w:sz w:val="20"/>
                <w:szCs w:val="20"/>
                <w:color w:val="auto"/>
                <w:w w:val="89"/>
              </w:rPr>
              <w:t>2</w:t>
            </w:r>
          </w:p>
        </w:tc>
        <w:tc>
          <w:tcPr>
            <w:tcW w:w="6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9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1,203</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2</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center"/>
              <w:ind w:left="201"/>
              <w:spacing w:after="0"/>
              <w:rPr>
                <w:sz w:val="20"/>
                <w:szCs w:val="20"/>
                <w:color w:val="auto"/>
              </w:rPr>
            </w:pPr>
            <w:r>
              <w:rPr>
                <w:rFonts w:ascii="Arial" w:cs="Arial" w:eastAsia="Arial" w:hAnsi="Arial"/>
                <w:sz w:val="20"/>
                <w:szCs w:val="20"/>
                <w:color w:val="auto"/>
                <w:w w:val="89"/>
              </w:rPr>
              <w:t>1</w:t>
            </w:r>
          </w:p>
        </w:tc>
      </w:tr>
      <w:tr>
        <w:trPr>
          <w:trHeight w:val="243"/>
        </w:trPr>
        <w:tc>
          <w:tcPr>
            <w:tcW w:w="2140" w:type="dxa"/>
            <w:vAlign w:val="bottom"/>
          </w:tcPr>
          <w:p>
            <w:pPr>
              <w:spacing w:after="0"/>
              <w:rPr>
                <w:sz w:val="20"/>
                <w:szCs w:val="20"/>
                <w:color w:val="auto"/>
              </w:rPr>
            </w:pPr>
            <w:r>
              <w:rPr>
                <w:rFonts w:ascii="Arial" w:cs="Arial" w:eastAsia="Arial" w:hAnsi="Arial"/>
                <w:sz w:val="20"/>
                <w:szCs w:val="20"/>
                <w:color w:val="auto"/>
                <w:w w:val="96"/>
              </w:rPr>
              <w:t>Geology and Exploration</w:t>
            </w:r>
          </w:p>
        </w:tc>
        <w:tc>
          <w:tcPr>
            <w:tcW w:w="840" w:type="dxa"/>
            <w:vAlign w:val="bottom"/>
          </w:tcPr>
          <w:p>
            <w:pPr>
              <w:jc w:val="right"/>
              <w:ind w:right="201"/>
              <w:spacing w:after="0"/>
              <w:rPr>
                <w:sz w:val="20"/>
                <w:szCs w:val="20"/>
                <w:color w:val="auto"/>
              </w:rPr>
            </w:pPr>
            <w:r>
              <w:rPr>
                <w:rFonts w:ascii="Arial" w:cs="Arial" w:eastAsia="Arial" w:hAnsi="Arial"/>
                <w:sz w:val="20"/>
                <w:szCs w:val="20"/>
                <w:color w:val="auto"/>
                <w:w w:val="89"/>
              </w:rPr>
              <w:t>B7127</w:t>
            </w:r>
          </w:p>
        </w:tc>
        <w:tc>
          <w:tcPr>
            <w:tcW w:w="540" w:type="dxa"/>
            <w:vAlign w:val="bottom"/>
          </w:tcPr>
          <w:p>
            <w:pPr>
              <w:jc w:val="center"/>
              <w:ind w:right="21"/>
              <w:spacing w:after="0"/>
              <w:rPr>
                <w:sz w:val="20"/>
                <w:szCs w:val="20"/>
                <w:color w:val="auto"/>
              </w:rPr>
            </w:pPr>
            <w:r>
              <w:rPr>
                <w:rFonts w:ascii="Arial" w:cs="Arial" w:eastAsia="Arial" w:hAnsi="Arial"/>
                <w:sz w:val="20"/>
                <w:szCs w:val="20"/>
                <w:color w:val="auto"/>
                <w:w w:val="89"/>
              </w:rPr>
              <w:t>0</w:t>
            </w:r>
          </w:p>
        </w:tc>
        <w:tc>
          <w:tcPr>
            <w:tcW w:w="6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21"/>
              <w:spacing w:after="0"/>
              <w:rPr>
                <w:sz w:val="20"/>
                <w:szCs w:val="20"/>
                <w:color w:val="auto"/>
              </w:rPr>
            </w:pPr>
            <w:r>
              <w:rPr>
                <w:rFonts w:ascii="Arial" w:cs="Arial" w:eastAsia="Arial" w:hAnsi="Arial"/>
                <w:sz w:val="20"/>
                <w:szCs w:val="20"/>
                <w:color w:val="auto"/>
              </w:rPr>
              <w:t>0</w:t>
            </w:r>
          </w:p>
        </w:tc>
        <w:tc>
          <w:tcPr>
            <w:tcW w:w="4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40" w:type="dxa"/>
            <w:vAlign w:val="bottom"/>
          </w:tcPr>
          <w:p>
            <w:pPr>
              <w:ind w:left="280"/>
              <w:spacing w:after="0"/>
              <w:rPr>
                <w:sz w:val="20"/>
                <w:szCs w:val="20"/>
                <w:color w:val="auto"/>
              </w:rPr>
            </w:pPr>
            <w:r>
              <w:rPr>
                <w:rFonts w:ascii="Arial" w:cs="Arial" w:eastAsia="Arial" w:hAnsi="Arial"/>
                <w:sz w:val="20"/>
                <w:szCs w:val="20"/>
                <w:color w:val="auto"/>
              </w:rPr>
              <w:t>no</w:t>
            </w: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0</w:t>
            </w:r>
          </w:p>
        </w:tc>
        <w:tc>
          <w:tcPr>
            <w:tcW w:w="400" w:type="dxa"/>
            <w:vAlign w:val="bottom"/>
          </w:tcPr>
          <w:p>
            <w:pPr>
              <w:jc w:val="right"/>
              <w:spacing w:after="0"/>
              <w:rPr>
                <w:sz w:val="20"/>
                <w:szCs w:val="20"/>
                <w:color w:val="auto"/>
              </w:rPr>
            </w:pPr>
            <w:r>
              <w:rPr>
                <w:rFonts w:ascii="Arial" w:cs="Arial" w:eastAsia="Arial" w:hAnsi="Arial"/>
                <w:sz w:val="20"/>
                <w:szCs w:val="20"/>
                <w:color w:val="auto"/>
              </w:rPr>
              <w:t>0</w:t>
            </w:r>
          </w:p>
        </w:tc>
        <w:tc>
          <w:tcPr>
            <w:tcW w:w="960" w:type="dxa"/>
            <w:vAlign w:val="bottom"/>
          </w:tcPr>
          <w:p>
            <w:pPr>
              <w:jc w:val="center"/>
              <w:ind w:left="201"/>
              <w:spacing w:after="0"/>
              <w:rPr>
                <w:sz w:val="20"/>
                <w:szCs w:val="20"/>
                <w:color w:val="auto"/>
              </w:rPr>
            </w:pPr>
            <w:r>
              <w:rPr>
                <w:rFonts w:ascii="Arial" w:cs="Arial" w:eastAsia="Arial" w:hAnsi="Arial"/>
                <w:sz w:val="20"/>
                <w:szCs w:val="20"/>
                <w:color w:val="auto"/>
                <w:w w:val="89"/>
              </w:rPr>
              <w:t>0</w:t>
            </w:r>
          </w:p>
        </w:tc>
      </w:tr>
      <w:tr>
        <w:trPr>
          <w:trHeight w:val="243"/>
        </w:trPr>
        <w:tc>
          <w:tcPr>
            <w:tcW w:w="2140" w:type="dxa"/>
            <w:vAlign w:val="bottom"/>
            <w:shd w:val="clear" w:color="auto" w:fill="CFF0FC"/>
          </w:tcPr>
          <w:p>
            <w:pPr>
              <w:spacing w:after="0"/>
              <w:rPr>
                <w:sz w:val="20"/>
                <w:szCs w:val="20"/>
                <w:color w:val="auto"/>
              </w:rPr>
            </w:pPr>
            <w:r>
              <w:rPr>
                <w:rFonts w:ascii="Arial" w:cs="Arial" w:eastAsia="Arial" w:hAnsi="Arial"/>
                <w:sz w:val="20"/>
                <w:szCs w:val="20"/>
                <w:color w:val="auto"/>
              </w:rPr>
              <w:t>Woodville  Stone</w:t>
            </w:r>
          </w:p>
        </w:tc>
        <w:tc>
          <w:tcPr>
            <w:tcW w:w="8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w w:val="89"/>
              </w:rPr>
              <w:t>3300156</w:t>
            </w:r>
          </w:p>
        </w:tc>
        <w:tc>
          <w:tcPr>
            <w:tcW w:w="540" w:type="dxa"/>
            <w:vAlign w:val="bottom"/>
            <w:shd w:val="clear" w:color="auto" w:fill="CFF0FC"/>
          </w:tcPr>
          <w:p>
            <w:pPr>
              <w:jc w:val="center"/>
              <w:ind w:right="21"/>
              <w:spacing w:after="0"/>
              <w:rPr>
                <w:sz w:val="20"/>
                <w:szCs w:val="20"/>
                <w:color w:val="auto"/>
              </w:rPr>
            </w:pPr>
            <w:r>
              <w:rPr>
                <w:rFonts w:ascii="Arial" w:cs="Arial" w:eastAsia="Arial" w:hAnsi="Arial"/>
                <w:sz w:val="20"/>
                <w:szCs w:val="20"/>
                <w:color w:val="auto"/>
                <w:w w:val="89"/>
              </w:rPr>
              <w:t>3</w:t>
            </w:r>
          </w:p>
        </w:tc>
        <w:tc>
          <w:tcPr>
            <w:tcW w:w="62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shd w:val="clear" w:color="auto" w:fill="CFF0FC"/>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shd w:val="clear" w:color="auto" w:fill="CFF0FC"/>
          </w:tcPr>
          <w:p>
            <w:pPr>
              <w:jc w:val="right"/>
              <w:ind w:right="21"/>
              <w:spacing w:after="0"/>
              <w:rPr>
                <w:sz w:val="20"/>
                <w:szCs w:val="20"/>
                <w:color w:val="auto"/>
              </w:rPr>
            </w:pPr>
            <w:r>
              <w:rPr>
                <w:rFonts w:ascii="Arial" w:cs="Arial" w:eastAsia="Arial" w:hAnsi="Arial"/>
                <w:sz w:val="20"/>
                <w:szCs w:val="20"/>
                <w:color w:val="auto"/>
              </w:rPr>
              <w:t>0</w:t>
            </w:r>
          </w:p>
        </w:tc>
        <w:tc>
          <w:tcPr>
            <w:tcW w:w="4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900" w:type="dxa"/>
            <w:vAlign w:val="bottom"/>
            <w:shd w:val="clear" w:color="auto" w:fill="CFF0FC"/>
          </w:tcPr>
          <w:p>
            <w:pPr>
              <w:jc w:val="right"/>
              <w:ind w:right="81"/>
              <w:spacing w:after="0"/>
              <w:rPr>
                <w:sz w:val="20"/>
                <w:szCs w:val="20"/>
                <w:color w:val="auto"/>
              </w:rPr>
            </w:pPr>
            <w:r>
              <w:rPr>
                <w:rFonts w:ascii="Arial" w:cs="Arial" w:eastAsia="Arial" w:hAnsi="Arial"/>
                <w:sz w:val="20"/>
                <w:szCs w:val="20"/>
                <w:color w:val="auto"/>
              </w:rPr>
              <w:t>-</w:t>
            </w:r>
          </w:p>
        </w:tc>
        <w:tc>
          <w:tcPr>
            <w:tcW w:w="540" w:type="dxa"/>
            <w:vAlign w:val="bottom"/>
            <w:shd w:val="clear" w:color="auto" w:fill="CFF0FC"/>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40" w:type="dxa"/>
            <w:vAlign w:val="bottom"/>
            <w:shd w:val="clear" w:color="auto" w:fill="CFF0FC"/>
          </w:tcPr>
          <w:p>
            <w:pPr>
              <w:ind w:left="280"/>
              <w:spacing w:after="0"/>
              <w:rPr>
                <w:sz w:val="20"/>
                <w:szCs w:val="20"/>
                <w:color w:val="auto"/>
              </w:rPr>
            </w:pPr>
            <w:r>
              <w:rPr>
                <w:rFonts w:ascii="Arial" w:cs="Arial" w:eastAsia="Arial" w:hAnsi="Arial"/>
                <w:sz w:val="20"/>
                <w:szCs w:val="20"/>
                <w:color w:val="auto"/>
              </w:rPr>
              <w:t>no</w:t>
            </w:r>
          </w:p>
        </w:tc>
        <w:tc>
          <w:tcPr>
            <w:tcW w:w="760" w:type="dxa"/>
            <w:vAlign w:val="bottom"/>
            <w:shd w:val="clear" w:color="auto" w:fill="CFF0FC"/>
          </w:tcPr>
          <w:p>
            <w:pPr>
              <w:jc w:val="center"/>
              <w:spacing w:after="0"/>
              <w:rPr>
                <w:sz w:val="20"/>
                <w:szCs w:val="20"/>
                <w:color w:val="auto"/>
              </w:rPr>
            </w:pPr>
            <w:r>
              <w:rPr>
                <w:rFonts w:ascii="Arial" w:cs="Arial" w:eastAsia="Arial" w:hAnsi="Arial"/>
                <w:sz w:val="20"/>
                <w:szCs w:val="20"/>
                <w:color w:val="auto"/>
                <w:w w:val="89"/>
              </w:rPr>
              <w:t>3</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w:t>
            </w:r>
          </w:p>
        </w:tc>
        <w:tc>
          <w:tcPr>
            <w:tcW w:w="960" w:type="dxa"/>
            <w:vAlign w:val="bottom"/>
            <w:shd w:val="clear" w:color="auto" w:fill="CFF0FC"/>
          </w:tcPr>
          <w:p>
            <w:pPr>
              <w:jc w:val="center"/>
              <w:ind w:left="201"/>
              <w:spacing w:after="0"/>
              <w:rPr>
                <w:sz w:val="20"/>
                <w:szCs w:val="20"/>
                <w:color w:val="auto"/>
              </w:rPr>
            </w:pPr>
            <w:r>
              <w:rPr>
                <w:rFonts w:ascii="Arial" w:cs="Arial" w:eastAsia="Arial" w:hAnsi="Arial"/>
                <w:sz w:val="20"/>
                <w:szCs w:val="20"/>
                <w:color w:val="auto"/>
                <w:w w:val="89"/>
              </w:rPr>
              <w:t>3</w:t>
            </w:r>
          </w:p>
        </w:tc>
      </w:tr>
      <w:tr>
        <w:trPr>
          <w:trHeight w:val="256"/>
        </w:trPr>
        <w:tc>
          <w:tcPr>
            <w:tcW w:w="2140" w:type="dxa"/>
            <w:vAlign w:val="bottom"/>
          </w:tcPr>
          <w:p>
            <w:pPr>
              <w:spacing w:after="0"/>
              <w:rPr>
                <w:sz w:val="20"/>
                <w:szCs w:val="20"/>
                <w:color w:val="auto"/>
              </w:rPr>
            </w:pPr>
            <w:r>
              <w:rPr>
                <w:rFonts w:ascii="Arial" w:cs="Arial" w:eastAsia="Arial" w:hAnsi="Arial"/>
                <w:sz w:val="20"/>
                <w:szCs w:val="20"/>
                <w:color w:val="auto"/>
              </w:rPr>
              <w:t>TOTALS</w:t>
            </w:r>
          </w:p>
        </w:tc>
        <w:tc>
          <w:tcPr>
            <w:tcW w:w="840" w:type="dxa"/>
            <w:vAlign w:val="bottom"/>
          </w:tcPr>
          <w:p>
            <w:pPr>
              <w:spacing w:after="0"/>
              <w:rPr>
                <w:sz w:val="22"/>
                <w:szCs w:val="22"/>
                <w:color w:val="auto"/>
              </w:rPr>
            </w:pPr>
          </w:p>
        </w:tc>
        <w:tc>
          <w:tcPr>
            <w:tcW w:w="540" w:type="dxa"/>
            <w:vAlign w:val="bottom"/>
          </w:tcPr>
          <w:p>
            <w:pPr>
              <w:jc w:val="center"/>
              <w:ind w:right="41"/>
              <w:spacing w:after="0"/>
              <w:rPr>
                <w:sz w:val="20"/>
                <w:szCs w:val="20"/>
                <w:color w:val="auto"/>
              </w:rPr>
            </w:pPr>
            <w:r>
              <w:rPr>
                <w:rFonts w:ascii="Arial" w:cs="Arial" w:eastAsia="Arial" w:hAnsi="Arial"/>
                <w:sz w:val="20"/>
                <w:szCs w:val="20"/>
                <w:color w:val="auto"/>
                <w:w w:val="89"/>
              </w:rPr>
              <w:t>29</w:t>
            </w:r>
          </w:p>
        </w:tc>
        <w:tc>
          <w:tcPr>
            <w:tcW w:w="62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40" w:type="dxa"/>
            <w:vAlign w:val="bottom"/>
          </w:tcPr>
          <w:p>
            <w:pPr>
              <w:jc w:val="right"/>
              <w:ind w:right="181"/>
              <w:spacing w:after="0"/>
              <w:rPr>
                <w:sz w:val="20"/>
                <w:szCs w:val="20"/>
                <w:color w:val="auto"/>
              </w:rPr>
            </w:pPr>
            <w:r>
              <w:rPr>
                <w:rFonts w:ascii="Arial" w:cs="Arial" w:eastAsia="Arial" w:hAnsi="Arial"/>
                <w:sz w:val="20"/>
                <w:szCs w:val="20"/>
                <w:color w:val="auto"/>
              </w:rPr>
              <w:t>0</w:t>
            </w:r>
          </w:p>
        </w:tc>
        <w:tc>
          <w:tcPr>
            <w:tcW w:w="66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540" w:type="dxa"/>
            <w:vAlign w:val="bottom"/>
          </w:tcPr>
          <w:p>
            <w:pPr>
              <w:jc w:val="right"/>
              <w:ind w:right="81"/>
              <w:spacing w:after="0"/>
              <w:rPr>
                <w:sz w:val="20"/>
                <w:szCs w:val="20"/>
                <w:color w:val="auto"/>
              </w:rPr>
            </w:pPr>
            <w:r>
              <w:rPr>
                <w:rFonts w:ascii="Arial" w:cs="Arial" w:eastAsia="Arial" w:hAnsi="Arial"/>
                <w:sz w:val="20"/>
                <w:szCs w:val="20"/>
                <w:color w:val="auto"/>
              </w:rPr>
              <w:t>0</w:t>
            </w:r>
          </w:p>
        </w:tc>
        <w:tc>
          <w:tcPr>
            <w:tcW w:w="40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ind w:right="81"/>
              <w:spacing w:after="0"/>
              <w:rPr>
                <w:sz w:val="20"/>
                <w:szCs w:val="20"/>
                <w:color w:val="auto"/>
              </w:rPr>
            </w:pPr>
            <w:r>
              <w:rPr>
                <w:rFonts w:ascii="Arial" w:cs="Arial" w:eastAsia="Arial" w:hAnsi="Arial"/>
                <w:sz w:val="20"/>
                <w:szCs w:val="20"/>
                <w:b w:val="1"/>
                <w:bCs w:val="1"/>
                <w:color w:val="auto"/>
              </w:rPr>
              <w:t>13,648</w:t>
            </w:r>
          </w:p>
        </w:tc>
        <w:tc>
          <w:tcPr>
            <w:tcW w:w="540" w:type="dxa"/>
            <w:vAlign w:val="bottom"/>
          </w:tcPr>
          <w:p>
            <w:pPr>
              <w:jc w:val="right"/>
              <w:ind w:right="161"/>
              <w:spacing w:after="0"/>
              <w:rPr>
                <w:sz w:val="20"/>
                <w:szCs w:val="20"/>
                <w:color w:val="auto"/>
              </w:rPr>
            </w:pPr>
            <w:r>
              <w:rPr>
                <w:rFonts w:ascii="Arial" w:cs="Arial" w:eastAsia="Arial" w:hAnsi="Arial"/>
                <w:sz w:val="20"/>
                <w:szCs w:val="20"/>
                <w:color w:val="auto"/>
              </w:rPr>
              <w:t>0</w:t>
            </w: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20"/>
                <w:szCs w:val="20"/>
                <w:color w:val="auto"/>
                <w:w w:val="89"/>
              </w:rPr>
              <w:t>21</w:t>
            </w:r>
          </w:p>
        </w:tc>
        <w:tc>
          <w:tcPr>
            <w:tcW w:w="400" w:type="dxa"/>
            <w:vAlign w:val="bottom"/>
          </w:tcPr>
          <w:p>
            <w:pPr>
              <w:jc w:val="right"/>
              <w:spacing w:after="0"/>
              <w:rPr>
                <w:sz w:val="20"/>
                <w:szCs w:val="20"/>
                <w:color w:val="auto"/>
              </w:rPr>
            </w:pPr>
            <w:r>
              <w:rPr>
                <w:rFonts w:ascii="Arial" w:cs="Arial" w:eastAsia="Arial" w:hAnsi="Arial"/>
                <w:sz w:val="20"/>
                <w:szCs w:val="20"/>
                <w:color w:val="auto"/>
              </w:rPr>
              <w:t>8</w:t>
            </w:r>
          </w:p>
        </w:tc>
        <w:tc>
          <w:tcPr>
            <w:tcW w:w="960" w:type="dxa"/>
            <w:vAlign w:val="bottom"/>
          </w:tcPr>
          <w:p>
            <w:pPr>
              <w:jc w:val="center"/>
              <w:ind w:left="181"/>
              <w:spacing w:after="0"/>
              <w:rPr>
                <w:sz w:val="20"/>
                <w:szCs w:val="20"/>
                <w:color w:val="auto"/>
              </w:rPr>
            </w:pPr>
            <w:r>
              <w:rPr>
                <w:rFonts w:ascii="Arial" w:cs="Arial" w:eastAsia="Arial" w:hAnsi="Arial"/>
                <w:sz w:val="20"/>
                <w:szCs w:val="20"/>
                <w:color w:val="auto"/>
                <w:w w:val="89"/>
              </w:rPr>
              <w:t>13</w:t>
            </w:r>
          </w:p>
        </w:tc>
      </w:tr>
    </w:tbl>
    <w:p>
      <w:pPr>
        <w:spacing w:after="0" w:line="186" w:lineRule="exact"/>
        <w:rPr>
          <w:sz w:val="20"/>
          <w:szCs w:val="20"/>
          <w:color w:val="auto"/>
        </w:rPr>
      </w:pPr>
    </w:p>
    <w:p>
      <w:pPr>
        <w:jc w:val="both"/>
        <w:ind w:firstLine="8"/>
        <w:spacing w:after="0" w:line="250" w:lineRule="auto"/>
        <w:tabs>
          <w:tab w:leader="none" w:pos="167" w:val="left"/>
        </w:tabs>
        <w:numPr>
          <w:ilvl w:val="0"/>
          <w:numId w:val="42"/>
        </w:numPr>
        <w:rPr>
          <w:rFonts w:ascii="Arial" w:cs="Arial" w:eastAsia="Arial" w:hAnsi="Arial"/>
          <w:sz w:val="20"/>
          <w:szCs w:val="20"/>
          <w:color w:val="auto"/>
        </w:rPr>
      </w:pPr>
      <w:r>
        <w:rPr>
          <w:rFonts w:ascii="Arial" w:cs="Arial" w:eastAsia="Arial" w:hAnsi="Arial"/>
          <w:sz w:val="20"/>
          <w:szCs w:val="20"/>
          <w:color w:val="auto"/>
        </w:rPr>
        <w:t>Of the 21 legal actions pending on September 30, 2018, 15 were contests of citations or orders referenced in Subpart B of CFR Part 2700, which includes contests of citations and orders issued under Section 104 of the Mine Act and contests of imminent danger orders under Section 107 of the Mine Act and 6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459105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20"/>
          <w:szCs w:val="20"/>
          <w:color w:val="auto"/>
        </w:rPr>
        <w:t>Appendix 1</w:t>
      </w:r>
    </w:p>
    <w:p>
      <w:pPr>
        <w:spacing w:after="0" w:line="200" w:lineRule="exact"/>
        <w:rPr>
          <w:sz w:val="20"/>
          <w:szCs w:val="20"/>
          <w:color w:val="auto"/>
        </w:rPr>
      </w:pPr>
    </w:p>
    <w:p>
      <w:pPr>
        <w:spacing w:after="0" w:line="23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contests of proposed penalties referenced in Subpart C of 29 CFR Part 2700, which are administrative proceedings before the Commission challenging a civil penalty that MSHA has proposed for the violation contained in a citation or order.</w:t>
      </w:r>
    </w:p>
    <w:sectPr>
      <w:pgSz w:w="11900" w:h="16838" w:orient="portrait"/>
      <w:cols w:equalWidth="0" w:num="1">
        <w:col w:w="11420"/>
      </w:cols>
      <w:pgMar w:left="240" w:top="1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1."/>
      <w:numFmt w:val="decimal"/>
      <w:start w:val="2"/>
    </w:lvl>
  </w:abstractNum>
  <w:abstractNum w:abstractNumId="12">
    <w:nsid w:val="71F32454"/>
    <w:multiLevelType w:val="hybridMultilevel"/>
    <w:lvl w:ilvl="0">
      <w:lvlJc w:val="left"/>
      <w:lvlText w:val="%1."/>
      <w:numFmt w:val="decimal"/>
      <w:start w:val="2"/>
    </w:lvl>
  </w:abstractNum>
  <w:abstractNum w:abstractNumId="13">
    <w:nsid w:val="2CA88611"/>
    <w:multiLevelType w:val="hybridMultilevel"/>
    <w:lvl w:ilvl="0">
      <w:lvlJc w:val="left"/>
      <w:lvlText w:val="%1."/>
      <w:numFmt w:val="decimal"/>
      <w:start w:val="2"/>
    </w:lvl>
  </w:abstractNum>
  <w:abstractNum w:abstractNumId="14">
    <w:nsid w:val="836C40E"/>
    <w:multiLevelType w:val="hybridMultilevel"/>
    <w:lvl w:ilvl="0">
      <w:lvlJc w:val="left"/>
      <w:lvlText w:val="%1."/>
      <w:numFmt w:val="decimal"/>
      <w:start w:val="2"/>
    </w:lvl>
  </w:abstractNum>
  <w:abstractNum w:abstractNumId="15">
    <w:nsid w:val="2901D82"/>
    <w:multiLevelType w:val="hybridMultilevel"/>
    <w:lvl w:ilvl="0">
      <w:lvlJc w:val="left"/>
      <w:lvlText w:val="%1."/>
      <w:numFmt w:val="decimal"/>
      <w:start w:val="3"/>
    </w:lvl>
  </w:abstractNum>
  <w:abstractNum w:abstractNumId="16">
    <w:nsid w:val="3A95F874"/>
    <w:multiLevelType w:val="hybridMultilevel"/>
    <w:lvl w:ilvl="0">
      <w:lvlJc w:val="left"/>
      <w:lvlText w:val="%1."/>
      <w:numFmt w:val="decimal"/>
      <w:start w:val="3"/>
    </w:lvl>
  </w:abstractNum>
  <w:abstractNum w:abstractNumId="17">
    <w:nsid w:val="8138641"/>
    <w:multiLevelType w:val="hybridMultilevel"/>
    <w:lvl w:ilvl="0">
      <w:lvlJc w:val="left"/>
      <w:lvlText w:val="%1."/>
      <w:numFmt w:val="decimal"/>
      <w:start w:val="4"/>
    </w:lvl>
  </w:abstractNum>
  <w:abstractNum w:abstractNumId="18">
    <w:nsid w:val="1E7FF521"/>
    <w:multiLevelType w:val="hybridMultilevel"/>
    <w:lvl w:ilvl="0">
      <w:lvlJc w:val="left"/>
      <w:lvlText w:val="%1."/>
      <w:numFmt w:val="decimal"/>
      <w:start w:val="4"/>
    </w:lvl>
  </w:abstractNum>
  <w:abstractNum w:abstractNumId="19">
    <w:nsid w:val="7C3DBD3D"/>
    <w:multiLevelType w:val="hybridMultilevel"/>
    <w:lvl w:ilvl="0">
      <w:lvlJc w:val="left"/>
      <w:lvlText w:val="%1."/>
      <w:numFmt w:val="decimal"/>
      <w:start w:val="4"/>
    </w:lvl>
  </w:abstractNum>
  <w:abstractNum w:abstractNumId="20">
    <w:nsid w:val="737B8DDC"/>
    <w:multiLevelType w:val="hybridMultilevel"/>
    <w:lvl w:ilvl="0">
      <w:lvlJc w:val="left"/>
      <w:lvlText w:val="%1."/>
      <w:numFmt w:val="decimal"/>
      <w:start w:val="6"/>
    </w:lvl>
  </w:abstractNum>
  <w:abstractNum w:abstractNumId="21">
    <w:nsid w:val="6CEAF087"/>
    <w:multiLevelType w:val="hybridMultilevel"/>
    <w:lvl w:ilvl="0">
      <w:lvlJc w:val="left"/>
      <w:lvlText w:val="%1."/>
      <w:numFmt w:val="decimal"/>
      <w:start w:val="6"/>
    </w:lvl>
  </w:abstractNum>
  <w:abstractNum w:abstractNumId="22">
    <w:nsid w:val="22221A70"/>
    <w:multiLevelType w:val="hybridMultilevel"/>
    <w:lvl w:ilvl="0">
      <w:lvlJc w:val="left"/>
      <w:lvlText w:val="%1."/>
      <w:numFmt w:val="decimal"/>
      <w:start w:val="7"/>
    </w:lvl>
  </w:abstractNum>
  <w:abstractNum w:abstractNumId="23">
    <w:nsid w:val="4516DDE9"/>
    <w:multiLevelType w:val="hybridMultilevel"/>
    <w:lvl w:ilvl="0">
      <w:lvlJc w:val="left"/>
      <w:lvlText w:val="%1."/>
      <w:numFmt w:val="decimal"/>
      <w:start w:val="9"/>
    </w:lvl>
  </w:abstractNum>
  <w:abstractNum w:abstractNumId="24">
    <w:nsid w:val="3006C83E"/>
    <w:multiLevelType w:val="hybridMultilevel"/>
    <w:lvl w:ilvl="0">
      <w:lvlJc w:val="left"/>
      <w:lvlText w:val="%1."/>
      <w:numFmt w:val="decimal"/>
      <w:start w:val="10"/>
    </w:lvl>
  </w:abstractNum>
  <w:abstractNum w:abstractNumId="25">
    <w:nsid w:val="614FD4A1"/>
    <w:multiLevelType w:val="hybridMultilevel"/>
    <w:lvl w:ilvl="0">
      <w:lvlJc w:val="left"/>
      <w:lvlText w:val="%1."/>
      <w:numFmt w:val="decimal"/>
      <w:start w:val="12"/>
    </w:lvl>
  </w:abstractNum>
  <w:abstractNum w:abstractNumId="26">
    <w:nsid w:val="419AC241"/>
    <w:multiLevelType w:val="hybridMultilevel"/>
    <w:lvl w:ilvl="0">
      <w:lvlJc w:val="left"/>
      <w:lvlText w:val="%1."/>
      <w:numFmt w:val="decimal"/>
      <w:start w:val="14"/>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
      <w:numFmt w:val="bullet"/>
      <w:start w:val="1"/>
    </w:lvl>
    <w:lvl w:ilvl="1">
      <w:lvlJc w:val="left"/>
      <w:lvlText w:val="•"/>
      <w:numFmt w:val="bullet"/>
      <w:start w:val="1"/>
    </w:lvl>
  </w:abstractNum>
  <w:abstractNum w:abstractNumId="32">
    <w:nsid w:val="7724C67E"/>
    <w:multiLevelType w:val="hybridMultilevel"/>
    <w:lvl w:ilvl="0">
      <w:lvlJc w:val="left"/>
      <w:lvlText w:val="%1"/>
      <w:numFmt w:val="decimal"/>
      <w:start w:val="95"/>
    </w:lvl>
  </w:abstractNum>
  <w:abstractNum w:abstractNumId="33">
    <w:nsid w:val="5C482A97"/>
    <w:multiLevelType w:val="hybridMultilevel"/>
    <w:lvl w:ilvl="0">
      <w:lvlJc w:val="left"/>
      <w:lvlText w:val="%1."/>
      <w:numFmt w:val="decimal"/>
      <w:start w:val="1"/>
    </w:lvl>
    <w:lvl w:ilvl="1">
      <w:lvlJc w:val="left"/>
      <w:lvlText w:val="%2."/>
      <w:numFmt w:val="lowerLetter"/>
      <w:start w:val="1"/>
    </w:lvl>
  </w:abstractNum>
  <w:abstractNum w:abstractNumId="34">
    <w:nsid w:val="2463B9EA"/>
    <w:multiLevelType w:val="hybridMultilevel"/>
    <w:lvl w:ilvl="0">
      <w:lvlJc w:val="left"/>
      <w:lvlText w:val="%1."/>
      <w:numFmt w:val="decimal"/>
      <w:start w:val="5"/>
    </w:lvl>
    <w:lvl w:ilvl="1">
      <w:lvlJc w:val="left"/>
      <w:lvlText w:val="%2."/>
      <w:numFmt w:val="lowerLetter"/>
      <w:start w:val="1"/>
    </w:lvl>
  </w:abstractNum>
  <w:abstractNum w:abstractNumId="35">
    <w:nsid w:val="5E884ADC"/>
    <w:multiLevelType w:val="hybridMultilevel"/>
    <w:lvl w:ilvl="0">
      <w:lvlJc w:val="left"/>
      <w:lvlText w:val="%1."/>
      <w:numFmt w:val="decimal"/>
      <w:start w:val="1"/>
    </w:lvl>
    <w:lvl w:ilvl="1">
      <w:lvlJc w:val="left"/>
      <w:lvlText w:val="%2."/>
      <w:numFmt w:val="lowerLetter"/>
      <w:start w:val="1"/>
    </w:lvl>
  </w:abstractNum>
  <w:abstractNum w:abstractNumId="36">
    <w:nsid w:val="51EAD36B"/>
    <w:multiLevelType w:val="hybridMultilevel"/>
    <w:lvl w:ilvl="0">
      <w:lvlJc w:val="left"/>
      <w:lvlText w:val="%1."/>
      <w:numFmt w:val="decimal"/>
      <w:start w:val="5"/>
    </w:lvl>
    <w:lvl w:ilvl="1">
      <w:lvlJc w:val="left"/>
      <w:lvlText w:val="%2."/>
      <w:numFmt w:val="lowerLetter"/>
      <w:start w:val="1"/>
    </w:lvl>
  </w:abstractNum>
  <w:abstractNum w:abstractNumId="37">
    <w:nsid w:val="2D517796"/>
    <w:multiLevelType w:val="hybridMultilevel"/>
    <w:lvl w:ilvl="0">
      <w:lvlJc w:val="left"/>
      <w:lvlText w:val="(%1)"/>
      <w:numFmt w:val="decimal"/>
      <w:start w:val="1"/>
    </w:lvl>
  </w:abstractNum>
  <w:abstractNum w:abstractNumId="38">
    <w:nsid w:val="580BD78F"/>
    <w:multiLevelType w:val="hybridMultilevel"/>
    <w:lvl w:ilvl="0">
      <w:lvlJc w:val="left"/>
      <w:lvlText w:val="(%1)"/>
      <w:numFmt w:val="decimal"/>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
      <w:numFmt w:val="bullet"/>
      <w:start w:val="1"/>
    </w:lvl>
  </w:abstractNum>
  <w:abstractNum w:abstractNumId="41">
    <w:nsid w:val="70A64E2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98" Type="http://schemas.openxmlformats.org/officeDocument/2006/relationships/hyperlink" Target="http://www.sec.gov/Archives/edgar/data/0000916076/000095015718001002/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2019-12-28T18:25:22Z</dcterms:created>
  <dcterms:modified xsi:type="dcterms:W3CDTF">2019-12-28T18:25:22Z</dcterms:modified>
</cp:coreProperties>
</file>