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auto"/>
        </w:rPr>
        <w:t>UNITED STATES</w:t>
      </w:r>
    </w:p>
    <w:p>
      <w:pPr>
        <w:jc w:val="center"/>
        <w:spacing w:after="0" w:line="238" w:lineRule="auto"/>
        <w:rPr>
          <w:sz w:val="20"/>
          <w:szCs w:val="20"/>
          <w:color w:val="auto"/>
        </w:rPr>
      </w:pPr>
      <w:r>
        <w:rPr>
          <w:rFonts w:ascii="Calibri" w:cs="Calibri" w:eastAsia="Calibri" w:hAnsi="Calibri"/>
          <w:sz w:val="20"/>
          <w:szCs w:val="20"/>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FORM 10-Q</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QUARTERLY REPORT PURSUANT TO SECTION 13 OR 15(d) OF THE SECURITIES EXCHANGE ACT OF 1934</w:t>
      </w:r>
    </w:p>
    <w:p>
      <w:pPr>
        <w:spacing w:after="0" w:line="9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 the quarterly period ended June 30, 2024</w:t>
      </w:r>
    </w:p>
    <w:p>
      <w:pPr>
        <w:spacing w:after="0" w:line="5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OR</w:t>
      </w:r>
    </w:p>
    <w:p>
      <w:pPr>
        <w:spacing w:after="0" w:line="12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Calibri" w:cs="Calibri" w:eastAsia="Calibri" w:hAnsi="Calibri"/>
          <w:sz w:val="20"/>
          <w:szCs w:val="20"/>
          <w:b w:val="1"/>
          <w:bCs w:val="1"/>
          <w:color w:val="auto"/>
        </w:rPr>
        <w:t>TRANSITION REPORT PURSUANT TO SECTION 13 OR 15(d) OF THE SECURITIES EXCHANGE ACT OF 1934</w:t>
      </w:r>
    </w:p>
    <w:p>
      <w:pPr>
        <w:spacing w:after="0" w:line="93" w:lineRule="exact"/>
        <w:rPr>
          <w:sz w:val="24"/>
          <w:szCs w:val="24"/>
          <w:color w:val="auto"/>
        </w:rPr>
      </w:pPr>
    </w:p>
    <w:p>
      <w:pPr>
        <w:ind w:left="3220"/>
        <w:spacing w:after="0"/>
        <w:tabs>
          <w:tab w:leader="none" w:pos="7720" w:val="left"/>
        </w:tabs>
        <w:rPr>
          <w:sz w:val="20"/>
          <w:szCs w:val="20"/>
          <w:color w:val="auto"/>
        </w:rPr>
      </w:pPr>
      <w:r>
        <w:rPr>
          <w:rFonts w:ascii="Calibri" w:cs="Calibri" w:eastAsia="Calibri" w:hAnsi="Calibri"/>
          <w:sz w:val="20"/>
          <w:szCs w:val="20"/>
          <w:b w:val="1"/>
          <w:bCs w:val="1"/>
          <w:color w:val="auto"/>
        </w:rPr>
        <w:t>For the transiton period from</w:t>
      </w:r>
      <w:r>
        <w:rPr>
          <w:sz w:val="20"/>
          <w:szCs w:val="20"/>
          <w:color w:val="auto"/>
        </w:rPr>
        <w:tab/>
      </w:r>
      <w:r>
        <w:rPr>
          <w:rFonts w:ascii="Calibri" w:cs="Calibri" w:eastAsia="Calibri" w:hAnsi="Calibri"/>
          <w:sz w:val="20"/>
          <w:szCs w:val="20"/>
          <w:b w:val="1"/>
          <w:bCs w:val="1"/>
          <w:color w:val="auto"/>
        </w:rPr>
        <w:t>to</w:t>
      </w:r>
    </w:p>
    <w:p>
      <w:pPr>
        <w:spacing w:after="0" w:line="10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MARTIN MARIETTA MATERIALS, INC.</w:t>
      </w:r>
    </w:p>
    <w:p>
      <w:pPr>
        <w:jc w:val="center"/>
        <w:spacing w:after="0" w:line="238" w:lineRule="auto"/>
        <w:rPr>
          <w:sz w:val="20"/>
          <w:szCs w:val="20"/>
          <w:color w:val="auto"/>
        </w:rPr>
      </w:pPr>
      <w:r>
        <w:rPr>
          <w:rFonts w:ascii="Calibri" w:cs="Calibri" w:eastAsia="Calibri" w:hAnsi="Calibri"/>
          <w:sz w:val="20"/>
          <w:szCs w:val="20"/>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3" w:lineRule="exact"/>
        <w:rPr>
          <w:sz w:val="24"/>
          <w:szCs w:val="24"/>
          <w:color w:val="auto"/>
        </w:rPr>
      </w:pPr>
    </w:p>
    <w:tbl>
      <w:tblPr>
        <w:tblLayout w:type="fixed"/>
        <w:tblInd w:w="1260" w:type="dxa"/>
        <w:tblCellMar>
          <w:top w:w="0" w:type="dxa"/>
          <w:left w:w="0" w:type="dxa"/>
          <w:bottom w:w="0" w:type="dxa"/>
          <w:right w:w="0" w:type="dxa"/>
        </w:tblCellMar>
      </w:tblPr>
      <w:tr>
        <w:trPr>
          <w:trHeight w:val="244"/>
        </w:trPr>
        <w:tc>
          <w:tcPr>
            <w:tcW w:w="4700" w:type="dxa"/>
            <w:vAlign w:val="bottom"/>
          </w:tcPr>
          <w:p>
            <w:pPr>
              <w:jc w:val="center"/>
              <w:ind w:right="1499"/>
              <w:spacing w:after="0"/>
              <w:rPr>
                <w:sz w:val="20"/>
                <w:szCs w:val="20"/>
                <w:color w:val="auto"/>
              </w:rPr>
            </w:pPr>
            <w:r>
              <w:rPr>
                <w:rFonts w:ascii="Calibri" w:cs="Calibri" w:eastAsia="Calibri" w:hAnsi="Calibri"/>
                <w:sz w:val="20"/>
                <w:szCs w:val="20"/>
                <w:b w:val="1"/>
                <w:bCs w:val="1"/>
                <w:color w:val="auto"/>
              </w:rPr>
              <w:t>North Carolina</w:t>
            </w:r>
          </w:p>
        </w:tc>
        <w:tc>
          <w:tcPr>
            <w:tcW w:w="3380" w:type="dxa"/>
            <w:vAlign w:val="bottom"/>
          </w:tcPr>
          <w:p>
            <w:pPr>
              <w:jc w:val="right"/>
              <w:ind w:right="339"/>
              <w:spacing w:after="0"/>
              <w:rPr>
                <w:sz w:val="20"/>
                <w:szCs w:val="20"/>
                <w:color w:val="auto"/>
              </w:rPr>
            </w:pPr>
            <w:r>
              <w:rPr>
                <w:rFonts w:ascii="Calibri" w:cs="Calibri" w:eastAsia="Calibri" w:hAnsi="Calibri"/>
                <w:sz w:val="20"/>
                <w:szCs w:val="20"/>
                <w:b w:val="1"/>
                <w:bCs w:val="1"/>
                <w:color w:val="auto"/>
              </w:rPr>
              <w:t>56-1848578</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w w:val="99"/>
              </w:rPr>
              <w:t>(State or other jurisdicton of incorporaton or organizaton)</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rPr>
              <w:t>(I.R.S. Employer Identfcaton No.)</w:t>
            </w:r>
          </w:p>
        </w:tc>
      </w:tr>
      <w:tr>
        <w:trPr>
          <w:trHeight w:val="261"/>
        </w:trPr>
        <w:tc>
          <w:tcPr>
            <w:tcW w:w="4700" w:type="dxa"/>
            <w:vAlign w:val="bottom"/>
          </w:tcPr>
          <w:p>
            <w:pPr>
              <w:jc w:val="center"/>
              <w:ind w:right="1519"/>
              <w:spacing w:after="0"/>
              <w:rPr>
                <w:sz w:val="20"/>
                <w:szCs w:val="20"/>
                <w:color w:val="auto"/>
              </w:rPr>
            </w:pPr>
            <w:r>
              <w:rPr>
                <w:rFonts w:ascii="Calibri" w:cs="Calibri" w:eastAsia="Calibri" w:hAnsi="Calibri"/>
                <w:sz w:val="20"/>
                <w:szCs w:val="20"/>
                <w:b w:val="1"/>
                <w:bCs w:val="1"/>
                <w:color w:val="auto"/>
              </w:rPr>
              <w:t>4123 Parklake Avenue, Raleigh, NC</w:t>
            </w:r>
          </w:p>
        </w:tc>
        <w:tc>
          <w:tcPr>
            <w:tcW w:w="3380" w:type="dxa"/>
            <w:vAlign w:val="bottom"/>
          </w:tcPr>
          <w:p>
            <w:pPr>
              <w:jc w:val="right"/>
              <w:ind w:right="579"/>
              <w:spacing w:after="0"/>
              <w:rPr>
                <w:sz w:val="20"/>
                <w:szCs w:val="20"/>
                <w:color w:val="auto"/>
              </w:rPr>
            </w:pPr>
            <w:r>
              <w:rPr>
                <w:rFonts w:ascii="Calibri" w:cs="Calibri" w:eastAsia="Calibri" w:hAnsi="Calibri"/>
                <w:sz w:val="20"/>
                <w:szCs w:val="20"/>
                <w:b w:val="1"/>
                <w:bCs w:val="1"/>
                <w:color w:val="auto"/>
              </w:rPr>
              <w:t>27612</w:t>
            </w:r>
          </w:p>
        </w:tc>
      </w:tr>
      <w:tr>
        <w:trPr>
          <w:trHeight w:val="198"/>
        </w:trPr>
        <w:tc>
          <w:tcPr>
            <w:tcW w:w="4700" w:type="dxa"/>
            <w:vAlign w:val="bottom"/>
          </w:tcPr>
          <w:p>
            <w:pPr>
              <w:jc w:val="center"/>
              <w:ind w:right="1499"/>
              <w:spacing w:after="0"/>
              <w:rPr>
                <w:sz w:val="20"/>
                <w:szCs w:val="20"/>
                <w:color w:val="auto"/>
              </w:rPr>
            </w:pPr>
            <w:r>
              <w:rPr>
                <w:rFonts w:ascii="Calibri" w:cs="Calibri" w:eastAsia="Calibri" w:hAnsi="Calibri"/>
                <w:sz w:val="13"/>
                <w:szCs w:val="13"/>
                <w:b w:val="1"/>
                <w:bCs w:val="1"/>
                <w:color w:val="auto"/>
              </w:rPr>
              <w:t>(Address of principal executve ofces)</w:t>
            </w:r>
          </w:p>
        </w:tc>
        <w:tc>
          <w:tcPr>
            <w:tcW w:w="3380" w:type="dxa"/>
            <w:vAlign w:val="bottom"/>
          </w:tcPr>
          <w:p>
            <w:pPr>
              <w:jc w:val="center"/>
              <w:ind w:left="1479"/>
              <w:spacing w:after="0"/>
              <w:rPr>
                <w:sz w:val="20"/>
                <w:szCs w:val="20"/>
                <w:color w:val="auto"/>
              </w:rPr>
            </w:pPr>
            <w:r>
              <w:rPr>
                <w:rFonts w:ascii="Calibri" w:cs="Calibri" w:eastAsia="Calibri" w:hAnsi="Calibri"/>
                <w:sz w:val="13"/>
                <w:szCs w:val="13"/>
                <w:b w:val="1"/>
                <w:bCs w:val="1"/>
                <w:color w:val="auto"/>
                <w:w w:val="98"/>
              </w:rPr>
              <w:t>(Zip Code)</w:t>
            </w:r>
          </w:p>
        </w:tc>
      </w:tr>
    </w:tbl>
    <w:p>
      <w:pPr>
        <w:spacing w:after="0" w:line="71"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ind w:left="600"/>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6"/>
        </w:trPr>
        <w:tc>
          <w:tcPr>
            <w:tcW w:w="4280" w:type="dxa"/>
            <w:vAlign w:val="bottom"/>
          </w:tcPr>
          <w:p>
            <w:pPr>
              <w:jc w:val="center"/>
              <w:spacing w:after="0"/>
              <w:rPr>
                <w:sz w:val="20"/>
                <w:szCs w:val="20"/>
                <w:color w:val="auto"/>
              </w:rPr>
            </w:pPr>
            <w:r>
              <w:rPr>
                <w:rFonts w:ascii="Calibri" w:cs="Calibri" w:eastAsia="Calibri" w:hAnsi="Calibri"/>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7"/>
        </w:trPr>
        <w:tc>
          <w:tcPr>
            <w:tcW w:w="428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(Par Value $0.01)</w:t>
            </w:r>
          </w:p>
        </w:tc>
        <w:tc>
          <w:tcPr>
            <w:tcW w:w="120" w:type="dxa"/>
            <w:vAlign w:val="bottom"/>
          </w:tcPr>
          <w:p>
            <w:pPr>
              <w:spacing w:after="0"/>
              <w:rPr>
                <w:sz w:val="16"/>
                <w:szCs w:val="16"/>
                <w:color w:val="auto"/>
              </w:rPr>
            </w:pPr>
          </w:p>
        </w:tc>
        <w:tc>
          <w:tcPr>
            <w:tcW w:w="168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MLM</w:t>
            </w:r>
          </w:p>
        </w:tc>
        <w:tc>
          <w:tcPr>
            <w:tcW w:w="120" w:type="dxa"/>
            <w:vAlign w:val="bottom"/>
          </w:tcPr>
          <w:p>
            <w:pPr>
              <w:spacing w:after="0"/>
              <w:rPr>
                <w:sz w:val="16"/>
                <w:szCs w:val="16"/>
                <w:color w:val="auto"/>
              </w:rPr>
            </w:pPr>
          </w:p>
        </w:tc>
        <w:tc>
          <w:tcPr>
            <w:tcW w:w="504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The New York Stock Exchange</w:t>
            </w:r>
          </w:p>
        </w:tc>
      </w:tr>
    </w:tbl>
    <w:p>
      <w:pPr>
        <w:spacing w:after="0" w:line="125" w:lineRule="exact"/>
        <w:rPr>
          <w:sz w:val="24"/>
          <w:szCs w:val="24"/>
          <w:color w:val="auto"/>
        </w:rPr>
      </w:pPr>
    </w:p>
    <w:p>
      <w:pPr>
        <w:jc w:val="both"/>
        <w:ind w:firstLine="599"/>
        <w:spacing w:after="0" w:line="215"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ind w:right="20" w:firstLine="599"/>
        <w:spacing w:after="0" w:line="218"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0" w:firstLine="599"/>
        <w:spacing w:after="0" w:line="247"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70" w:lineRule="exact"/>
        <w:rPr>
          <w:sz w:val="24"/>
          <w:szCs w:val="24"/>
          <w:color w:val="auto"/>
        </w:rPr>
      </w:pPr>
    </w:p>
    <w:p>
      <w:pPr>
        <w:ind w:right="20" w:firstLine="599"/>
        <w:spacing w:after="0" w:line="222"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120"/>
        <w:spacing w:after="0" w:line="267"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the number of shares outstanding of each of the issuer’s classes of Common Stock, as of the latest practcable date.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Pr>
          <w:p>
            <w:pPr>
              <w:jc w:val="center"/>
              <w:spacing w:after="0"/>
              <w:rPr>
                <w:sz w:val="20"/>
                <w:szCs w:val="20"/>
                <w:color w:val="auto"/>
              </w:rPr>
            </w:pPr>
            <w:r>
              <w:rPr>
                <w:rFonts w:ascii="Calibri" w:cs="Calibri" w:eastAsia="Calibri" w:hAnsi="Calibri"/>
                <w:sz w:val="14"/>
                <w:szCs w:val="14"/>
                <w:b w:val="1"/>
                <w:bCs w:val="1"/>
                <w:color w:val="auto"/>
              </w:rPr>
              <w:t>Class</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as of August 5, 2024</w:t>
            </w:r>
          </w:p>
        </w:tc>
        <w:tc>
          <w:tcPr>
            <w:tcW w:w="0" w:type="dxa"/>
            <w:vAlign w:val="bottom"/>
          </w:tcPr>
          <w:p>
            <w:pPr>
              <w:spacing w:after="0"/>
              <w:rPr>
                <w:sz w:val="1"/>
                <w:szCs w:val="1"/>
                <w:color w:val="auto"/>
              </w:rPr>
            </w:pPr>
          </w:p>
        </w:tc>
      </w:tr>
      <w:tr>
        <w:trPr>
          <w:trHeight w:val="34"/>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20" w:type="dxa"/>
            <w:vAlign w:val="bottom"/>
            <w:vMerge w:val="continue"/>
          </w:tcPr>
          <w:p>
            <w:pPr>
              <w:spacing w:after="0"/>
              <w:rPr>
                <w:sz w:val="16"/>
                <w:szCs w:val="16"/>
                <w:color w:val="auto"/>
              </w:rPr>
            </w:pPr>
          </w:p>
        </w:tc>
        <w:tc>
          <w:tcPr>
            <w:tcW w:w="5500" w:type="dxa"/>
            <w:vAlign w:val="bottom"/>
          </w:tcPr>
          <w:p>
            <w:pPr>
              <w:jc w:val="right"/>
              <w:ind w:right="2304"/>
              <w:spacing w:after="0" w:line="187" w:lineRule="exact"/>
              <w:rPr>
                <w:sz w:val="20"/>
                <w:szCs w:val="20"/>
                <w:color w:val="auto"/>
              </w:rPr>
            </w:pPr>
            <w:r>
              <w:rPr>
                <w:rFonts w:ascii="Calibri" w:cs="Calibri" w:eastAsia="Calibri" w:hAnsi="Calibri"/>
                <w:sz w:val="16"/>
                <w:szCs w:val="16"/>
                <w:color w:val="auto"/>
              </w:rPr>
              <w:t>61,117,053</w:t>
            </w:r>
          </w:p>
        </w:tc>
        <w:tc>
          <w:tcPr>
            <w:tcW w:w="0" w:type="dxa"/>
            <w:vAlign w:val="bottom"/>
          </w:tcPr>
          <w:p>
            <w:pPr>
              <w:spacing w:after="0"/>
              <w:rPr>
                <w:sz w:val="1"/>
                <w:szCs w:val="1"/>
                <w:color w:val="auto"/>
              </w:rPr>
            </w:pPr>
          </w:p>
        </w:tc>
      </w:tr>
      <w:tr>
        <w:trPr>
          <w:trHeight w:val="1366"/>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 w:name="page2"/>
    <w:bookmarkEnd w:id="1"/>
    <w:p>
      <w:pPr>
        <w:jc w:val="center"/>
        <w:ind w:right="6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60"/>
        <w:spacing w:after="0" w:line="238" w:lineRule="auto"/>
        <w:rPr>
          <w:sz w:val="20"/>
          <w:szCs w:val="20"/>
          <w:color w:val="auto"/>
        </w:rPr>
      </w:pPr>
      <w:r>
        <w:rPr>
          <w:rFonts w:ascii="Calibri" w:cs="Calibri" w:eastAsia="Calibri" w:hAnsi="Calibri"/>
          <w:sz w:val="20"/>
          <w:szCs w:val="20"/>
          <w:color w:val="auto"/>
        </w:rPr>
        <w:t>FORM 10-Q</w:t>
      </w:r>
    </w:p>
    <w:p>
      <w:pPr>
        <w:jc w:val="center"/>
        <w:ind w:right="20"/>
        <w:spacing w:after="0"/>
        <w:rPr>
          <w:sz w:val="20"/>
          <w:szCs w:val="20"/>
          <w:color w:val="auto"/>
        </w:rPr>
      </w:pPr>
      <w:r>
        <w:rPr>
          <w:rFonts w:ascii="Calibri" w:cs="Calibri" w:eastAsia="Calibri" w:hAnsi="Calibri"/>
          <w:sz w:val="20"/>
          <w:szCs w:val="20"/>
          <w:color w:val="auto"/>
        </w:rPr>
        <w:t>For the Quarter Ended June 30, 2024</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Page</w:t>
            </w:r>
          </w:p>
        </w:tc>
        <w:tc>
          <w:tcPr>
            <w:tcW w:w="0" w:type="dxa"/>
            <w:vAlign w:val="bottom"/>
          </w:tcPr>
          <w:p>
            <w:pPr>
              <w:spacing w:after="0"/>
              <w:rPr>
                <w:sz w:val="1"/>
                <w:szCs w:val="1"/>
                <w:color w:val="auto"/>
              </w:rPr>
            </w:pPr>
          </w:p>
        </w:tc>
      </w:tr>
      <w:tr>
        <w:trPr>
          <w:trHeight w:val="47"/>
        </w:trPr>
        <w:tc>
          <w:tcPr>
            <w:tcW w:w="10660" w:type="dxa"/>
            <w:vAlign w:val="bottom"/>
            <w:gridSpan w:val="19"/>
            <w:vMerge w:val="restart"/>
          </w:tcPr>
          <w:p>
            <w:pPr>
              <w:spacing w:after="0"/>
              <w:rPr>
                <w:sz w:val="20"/>
                <w:szCs w:val="20"/>
                <w:color w:val="auto"/>
              </w:rPr>
            </w:pPr>
            <w:r>
              <w:rPr>
                <w:rFonts w:ascii="Calibri" w:cs="Calibri" w:eastAsia="Calibri" w:hAnsi="Calibri"/>
                <w:sz w:val="20"/>
                <w:szCs w:val="20"/>
                <w:color w:val="auto"/>
              </w:rPr>
              <w:t>Part I. Financial Informaton:</w:t>
            </w: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60" w:type="dxa"/>
            <w:vAlign w:val="bottom"/>
            <w:gridSpan w:val="19"/>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1.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Calibri" w:cs="Calibri" w:eastAsia="Calibri" w:hAnsi="Calibri"/>
                <w:sz w:val="20"/>
                <w:szCs w:val="20"/>
                <w:color w:val="0000FF"/>
              </w:rPr>
              <w:t>Consolidated Balance Sheets – June 30, 2024 and December 31,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Calibri" w:cs="Calibri" w:eastAsia="Calibri" w:hAnsi="Calibri"/>
                <w:sz w:val="20"/>
                <w:szCs w:val="20"/>
                <w:color w:val="0000FF"/>
              </w:rPr>
              <w:t>Consolidated Statements of Earnings and Comprehensive Earnings – Three and Six Months Ended June 30,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EE"/>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Calibri" w:cs="Calibri" w:eastAsia="Calibri" w:hAnsi="Calibri"/>
                <w:sz w:val="20"/>
                <w:szCs w:val="20"/>
                <w:color w:val="0000FF"/>
              </w:rPr>
              <w:t>Consolidated Statements of Cash Flows – Six Months Ended June 30,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Calibri" w:cs="Calibri" w:eastAsia="Calibri" w:hAnsi="Calibri"/>
                <w:sz w:val="20"/>
                <w:szCs w:val="20"/>
                <w:color w:val="0000FF"/>
              </w:rPr>
              <w:t>Consolidated Statements of Total Equity – Three and Six Months Ended June 30, 2024 and 2023</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17"/>
          </w:tcPr>
          <w:p>
            <w:pPr>
              <w:spacing w:after="0"/>
              <w:rPr>
                <w:sz w:val="20"/>
                <w:szCs w:val="20"/>
                <w:color w:val="auto"/>
              </w:rPr>
            </w:pPr>
            <w:r>
              <w:rPr>
                <w:rFonts w:ascii="Calibri" w:cs="Calibri" w:eastAsia="Calibri" w:hAnsi="Calibri"/>
                <w:sz w:val="20"/>
                <w:szCs w:val="20"/>
                <w:color w:val="0000FF"/>
              </w:rPr>
              <w:t>Notes to Consolidated Financial Statements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2. Management’s Discussion and Analysis of Financial Conditon and Results of Operatons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26</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3. Quanttatve and Qualitatve Disclosures About Market Risk</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4. Controls and Procedures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660" w:type="dxa"/>
            <w:vAlign w:val="bottom"/>
            <w:gridSpan w:val="19"/>
          </w:tcPr>
          <w:p>
            <w:pPr>
              <w:spacing w:after="0"/>
              <w:rPr>
                <w:sz w:val="20"/>
                <w:szCs w:val="20"/>
                <w:color w:val="auto"/>
              </w:rPr>
            </w:pPr>
            <w:r>
              <w:rPr>
                <w:rFonts w:ascii="Calibri" w:cs="Calibri" w:eastAsia="Calibri" w:hAnsi="Calibri"/>
                <w:sz w:val="20"/>
                <w:szCs w:val="20"/>
                <w:color w:val="auto"/>
              </w:rPr>
              <w:t>Part II. Other Informaton: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1.</w:t>
            </w:r>
          </w:p>
        </w:tc>
        <w:tc>
          <w:tcPr>
            <w:tcW w:w="9800" w:type="dxa"/>
            <w:vAlign w:val="bottom"/>
            <w:gridSpan w:val="16"/>
          </w:tcPr>
          <w:p>
            <w:pPr>
              <w:spacing w:after="0"/>
              <w:rPr>
                <w:sz w:val="20"/>
                <w:szCs w:val="20"/>
                <w:color w:val="auto"/>
              </w:rPr>
            </w:pPr>
            <w:r>
              <w:rPr>
                <w:rFonts w:ascii="Calibri" w:cs="Calibri" w:eastAsia="Calibri" w:hAnsi="Calibri"/>
                <w:sz w:val="20"/>
                <w:szCs w:val="20"/>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1A. Risk Factors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2.</w:t>
            </w:r>
          </w:p>
        </w:tc>
        <w:tc>
          <w:tcPr>
            <w:tcW w:w="9800" w:type="dxa"/>
            <w:vAlign w:val="bottom"/>
            <w:gridSpan w:val="16"/>
          </w:tcPr>
          <w:p>
            <w:pPr>
              <w:spacing w:after="0"/>
              <w:rPr>
                <w:sz w:val="20"/>
                <w:szCs w:val="20"/>
                <w:color w:val="auto"/>
              </w:rPr>
            </w:pPr>
            <w:r>
              <w:rPr>
                <w:rFonts w:ascii="Calibri" w:cs="Calibri" w:eastAsia="Calibri" w:hAnsi="Calibri"/>
                <w:sz w:val="20"/>
                <w:szCs w:val="20"/>
                <w:color w:val="0000FF"/>
              </w:rPr>
              <w:t>Unregistered Sales of Equity Securites and Use of Proceeds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4.</w:t>
            </w:r>
          </w:p>
        </w:tc>
        <w:tc>
          <w:tcPr>
            <w:tcW w:w="9800" w:type="dxa"/>
            <w:vAlign w:val="bottom"/>
            <w:gridSpan w:val="16"/>
          </w:tcPr>
          <w:p>
            <w:pPr>
              <w:spacing w:after="0"/>
              <w:rPr>
                <w:sz w:val="20"/>
                <w:szCs w:val="20"/>
                <w:color w:val="auto"/>
              </w:rPr>
            </w:pPr>
            <w:r>
              <w:rPr>
                <w:rFonts w:ascii="Calibri" w:cs="Calibri" w:eastAsia="Calibri" w:hAnsi="Calibri"/>
                <w:sz w:val="20"/>
                <w:szCs w:val="20"/>
                <w:color w:val="0000FF"/>
              </w:rPr>
              <w:t>Mine Safety Disclosures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Calibri" w:cs="Calibri" w:eastAsia="Calibri" w:hAnsi="Calibri"/>
                <w:sz w:val="20"/>
                <w:szCs w:val="20"/>
                <w:color w:val="0000FF"/>
              </w:rPr>
              <w:t>Item 5. Other Informaton</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3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6.</w:t>
            </w:r>
          </w:p>
        </w:tc>
        <w:tc>
          <w:tcPr>
            <w:tcW w:w="9800" w:type="dxa"/>
            <w:vAlign w:val="bottom"/>
            <w:gridSpan w:val="16"/>
          </w:tcPr>
          <w:p>
            <w:pPr>
              <w:spacing w:after="0"/>
              <w:rPr>
                <w:sz w:val="20"/>
                <w:szCs w:val="20"/>
                <w:color w:val="auto"/>
              </w:rPr>
            </w:pPr>
            <w:r>
              <w:rPr>
                <w:rFonts w:ascii="Calibri" w:cs="Calibri" w:eastAsia="Calibri" w:hAnsi="Calibri"/>
                <w:sz w:val="20"/>
                <w:szCs w:val="20"/>
                <w:color w:val="0000FF"/>
              </w:rPr>
              <w:t>Exhibits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18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60" w:type="dxa"/>
            <w:vAlign w:val="bottom"/>
            <w:gridSpan w:val="19"/>
          </w:tcPr>
          <w:p>
            <w:pPr>
              <w:spacing w:after="0"/>
              <w:rPr>
                <w:sz w:val="20"/>
                <w:szCs w:val="20"/>
                <w:color w:val="auto"/>
              </w:rPr>
            </w:pPr>
            <w:r>
              <w:rPr>
                <w:rFonts w:ascii="Calibri" w:cs="Calibri" w:eastAsia="Calibri" w:hAnsi="Calibri"/>
                <w:sz w:val="20"/>
                <w:szCs w:val="20"/>
                <w:color w:val="0000FF"/>
              </w:rPr>
              <w:t>Signatures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41</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Page 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9" w:right="339" w:bottom="1440" w:gutter="0" w:footer="0" w:header="0"/>
        </w:sectPr>
      </w:pPr>
    </w:p>
    <w:bookmarkStart w:id="2" w:name="page3"/>
    <w:bookmarkEnd w:id="2"/>
    <w:p>
      <w:pPr>
        <w:jc w:val="center"/>
        <w:ind w:right="-179"/>
        <w:spacing w:after="0"/>
        <w:rPr>
          <w:sz w:val="20"/>
          <w:szCs w:val="20"/>
          <w:color w:val="auto"/>
        </w:rPr>
      </w:pPr>
      <w:r>
        <w:rPr>
          <w:rFonts w:ascii="Calibri" w:cs="Calibri" w:eastAsia="Calibri" w:hAnsi="Calibri"/>
          <w:sz w:val="20"/>
          <w:szCs w:val="20"/>
          <w:color w:val="auto"/>
        </w:rPr>
        <w:t>PART I. FINANCIAL INFORMATION</w:t>
      </w:r>
    </w:p>
    <w:p>
      <w:pPr>
        <w:spacing w:after="0" w:line="238" w:lineRule="auto"/>
        <w:rPr>
          <w:sz w:val="20"/>
          <w:szCs w:val="20"/>
          <w:color w:val="auto"/>
        </w:rPr>
      </w:pPr>
      <w:r>
        <w:rPr>
          <w:rFonts w:ascii="Calibri" w:cs="Calibri" w:eastAsia="Calibri" w:hAnsi="Calibri"/>
          <w:sz w:val="20"/>
          <w:szCs w:val="20"/>
          <w:color w:val="auto"/>
        </w:rPr>
        <w:t>Item 1. Financial Statements.</w:t>
      </w:r>
    </w:p>
    <w:p>
      <w:pPr>
        <w:spacing w:after="0" w:line="7"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59"/>
        <w:spacing w:after="0" w:line="235" w:lineRule="auto"/>
        <w:rPr>
          <w:sz w:val="20"/>
          <w:szCs w:val="20"/>
          <w:color w:val="auto"/>
        </w:rPr>
      </w:pPr>
      <w:r>
        <w:rPr>
          <w:rFonts w:ascii="Calibri" w:cs="Calibri" w:eastAsia="Calibri" w:hAnsi="Calibri"/>
          <w:sz w:val="18"/>
          <w:szCs w:val="18"/>
          <w:color w:val="auto"/>
        </w:rPr>
        <w:t>(UNAUDITED)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color w:val="auto"/>
              </w:rPr>
              <w:t>June 30,</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500"/>
              <w:spacing w:after="0"/>
              <w:rPr>
                <w:sz w:val="20"/>
                <w:szCs w:val="20"/>
                <w:color w:val="auto"/>
              </w:rPr>
            </w:pPr>
            <w:r>
              <w:rPr>
                <w:rFonts w:ascii="Calibri" w:cs="Calibri" w:eastAsia="Calibri" w:hAnsi="Calibri"/>
                <w:sz w:val="15"/>
                <w:szCs w:val="15"/>
                <w:color w:val="auto"/>
              </w:rPr>
              <w:t>December 31,</w:t>
            </w:r>
          </w:p>
        </w:tc>
      </w:tr>
      <w:tr>
        <w:trPr>
          <w:trHeight w:val="216"/>
        </w:trPr>
        <w:tc>
          <w:tcPr>
            <w:tcW w:w="7280" w:type="dxa"/>
            <w:vAlign w:val="bottom"/>
          </w:tcPr>
          <w:p>
            <w:pPr>
              <w:spacing w:after="0"/>
              <w:rPr>
                <w:sz w:val="18"/>
                <w:szCs w:val="18"/>
                <w:color w:val="auto"/>
              </w:rPr>
            </w:pPr>
          </w:p>
        </w:tc>
        <w:tc>
          <w:tcPr>
            <w:tcW w:w="1180" w:type="dxa"/>
            <w:vAlign w:val="bottom"/>
          </w:tcPr>
          <w:p>
            <w:pPr>
              <w:jc w:val="right"/>
              <w:ind w:right="84"/>
              <w:spacing w:after="0"/>
              <w:rPr>
                <w:sz w:val="20"/>
                <w:szCs w:val="20"/>
                <w:color w:val="auto"/>
              </w:rPr>
            </w:pPr>
            <w:r>
              <w:rPr>
                <w:rFonts w:ascii="Calibri" w:cs="Calibri" w:eastAsia="Calibri" w:hAnsi="Calibri"/>
                <w:sz w:val="15"/>
                <w:szCs w:val="15"/>
                <w:color w:val="auto"/>
              </w:rPr>
              <w:t>2024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4"/>
              <w:spacing w:after="0"/>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8"/>
                <w:szCs w:val="18"/>
                <w:color w:val="auto"/>
              </w:rPr>
            </w:pPr>
          </w:p>
        </w:tc>
      </w:tr>
      <w:tr>
        <w:trPr>
          <w:trHeight w:val="43"/>
        </w:trPr>
        <w:tc>
          <w:tcPr>
            <w:tcW w:w="7280" w:type="dxa"/>
            <w:vAlign w:val="bottom"/>
          </w:tcPr>
          <w:p>
            <w:pPr>
              <w:spacing w:after="0"/>
              <w:rPr>
                <w:sz w:val="3"/>
                <w:szCs w:val="3"/>
                <w:color w:val="auto"/>
              </w:rPr>
            </w:pPr>
          </w:p>
        </w:tc>
        <w:tc>
          <w:tcPr>
            <w:tcW w:w="3680" w:type="dxa"/>
            <w:vAlign w:val="bottom"/>
            <w:gridSpan w:val="5"/>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280" w:type="dxa"/>
            <w:vAlign w:val="bottom"/>
          </w:tcPr>
          <w:p>
            <w:pPr>
              <w:spacing w:after="0"/>
              <w:rPr>
                <w:sz w:val="15"/>
                <w:szCs w:val="15"/>
                <w:color w:val="auto"/>
              </w:rPr>
            </w:pPr>
          </w:p>
        </w:tc>
        <w:tc>
          <w:tcPr>
            <w:tcW w:w="1700" w:type="dxa"/>
            <w:vAlign w:val="bottom"/>
            <w:tcBorders>
              <w:top w:val="single" w:sz="8" w:color="auto"/>
            </w:tcBorders>
            <w:gridSpan w:val="2"/>
          </w:tcPr>
          <w:p>
            <w:pPr>
              <w:jc w:val="right"/>
              <w:ind w:right="24"/>
              <w:spacing w:after="0" w:line="176" w:lineRule="exact"/>
              <w:rPr>
                <w:sz w:val="20"/>
                <w:szCs w:val="20"/>
                <w:color w:val="auto"/>
              </w:rPr>
            </w:pPr>
            <w:r>
              <w:rPr>
                <w:rFonts w:ascii="Calibri" w:cs="Calibri" w:eastAsia="Calibri" w:hAnsi="Calibri"/>
                <w:sz w:val="15"/>
                <w:szCs w:val="15"/>
                <w:i w:val="1"/>
                <w:iCs w:val="1"/>
                <w:color w:val="auto"/>
              </w:rPr>
              <w:t>(In Millions, Except</w:t>
            </w:r>
          </w:p>
        </w:tc>
        <w:tc>
          <w:tcPr>
            <w:tcW w:w="300" w:type="dxa"/>
            <w:vAlign w:val="bottom"/>
          </w:tcPr>
          <w:p>
            <w:pPr>
              <w:jc w:val="right"/>
              <w:spacing w:after="0" w:line="167" w:lineRule="exact"/>
              <w:rPr>
                <w:sz w:val="20"/>
                <w:szCs w:val="20"/>
                <w:color w:val="auto"/>
              </w:rPr>
            </w:pPr>
            <w:r>
              <w:rPr>
                <w:rFonts w:ascii="Calibri" w:cs="Calibri" w:eastAsia="Calibri" w:hAnsi="Calibri"/>
                <w:sz w:val="15"/>
                <w:szCs w:val="15"/>
                <w:i w:val="1"/>
                <w:iCs w:val="1"/>
                <w:color w:val="auto"/>
                <w:w w:val="75"/>
              </w:rPr>
              <w:t>Share</w:t>
            </w:r>
          </w:p>
        </w:tc>
        <w:tc>
          <w:tcPr>
            <w:tcW w:w="1680" w:type="dxa"/>
            <w:vAlign w:val="bottom"/>
            <w:tcBorders>
              <w:top w:val="single" w:sz="8" w:color="auto"/>
            </w:tcBorders>
            <w:gridSpan w:val="2"/>
          </w:tcPr>
          <w:p>
            <w:pPr>
              <w:ind w:left="20"/>
              <w:spacing w:after="0" w:line="176" w:lineRule="exact"/>
              <w:rPr>
                <w:sz w:val="20"/>
                <w:szCs w:val="20"/>
                <w:color w:val="auto"/>
              </w:rPr>
            </w:pPr>
            <w:r>
              <w:rPr>
                <w:rFonts w:ascii="Calibri" w:cs="Calibri" w:eastAsia="Calibri" w:hAnsi="Calibri"/>
                <w:sz w:val="15"/>
                <w:szCs w:val="15"/>
                <w:i w:val="1"/>
                <w:iCs w:val="1"/>
                <w:color w:val="auto"/>
              </w:rPr>
              <w:t>and Par Value Data)</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b w:val="1"/>
                <w:bCs w:val="1"/>
                <w:color w:val="auto"/>
              </w:rPr>
              <w:t>ASSETS</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Current Assets:</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Cash and cash equivalents</w:t>
            </w:r>
          </w:p>
        </w:tc>
        <w:tc>
          <w:tcPr>
            <w:tcW w:w="1180" w:type="dxa"/>
            <w:vAlign w:val="bottom"/>
            <w:tcBorders>
              <w:bottom w:val="single" w:sz="8" w:color="CFF0FC"/>
            </w:tcBorders>
            <w:shd w:val="clear" w:color="auto" w:fill="CFF0FC"/>
          </w:tcPr>
          <w:p>
            <w:pPr>
              <w:jc w:val="right"/>
              <w:ind w:right="1004"/>
              <w:spacing w:after="0"/>
              <w:rPr>
                <w:sz w:val="20"/>
                <w:szCs w:val="20"/>
                <w:color w:val="auto"/>
              </w:rPr>
            </w:pPr>
            <w:r>
              <w:rPr>
                <w:rFonts w:ascii="Calibri" w:cs="Calibri" w:eastAsia="Calibri" w:hAnsi="Calibri"/>
                <w:sz w:val="15"/>
                <w:szCs w:val="15"/>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Restricted cash</w:t>
            </w:r>
          </w:p>
        </w:tc>
        <w:tc>
          <w:tcPr>
            <w:tcW w:w="1180" w:type="dxa"/>
            <w:vAlign w:val="bottom"/>
          </w:tcPr>
          <w:p>
            <w:pPr>
              <w:spacing w:after="0"/>
              <w:rPr>
                <w:sz w:val="15"/>
                <w:szCs w:val="15"/>
                <w:color w:val="auto"/>
              </w:rPr>
            </w:pPr>
          </w:p>
        </w:tc>
        <w:tc>
          <w:tcPr>
            <w:tcW w:w="8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Accounts receivable, net</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909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Inventories, net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1,105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989</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Current assets held for sale</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7"/>
        </w:trPr>
        <w:tc>
          <w:tcPr>
            <w:tcW w:w="7280" w:type="dxa"/>
            <w:vAlign w:val="bottom"/>
          </w:tcPr>
          <w:p>
            <w:pPr>
              <w:ind w:left="20"/>
              <w:spacing w:after="0"/>
              <w:rPr>
                <w:sz w:val="20"/>
                <w:szCs w:val="20"/>
                <w:color w:val="auto"/>
              </w:rPr>
            </w:pPr>
            <w:r>
              <w:rPr>
                <w:rFonts w:ascii="Calibri" w:cs="Calibri" w:eastAsia="Calibri" w:hAnsi="Calibri"/>
                <w:sz w:val="15"/>
                <w:szCs w:val="15"/>
                <w:color w:val="auto"/>
              </w:rPr>
              <w:t>Other current assets</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96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88</w:t>
            </w:r>
          </w:p>
        </w:tc>
        <w:tc>
          <w:tcPr>
            <w:tcW w:w="100" w:type="dxa"/>
            <w:vAlign w:val="bottom"/>
          </w:tcPr>
          <w:p>
            <w:pPr>
              <w:spacing w:after="0"/>
              <w:rPr>
                <w:sz w:val="16"/>
                <w:szCs w:val="16"/>
                <w:color w:val="auto"/>
              </w:rPr>
            </w:pPr>
          </w:p>
        </w:tc>
      </w:tr>
      <w:tr>
        <w:trPr>
          <w:trHeight w:val="29"/>
        </w:trPr>
        <w:tc>
          <w:tcPr>
            <w:tcW w:w="7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280" w:type="dxa"/>
            <w:vAlign w:val="bottom"/>
            <w:tcBorders>
              <w:bottom w:val="single" w:sz="8" w:color="CFF0FC"/>
            </w:tcBorders>
            <w:shd w:val="clear" w:color="auto" w:fill="CFF0FC"/>
          </w:tcPr>
          <w:p>
            <w:pPr>
              <w:ind w:left="160"/>
              <w:spacing w:after="0" w:line="180" w:lineRule="exact"/>
              <w:rPr>
                <w:sz w:val="20"/>
                <w:szCs w:val="20"/>
                <w:color w:val="auto"/>
              </w:rPr>
            </w:pPr>
            <w:r>
              <w:rPr>
                <w:rFonts w:ascii="Calibri" w:cs="Calibri" w:eastAsia="Calibri" w:hAnsi="Calibri"/>
                <w:sz w:val="15"/>
                <w:szCs w:val="15"/>
                <w:color w:val="auto"/>
              </w:rPr>
              <w:t>Total Current Assets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2,229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line="180" w:lineRule="exact"/>
              <w:rPr>
                <w:sz w:val="20"/>
                <w:szCs w:val="20"/>
                <w:color w:val="auto"/>
              </w:rPr>
            </w:pPr>
            <w:r>
              <w:rPr>
                <w:rFonts w:ascii="Calibri" w:cs="Calibri" w:eastAsia="Calibri" w:hAnsi="Calibri"/>
                <w:sz w:val="15"/>
                <w:szCs w:val="15"/>
                <w:color w:val="auto"/>
              </w:rPr>
              <w:t>3,919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Property, plant and equipment</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13,383</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10,708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7"/>
        </w:trPr>
        <w:tc>
          <w:tcPr>
            <w:tcW w:w="7280" w:type="dxa"/>
            <w:vAlign w:val="bottom"/>
          </w:tcPr>
          <w:p>
            <w:pPr>
              <w:ind w:left="20"/>
              <w:spacing w:after="0"/>
              <w:rPr>
                <w:sz w:val="20"/>
                <w:szCs w:val="20"/>
                <w:color w:val="auto"/>
              </w:rPr>
            </w:pPr>
            <w:r>
              <w:rPr>
                <w:rFonts w:ascii="Calibri" w:cs="Calibri" w:eastAsia="Calibri" w:hAnsi="Calibri"/>
                <w:sz w:val="15"/>
                <w:szCs w:val="15"/>
                <w:color w:val="auto"/>
              </w:rPr>
              <w:t>Allowances for depreciaton, depleton and amortzaton</w:t>
            </w:r>
          </w:p>
        </w:tc>
        <w:tc>
          <w:tcPr>
            <w:tcW w:w="1180" w:type="dxa"/>
            <w:vAlign w:val="bottom"/>
          </w:tcPr>
          <w:p>
            <w:pPr>
              <w:spacing w:after="0"/>
              <w:rPr>
                <w:sz w:val="16"/>
                <w:szCs w:val="16"/>
                <w:color w:val="auto"/>
              </w:rPr>
            </w:pPr>
          </w:p>
        </w:tc>
        <w:tc>
          <w:tcPr>
            <w:tcW w:w="82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(4,773 )</w:t>
            </w:r>
          </w:p>
        </w:tc>
        <w:tc>
          <w:tcPr>
            <w:tcW w:w="24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(4,522 )</w:t>
            </w:r>
          </w:p>
        </w:tc>
      </w:tr>
      <w:tr>
        <w:trPr>
          <w:trHeight w:val="29"/>
        </w:trPr>
        <w:tc>
          <w:tcPr>
            <w:tcW w:w="7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280" w:type="dxa"/>
            <w:vAlign w:val="bottom"/>
            <w:tcBorders>
              <w:bottom w:val="single" w:sz="8" w:color="CFF0FC"/>
            </w:tcBorders>
            <w:shd w:val="clear" w:color="auto" w:fill="CFF0FC"/>
          </w:tcPr>
          <w:p>
            <w:pPr>
              <w:ind w:left="20"/>
              <w:spacing w:after="0" w:line="176" w:lineRule="exact"/>
              <w:rPr>
                <w:sz w:val="20"/>
                <w:szCs w:val="20"/>
                <w:color w:val="auto"/>
              </w:rPr>
            </w:pPr>
            <w:r>
              <w:rPr>
                <w:rFonts w:ascii="Calibri" w:cs="Calibri" w:eastAsia="Calibri" w:hAnsi="Calibri"/>
                <w:sz w:val="15"/>
                <w:szCs w:val="15"/>
                <w:color w:val="auto"/>
              </w:rPr>
              <w:t>Net property, plant and equipment</w:t>
            </w:r>
          </w:p>
        </w:tc>
        <w:tc>
          <w:tcPr>
            <w:tcW w:w="1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8,610</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6,186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Goodwill</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3,842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3,389</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Other intangibles, net</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713</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Operatng lease right-of-use assets, net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378</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372</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Other noncurrent assets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280" w:type="dxa"/>
            <w:vAlign w:val="bottom"/>
            <w:tcBorders>
              <w:top w:val="single" w:sz="8" w:color="CFF0FC"/>
            </w:tcBorders>
          </w:tcPr>
          <w:p>
            <w:pPr>
              <w:ind w:left="160"/>
              <w:spacing w:after="0"/>
              <w:rPr>
                <w:sz w:val="20"/>
                <w:szCs w:val="20"/>
                <w:color w:val="auto"/>
              </w:rPr>
            </w:pPr>
            <w:r>
              <w:rPr>
                <w:rFonts w:ascii="Calibri" w:cs="Calibri" w:eastAsia="Calibri" w:hAnsi="Calibri"/>
                <w:sz w:val="15"/>
                <w:szCs w:val="15"/>
                <w:color w:val="auto"/>
              </w:rPr>
              <w:t>Total Assets</w:t>
            </w:r>
          </w:p>
        </w:tc>
        <w:tc>
          <w:tcPr>
            <w:tcW w:w="1180" w:type="dxa"/>
            <w:vAlign w:val="bottom"/>
            <w:tcBorders>
              <w:top w:val="single" w:sz="8" w:color="auto"/>
              <w:bottom w:val="single" w:sz="8" w:color="auto"/>
            </w:tcBorders>
          </w:tcPr>
          <w:p>
            <w:pPr>
              <w:jc w:val="right"/>
              <w:ind w:right="1004"/>
              <w:spacing w:after="0"/>
              <w:rPr>
                <w:sz w:val="20"/>
                <w:szCs w:val="20"/>
                <w:color w:val="auto"/>
              </w:rPr>
            </w:pPr>
            <w:r>
              <w:rPr>
                <w:rFonts w:ascii="Calibri" w:cs="Calibri" w:eastAsia="Calibri" w:hAnsi="Calibri"/>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16,333</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Calibri" w:cs="Calibri" w:eastAsia="Calibri" w:hAnsi="Calibri"/>
                <w:sz w:val="15"/>
                <w:szCs w:val="15"/>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5"/>
                <w:szCs w:val="15"/>
                <w:color w:val="auto"/>
              </w:rPr>
              <w:t>15,125</w:t>
            </w:r>
          </w:p>
        </w:tc>
        <w:tc>
          <w:tcPr>
            <w:tcW w:w="100" w:type="dxa"/>
            <w:vAlign w:val="bottom"/>
            <w:tcBorders>
              <w:top w:val="single" w:sz="8" w:color="CFF0FC"/>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b w:val="1"/>
                <w:bCs w:val="1"/>
                <w:color w:val="auto"/>
              </w:rPr>
              <w:t>LIABILITIES AND EQUITY</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Current Liabilites:</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Accounts payable</w:t>
            </w:r>
          </w:p>
        </w:tc>
        <w:tc>
          <w:tcPr>
            <w:tcW w:w="1180" w:type="dxa"/>
            <w:vAlign w:val="bottom"/>
          </w:tcPr>
          <w:p>
            <w:pPr>
              <w:jc w:val="right"/>
              <w:ind w:right="1004"/>
              <w:spacing w:after="0"/>
              <w:rPr>
                <w:sz w:val="20"/>
                <w:szCs w:val="20"/>
                <w:color w:val="auto"/>
              </w:rPr>
            </w:pPr>
            <w:r>
              <w:rPr>
                <w:rFonts w:ascii="Calibri" w:cs="Calibri" w:eastAsia="Calibri" w:hAnsi="Calibri"/>
                <w:sz w:val="15"/>
                <w:szCs w:val="15"/>
                <w:color w:val="auto"/>
              </w:rPr>
              <w:t>$</w:t>
            </w:r>
          </w:p>
        </w:tc>
        <w:tc>
          <w:tcPr>
            <w:tcW w:w="520" w:type="dxa"/>
            <w:vAlign w:val="bottom"/>
          </w:tcPr>
          <w:p>
            <w:pPr>
              <w:jc w:val="right"/>
              <w:spacing w:after="0"/>
              <w:rPr>
                <w:sz w:val="20"/>
                <w:szCs w:val="20"/>
                <w:color w:val="auto"/>
              </w:rPr>
            </w:pPr>
            <w:r>
              <w:rPr>
                <w:rFonts w:ascii="Calibri" w:cs="Calibri" w:eastAsia="Calibri" w:hAnsi="Calibri"/>
                <w:sz w:val="15"/>
                <w:szCs w:val="15"/>
                <w:color w:val="auto"/>
              </w:rPr>
              <w:t>304</w:t>
            </w:r>
          </w:p>
        </w:tc>
        <w:tc>
          <w:tcPr>
            <w:tcW w:w="3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Calibri" w:cs="Calibri" w:eastAsia="Calibri" w:hAnsi="Calibri"/>
                <w:sz w:val="15"/>
                <w:szCs w:val="15"/>
                <w:color w:val="auto"/>
              </w:rPr>
              <w:t>$</w:t>
            </w:r>
          </w:p>
        </w:tc>
        <w:tc>
          <w:tcPr>
            <w:tcW w:w="1440" w:type="dxa"/>
            <w:vAlign w:val="bottom"/>
          </w:tcPr>
          <w:p>
            <w:pPr>
              <w:jc w:val="right"/>
              <w:spacing w:after="0"/>
              <w:rPr>
                <w:sz w:val="20"/>
                <w:szCs w:val="20"/>
                <w:color w:val="auto"/>
              </w:rPr>
            </w:pPr>
            <w:r>
              <w:rPr>
                <w:rFonts w:ascii="Calibri" w:cs="Calibri" w:eastAsia="Calibri" w:hAnsi="Calibri"/>
                <w:sz w:val="15"/>
                <w:szCs w:val="15"/>
                <w:color w:val="auto"/>
              </w:rPr>
              <w:t>343</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Accrued salaries, benefts and payroll taxes</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Accrued income taxes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158</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Accrued other taxes</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Accrued interest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41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41</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Current maturites of long-term debt</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Current operatng lease liabilites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53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53</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Current liabilites held for sale</w:t>
            </w:r>
          </w:p>
        </w:tc>
        <w:tc>
          <w:tcPr>
            <w:tcW w:w="11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jc w:val="right"/>
              <w:ind w:right="224"/>
              <w:spacing w:after="0"/>
              <w:rPr>
                <w:sz w:val="20"/>
                <w:szCs w:val="20"/>
                <w:color w:val="auto"/>
              </w:rPr>
            </w:pPr>
            <w:r>
              <w:rPr>
                <w:rFonts w:ascii="Calibri" w:cs="Calibri" w:eastAsia="Calibri" w:hAnsi="Calibri"/>
                <w:sz w:val="15"/>
                <w:szCs w:val="15"/>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7"/>
        </w:trPr>
        <w:tc>
          <w:tcPr>
            <w:tcW w:w="7280" w:type="dxa"/>
            <w:vAlign w:val="bottom"/>
          </w:tcPr>
          <w:p>
            <w:pPr>
              <w:ind w:left="20"/>
              <w:spacing w:after="0"/>
              <w:rPr>
                <w:sz w:val="20"/>
                <w:szCs w:val="20"/>
                <w:color w:val="auto"/>
              </w:rPr>
            </w:pPr>
            <w:r>
              <w:rPr>
                <w:rFonts w:ascii="Calibri" w:cs="Calibri" w:eastAsia="Calibri" w:hAnsi="Calibri"/>
                <w:sz w:val="15"/>
                <w:szCs w:val="15"/>
                <w:color w:val="auto"/>
              </w:rPr>
              <w:t>Other current liabilites</w:t>
            </w: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132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160</w:t>
            </w:r>
          </w:p>
        </w:tc>
        <w:tc>
          <w:tcPr>
            <w:tcW w:w="100" w:type="dxa"/>
            <w:vAlign w:val="bottom"/>
          </w:tcPr>
          <w:p>
            <w:pPr>
              <w:spacing w:after="0"/>
              <w:rPr>
                <w:sz w:val="16"/>
                <w:szCs w:val="16"/>
                <w:color w:val="auto"/>
              </w:rPr>
            </w:pPr>
          </w:p>
        </w:tc>
      </w:tr>
      <w:tr>
        <w:trPr>
          <w:trHeight w:val="30"/>
        </w:trPr>
        <w:tc>
          <w:tcPr>
            <w:tcW w:w="7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280" w:type="dxa"/>
            <w:vAlign w:val="bottom"/>
            <w:tcBorders>
              <w:bottom w:val="single" w:sz="8" w:color="CFF0FC"/>
            </w:tcBorders>
            <w:shd w:val="clear" w:color="auto" w:fill="CFF0FC"/>
          </w:tcPr>
          <w:p>
            <w:pPr>
              <w:ind w:left="160"/>
              <w:spacing w:after="0" w:line="176" w:lineRule="exact"/>
              <w:rPr>
                <w:sz w:val="20"/>
                <w:szCs w:val="20"/>
                <w:color w:val="auto"/>
              </w:rPr>
            </w:pPr>
            <w:r>
              <w:rPr>
                <w:rFonts w:ascii="Calibri" w:cs="Calibri" w:eastAsia="Calibri" w:hAnsi="Calibri"/>
                <w:sz w:val="15"/>
                <w:szCs w:val="15"/>
                <w:color w:val="auto"/>
              </w:rPr>
              <w:t>Total Current Liabilites</w:t>
            </w:r>
          </w:p>
        </w:tc>
        <w:tc>
          <w:tcPr>
            <w:tcW w:w="1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1,196</w:t>
            </w: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jc w:val="right"/>
              <w:spacing w:after="0" w:line="176" w:lineRule="exact"/>
              <w:rPr>
                <w:sz w:val="20"/>
                <w:szCs w:val="20"/>
                <w:color w:val="auto"/>
              </w:rPr>
            </w:pPr>
            <w:r>
              <w:rPr>
                <w:rFonts w:ascii="Calibri" w:cs="Calibri" w:eastAsia="Calibri" w:hAnsi="Calibri"/>
                <w:sz w:val="15"/>
                <w:szCs w:val="15"/>
                <w:color w:val="auto"/>
              </w:rPr>
              <w:t>1,170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7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Long-term debt</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3,947</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3,946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Deferred income taxes, net</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1,110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874</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Noncurrent operatng lease liabilites</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341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Noncurrent asset retrement obligatons</w:t>
            </w: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alibri" w:cs="Calibri" w:eastAsia="Calibri" w:hAnsi="Calibri"/>
                <w:sz w:val="15"/>
                <w:szCs w:val="15"/>
                <w:color w:val="auto"/>
              </w:rPr>
              <w:t>397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color w:val="auto"/>
              </w:rPr>
              <w:t>383</w:t>
            </w: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Other noncurrent liabilites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502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80"/>
        </w:trPr>
        <w:tc>
          <w:tcPr>
            <w:tcW w:w="7280" w:type="dxa"/>
            <w:vAlign w:val="bottom"/>
            <w:tcBorders>
              <w:top w:val="single" w:sz="8" w:color="CFF0FC"/>
            </w:tcBorders>
          </w:tcPr>
          <w:p>
            <w:pPr>
              <w:ind w:left="160"/>
              <w:spacing w:after="0" w:line="180" w:lineRule="exact"/>
              <w:rPr>
                <w:sz w:val="20"/>
                <w:szCs w:val="20"/>
                <w:color w:val="auto"/>
              </w:rPr>
            </w:pPr>
            <w:r>
              <w:rPr>
                <w:rFonts w:ascii="Calibri" w:cs="Calibri" w:eastAsia="Calibri" w:hAnsi="Calibri"/>
                <w:sz w:val="15"/>
                <w:szCs w:val="15"/>
                <w:color w:val="auto"/>
              </w:rPr>
              <w:t>Total Liabilites</w:t>
            </w:r>
          </w:p>
        </w:tc>
        <w:tc>
          <w:tcPr>
            <w:tcW w:w="1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7,493</w:t>
            </w: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7,089</w:t>
            </w:r>
          </w:p>
        </w:tc>
        <w:tc>
          <w:tcPr>
            <w:tcW w:w="100" w:type="dxa"/>
            <w:vAlign w:val="bottom"/>
            <w:tcBorders>
              <w:top w:val="single" w:sz="8" w:color="CFF0FC"/>
            </w:tcBorders>
          </w:tcPr>
          <w:p>
            <w:pPr>
              <w:spacing w:after="0"/>
              <w:rPr>
                <w:sz w:val="15"/>
                <w:szCs w:val="15"/>
                <w:color w:val="auto"/>
              </w:rPr>
            </w:pPr>
          </w:p>
        </w:tc>
      </w:tr>
      <w:tr>
        <w:trPr>
          <w:trHeight w:val="30"/>
        </w:trPr>
        <w:tc>
          <w:tcPr>
            <w:tcW w:w="7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spacing w:after="0"/>
              <w:rPr>
                <w:sz w:val="18"/>
                <w:szCs w:val="18"/>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Commitments and contngent liabilites - Note 9</w:t>
            </w:r>
          </w:p>
        </w:tc>
        <w:tc>
          <w:tcPr>
            <w:tcW w:w="1180" w:type="dxa"/>
            <w:vAlign w:val="bottom"/>
          </w:tcPr>
          <w:p>
            <w:pPr>
              <w:spacing w:after="0"/>
              <w:rPr>
                <w:sz w:val="15"/>
                <w:szCs w:val="15"/>
                <w:color w:val="auto"/>
              </w:rPr>
            </w:pPr>
          </w:p>
        </w:tc>
        <w:tc>
          <w:tcPr>
            <w:tcW w:w="8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Equity:</w:t>
            </w: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7280" w:type="dxa"/>
            <w:vAlign w:val="bottom"/>
            <w:shd w:val="clear" w:color="auto" w:fill="CFF0FC"/>
          </w:tcPr>
          <w:p>
            <w:pPr>
              <w:ind w:left="20"/>
              <w:spacing w:after="0" w:line="179" w:lineRule="exact"/>
              <w:rPr>
                <w:sz w:val="20"/>
                <w:szCs w:val="20"/>
                <w:color w:val="auto"/>
              </w:rPr>
            </w:pPr>
            <w:r>
              <w:rPr>
                <w:rFonts w:ascii="Calibri" w:cs="Calibri" w:eastAsia="Calibri" w:hAnsi="Calibri"/>
                <w:sz w:val="15"/>
                <w:szCs w:val="15"/>
                <w:color w:val="auto"/>
              </w:rPr>
              <w:t>Common stock, par value $0.01 per share (61,117,053 shares and 61,821,421 shares</w:t>
            </w: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6"/>
        </w:trPr>
        <w:tc>
          <w:tcPr>
            <w:tcW w:w="72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5"/>
                <w:szCs w:val="15"/>
                <w:color w:val="auto"/>
              </w:rPr>
              <w:t>outstanding at June 30, 2024 and December 31, 2023, respectvely)</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Preferred stock, par value $0.01 per share</w:t>
            </w:r>
          </w:p>
        </w:tc>
        <w:tc>
          <w:tcPr>
            <w:tcW w:w="1180" w:type="dxa"/>
            <w:vAlign w:val="bottom"/>
          </w:tcPr>
          <w:p>
            <w:pPr>
              <w:spacing w:after="0"/>
              <w:rPr>
                <w:sz w:val="15"/>
                <w:szCs w:val="15"/>
                <w:color w:val="auto"/>
              </w:rPr>
            </w:pPr>
          </w:p>
        </w:tc>
        <w:tc>
          <w:tcPr>
            <w:tcW w:w="820" w:type="dxa"/>
            <w:vAlign w:val="bottom"/>
            <w:gridSpan w:val="2"/>
          </w:tcPr>
          <w:p>
            <w:pPr>
              <w:jc w:val="right"/>
              <w:ind w:right="224"/>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Additonal paid-in capital</w:t>
            </w:r>
          </w:p>
        </w:tc>
        <w:tc>
          <w:tcPr>
            <w:tcW w:w="1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3,529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3,519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Calibri" w:cs="Calibri" w:eastAsia="Calibri" w:hAnsi="Calibri"/>
                <w:sz w:val="15"/>
                <w:szCs w:val="15"/>
                <w:color w:val="auto"/>
              </w:rPr>
              <w:t>Accumulated other comprehensive loss</w:t>
            </w:r>
          </w:p>
        </w:tc>
        <w:tc>
          <w:tcPr>
            <w:tcW w:w="1180" w:type="dxa"/>
            <w:vAlign w:val="bottom"/>
          </w:tcPr>
          <w:p>
            <w:pPr>
              <w:spacing w:after="0"/>
              <w:rPr>
                <w:sz w:val="15"/>
                <w:szCs w:val="15"/>
                <w:color w:val="auto"/>
              </w:rPr>
            </w:pPr>
          </w:p>
        </w:tc>
        <w:tc>
          <w:tcPr>
            <w:tcW w:w="820" w:type="dxa"/>
            <w:vAlign w:val="bottom"/>
            <w:gridSpan w:val="2"/>
          </w:tcPr>
          <w:p>
            <w:pPr>
              <w:jc w:val="right"/>
              <w:ind w:right="164"/>
              <w:spacing w:after="0"/>
              <w:rPr>
                <w:sz w:val="20"/>
                <w:szCs w:val="20"/>
                <w:color w:val="auto"/>
              </w:rPr>
            </w:pPr>
            <w:r>
              <w:rPr>
                <w:rFonts w:ascii="Calibri" w:cs="Calibri" w:eastAsia="Calibri" w:hAnsi="Calibri"/>
                <w:sz w:val="15"/>
                <w:szCs w:val="15"/>
                <w:color w:val="auto"/>
              </w:rPr>
              <w:t>(48 )</w:t>
            </w:r>
          </w:p>
        </w:tc>
        <w:tc>
          <w:tcPr>
            <w:tcW w:w="2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(49 )</w:t>
            </w: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Retained earnings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5,356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4,563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6"/>
        </w:trPr>
        <w:tc>
          <w:tcPr>
            <w:tcW w:w="7280" w:type="dxa"/>
            <w:vAlign w:val="bottom"/>
            <w:tcBorders>
              <w:top w:val="single" w:sz="8" w:color="CFF0FC"/>
            </w:tcBorders>
          </w:tcPr>
          <w:p>
            <w:pPr>
              <w:ind w:left="160"/>
              <w:spacing w:after="0" w:line="176" w:lineRule="exact"/>
              <w:rPr>
                <w:sz w:val="20"/>
                <w:szCs w:val="20"/>
                <w:color w:val="auto"/>
              </w:rPr>
            </w:pPr>
            <w:r>
              <w:rPr>
                <w:rFonts w:ascii="Calibri" w:cs="Calibri" w:eastAsia="Calibri" w:hAnsi="Calibri"/>
                <w:sz w:val="15"/>
                <w:szCs w:val="15"/>
                <w:color w:val="auto"/>
              </w:rPr>
              <w:t>Total Shareholders' Equity</w:t>
            </w:r>
          </w:p>
        </w:tc>
        <w:tc>
          <w:tcPr>
            <w:tcW w:w="1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8,838</w:t>
            </w: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line="176" w:lineRule="exact"/>
              <w:rPr>
                <w:sz w:val="20"/>
                <w:szCs w:val="20"/>
                <w:color w:val="auto"/>
              </w:rPr>
            </w:pPr>
            <w:r>
              <w:rPr>
                <w:rFonts w:ascii="Calibri" w:cs="Calibri" w:eastAsia="Calibri" w:hAnsi="Calibri"/>
                <w:sz w:val="15"/>
                <w:szCs w:val="15"/>
                <w:color w:val="auto"/>
              </w:rPr>
              <w:t>8,034</w:t>
            </w:r>
          </w:p>
        </w:tc>
        <w:tc>
          <w:tcPr>
            <w:tcW w:w="100" w:type="dxa"/>
            <w:vAlign w:val="bottom"/>
            <w:tcBorders>
              <w:top w:val="single" w:sz="8" w:color="CFF0FC"/>
            </w:tcBorders>
          </w:tcPr>
          <w:p>
            <w:pPr>
              <w:spacing w:after="0"/>
              <w:rPr>
                <w:sz w:val="15"/>
                <w:szCs w:val="15"/>
                <w:color w:val="auto"/>
              </w:rPr>
            </w:pPr>
          </w:p>
        </w:tc>
      </w:tr>
      <w:tr>
        <w:trPr>
          <w:trHeight w:val="33"/>
        </w:trPr>
        <w:tc>
          <w:tcPr>
            <w:tcW w:w="7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5"/>
                <w:szCs w:val="15"/>
                <w:color w:val="auto"/>
              </w:rPr>
              <w:t>Noncontrolling interests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80"/>
        </w:trPr>
        <w:tc>
          <w:tcPr>
            <w:tcW w:w="7280" w:type="dxa"/>
            <w:vAlign w:val="bottom"/>
            <w:tcBorders>
              <w:top w:val="single" w:sz="8" w:color="CFF0FC"/>
            </w:tcBorders>
          </w:tcPr>
          <w:p>
            <w:pPr>
              <w:ind w:left="160"/>
              <w:spacing w:after="0" w:line="180" w:lineRule="exact"/>
              <w:rPr>
                <w:sz w:val="20"/>
                <w:szCs w:val="20"/>
                <w:color w:val="auto"/>
              </w:rPr>
            </w:pPr>
            <w:r>
              <w:rPr>
                <w:rFonts w:ascii="Calibri" w:cs="Calibri" w:eastAsia="Calibri" w:hAnsi="Calibri"/>
                <w:sz w:val="15"/>
                <w:szCs w:val="15"/>
                <w:color w:val="auto"/>
              </w:rPr>
              <w:t>Total Equity</w:t>
            </w:r>
          </w:p>
        </w:tc>
        <w:tc>
          <w:tcPr>
            <w:tcW w:w="1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8,840</w:t>
            </w:r>
          </w:p>
        </w:tc>
        <w:tc>
          <w:tcPr>
            <w:tcW w:w="3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5"/>
                <w:szCs w:val="15"/>
                <w:color w:val="auto"/>
              </w:rPr>
              <w:t>8,036</w:t>
            </w:r>
          </w:p>
        </w:tc>
        <w:tc>
          <w:tcPr>
            <w:tcW w:w="100" w:type="dxa"/>
            <w:vAlign w:val="bottom"/>
            <w:tcBorders>
              <w:top w:val="single" w:sz="8" w:color="CFF0FC"/>
            </w:tcBorders>
          </w:tcPr>
          <w:p>
            <w:pPr>
              <w:spacing w:after="0"/>
              <w:rPr>
                <w:sz w:val="15"/>
                <w:szCs w:val="15"/>
                <w:color w:val="auto"/>
              </w:rPr>
            </w:pPr>
          </w:p>
        </w:tc>
      </w:tr>
      <w:tr>
        <w:trPr>
          <w:trHeight w:val="30"/>
        </w:trPr>
        <w:tc>
          <w:tcPr>
            <w:tcW w:w="7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Total Liabilites and Equity</w:t>
            </w:r>
          </w:p>
        </w:tc>
        <w:tc>
          <w:tcPr>
            <w:tcW w:w="1180" w:type="dxa"/>
            <w:vAlign w:val="bottom"/>
            <w:tcBorders>
              <w:bottom w:val="single" w:sz="8" w:color="auto"/>
            </w:tcBorders>
            <w:shd w:val="clear" w:color="auto" w:fill="CFF0FC"/>
          </w:tcPr>
          <w:p>
            <w:pPr>
              <w:jc w:val="right"/>
              <w:ind w:right="1004"/>
              <w:spacing w:after="0"/>
              <w:rPr>
                <w:sz w:val="20"/>
                <w:szCs w:val="20"/>
                <w:color w:val="auto"/>
              </w:rPr>
            </w:pPr>
            <w:r>
              <w:rPr>
                <w:rFonts w:ascii="Calibri" w:cs="Calibri" w:eastAsia="Calibri" w:hAnsi="Calibri"/>
                <w:sz w:val="15"/>
                <w:szCs w:val="15"/>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16,333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Calibri" w:cs="Calibri" w:eastAsia="Calibri" w:hAnsi="Calibri"/>
                <w:sz w:val="15"/>
                <w:szCs w:val="15"/>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15,125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-6008370</wp:posOffset>
            </wp:positionV>
            <wp:extent cx="77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-6008370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-4893945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-4893945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-2108200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-2108200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-599440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-599440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69" w:right="51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EARNINGS AND COMPREHENSIVE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60" w:type="dxa"/>
            <w:vAlign w:val="bottom"/>
          </w:tcPr>
          <w:p>
            <w:pPr>
              <w:spacing w:after="0"/>
              <w:rPr>
                <w:sz w:val="18"/>
                <w:szCs w:val="18"/>
                <w:color w:val="auto"/>
              </w:rPr>
            </w:pPr>
          </w:p>
        </w:tc>
        <w:tc>
          <w:tcPr>
            <w:tcW w:w="2320" w:type="dxa"/>
            <w:vAlign w:val="bottom"/>
            <w:gridSpan w:val="4"/>
          </w:tcPr>
          <w:p>
            <w:pPr>
              <w:jc w:val="right"/>
              <w:ind w:right="115"/>
              <w:spacing w:after="0"/>
              <w:rPr>
                <w:sz w:val="20"/>
                <w:szCs w:val="20"/>
                <w:color w:val="auto"/>
              </w:rPr>
            </w:pPr>
            <w:r>
              <w:rPr>
                <w:rFonts w:ascii="Calibri" w:cs="Calibri" w:eastAsia="Calibri" w:hAnsi="Calibri"/>
                <w:sz w:val="17"/>
                <w:szCs w:val="17"/>
                <w:color w:val="auto"/>
              </w:rPr>
              <w:t>Three Months Ended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right"/>
              <w:ind w:right="820"/>
              <w:spacing w:after="0"/>
              <w:rPr>
                <w:sz w:val="20"/>
                <w:szCs w:val="20"/>
                <w:color w:val="auto"/>
              </w:rPr>
            </w:pPr>
            <w:r>
              <w:rPr>
                <w:rFonts w:ascii="Calibri" w:cs="Calibri" w:eastAsia="Calibri" w:hAnsi="Calibri"/>
                <w:sz w:val="17"/>
                <w:szCs w:val="17"/>
                <w:color w:val="auto"/>
              </w:rPr>
              <w:t>Six Months Ended</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555"/>
              <w:spacing w:after="0"/>
              <w:rPr>
                <w:sz w:val="20"/>
                <w:szCs w:val="20"/>
                <w:color w:val="auto"/>
              </w:rPr>
            </w:pPr>
            <w:r>
              <w:rPr>
                <w:rFonts w:ascii="Calibri" w:cs="Calibri" w:eastAsia="Calibri" w:hAnsi="Calibri"/>
                <w:sz w:val="17"/>
                <w:szCs w:val="17"/>
                <w:color w:val="auto"/>
              </w:rPr>
              <w:t>June 30,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55"/>
              <w:spacing w:after="0"/>
              <w:rPr>
                <w:sz w:val="20"/>
                <w:szCs w:val="20"/>
                <w:color w:val="auto"/>
              </w:rPr>
            </w:pPr>
            <w:r>
              <w:rPr>
                <w:rFonts w:ascii="Calibri" w:cs="Calibri" w:eastAsia="Calibri" w:hAnsi="Calibri"/>
                <w:sz w:val="17"/>
                <w:szCs w:val="17"/>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Calibri" w:cs="Calibri" w:eastAsia="Calibri" w:hAnsi="Calibri"/>
                <w:sz w:val="17"/>
                <w:szCs w:val="17"/>
                <w:color w:val="auto"/>
              </w:rPr>
              <w:t>2024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Calibri" w:cs="Calibri" w:eastAsia="Calibri" w:hAnsi="Calibri"/>
                <w:sz w:val="17"/>
                <w:szCs w:val="17"/>
                <w:color w:val="auto"/>
              </w:rPr>
              <w:t>2023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5"/>
              <w:spacing w:after="0" w:line="198" w:lineRule="exact"/>
              <w:rPr>
                <w:sz w:val="20"/>
                <w:szCs w:val="20"/>
                <w:color w:val="auto"/>
              </w:rPr>
            </w:pPr>
            <w:r>
              <w:rPr>
                <w:rFonts w:ascii="Calibri" w:cs="Calibri" w:eastAsia="Calibri" w:hAnsi="Calibri"/>
                <w:sz w:val="17"/>
                <w:szCs w:val="17"/>
                <w:color w:val="auto"/>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55"/>
              <w:spacing w:after="0" w:line="198" w:lineRule="exact"/>
              <w:rPr>
                <w:sz w:val="20"/>
                <w:szCs w:val="20"/>
                <w:color w:val="auto"/>
              </w:rPr>
            </w:pPr>
            <w:r>
              <w:rPr>
                <w:rFonts w:ascii="Calibri" w:cs="Calibri" w:eastAsia="Calibri" w:hAnsi="Calibri"/>
                <w:sz w:val="17"/>
                <w:szCs w:val="17"/>
                <w:color w:val="auto"/>
              </w:rPr>
              <w:t>2023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6"/>
          </w:tcPr>
          <w:p>
            <w:pPr>
              <w:jc w:val="right"/>
              <w:ind w:right="360"/>
              <w:spacing w:after="0" w:line="198" w:lineRule="exact"/>
              <w:rPr>
                <w:sz w:val="20"/>
                <w:szCs w:val="20"/>
                <w:color w:val="auto"/>
              </w:rPr>
            </w:pPr>
            <w:r>
              <w:rPr>
                <w:rFonts w:ascii="Calibri" w:cs="Calibri" w:eastAsia="Calibri" w:hAnsi="Calibri"/>
                <w:sz w:val="17"/>
                <w:szCs w:val="17"/>
                <w:i w:val="1"/>
                <w:iCs w:val="1"/>
                <w:color w:val="auto"/>
              </w:rPr>
              <w:t>(In Millions, Except Per Share Data)</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Revenues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1,764</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1,821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3,015</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ind w:right="13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3,175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Cost of revenues</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1,247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1,261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2,225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Gross Proft</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517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560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790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Selling, general and administratve expenses</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117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236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Acquisiton, divestture and integraton expenses</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21</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ind w:right="240"/>
              <w:spacing w:after="0" w:line="205" w:lineRule="exact"/>
              <w:rPr>
                <w:sz w:val="20"/>
                <w:szCs w:val="20"/>
                <w:color w:val="auto"/>
              </w:rPr>
            </w:pPr>
            <w:r>
              <w:rPr>
                <w:rFonts w:ascii="Calibri" w:cs="Calibri" w:eastAsia="Calibri" w:hAnsi="Calibri"/>
                <w:sz w:val="17"/>
                <w:szCs w:val="17"/>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41</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Other operatng income, net</w:t>
            </w:r>
          </w:p>
        </w:tc>
        <w:tc>
          <w:tcPr>
            <w:tcW w:w="820" w:type="dxa"/>
            <w:vAlign w:val="bottom"/>
          </w:tcPr>
          <w:p>
            <w:pPr>
              <w:spacing w:after="0"/>
              <w:rPr>
                <w:sz w:val="17"/>
                <w:szCs w:val="17"/>
                <w:color w:val="auto"/>
              </w:rPr>
            </w:pPr>
          </w:p>
        </w:tc>
        <w:tc>
          <w:tcPr>
            <w:tcW w:w="700" w:type="dxa"/>
            <w:vAlign w:val="bottom"/>
            <w:gridSpan w:val="2"/>
          </w:tcPr>
          <w:p>
            <w:pPr>
              <w:jc w:val="right"/>
              <w:ind w:right="200"/>
              <w:spacing w:after="0" w:line="205" w:lineRule="exact"/>
              <w:rPr>
                <w:sz w:val="20"/>
                <w:szCs w:val="20"/>
                <w:color w:val="auto"/>
              </w:rPr>
            </w:pPr>
            <w:r>
              <w:rPr>
                <w:rFonts w:ascii="Calibri" w:cs="Calibri" w:eastAsia="Calibri" w:hAnsi="Calibri"/>
                <w:sz w:val="17"/>
                <w:szCs w:val="17"/>
                <w:color w:val="auto"/>
              </w:rPr>
              <w:t>(19 )</w:t>
            </w:r>
          </w:p>
        </w:tc>
        <w:tc>
          <w:tcPr>
            <w:tcW w:w="800" w:type="dxa"/>
            <w:vAlign w:val="bottom"/>
          </w:tcPr>
          <w:p>
            <w:pPr>
              <w:spacing w:after="0"/>
              <w:rPr>
                <w:sz w:val="17"/>
                <w:szCs w:val="17"/>
                <w:color w:val="auto"/>
              </w:rPr>
            </w:pPr>
          </w:p>
        </w:tc>
        <w:tc>
          <w:tcPr>
            <w:tcW w:w="6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(15 )</w:t>
            </w:r>
          </w:p>
        </w:tc>
        <w:tc>
          <w:tcPr>
            <w:tcW w:w="280" w:type="dxa"/>
            <w:vAlign w:val="bottom"/>
          </w:tcPr>
          <w:p>
            <w:pPr>
              <w:spacing w:after="0"/>
              <w:rPr>
                <w:sz w:val="17"/>
                <w:szCs w:val="17"/>
                <w:color w:val="auto"/>
              </w:rPr>
            </w:pPr>
          </w:p>
        </w:tc>
        <w:tc>
          <w:tcPr>
            <w:tcW w:w="11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(1,306 )</w:t>
            </w:r>
          </w:p>
        </w:tc>
        <w:tc>
          <w:tcPr>
            <w:tcW w:w="320" w:type="dxa"/>
            <w:vAlign w:val="bottom"/>
          </w:tcPr>
          <w:p>
            <w:pPr>
              <w:spacing w:after="0"/>
              <w:rPr>
                <w:sz w:val="17"/>
                <w:szCs w:val="17"/>
                <w:color w:val="auto"/>
              </w:rPr>
            </w:pPr>
          </w:p>
        </w:tc>
        <w:tc>
          <w:tcPr>
            <w:tcW w:w="1020" w:type="dxa"/>
            <w:vAlign w:val="bottom"/>
            <w:gridSpan w:val="2"/>
          </w:tcPr>
          <w:p>
            <w:pPr>
              <w:jc w:val="right"/>
              <w:ind w:right="40"/>
              <w:spacing w:after="0" w:line="205" w:lineRule="exact"/>
              <w:rPr>
                <w:sz w:val="20"/>
                <w:szCs w:val="20"/>
                <w:color w:val="auto"/>
              </w:rPr>
            </w:pPr>
            <w:r>
              <w:rPr>
                <w:rFonts w:ascii="Calibri" w:cs="Calibri" w:eastAsia="Calibri" w:hAnsi="Calibri"/>
                <w:sz w:val="17"/>
                <w:szCs w:val="17"/>
                <w:color w:val="auto"/>
              </w:rPr>
              <w:t>(13 )</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120"/>
              <w:spacing w:after="0" w:line="198" w:lineRule="exact"/>
              <w:rPr>
                <w:sz w:val="20"/>
                <w:szCs w:val="20"/>
                <w:color w:val="auto"/>
              </w:rPr>
            </w:pPr>
            <w:r>
              <w:rPr>
                <w:rFonts w:ascii="Calibri" w:cs="Calibri" w:eastAsia="Calibri" w:hAnsi="Calibri"/>
                <w:sz w:val="17"/>
                <w:szCs w:val="17"/>
                <w:color w:val="auto"/>
              </w:rPr>
              <w:t>Earnings from Operatons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398</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463</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1,819</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659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Interest expense</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40</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80</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Other nonoperatng income, net</w:t>
            </w:r>
          </w:p>
        </w:tc>
        <w:tc>
          <w:tcPr>
            <w:tcW w:w="820" w:type="dxa"/>
            <w:vAlign w:val="bottom"/>
          </w:tcPr>
          <w:p>
            <w:pPr>
              <w:spacing w:after="0"/>
              <w:rPr>
                <w:sz w:val="17"/>
                <w:szCs w:val="17"/>
                <w:color w:val="auto"/>
              </w:rPr>
            </w:pPr>
          </w:p>
        </w:tc>
        <w:tc>
          <w:tcPr>
            <w:tcW w:w="700" w:type="dxa"/>
            <w:vAlign w:val="bottom"/>
            <w:gridSpan w:val="2"/>
          </w:tcPr>
          <w:p>
            <w:pPr>
              <w:jc w:val="right"/>
              <w:ind w:right="200"/>
              <w:spacing w:after="0" w:line="205" w:lineRule="exact"/>
              <w:rPr>
                <w:sz w:val="20"/>
                <w:szCs w:val="20"/>
                <w:color w:val="auto"/>
              </w:rPr>
            </w:pPr>
            <w:r>
              <w:rPr>
                <w:rFonts w:ascii="Calibri" w:cs="Calibri" w:eastAsia="Calibri" w:hAnsi="Calibri"/>
                <w:sz w:val="17"/>
                <w:szCs w:val="17"/>
                <w:color w:val="auto"/>
              </w:rPr>
              <w:t>(14 )</w:t>
            </w:r>
          </w:p>
        </w:tc>
        <w:tc>
          <w:tcPr>
            <w:tcW w:w="800" w:type="dxa"/>
            <w:vAlign w:val="bottom"/>
          </w:tcPr>
          <w:p>
            <w:pPr>
              <w:spacing w:after="0"/>
              <w:rPr>
                <w:sz w:val="17"/>
                <w:szCs w:val="17"/>
                <w:color w:val="auto"/>
              </w:rPr>
            </w:pPr>
          </w:p>
        </w:tc>
        <w:tc>
          <w:tcPr>
            <w:tcW w:w="66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(19 )</w:t>
            </w:r>
          </w:p>
        </w:tc>
        <w:tc>
          <w:tcPr>
            <w:tcW w:w="280" w:type="dxa"/>
            <w:vAlign w:val="bottom"/>
          </w:tcPr>
          <w:p>
            <w:pPr>
              <w:spacing w:after="0"/>
              <w:rPr>
                <w:sz w:val="17"/>
                <w:szCs w:val="17"/>
                <w:color w:val="auto"/>
              </w:rPr>
            </w:pPr>
          </w:p>
        </w:tc>
        <w:tc>
          <w:tcPr>
            <w:tcW w:w="1180" w:type="dxa"/>
            <w:vAlign w:val="bottom"/>
            <w:gridSpan w:val="2"/>
          </w:tcPr>
          <w:p>
            <w:pPr>
              <w:jc w:val="right"/>
              <w:ind w:right="160"/>
              <w:spacing w:after="0" w:line="205" w:lineRule="exact"/>
              <w:rPr>
                <w:sz w:val="20"/>
                <w:szCs w:val="20"/>
                <w:color w:val="auto"/>
              </w:rPr>
            </w:pPr>
            <w:r>
              <w:rPr>
                <w:rFonts w:ascii="Calibri" w:cs="Calibri" w:eastAsia="Calibri" w:hAnsi="Calibri"/>
                <w:sz w:val="17"/>
                <w:szCs w:val="17"/>
                <w:color w:val="auto"/>
              </w:rPr>
              <w:t>(46 )</w:t>
            </w:r>
          </w:p>
        </w:tc>
        <w:tc>
          <w:tcPr>
            <w:tcW w:w="320" w:type="dxa"/>
            <w:vAlign w:val="bottom"/>
          </w:tcPr>
          <w:p>
            <w:pPr>
              <w:spacing w:after="0"/>
              <w:rPr>
                <w:sz w:val="17"/>
                <w:szCs w:val="17"/>
                <w:color w:val="auto"/>
              </w:rPr>
            </w:pPr>
          </w:p>
        </w:tc>
        <w:tc>
          <w:tcPr>
            <w:tcW w:w="1020" w:type="dxa"/>
            <w:vAlign w:val="bottom"/>
            <w:gridSpan w:val="2"/>
          </w:tcPr>
          <w:p>
            <w:pPr>
              <w:jc w:val="right"/>
              <w:ind w:right="40"/>
              <w:spacing w:after="0" w:line="205" w:lineRule="exact"/>
              <w:rPr>
                <w:sz w:val="20"/>
                <w:szCs w:val="20"/>
                <w:color w:val="auto"/>
              </w:rPr>
            </w:pPr>
            <w:r>
              <w:rPr>
                <w:rFonts w:ascii="Calibri" w:cs="Calibri" w:eastAsia="Calibri" w:hAnsi="Calibri"/>
                <w:sz w:val="17"/>
                <w:szCs w:val="17"/>
                <w:color w:val="auto"/>
              </w:rPr>
              <w:t>(35 )</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FF0FC"/>
          </w:tcPr>
          <w:p>
            <w:pPr>
              <w:ind w:left="120"/>
              <w:spacing w:after="0" w:line="182" w:lineRule="exact"/>
              <w:rPr>
                <w:sz w:val="20"/>
                <w:szCs w:val="20"/>
                <w:color w:val="auto"/>
              </w:rPr>
            </w:pPr>
            <w:r>
              <w:rPr>
                <w:rFonts w:ascii="Calibri" w:cs="Calibri" w:eastAsia="Calibri" w:hAnsi="Calibri"/>
                <w:sz w:val="17"/>
                <w:szCs w:val="17"/>
                <w:color w:val="auto"/>
              </w:rPr>
              <w:t>Earnings from contnuing operatons before income</w:t>
            </w: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240"/>
              <w:spacing w:after="0" w:line="205" w:lineRule="exact"/>
              <w:rPr>
                <w:sz w:val="20"/>
                <w:szCs w:val="20"/>
                <w:color w:val="auto"/>
              </w:rPr>
            </w:pPr>
            <w:r>
              <w:rPr>
                <w:rFonts w:ascii="Calibri" w:cs="Calibri" w:eastAsia="Calibri" w:hAnsi="Calibri"/>
                <w:sz w:val="17"/>
                <w:szCs w:val="17"/>
                <w:color w:val="auto"/>
              </w:rPr>
              <w:t>tax expense</w:t>
            </w:r>
          </w:p>
        </w:tc>
        <w:tc>
          <w:tcPr>
            <w:tcW w:w="8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372</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440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1,785</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Income tax expense</w:t>
            </w:r>
          </w:p>
        </w:tc>
        <w:tc>
          <w:tcPr>
            <w:tcW w:w="8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78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445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120"/>
              <w:spacing w:after="0" w:line="198" w:lineRule="exact"/>
              <w:rPr>
                <w:sz w:val="20"/>
                <w:szCs w:val="20"/>
                <w:color w:val="auto"/>
              </w:rPr>
            </w:pPr>
            <w:r>
              <w:rPr>
                <w:rFonts w:ascii="Calibri" w:cs="Calibri" w:eastAsia="Calibri" w:hAnsi="Calibri"/>
                <w:sz w:val="17"/>
                <w:szCs w:val="17"/>
                <w:color w:val="auto"/>
              </w:rPr>
              <w:t>Earnings from contnuing operatons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294</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348</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1,340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line="189" w:lineRule="exact"/>
              <w:rPr>
                <w:sz w:val="20"/>
                <w:szCs w:val="20"/>
                <w:color w:val="auto"/>
              </w:rPr>
            </w:pPr>
            <w:r>
              <w:rPr>
                <w:rFonts w:ascii="Calibri" w:cs="Calibri" w:eastAsia="Calibri" w:hAnsi="Calibri"/>
                <w:sz w:val="17"/>
                <w:szCs w:val="17"/>
                <w:color w:val="auto"/>
              </w:rPr>
              <w:t>Earnings (Loss) from discontnued operatons, net of</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17"/>
                <w:szCs w:val="17"/>
                <w:color w:val="auto"/>
              </w:rPr>
              <w:t>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32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(12 )</w:t>
            </w:r>
          </w:p>
        </w:tc>
        <w:tc>
          <w:tcPr>
            <w:tcW w:w="0" w:type="dxa"/>
            <w:vAlign w:val="bottom"/>
          </w:tcPr>
          <w:p>
            <w:pPr>
              <w:spacing w:after="0"/>
              <w:rPr>
                <w:sz w:val="1"/>
                <w:szCs w:val="1"/>
                <w:color w:val="auto"/>
              </w:rPr>
            </w:pPr>
          </w:p>
        </w:tc>
      </w:tr>
      <w:tr>
        <w:trPr>
          <w:trHeight w:val="204"/>
        </w:trPr>
        <w:tc>
          <w:tcPr>
            <w:tcW w:w="5460" w:type="dxa"/>
            <w:vAlign w:val="bottom"/>
          </w:tcPr>
          <w:p>
            <w:pPr>
              <w:ind w:left="140"/>
              <w:spacing w:after="0" w:line="205" w:lineRule="exact"/>
              <w:rPr>
                <w:sz w:val="20"/>
                <w:szCs w:val="20"/>
                <w:color w:val="auto"/>
              </w:rPr>
            </w:pPr>
            <w:r>
              <w:rPr>
                <w:rFonts w:ascii="Calibri" w:cs="Calibri" w:eastAsia="Calibri" w:hAnsi="Calibri"/>
                <w:sz w:val="17"/>
                <w:szCs w:val="17"/>
                <w:color w:val="auto"/>
              </w:rPr>
              <w:t>income tax expense (beneft)</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shd w:val="clear" w:color="auto" w:fill="CFF0FC"/>
          </w:tcPr>
          <w:p>
            <w:pPr>
              <w:ind w:left="20"/>
              <w:spacing w:after="0" w:line="198" w:lineRule="exact"/>
              <w:rPr>
                <w:sz w:val="20"/>
                <w:szCs w:val="20"/>
                <w:color w:val="auto"/>
              </w:rPr>
            </w:pPr>
            <w:r>
              <w:rPr>
                <w:rFonts w:ascii="Calibri" w:cs="Calibri" w:eastAsia="Calibri" w:hAnsi="Calibri"/>
                <w:sz w:val="17"/>
                <w:szCs w:val="17"/>
                <w:color w:val="auto"/>
              </w:rPr>
              <w:t>Consolidated net earnings</w:t>
            </w:r>
          </w:p>
        </w:tc>
        <w:tc>
          <w:tcPr>
            <w:tcW w:w="8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294</w:t>
            </w: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349</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1,340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line="205" w:lineRule="exact"/>
              <w:rPr>
                <w:sz w:val="20"/>
                <w:szCs w:val="20"/>
                <w:color w:val="auto"/>
              </w:rPr>
            </w:pPr>
            <w:r>
              <w:rPr>
                <w:rFonts w:ascii="Calibri" w:cs="Calibri" w:eastAsia="Calibri" w:hAnsi="Calibri"/>
                <w:sz w:val="17"/>
                <w:szCs w:val="17"/>
                <w:color w:val="auto"/>
              </w:rPr>
              <w:t>Less: Net earnings atributable to noncontrolling interests</w:t>
            </w:r>
          </w:p>
        </w:tc>
        <w:tc>
          <w:tcPr>
            <w:tcW w:w="820" w:type="dxa"/>
            <w:vAlign w:val="bottom"/>
          </w:tcPr>
          <w:p>
            <w:pPr>
              <w:spacing w:after="0"/>
              <w:rPr>
                <w:sz w:val="17"/>
                <w:szCs w:val="17"/>
                <w:color w:val="auto"/>
              </w:rPr>
            </w:pPr>
          </w:p>
        </w:tc>
        <w:tc>
          <w:tcPr>
            <w:tcW w:w="700" w:type="dxa"/>
            <w:vAlign w:val="bottom"/>
            <w:gridSpan w:val="2"/>
          </w:tcPr>
          <w:p>
            <w:pPr>
              <w:jc w:val="right"/>
              <w:ind w:right="280"/>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7"/>
                <w:szCs w:val="17"/>
                <w:color w:val="auto"/>
              </w:rPr>
              <w:t>Net Earnings Atributable to Martn Marieta</w:t>
            </w:r>
          </w:p>
        </w:tc>
        <w:tc>
          <w:tcPr>
            <w:tcW w:w="820" w:type="dxa"/>
            <w:vAlign w:val="bottom"/>
            <w:tcBorders>
              <w:bottom w:val="single" w:sz="8" w:color="auto"/>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294</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348</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1,339</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469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Consolidated Comprehensive Earnings (See Note 1):</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20"/>
              <w:spacing w:after="0" w:line="205" w:lineRule="exact"/>
              <w:rPr>
                <w:sz w:val="20"/>
                <w:szCs w:val="20"/>
                <w:color w:val="auto"/>
              </w:rPr>
            </w:pPr>
            <w:r>
              <w:rPr>
                <w:rFonts w:ascii="Calibri" w:cs="Calibri" w:eastAsia="Calibri" w:hAnsi="Calibri"/>
                <w:sz w:val="17"/>
                <w:szCs w:val="17"/>
                <w:color w:val="auto"/>
              </w:rPr>
              <w:t>Earnings atributable to Martn Marieta</w:t>
            </w:r>
          </w:p>
        </w:tc>
        <w:tc>
          <w:tcPr>
            <w:tcW w:w="820" w:type="dxa"/>
            <w:vAlign w:val="bottom"/>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295</w:t>
            </w:r>
          </w:p>
        </w:tc>
        <w:tc>
          <w:tcPr>
            <w:tcW w:w="260" w:type="dxa"/>
            <w:vAlign w:val="bottom"/>
          </w:tcPr>
          <w:p>
            <w:pPr>
              <w:spacing w:after="0"/>
              <w:rPr>
                <w:sz w:val="17"/>
                <w:szCs w:val="17"/>
                <w:color w:val="auto"/>
              </w:rPr>
            </w:pPr>
          </w:p>
        </w:tc>
        <w:tc>
          <w:tcPr>
            <w:tcW w:w="800" w:type="dxa"/>
            <w:vAlign w:val="bottom"/>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Pr>
          <w:p>
            <w:pPr>
              <w:jc w:val="right"/>
              <w:spacing w:after="0" w:line="205" w:lineRule="exact"/>
              <w:rPr>
                <w:sz w:val="20"/>
                <w:szCs w:val="20"/>
                <w:color w:val="auto"/>
              </w:rPr>
            </w:pPr>
            <w:r>
              <w:rPr>
                <w:rFonts w:ascii="Calibri" w:cs="Calibri" w:eastAsia="Calibri" w:hAnsi="Calibri"/>
                <w:sz w:val="17"/>
                <w:szCs w:val="17"/>
                <w:color w:val="auto"/>
              </w:rPr>
              <w:t>350</w:t>
            </w:r>
          </w:p>
        </w:tc>
        <w:tc>
          <w:tcPr>
            <w:tcW w:w="220" w:type="dxa"/>
            <w:vAlign w:val="bottom"/>
          </w:tcPr>
          <w:p>
            <w:pPr>
              <w:spacing w:after="0"/>
              <w:rPr>
                <w:sz w:val="17"/>
                <w:szCs w:val="17"/>
                <w:color w:val="auto"/>
              </w:rPr>
            </w:pPr>
          </w:p>
        </w:tc>
        <w:tc>
          <w:tcPr>
            <w:tcW w:w="280" w:type="dxa"/>
            <w:vAlign w:val="bottom"/>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Pr>
          <w:p>
            <w:pPr>
              <w:jc w:val="right"/>
              <w:spacing w:after="0" w:line="205" w:lineRule="exact"/>
              <w:rPr>
                <w:sz w:val="20"/>
                <w:szCs w:val="20"/>
                <w:color w:val="auto"/>
              </w:rPr>
            </w:pPr>
            <w:r>
              <w:rPr>
                <w:rFonts w:ascii="Calibri" w:cs="Calibri" w:eastAsia="Calibri" w:hAnsi="Calibri"/>
                <w:sz w:val="17"/>
                <w:szCs w:val="17"/>
                <w:color w:val="auto"/>
              </w:rPr>
              <w:t>1,340</w:t>
            </w:r>
          </w:p>
        </w:tc>
        <w:tc>
          <w:tcPr>
            <w:tcW w:w="220" w:type="dxa"/>
            <w:vAlign w:val="bottom"/>
          </w:tcPr>
          <w:p>
            <w:pPr>
              <w:spacing w:after="0"/>
              <w:rPr>
                <w:sz w:val="17"/>
                <w:szCs w:val="17"/>
                <w:color w:val="auto"/>
              </w:rPr>
            </w:pPr>
          </w:p>
        </w:tc>
        <w:tc>
          <w:tcPr>
            <w:tcW w:w="320" w:type="dxa"/>
            <w:vAlign w:val="bottom"/>
          </w:tcPr>
          <w:p>
            <w:pPr>
              <w:jc w:val="right"/>
              <w:ind w:right="13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Pr>
          <w:p>
            <w:pPr>
              <w:jc w:val="right"/>
              <w:spacing w:after="0" w:line="205" w:lineRule="exact"/>
              <w:rPr>
                <w:sz w:val="20"/>
                <w:szCs w:val="20"/>
                <w:color w:val="auto"/>
              </w:rPr>
            </w:pPr>
            <w:r>
              <w:rPr>
                <w:rFonts w:ascii="Calibri" w:cs="Calibri" w:eastAsia="Calibri" w:hAnsi="Calibri"/>
                <w:sz w:val="17"/>
                <w:szCs w:val="17"/>
                <w:color w:val="auto"/>
              </w:rPr>
              <w:t>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tcBorders>
              <w:bottom w:val="single" w:sz="8" w:color="CFF0FC"/>
            </w:tcBorders>
            <w:shd w:val="clear" w:color="auto" w:fill="CFF0FC"/>
          </w:tcPr>
          <w:p>
            <w:pPr>
              <w:ind w:left="120"/>
              <w:spacing w:after="0" w:line="205" w:lineRule="exact"/>
              <w:rPr>
                <w:sz w:val="20"/>
                <w:szCs w:val="20"/>
                <w:color w:val="auto"/>
              </w:rPr>
            </w:pPr>
            <w:r>
              <w:rPr>
                <w:rFonts w:ascii="Calibri" w:cs="Calibri" w:eastAsia="Calibri" w:hAnsi="Calibri"/>
                <w:sz w:val="17"/>
                <w:szCs w:val="17"/>
                <w:color w:val="auto"/>
              </w:rPr>
              <w:t>Earnings atributable to noncontrolling interests</w:t>
            </w:r>
          </w:p>
        </w:tc>
        <w:tc>
          <w:tcPr>
            <w:tcW w:w="8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280"/>
              <w:spacing w:after="0" w:line="205" w:lineRule="exact"/>
              <w:rPr>
                <w:sz w:val="20"/>
                <w:szCs w:val="20"/>
                <w:color w:val="auto"/>
              </w:rPr>
            </w:pPr>
            <w:r>
              <w:rPr>
                <w:rFonts w:ascii="Calibri" w:cs="Calibri" w:eastAsia="Calibri" w:hAnsi="Calibri"/>
                <w:sz w:val="17"/>
                <w:szCs w:val="17"/>
                <w:color w:val="auto"/>
              </w:rPr>
              <w:t>—</w:t>
            </w:r>
          </w:p>
        </w:tc>
        <w:tc>
          <w:tcPr>
            <w:tcW w:w="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295</w:t>
            </w:r>
          </w:p>
        </w:tc>
        <w:tc>
          <w:tcPr>
            <w:tcW w:w="26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351</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1,341</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jc w:val="right"/>
              <w:ind w:right="135"/>
              <w:spacing w:after="0" w:line="198" w:lineRule="exact"/>
              <w:rPr>
                <w:sz w:val="20"/>
                <w:szCs w:val="20"/>
                <w:color w:val="auto"/>
              </w:rPr>
            </w:pPr>
            <w:r>
              <w:rPr>
                <w:rFonts w:ascii="Calibri" w:cs="Calibri" w:eastAsia="Calibri" w:hAnsi="Calibri"/>
                <w:sz w:val="17"/>
                <w:szCs w:val="17"/>
                <w:color w:val="auto"/>
                <w:w w:val="92"/>
              </w:rPr>
              <w:t>$</w:t>
            </w:r>
          </w:p>
        </w:tc>
        <w:tc>
          <w:tcPr>
            <w:tcW w:w="920" w:type="dxa"/>
            <w:vAlign w:val="bottom"/>
            <w:tcBorders>
              <w:top w:val="single" w:sz="8" w:color="auto"/>
            </w:tcBorders>
          </w:tcPr>
          <w:p>
            <w:pPr>
              <w:jc w:val="right"/>
              <w:spacing w:after="0" w:line="198" w:lineRule="exact"/>
              <w:rPr>
                <w:sz w:val="20"/>
                <w:szCs w:val="20"/>
                <w:color w:val="auto"/>
              </w:rPr>
            </w:pPr>
            <w:r>
              <w:rPr>
                <w:rFonts w:ascii="Calibri" w:cs="Calibri" w:eastAsia="Calibri" w:hAnsi="Calibri"/>
                <w:sz w:val="17"/>
                <w:szCs w:val="17"/>
                <w:color w:val="auto"/>
              </w:rPr>
              <w:t>473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Borders>
              <w:bottom w:val="single" w:sz="8" w:color="CFF0FC"/>
            </w:tcBorders>
            <w:shd w:val="clear" w:color="auto" w:fill="CFF0FC"/>
          </w:tcPr>
          <w:p>
            <w:pPr>
              <w:ind w:left="20"/>
              <w:spacing w:after="0" w:line="185" w:lineRule="exact"/>
              <w:rPr>
                <w:sz w:val="20"/>
                <w:szCs w:val="20"/>
                <w:color w:val="auto"/>
              </w:rPr>
            </w:pPr>
            <w:r>
              <w:rPr>
                <w:rFonts w:ascii="Calibri" w:cs="Calibri" w:eastAsia="Calibri" w:hAnsi="Calibri"/>
                <w:sz w:val="17"/>
                <w:szCs w:val="17"/>
                <w:color w:val="auto"/>
              </w:rPr>
              <w:t>Net Earnings (Loss) Atributable to Martn Marieta</w:t>
            </w:r>
          </w:p>
        </w:tc>
        <w:tc>
          <w:tcPr>
            <w:tcW w:w="8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20"/>
              <w:spacing w:after="0" w:line="205" w:lineRule="exact"/>
              <w:rPr>
                <w:sz w:val="20"/>
                <w:szCs w:val="20"/>
                <w:color w:val="auto"/>
              </w:rPr>
            </w:pPr>
            <w:r>
              <w:rPr>
                <w:rFonts w:ascii="Calibri" w:cs="Calibri" w:eastAsia="Calibri" w:hAnsi="Calibri"/>
                <w:sz w:val="17"/>
                <w:szCs w:val="17"/>
                <w:color w:val="auto"/>
              </w:rPr>
              <w:t>Per Common Share:</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6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Basic earnings per share from contnuing operatons</w:t>
            </w: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4.77</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5.61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21.72</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13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300"/>
              <w:spacing w:after="0" w:line="189" w:lineRule="exact"/>
              <w:rPr>
                <w:sz w:val="20"/>
                <w:szCs w:val="20"/>
                <w:color w:val="auto"/>
              </w:rPr>
            </w:pPr>
            <w:r>
              <w:rPr>
                <w:rFonts w:ascii="Calibri" w:cs="Calibri" w:eastAsia="Calibri" w:hAnsi="Calibri"/>
                <w:sz w:val="17"/>
                <w:szCs w:val="17"/>
                <w:color w:val="auto"/>
              </w:rPr>
              <w:t>Basic earnings (loss) per share from discontnued operatons</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17"/>
                <w:szCs w:val="17"/>
                <w:color w:val="auto"/>
              </w:rPr>
              <w:t>0.01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32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(0.20 )</w:t>
            </w:r>
          </w:p>
        </w:tc>
        <w:tc>
          <w:tcPr>
            <w:tcW w:w="0" w:type="dxa"/>
            <w:vAlign w:val="bottom"/>
          </w:tcPr>
          <w:p>
            <w:pPr>
              <w:spacing w:after="0"/>
              <w:rPr>
                <w:sz w:val="1"/>
                <w:szCs w:val="1"/>
                <w:color w:val="auto"/>
              </w:rPr>
            </w:pPr>
          </w:p>
        </w:tc>
      </w:tr>
      <w:tr>
        <w:trPr>
          <w:trHeight w:val="204"/>
        </w:trPr>
        <w:tc>
          <w:tcPr>
            <w:tcW w:w="5460" w:type="dxa"/>
            <w:vAlign w:val="bottom"/>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4.77</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5.62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21.72</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5"/>
              <w:spacing w:after="0" w:line="198"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7.58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FF0FC"/>
          </w:tcPr>
          <w:p>
            <w:pPr>
              <w:ind w:left="300"/>
              <w:spacing w:after="0" w:line="189" w:lineRule="exact"/>
              <w:rPr>
                <w:sz w:val="20"/>
                <w:szCs w:val="20"/>
                <w:color w:val="auto"/>
              </w:rPr>
            </w:pPr>
            <w:r>
              <w:rPr>
                <w:rFonts w:ascii="Calibri" w:cs="Calibri" w:eastAsia="Calibri" w:hAnsi="Calibri"/>
                <w:sz w:val="17"/>
                <w:szCs w:val="17"/>
                <w:color w:val="auto"/>
              </w:rPr>
              <w:t>Diluted earnings per share from contnuing operatons</w:t>
            </w: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atributable to common shareholders</w:t>
            </w:r>
          </w:p>
        </w:tc>
        <w:tc>
          <w:tcPr>
            <w:tcW w:w="820" w:type="dxa"/>
            <w:vAlign w:val="bottom"/>
            <w:tcBorders>
              <w:bottom w:val="single" w:sz="8" w:color="CFF0FC"/>
            </w:tcBorders>
            <w:shd w:val="clear" w:color="auto" w:fill="CFF0FC"/>
          </w:tcPr>
          <w:p>
            <w:pPr>
              <w:jc w:val="right"/>
              <w:ind w:right="63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4.76</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5"/>
              <w:spacing w:after="0" w:line="205"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5.60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5"/>
              <w:spacing w:after="0" w:line="205"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21.66</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13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300"/>
              <w:spacing w:after="0" w:line="189" w:lineRule="exact"/>
              <w:rPr>
                <w:sz w:val="20"/>
                <w:szCs w:val="20"/>
                <w:color w:val="auto"/>
              </w:rPr>
            </w:pPr>
            <w:r>
              <w:rPr>
                <w:rFonts w:ascii="Calibri" w:cs="Calibri" w:eastAsia="Calibri" w:hAnsi="Calibri"/>
                <w:sz w:val="17"/>
                <w:szCs w:val="17"/>
                <w:color w:val="auto"/>
              </w:rPr>
              <w:t>Diluted earnings (loss) per share from discontnued</w:t>
            </w:r>
          </w:p>
        </w:tc>
        <w:tc>
          <w:tcPr>
            <w:tcW w:w="820" w:type="dxa"/>
            <w:vAlign w:val="bottom"/>
          </w:tcPr>
          <w:p>
            <w:pPr>
              <w:spacing w:after="0"/>
              <w:rPr>
                <w:sz w:val="16"/>
                <w:szCs w:val="16"/>
                <w:color w:val="auto"/>
              </w:rPr>
            </w:pPr>
          </w:p>
        </w:tc>
        <w:tc>
          <w:tcPr>
            <w:tcW w:w="700" w:type="dxa"/>
            <w:vAlign w:val="bottom"/>
            <w:gridSpan w:val="2"/>
            <w:vMerge w:val="restart"/>
          </w:tcPr>
          <w:p>
            <w:pPr>
              <w:jc w:val="right"/>
              <w:ind w:right="280"/>
              <w:spacing w:after="0"/>
              <w:rPr>
                <w:sz w:val="20"/>
                <w:szCs w:val="20"/>
                <w:color w:val="auto"/>
              </w:rPr>
            </w:pPr>
            <w:r>
              <w:rPr>
                <w:rFonts w:ascii="Calibri" w:cs="Calibri" w:eastAsia="Calibri" w:hAnsi="Calibri"/>
                <w:sz w:val="17"/>
                <w:szCs w:val="17"/>
                <w:color w:val="auto"/>
              </w:rPr>
              <w:t>—</w:t>
            </w:r>
          </w:p>
        </w:tc>
        <w:tc>
          <w:tcPr>
            <w:tcW w:w="80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17"/>
                <w:szCs w:val="17"/>
                <w:color w:val="auto"/>
              </w:rPr>
              <w:t>0.01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Calibri" w:cs="Calibri" w:eastAsia="Calibri" w:hAnsi="Calibri"/>
                <w:sz w:val="17"/>
                <w:szCs w:val="17"/>
                <w:color w:val="auto"/>
              </w:rPr>
              <w:t>—</w:t>
            </w:r>
          </w:p>
        </w:tc>
        <w:tc>
          <w:tcPr>
            <w:tcW w:w="32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Calibri" w:cs="Calibri" w:eastAsia="Calibri" w:hAnsi="Calibri"/>
                <w:sz w:val="17"/>
                <w:szCs w:val="17"/>
                <w:color w:val="auto"/>
              </w:rPr>
              <w:t>(0.20 )</w:t>
            </w:r>
          </w:p>
        </w:tc>
        <w:tc>
          <w:tcPr>
            <w:tcW w:w="0" w:type="dxa"/>
            <w:vAlign w:val="bottom"/>
          </w:tcPr>
          <w:p>
            <w:pPr>
              <w:spacing w:after="0"/>
              <w:rPr>
                <w:sz w:val="1"/>
                <w:szCs w:val="1"/>
                <w:color w:val="auto"/>
              </w:rPr>
            </w:pPr>
          </w:p>
        </w:tc>
      </w:tr>
      <w:tr>
        <w:trPr>
          <w:trHeight w:val="204"/>
        </w:trPr>
        <w:tc>
          <w:tcPr>
            <w:tcW w:w="5460" w:type="dxa"/>
            <w:vAlign w:val="bottom"/>
          </w:tcPr>
          <w:p>
            <w:pPr>
              <w:ind w:left="420"/>
              <w:spacing w:after="0" w:line="205" w:lineRule="exact"/>
              <w:rPr>
                <w:sz w:val="20"/>
                <w:szCs w:val="20"/>
                <w:color w:val="auto"/>
              </w:rPr>
            </w:pPr>
            <w:r>
              <w:rPr>
                <w:rFonts w:ascii="Calibri" w:cs="Calibri" w:eastAsia="Calibri" w:hAnsi="Calibri"/>
                <w:sz w:val="17"/>
                <w:szCs w:val="17"/>
                <w:color w:val="auto"/>
              </w:rPr>
              <w:t>operatons atributable to common shareholders</w:t>
            </w:r>
          </w:p>
        </w:tc>
        <w:tc>
          <w:tcPr>
            <w:tcW w:w="8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63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4.76</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ind w:right="615"/>
              <w:spacing w:after="0" w:line="198" w:lineRule="exact"/>
              <w:rPr>
                <w:sz w:val="20"/>
                <w:szCs w:val="20"/>
                <w:color w:val="auto"/>
              </w:rPr>
            </w:pPr>
            <w:r>
              <w:rPr>
                <w:rFonts w:ascii="Calibri" w:cs="Calibri" w:eastAsia="Calibri" w:hAnsi="Calibri"/>
                <w:sz w:val="17"/>
                <w:szCs w:val="17"/>
                <w:color w:val="auto"/>
                <w:w w:val="92"/>
              </w:rPr>
              <w:t>$</w:t>
            </w:r>
          </w:p>
        </w:tc>
        <w:tc>
          <w:tcPr>
            <w:tcW w:w="44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5.61</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95"/>
              <w:spacing w:after="0" w:line="198" w:lineRule="exact"/>
              <w:rPr>
                <w:sz w:val="20"/>
                <w:szCs w:val="20"/>
                <w:color w:val="auto"/>
              </w:rPr>
            </w:pPr>
            <w:r>
              <w:rPr>
                <w:rFonts w:ascii="Calibri" w:cs="Calibri" w:eastAsia="Calibri" w:hAnsi="Calibri"/>
                <w:sz w:val="17"/>
                <w:szCs w:val="17"/>
                <w:color w:val="auto"/>
                <w:w w:val="92"/>
              </w:rPr>
              <w:t>$</w:t>
            </w:r>
          </w:p>
        </w:tc>
        <w:tc>
          <w:tcPr>
            <w:tcW w:w="96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21.66</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5"/>
              <w:spacing w:after="0" w:line="198" w:lineRule="exact"/>
              <w:rPr>
                <w:sz w:val="20"/>
                <w:szCs w:val="20"/>
                <w:color w:val="auto"/>
              </w:rPr>
            </w:pPr>
            <w:r>
              <w:rPr>
                <w:rFonts w:ascii="Calibri" w:cs="Calibri" w:eastAsia="Calibri" w:hAnsi="Calibri"/>
                <w:sz w:val="17"/>
                <w:szCs w:val="17"/>
                <w:color w:val="auto"/>
                <w:w w:val="92"/>
              </w:rPr>
              <w:t>$</w:t>
            </w:r>
          </w:p>
        </w:tc>
        <w:tc>
          <w:tcPr>
            <w:tcW w:w="920" w:type="dxa"/>
            <w:vAlign w:val="bottom"/>
            <w:tcBorders>
              <w:bottom w:val="single" w:sz="8" w:color="CFF0FC"/>
            </w:tcBorders>
            <w:shd w:val="clear" w:color="auto" w:fill="CFF0FC"/>
          </w:tcPr>
          <w:p>
            <w:pPr>
              <w:jc w:val="right"/>
              <w:spacing w:after="0" w:line="198" w:lineRule="exact"/>
              <w:rPr>
                <w:sz w:val="20"/>
                <w:szCs w:val="20"/>
                <w:color w:val="auto"/>
              </w:rPr>
            </w:pPr>
            <w:r>
              <w:rPr>
                <w:rFonts w:ascii="Calibri" w:cs="Calibri" w:eastAsia="Calibri" w:hAnsi="Calibri"/>
                <w:sz w:val="17"/>
                <w:szCs w:val="17"/>
                <w:color w:val="auto"/>
              </w:rPr>
              <w:t>7.56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FF0FC"/>
            </w:tcBorders>
            <w:shd w:val="clear" w:color="auto" w:fill="CFF0FC"/>
          </w:tcPr>
          <w:p>
            <w:pPr>
              <w:ind w:left="20"/>
              <w:spacing w:after="0" w:line="205" w:lineRule="exact"/>
              <w:rPr>
                <w:sz w:val="20"/>
                <w:szCs w:val="20"/>
                <w:color w:val="auto"/>
              </w:rPr>
            </w:pPr>
            <w:r>
              <w:rPr>
                <w:rFonts w:ascii="Calibri" w:cs="Calibri" w:eastAsia="Calibri" w:hAnsi="Calibri"/>
                <w:sz w:val="17"/>
                <w:szCs w:val="17"/>
                <w:color w:val="auto"/>
              </w:rPr>
              <w:t>Weighted-Average Common Shares Outstanding:</w:t>
            </w:r>
          </w:p>
        </w:tc>
        <w:tc>
          <w:tcPr>
            <w:tcW w:w="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0"/>
              <w:spacing w:after="0"/>
              <w:rPr>
                <w:sz w:val="20"/>
                <w:szCs w:val="20"/>
                <w:color w:val="auto"/>
              </w:rPr>
            </w:pPr>
            <w:r>
              <w:rPr>
                <w:rFonts w:ascii="Calibri" w:cs="Calibri" w:eastAsia="Calibri" w:hAnsi="Calibri"/>
                <w:sz w:val="17"/>
                <w:szCs w:val="17"/>
                <w:color w:val="auto"/>
              </w:rPr>
              <w:t>Basic</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61.5</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7"/>
                <w:szCs w:val="17"/>
                <w:color w:val="auto"/>
              </w:rPr>
              <w:t>Diluted</w:t>
            </w: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61.6</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61.8</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-3300095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-3282315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-3300095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-3282315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-3300095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-3282315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-3300095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-2691130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-2691130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-2691130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-1525270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-1508125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-1525270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-1508125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-1525270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-1508125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-659130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-641985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-659130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-641985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-659130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-641985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CASH FLOWS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Calibri" w:cs="Calibri" w:eastAsia="Calibri" w:hAnsi="Calibri"/>
                <w:sz w:val="18"/>
                <w:szCs w:val="18"/>
                <w:color w:val="auto"/>
                <w:w w:val="97"/>
              </w:rPr>
              <w:t>Six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gridSpan w:val="3"/>
          </w:tcPr>
          <w:p>
            <w:pPr>
              <w:jc w:val="center"/>
              <w:spacing w:after="0"/>
              <w:rPr>
                <w:sz w:val="20"/>
                <w:szCs w:val="20"/>
                <w:color w:val="auto"/>
              </w:rPr>
            </w:pPr>
            <w:r>
              <w:rPr>
                <w:rFonts w:ascii="Calibri" w:cs="Calibri" w:eastAsia="Calibri" w:hAnsi="Calibri"/>
                <w:sz w:val="18"/>
                <w:szCs w:val="18"/>
                <w:color w:val="auto"/>
                <w:w w:val="95"/>
              </w:rPr>
              <w:t>June 30,</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
        </w:trPr>
        <w:tc>
          <w:tcPr>
            <w:tcW w:w="7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7520" w:type="dxa"/>
            <w:vAlign w:val="bottom"/>
          </w:tcPr>
          <w:p>
            <w:pPr>
              <w:spacing w:after="0"/>
              <w:rPr>
                <w:sz w:val="18"/>
                <w:szCs w:val="18"/>
                <w:color w:val="auto"/>
              </w:rPr>
            </w:pP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2024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0"/>
              <w:spacing w:after="0" w:line="208" w:lineRule="exact"/>
              <w:rPr>
                <w:sz w:val="20"/>
                <w:szCs w:val="20"/>
                <w:color w:val="auto"/>
              </w:rPr>
            </w:pPr>
            <w:r>
              <w:rPr>
                <w:rFonts w:ascii="Calibri" w:cs="Calibri" w:eastAsia="Calibri" w:hAnsi="Calibri"/>
                <w:sz w:val="18"/>
                <w:szCs w:val="18"/>
                <w:color w:val="auto"/>
              </w:rPr>
              <w:t>2023</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5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i w:val="1"/>
                <w:iCs w:val="1"/>
                <w:color w:val="auto"/>
              </w:rPr>
              <w:t>(Dollars</w:t>
            </w:r>
          </w:p>
        </w:tc>
        <w:tc>
          <w:tcPr>
            <w:tcW w:w="280" w:type="dxa"/>
            <w:vAlign w:val="bottom"/>
          </w:tcPr>
          <w:p>
            <w:pPr>
              <w:jc w:val="right"/>
              <w:ind w:right="30"/>
              <w:spacing w:after="0" w:line="199" w:lineRule="exact"/>
              <w:rPr>
                <w:sz w:val="20"/>
                <w:szCs w:val="20"/>
                <w:color w:val="auto"/>
              </w:rPr>
            </w:pPr>
            <w:r>
              <w:rPr>
                <w:rFonts w:ascii="Calibri" w:cs="Calibri" w:eastAsia="Calibri" w:hAnsi="Calibri"/>
                <w:sz w:val="18"/>
                <w:szCs w:val="18"/>
                <w:i w:val="1"/>
                <w:iCs w:val="1"/>
                <w:color w:val="auto"/>
              </w:rPr>
              <w:t>in</w:t>
            </w:r>
          </w:p>
        </w:tc>
        <w:tc>
          <w:tcPr>
            <w:tcW w:w="600" w:type="dxa"/>
            <w:vAlign w:val="bottom"/>
            <w:tcBorders>
              <w:top w:val="single" w:sz="8" w:color="auto"/>
            </w:tcBorders>
          </w:tcPr>
          <w:p>
            <w:pPr>
              <w:spacing w:after="0" w:line="208" w:lineRule="exact"/>
              <w:rPr>
                <w:sz w:val="20"/>
                <w:szCs w:val="20"/>
                <w:color w:val="auto"/>
              </w:rPr>
            </w:pPr>
            <w:r>
              <w:rPr>
                <w:rFonts w:ascii="Calibri" w:cs="Calibri" w:eastAsia="Calibri" w:hAnsi="Calibri"/>
                <w:sz w:val="18"/>
                <w:szCs w:val="18"/>
                <w:i w:val="1"/>
                <w:iCs w:val="1"/>
                <w:color w:val="auto"/>
                <w:w w:val="92"/>
              </w:rPr>
              <w:t>Millions)</w:t>
            </w: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Operatng Actvites:</w:t>
            </w: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
              <w:spacing w:after="0" w:line="215" w:lineRule="exact"/>
              <w:rPr>
                <w:sz w:val="20"/>
                <w:szCs w:val="20"/>
                <w:color w:val="auto"/>
              </w:rPr>
            </w:pPr>
            <w:r>
              <w:rPr>
                <w:rFonts w:ascii="Calibri" w:cs="Calibri" w:eastAsia="Calibri" w:hAnsi="Calibri"/>
                <w:sz w:val="18"/>
                <w:szCs w:val="18"/>
                <w:color w:val="auto"/>
              </w:rPr>
              <w:t>Consolidated net earnings</w:t>
            </w:r>
          </w:p>
        </w:tc>
        <w:tc>
          <w:tcPr>
            <w:tcW w:w="108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1,340</w:t>
            </w:r>
          </w:p>
        </w:tc>
        <w:tc>
          <w:tcPr>
            <w:tcW w:w="280" w:type="dxa"/>
            <w:vAlign w:val="bottom"/>
          </w:tcPr>
          <w:p>
            <w:pPr>
              <w:spacing w:after="0"/>
              <w:rPr>
                <w:sz w:val="18"/>
                <w:szCs w:val="18"/>
                <w:color w:val="auto"/>
              </w:rPr>
            </w:pPr>
          </w:p>
        </w:tc>
        <w:tc>
          <w:tcPr>
            <w:tcW w:w="60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470</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520" w:type="dxa"/>
            <w:vAlign w:val="bottom"/>
            <w:shd w:val="clear" w:color="auto" w:fill="CFF0FC"/>
          </w:tcPr>
          <w:p>
            <w:pPr>
              <w:ind w:left="20"/>
              <w:spacing w:after="0" w:line="207" w:lineRule="exact"/>
              <w:rPr>
                <w:sz w:val="20"/>
                <w:szCs w:val="20"/>
                <w:color w:val="auto"/>
              </w:rPr>
            </w:pPr>
            <w:r>
              <w:rPr>
                <w:rFonts w:ascii="Calibri" w:cs="Calibri" w:eastAsia="Calibri" w:hAnsi="Calibri"/>
                <w:sz w:val="18"/>
                <w:szCs w:val="18"/>
                <w:color w:val="auto"/>
              </w:rPr>
              <w:t>Adjustments to reconcile consolidated net earnings to net cash</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2"/>
        </w:trPr>
        <w:tc>
          <w:tcPr>
            <w:tcW w:w="75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provided by operatng actvites:</w:t>
            </w:r>
          </w:p>
        </w:tc>
        <w:tc>
          <w:tcPr>
            <w:tcW w:w="10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Depreciaton, depleton and amortzaton</w:t>
            </w: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272</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253</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Stock-based compensaton expense</w:t>
            </w: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Gain on divesttures and sales of assets</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(1,336 )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(16 )</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Deferred income taxes, net</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(90 )</w:t>
            </w: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Noncash asset and portolio ratonalizaton charge</w:t>
            </w: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50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items, net</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(5 )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(4 )</w:t>
            </w:r>
          </w:p>
        </w:tc>
      </w:tr>
      <w:tr>
        <w:trPr>
          <w:trHeight w:val="207"/>
        </w:trPr>
        <w:tc>
          <w:tcPr>
            <w:tcW w:w="7520" w:type="dxa"/>
            <w:vAlign w:val="bottom"/>
          </w:tcPr>
          <w:p>
            <w:pPr>
              <w:ind w:left="200"/>
              <w:spacing w:after="0" w:line="207" w:lineRule="exact"/>
              <w:rPr>
                <w:sz w:val="20"/>
                <w:szCs w:val="20"/>
                <w:color w:val="auto"/>
              </w:rPr>
            </w:pPr>
            <w:r>
              <w:rPr>
                <w:rFonts w:ascii="Calibri" w:cs="Calibri" w:eastAsia="Calibri" w:hAnsi="Calibri"/>
                <w:sz w:val="18"/>
                <w:szCs w:val="18"/>
                <w:color w:val="auto"/>
              </w:rPr>
              <w:t>Changes in operatng assets and liabilites, net of efects of</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20" w:type="dxa"/>
            <w:vAlign w:val="bottom"/>
          </w:tcPr>
          <w:p>
            <w:pPr>
              <w:ind w:left="320"/>
              <w:spacing w:after="0" w:line="215" w:lineRule="exact"/>
              <w:rPr>
                <w:sz w:val="20"/>
                <w:szCs w:val="20"/>
                <w:color w:val="auto"/>
              </w:rPr>
            </w:pPr>
            <w:r>
              <w:rPr>
                <w:rFonts w:ascii="Calibri" w:cs="Calibri" w:eastAsia="Calibri" w:hAnsi="Calibri"/>
                <w:sz w:val="18"/>
                <w:szCs w:val="18"/>
                <w:color w:val="auto"/>
              </w:rPr>
              <w:t>acquisitons and divesttures: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7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receivable, net</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(151 )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(196 )</w:t>
            </w:r>
          </w:p>
        </w:tc>
      </w:tr>
      <w:tr>
        <w:trPr>
          <w:trHeight w:val="215"/>
        </w:trPr>
        <w:tc>
          <w:tcPr>
            <w:tcW w:w="7520" w:type="dxa"/>
            <w:vAlign w:val="bottom"/>
          </w:tcPr>
          <w:p>
            <w:pPr>
              <w:ind w:left="380"/>
              <w:spacing w:after="0" w:line="215" w:lineRule="exact"/>
              <w:rPr>
                <w:sz w:val="20"/>
                <w:szCs w:val="20"/>
                <w:color w:val="auto"/>
              </w:rPr>
            </w:pPr>
            <w:r>
              <w:rPr>
                <w:rFonts w:ascii="Calibri" w:cs="Calibri" w:eastAsia="Calibri" w:hAnsi="Calibri"/>
                <w:sz w:val="18"/>
                <w:szCs w:val="18"/>
                <w:color w:val="auto"/>
              </w:rPr>
              <w:t>Inventories, net</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(63 )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(92 )</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payable</w:t>
            </w: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20" w:type="dxa"/>
            <w:vAlign w:val="bottom"/>
          </w:tcPr>
          <w:p>
            <w:pPr>
              <w:ind w:left="380"/>
              <w:spacing w:after="0"/>
              <w:rPr>
                <w:sz w:val="20"/>
                <w:szCs w:val="20"/>
                <w:color w:val="auto"/>
              </w:rPr>
            </w:pPr>
            <w:r>
              <w:rPr>
                <w:rFonts w:ascii="Calibri" w:cs="Calibri" w:eastAsia="Calibri" w:hAnsi="Calibri"/>
                <w:sz w:val="18"/>
                <w:szCs w:val="18"/>
                <w:color w:val="auto"/>
              </w:rPr>
              <w:t>Other assets and liabilites, net</w:t>
            </w:r>
          </w:p>
        </w:tc>
        <w:tc>
          <w:tcPr>
            <w:tcW w:w="108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83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9"/>
                <w:szCs w:val="19"/>
                <w:color w:val="auto"/>
              </w:rPr>
            </w:pPr>
          </w:p>
        </w:tc>
      </w:tr>
      <w:tr>
        <w:trPr>
          <w:trHeight w:val="23"/>
        </w:trPr>
        <w:tc>
          <w:tcPr>
            <w:tcW w:w="7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Provided by Operatng Actvites</w:t>
            </w:r>
          </w:p>
        </w:tc>
        <w:tc>
          <w:tcPr>
            <w:tcW w:w="10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173</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20" w:type="dxa"/>
            <w:vAlign w:val="bottom"/>
            <w:tcBorders>
              <w:top w:val="single" w:sz="8" w:color="CFF0F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23"/>
        </w:trPr>
        <w:tc>
          <w:tcPr>
            <w:tcW w:w="7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Investng Actvites:</w:t>
            </w: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Additons to property, plant and equipment</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(339 )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(293 )</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Acquisitons, net of cash acquired</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(2,538 )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2,121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95</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Other investng actvites, net</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(10 )</w:t>
            </w: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7520" w:type="dxa"/>
            <w:vAlign w:val="bottom"/>
          </w:tcPr>
          <w:p>
            <w:pPr>
              <w:ind w:left="20"/>
              <w:spacing w:after="0" w:line="213" w:lineRule="exact"/>
              <w:rPr>
                <w:sz w:val="20"/>
                <w:szCs w:val="20"/>
                <w:color w:val="auto"/>
              </w:rPr>
            </w:pPr>
            <w:r>
              <w:rPr>
                <w:rFonts w:ascii="Calibri" w:cs="Calibri" w:eastAsia="Calibri" w:hAnsi="Calibri"/>
                <w:sz w:val="18"/>
                <w:szCs w:val="18"/>
                <w:color w:val="auto"/>
              </w:rPr>
              <w:t>Net Cash Used for Investng Actvites</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13" w:lineRule="exact"/>
              <w:rPr>
                <w:sz w:val="20"/>
                <w:szCs w:val="20"/>
                <w:color w:val="auto"/>
              </w:rPr>
            </w:pPr>
            <w:r>
              <w:rPr>
                <w:rFonts w:ascii="Calibri" w:cs="Calibri" w:eastAsia="Calibri" w:hAnsi="Calibri"/>
                <w:sz w:val="18"/>
                <w:szCs w:val="18"/>
                <w:color w:val="auto"/>
              </w:rPr>
              <w:t>(766 )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(197 )</w:t>
            </w:r>
          </w:p>
        </w:tc>
      </w:tr>
      <w:tr>
        <w:trPr>
          <w:trHeight w:val="23"/>
        </w:trPr>
        <w:tc>
          <w:tcPr>
            <w:tcW w:w="7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5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7520" w:type="dxa"/>
            <w:vAlign w:val="bottom"/>
          </w:tcPr>
          <w:p>
            <w:pPr>
              <w:ind w:left="20"/>
              <w:spacing w:after="0" w:line="215" w:lineRule="exact"/>
              <w:rPr>
                <w:sz w:val="20"/>
                <w:szCs w:val="20"/>
                <w:color w:val="auto"/>
              </w:rPr>
            </w:pPr>
            <w:r>
              <w:rPr>
                <w:rFonts w:ascii="Calibri" w:cs="Calibri" w:eastAsia="Calibri" w:hAnsi="Calibri"/>
                <w:sz w:val="18"/>
                <w:szCs w:val="18"/>
                <w:color w:val="auto"/>
              </w:rPr>
              <w:t>Cash Flows from Financing Actvites: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Payments on fnance lease obligatons</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(10 )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Dividends paid</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(92 )</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(83 )</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Repurchases of common stock</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(450 )</w:t>
            </w:r>
          </w:p>
        </w:tc>
        <w:tc>
          <w:tcPr>
            <w:tcW w:w="6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(150 )</w:t>
            </w:r>
          </w:p>
        </w:tc>
      </w:tr>
      <w:tr>
        <w:trPr>
          <w:trHeight w:val="215"/>
        </w:trPr>
        <w:tc>
          <w:tcPr>
            <w:tcW w:w="7520" w:type="dxa"/>
            <w:vAlign w:val="bottom"/>
          </w:tcPr>
          <w:p>
            <w:pPr>
              <w:ind w:left="200"/>
              <w:spacing w:after="0" w:line="215" w:lineRule="exact"/>
              <w:rPr>
                <w:sz w:val="20"/>
                <w:szCs w:val="20"/>
                <w:color w:val="auto"/>
              </w:rPr>
            </w:pPr>
            <w:r>
              <w:rPr>
                <w:rFonts w:ascii="Calibri" w:cs="Calibri" w:eastAsia="Calibri" w:hAnsi="Calibri"/>
                <w:sz w:val="18"/>
                <w:szCs w:val="18"/>
                <w:color w:val="auto"/>
              </w:rPr>
              <w:t>Distributons to owners of noncontrolling interest</w:t>
            </w:r>
          </w:p>
        </w:tc>
        <w:tc>
          <w:tcPr>
            <w:tcW w:w="1080" w:type="dxa"/>
            <w:vAlign w:val="bottom"/>
          </w:tcPr>
          <w:p>
            <w:pPr>
              <w:spacing w:after="0"/>
              <w:rPr>
                <w:sz w:val="18"/>
                <w:szCs w:val="18"/>
                <w:color w:val="auto"/>
              </w:rPr>
            </w:pPr>
          </w:p>
        </w:tc>
        <w:tc>
          <w:tcPr>
            <w:tcW w:w="88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(1 )</w:t>
            </w: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Proceeds from exercise of stock optons</w:t>
            </w:r>
          </w:p>
        </w:tc>
        <w:tc>
          <w:tcPr>
            <w:tcW w:w="10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20" w:type="dxa"/>
            <w:vAlign w:val="bottom"/>
          </w:tcPr>
          <w:p>
            <w:pPr>
              <w:ind w:left="200"/>
              <w:spacing w:after="0"/>
              <w:rPr>
                <w:sz w:val="20"/>
                <w:szCs w:val="20"/>
                <w:color w:val="auto"/>
              </w:rPr>
            </w:pPr>
            <w:r>
              <w:rPr>
                <w:rFonts w:ascii="Calibri" w:cs="Calibri" w:eastAsia="Calibri" w:hAnsi="Calibri"/>
                <w:sz w:val="18"/>
                <w:szCs w:val="18"/>
                <w:color w:val="auto"/>
              </w:rPr>
              <w:t>Shares withheld for employees’ income tax obligatons</w:t>
            </w:r>
          </w:p>
        </w:tc>
        <w:tc>
          <w:tcPr>
            <w:tcW w:w="1080" w:type="dxa"/>
            <w:vAlign w:val="bottom"/>
          </w:tcPr>
          <w:p>
            <w:pPr>
              <w:spacing w:after="0"/>
              <w:rPr>
                <w:sz w:val="19"/>
                <w:szCs w:val="19"/>
                <w:color w:val="auto"/>
              </w:rPr>
            </w:pPr>
          </w:p>
        </w:tc>
        <w:tc>
          <w:tcPr>
            <w:tcW w:w="88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(28 )</w:t>
            </w:r>
          </w:p>
        </w:tc>
        <w:tc>
          <w:tcPr>
            <w:tcW w:w="600" w:type="dxa"/>
            <w:vAlign w:val="bottom"/>
          </w:tcPr>
          <w:p>
            <w:pPr>
              <w:spacing w:after="0"/>
              <w:rPr>
                <w:sz w:val="19"/>
                <w:szCs w:val="19"/>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(18 )</w:t>
            </w:r>
          </w:p>
        </w:tc>
      </w:tr>
      <w:tr>
        <w:trPr>
          <w:trHeight w:val="23"/>
        </w:trPr>
        <w:tc>
          <w:tcPr>
            <w:tcW w:w="7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tcBorders>
              <w:bottom w:val="single" w:sz="8" w:color="CFF0FC"/>
            </w:tcBorders>
            <w:shd w:val="clear" w:color="auto" w:fill="CFF0FC"/>
          </w:tcPr>
          <w:p>
            <w:pPr>
              <w:ind w:left="20"/>
              <w:spacing w:after="0" w:line="213" w:lineRule="exact"/>
              <w:rPr>
                <w:sz w:val="20"/>
                <w:szCs w:val="20"/>
                <w:color w:val="auto"/>
              </w:rPr>
            </w:pPr>
            <w:r>
              <w:rPr>
                <w:rFonts w:ascii="Calibri" w:cs="Calibri" w:eastAsia="Calibri" w:hAnsi="Calibri"/>
                <w:sz w:val="18"/>
                <w:szCs w:val="18"/>
                <w:color w:val="auto"/>
              </w:rPr>
              <w:t>Net Cash Used for Financing Actvites</w:t>
            </w:r>
          </w:p>
        </w:tc>
        <w:tc>
          <w:tcPr>
            <w:tcW w:w="10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gridSpan w:val="2"/>
            <w:shd w:val="clear" w:color="auto" w:fill="CFF0FC"/>
          </w:tcPr>
          <w:p>
            <w:pPr>
              <w:jc w:val="right"/>
              <w:ind w:right="130"/>
              <w:spacing w:after="0" w:line="213" w:lineRule="exact"/>
              <w:rPr>
                <w:sz w:val="20"/>
                <w:szCs w:val="20"/>
                <w:color w:val="auto"/>
              </w:rPr>
            </w:pPr>
            <w:r>
              <w:rPr>
                <w:rFonts w:ascii="Calibri" w:cs="Calibri" w:eastAsia="Calibri" w:hAnsi="Calibri"/>
                <w:sz w:val="18"/>
                <w:szCs w:val="18"/>
                <w:color w:val="auto"/>
              </w:rPr>
              <w:t>(580 )</w:t>
            </w:r>
          </w:p>
        </w:tc>
        <w:tc>
          <w:tcPr>
            <w:tcW w:w="6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(259 )</w:t>
            </w:r>
          </w:p>
        </w:tc>
      </w:tr>
      <w:tr>
        <w:trPr>
          <w:trHeight w:val="20"/>
        </w:trPr>
        <w:tc>
          <w:tcPr>
            <w:tcW w:w="75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7520" w:type="dxa"/>
            <w:vAlign w:val="bottom"/>
          </w:tcPr>
          <w:p>
            <w:pPr>
              <w:ind w:left="20"/>
              <w:spacing w:after="0" w:line="208"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1080" w:type="dxa"/>
            <w:vAlign w:val="bottom"/>
          </w:tcPr>
          <w:p>
            <w:pPr>
              <w:spacing w:after="0"/>
              <w:rPr>
                <w:sz w:val="18"/>
                <w:szCs w:val="18"/>
                <w:color w:val="auto"/>
              </w:rPr>
            </w:pPr>
          </w:p>
        </w:tc>
        <w:tc>
          <w:tcPr>
            <w:tcW w:w="880" w:type="dxa"/>
            <w:vAlign w:val="bottom"/>
            <w:gridSpan w:val="2"/>
          </w:tcPr>
          <w:p>
            <w:pPr>
              <w:jc w:val="right"/>
              <w:ind w:right="130"/>
              <w:spacing w:after="0" w:line="208" w:lineRule="exact"/>
              <w:rPr>
                <w:sz w:val="20"/>
                <w:szCs w:val="20"/>
                <w:color w:val="auto"/>
              </w:rPr>
            </w:pPr>
            <w:r>
              <w:rPr>
                <w:rFonts w:ascii="Calibri" w:cs="Calibri" w:eastAsia="Calibri" w:hAnsi="Calibri"/>
                <w:sz w:val="18"/>
                <w:szCs w:val="18"/>
                <w:color w:val="auto"/>
              </w:rPr>
              <w:t>(1,173 )</w:t>
            </w:r>
          </w:p>
        </w:tc>
        <w:tc>
          <w:tcPr>
            <w:tcW w:w="600" w:type="dxa"/>
            <w:vAlign w:val="bottom"/>
          </w:tcPr>
          <w:p>
            <w:pPr>
              <w:spacing w:after="0"/>
              <w:rPr>
                <w:sz w:val="18"/>
                <w:szCs w:val="18"/>
                <w:color w:val="auto"/>
              </w:rPr>
            </w:pPr>
          </w:p>
        </w:tc>
        <w:tc>
          <w:tcPr>
            <w:tcW w:w="1060" w:type="dxa"/>
            <w:vAlign w:val="bottom"/>
          </w:tcPr>
          <w:p>
            <w:pPr>
              <w:jc w:val="right"/>
              <w:spacing w:after="0" w:line="208" w:lineRule="exact"/>
              <w:rPr>
                <w:sz w:val="20"/>
                <w:szCs w:val="20"/>
                <w:color w:val="auto"/>
              </w:rPr>
            </w:pPr>
            <w:r>
              <w:rPr>
                <w:rFonts w:ascii="Calibri" w:cs="Calibri" w:eastAsia="Calibri" w:hAnsi="Calibri"/>
                <w:sz w:val="18"/>
                <w:szCs w:val="18"/>
                <w:color w:val="auto"/>
              </w:rPr>
              <w:t>63</w:t>
            </w:r>
          </w:p>
        </w:tc>
        <w:tc>
          <w:tcPr>
            <w:tcW w:w="100" w:type="dxa"/>
            <w:vAlign w:val="bottom"/>
          </w:tcPr>
          <w:p>
            <w:pPr>
              <w:spacing w:after="0"/>
              <w:rPr>
                <w:sz w:val="18"/>
                <w:szCs w:val="18"/>
                <w:color w:val="auto"/>
              </w:rPr>
            </w:pPr>
          </w:p>
        </w:tc>
      </w:tr>
      <w:tr>
        <w:trPr>
          <w:trHeight w:val="28"/>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5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10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1,282</w:t>
            </w: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Cash, Cash Equivalents and Restricted Cash, end of period</w:t>
            </w:r>
          </w:p>
        </w:tc>
        <w:tc>
          <w:tcPr>
            <w:tcW w:w="1080" w:type="dxa"/>
            <w:vAlign w:val="bottom"/>
            <w:tcBorders>
              <w:top w:val="single" w:sz="8" w:color="auto"/>
              <w:bottom w:val="single" w:sz="8" w:color="auto"/>
            </w:tcBorders>
          </w:tcPr>
          <w:p>
            <w:pPr>
              <w:jc w:val="right"/>
              <w:ind w:right="87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w:t>
            </w: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422</w:t>
            </w:r>
          </w:p>
        </w:tc>
        <w:tc>
          <w:tcPr>
            <w:tcW w:w="100" w:type="dxa"/>
            <w:vAlign w:val="bottom"/>
            <w:tcBorders>
              <w:top w:val="single" w:sz="8" w:color="CFF0FC"/>
            </w:tcBorders>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-3007995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-2073910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-505460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TOTAL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Calibri" w:cs="Calibri" w:eastAsia="Calibri" w:hAnsi="Calibri"/>
                <w:sz w:val="13"/>
                <w:szCs w:val="13"/>
                <w:color w:val="auto"/>
                <w:w w:val="97"/>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0"/>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Calibri" w:cs="Calibri" w:eastAsia="Calibri" w:hAnsi="Calibri"/>
                <w:sz w:val="13"/>
                <w:szCs w:val="13"/>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Shares of</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Calibri" w:cs="Calibri" w:eastAsia="Calibri" w:hAnsi="Calibri"/>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6"/>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w w:val="97"/>
              </w:rPr>
              <w:t>Retained</w:t>
            </w:r>
          </w:p>
        </w:tc>
        <w:tc>
          <w:tcPr>
            <w:tcW w:w="1040" w:type="dxa"/>
            <w:vAlign w:val="bottom"/>
            <w:gridSpan w:val="3"/>
          </w:tcPr>
          <w:p>
            <w:pPr>
              <w:jc w:val="center"/>
              <w:ind w:right="220"/>
              <w:spacing w:after="0" w:line="149" w:lineRule="exact"/>
              <w:rPr>
                <w:sz w:val="20"/>
                <w:szCs w:val="20"/>
                <w:color w:val="auto"/>
              </w:rPr>
            </w:pPr>
            <w:r>
              <w:rPr>
                <w:rFonts w:ascii="Calibri" w:cs="Calibri" w:eastAsia="Calibri" w:hAnsi="Calibri"/>
                <w:sz w:val="13"/>
                <w:szCs w:val="13"/>
                <w:color w:val="auto"/>
                <w:w w:val="96"/>
              </w:rPr>
              <w:t>Shareholders'</w:t>
            </w:r>
          </w:p>
        </w:tc>
        <w:tc>
          <w:tcPr>
            <w:tcW w:w="114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color w:val="auto"/>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Share and Per Share Data)</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w w:val="97"/>
              </w:rPr>
              <w:t>Common Stock</w:t>
            </w:r>
          </w:p>
        </w:tc>
        <w:tc>
          <w:tcPr>
            <w:tcW w:w="86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in Capital</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Calibri" w:cs="Calibri" w:eastAsia="Calibri" w:hAnsi="Calibri"/>
                <w:sz w:val="13"/>
                <w:szCs w:val="13"/>
                <w:color w:val="auto"/>
                <w:w w:val="97"/>
              </w:rPr>
              <w:t>Loss</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rPr>
              <w:t>Earnings</w:t>
            </w:r>
          </w:p>
        </w:tc>
        <w:tc>
          <w:tcPr>
            <w:tcW w:w="1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color w:val="auto"/>
                <w:w w:val="96"/>
              </w:rPr>
              <w:t>Equity</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color w:val="auto"/>
              </w:rPr>
              <w:t>Interests</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w w:val="95"/>
              </w:rPr>
              <w:t>Total Equity</w:t>
            </w:r>
          </w:p>
        </w:tc>
        <w:tc>
          <w:tcPr>
            <w:tcW w:w="0" w:type="dxa"/>
            <w:vAlign w:val="bottom"/>
          </w:tcPr>
          <w:p>
            <w:pPr>
              <w:spacing w:after="0"/>
              <w:rPr>
                <w:sz w:val="1"/>
                <w:szCs w:val="1"/>
                <w:color w:val="auto"/>
              </w:rPr>
            </w:pPr>
          </w:p>
        </w:tc>
      </w:tr>
      <w:tr>
        <w:trPr>
          <w:trHeight w:val="24"/>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FF0FC"/>
            </w:tcBorders>
            <w:shd w:val="clear" w:color="auto" w:fill="CFF0FC"/>
          </w:tcPr>
          <w:p>
            <w:pPr>
              <w:ind w:left="20"/>
              <w:spacing w:after="0" w:line="145" w:lineRule="exact"/>
              <w:rPr>
                <w:sz w:val="20"/>
                <w:szCs w:val="20"/>
                <w:color w:val="auto"/>
              </w:rPr>
            </w:pPr>
            <w:r>
              <w:rPr>
                <w:rFonts w:ascii="Calibri" w:cs="Calibri" w:eastAsia="Calibri" w:hAnsi="Calibri"/>
                <w:sz w:val="13"/>
                <w:szCs w:val="13"/>
                <w:color w:val="auto"/>
              </w:rPr>
              <w:t>Balance at March 31, 2024</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61,639,965</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3,512</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(49 )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5,411</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8,875</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294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294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294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w w:val="98"/>
              </w:rPr>
              <w:t>Dividends declared ($0.74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(46 )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(46 )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7,245</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(1 )</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(530,157 )</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(303 )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(303 )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(303 )</w:t>
            </w: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6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June 30, 2024</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61,117,053</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3,529</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(48 )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5,356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8,838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8,840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Balance at December 31, 2023</w:t>
            </w:r>
          </w:p>
        </w:tc>
        <w:tc>
          <w:tcPr>
            <w:tcW w:w="94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61,821,421</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jc w:val="right"/>
              <w:ind w:right="257"/>
              <w:spacing w:after="0" w:line="152"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52"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3,519</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(49 )</w:t>
            </w: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4,563</w:t>
            </w: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jc w:val="right"/>
              <w:ind w:right="37"/>
              <w:spacing w:after="0" w:line="152"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8,034</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jc w:val="right"/>
              <w:ind w:right="17"/>
              <w:spacing w:after="0" w:line="152"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8,036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1,339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1,339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1,340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w w:val="98"/>
              </w:rPr>
              <w:t>Dividends declared ($1.48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(92 )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(92 )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(92 )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stock 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81,390</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(28 )</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(28 )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(28 )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(785,758 )</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(454 )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(454 )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(454 )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expense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(1 )</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20" w:type="dxa"/>
            <w:vAlign w:val="bottom"/>
            <w:vMerge w:val="restart"/>
          </w:tcPr>
          <w:p>
            <w:pPr>
              <w:ind w:left="20"/>
              <w:spacing w:after="0"/>
              <w:rPr>
                <w:sz w:val="20"/>
                <w:szCs w:val="20"/>
                <w:color w:val="auto"/>
              </w:rPr>
            </w:pPr>
            <w:r>
              <w:rPr>
                <w:rFonts w:ascii="Calibri" w:cs="Calibri" w:eastAsia="Calibri" w:hAnsi="Calibri"/>
                <w:sz w:val="13"/>
                <w:szCs w:val="13"/>
                <w:color w:val="auto"/>
              </w:rPr>
              <w:t>Balance at June 30, 2024</w:t>
            </w:r>
          </w:p>
        </w:tc>
        <w:tc>
          <w:tcPr>
            <w:tcW w:w="12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Calibri" w:cs="Calibri" w:eastAsia="Calibri" w:hAnsi="Calibri"/>
                <w:sz w:val="13"/>
                <w:szCs w:val="13"/>
                <w:color w:val="auto"/>
              </w:rPr>
              <w:t>61,117,053</w:t>
            </w:r>
          </w:p>
        </w:tc>
        <w:tc>
          <w:tcPr>
            <w:tcW w:w="240" w:type="dxa"/>
            <w:vAlign w:val="bottom"/>
          </w:tcPr>
          <w:p>
            <w:pPr>
              <w:spacing w:after="0"/>
              <w:rPr>
                <w:sz w:val="12"/>
                <w:szCs w:val="12"/>
                <w:color w:val="auto"/>
              </w:rPr>
            </w:pPr>
          </w:p>
        </w:tc>
        <w:tc>
          <w:tcPr>
            <w:tcW w:w="400" w:type="dxa"/>
            <w:vAlign w:val="bottom"/>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Pr>
          <w:p>
            <w:pPr>
              <w:jc w:val="right"/>
              <w:spacing w:after="0" w:line="145" w:lineRule="exact"/>
              <w:rPr>
                <w:sz w:val="20"/>
                <w:szCs w:val="20"/>
                <w:color w:val="auto"/>
              </w:rPr>
            </w:pPr>
            <w:r>
              <w:rPr>
                <w:rFonts w:ascii="Calibri" w:cs="Calibri" w:eastAsia="Calibri" w:hAnsi="Calibri"/>
                <w:sz w:val="13"/>
                <w:szCs w:val="13"/>
                <w:color w:val="auto"/>
              </w:rPr>
              <w:t>1</w:t>
            </w:r>
          </w:p>
        </w:tc>
        <w:tc>
          <w:tcPr>
            <w:tcW w:w="240" w:type="dxa"/>
            <w:vAlign w:val="bottom"/>
          </w:tcPr>
          <w:p>
            <w:pPr>
              <w:spacing w:after="0"/>
              <w:rPr>
                <w:sz w:val="12"/>
                <w:szCs w:val="12"/>
                <w:color w:val="auto"/>
              </w:rPr>
            </w:pPr>
          </w:p>
        </w:tc>
        <w:tc>
          <w:tcPr>
            <w:tcW w:w="120" w:type="dxa"/>
            <w:vAlign w:val="bottom"/>
          </w:tcPr>
          <w:p>
            <w:pPr>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45" w:lineRule="exact"/>
              <w:rPr>
                <w:sz w:val="20"/>
                <w:szCs w:val="20"/>
                <w:color w:val="auto"/>
              </w:rPr>
            </w:pPr>
            <w:r>
              <w:rPr>
                <w:rFonts w:ascii="Calibri" w:cs="Calibri" w:eastAsia="Calibri" w:hAnsi="Calibri"/>
                <w:sz w:val="13"/>
                <w:szCs w:val="13"/>
                <w:color w:val="auto"/>
              </w:rPr>
              <w:t>3,529</w:t>
            </w:r>
          </w:p>
        </w:tc>
        <w:tc>
          <w:tcPr>
            <w:tcW w:w="24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gridSpan w:val="2"/>
          </w:tcPr>
          <w:p>
            <w:pPr>
              <w:jc w:val="right"/>
              <w:ind w:right="160"/>
              <w:spacing w:after="0" w:line="145" w:lineRule="exact"/>
              <w:rPr>
                <w:sz w:val="20"/>
                <w:szCs w:val="20"/>
                <w:color w:val="auto"/>
              </w:rPr>
            </w:pPr>
            <w:r>
              <w:rPr>
                <w:rFonts w:ascii="Calibri" w:cs="Calibri" w:eastAsia="Calibri" w:hAnsi="Calibri"/>
                <w:sz w:val="13"/>
                <w:szCs w:val="13"/>
                <w:color w:val="auto"/>
              </w:rPr>
              <w:t>(48 )</w:t>
            </w:r>
          </w:p>
        </w:tc>
        <w:tc>
          <w:tcPr>
            <w:tcW w:w="100" w:type="dxa"/>
            <w:vAlign w:val="bottom"/>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Pr>
          <w:p>
            <w:pPr>
              <w:jc w:val="right"/>
              <w:spacing w:after="0" w:line="145" w:lineRule="exact"/>
              <w:rPr>
                <w:sz w:val="20"/>
                <w:szCs w:val="20"/>
                <w:color w:val="auto"/>
              </w:rPr>
            </w:pPr>
            <w:r>
              <w:rPr>
                <w:rFonts w:ascii="Calibri" w:cs="Calibri" w:eastAsia="Calibri" w:hAnsi="Calibri"/>
                <w:sz w:val="13"/>
                <w:szCs w:val="13"/>
                <w:color w:val="auto"/>
              </w:rPr>
              <w:t>5,356</w:t>
            </w:r>
          </w:p>
        </w:tc>
        <w:tc>
          <w:tcPr>
            <w:tcW w:w="200" w:type="dxa"/>
            <w:vAlign w:val="bottom"/>
          </w:tcPr>
          <w:p>
            <w:pPr>
              <w:spacing w:after="0"/>
              <w:rPr>
                <w:sz w:val="12"/>
                <w:szCs w:val="12"/>
                <w:color w:val="auto"/>
              </w:rPr>
            </w:pPr>
          </w:p>
        </w:tc>
        <w:tc>
          <w:tcPr>
            <w:tcW w:w="180" w:type="dxa"/>
            <w:vAlign w:val="bottom"/>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Pr>
          <w:p>
            <w:pPr>
              <w:jc w:val="right"/>
              <w:spacing w:after="0" w:line="145" w:lineRule="exact"/>
              <w:rPr>
                <w:sz w:val="20"/>
                <w:szCs w:val="20"/>
                <w:color w:val="auto"/>
              </w:rPr>
            </w:pPr>
            <w:r>
              <w:rPr>
                <w:rFonts w:ascii="Calibri" w:cs="Calibri" w:eastAsia="Calibri" w:hAnsi="Calibri"/>
                <w:sz w:val="13"/>
                <w:szCs w:val="13"/>
                <w:color w:val="auto"/>
              </w:rPr>
              <w:t>8,838</w:t>
            </w:r>
          </w:p>
        </w:tc>
        <w:tc>
          <w:tcPr>
            <w:tcW w:w="200" w:type="dxa"/>
            <w:vAlign w:val="bottom"/>
          </w:tcPr>
          <w:p>
            <w:pPr>
              <w:spacing w:after="0"/>
              <w:rPr>
                <w:sz w:val="12"/>
                <w:szCs w:val="12"/>
                <w:color w:val="auto"/>
              </w:rPr>
            </w:pPr>
          </w:p>
        </w:tc>
        <w:tc>
          <w:tcPr>
            <w:tcW w:w="160" w:type="dxa"/>
            <w:vAlign w:val="bottom"/>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45" w:lineRule="exact"/>
              <w:rPr>
                <w:sz w:val="20"/>
                <w:szCs w:val="20"/>
                <w:color w:val="auto"/>
              </w:rPr>
            </w:pPr>
            <w:r>
              <w:rPr>
                <w:rFonts w:ascii="Calibri" w:cs="Calibri" w:eastAsia="Calibri" w:hAnsi="Calibri"/>
                <w:sz w:val="13"/>
                <w:szCs w:val="13"/>
                <w:color w:val="auto"/>
              </w:rPr>
              <w:t>8,840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-1757045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-1739900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-1877060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-1757045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-1739900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-1877060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-1757045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-1739900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-1877060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-1757045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-1739900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-1877060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-1757045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-1739900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-1877060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-1757045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-1739900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-1877060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-1757045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-1739900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-1877060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Calibri" w:cs="Calibri" w:eastAsia="Calibri" w:hAnsi="Calibri"/>
                <w:sz w:val="13"/>
                <w:szCs w:val="13"/>
                <w:color w:val="auto"/>
                <w:w w:val="97"/>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0"/>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Calibri" w:cs="Calibri" w:eastAsia="Calibri" w:hAnsi="Calibri"/>
                <w:sz w:val="13"/>
                <w:szCs w:val="13"/>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Shares of</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Calibri" w:cs="Calibri" w:eastAsia="Calibri" w:hAnsi="Calibri"/>
                <w:sz w:val="13"/>
                <w:szCs w:val="13"/>
                <w:color w:val="auto"/>
              </w:rPr>
              <w:t>Additonal Paid-</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Calibri" w:cs="Calibri" w:eastAsia="Calibri" w:hAnsi="Calibri"/>
                <w:sz w:val="13"/>
                <w:szCs w:val="13"/>
                <w:color w:val="auto"/>
                <w:w w:val="96"/>
              </w:rPr>
              <w:t>Comprehensive</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w w:val="97"/>
              </w:rPr>
              <w:t>Retained</w:t>
            </w:r>
          </w:p>
        </w:tc>
        <w:tc>
          <w:tcPr>
            <w:tcW w:w="1040" w:type="dxa"/>
            <w:vAlign w:val="bottom"/>
            <w:gridSpan w:val="3"/>
          </w:tcPr>
          <w:p>
            <w:pPr>
              <w:jc w:val="center"/>
              <w:ind w:right="220"/>
              <w:spacing w:after="0" w:line="149" w:lineRule="exact"/>
              <w:rPr>
                <w:sz w:val="20"/>
                <w:szCs w:val="20"/>
                <w:color w:val="auto"/>
              </w:rPr>
            </w:pPr>
            <w:r>
              <w:rPr>
                <w:rFonts w:ascii="Calibri" w:cs="Calibri" w:eastAsia="Calibri" w:hAnsi="Calibri"/>
                <w:sz w:val="13"/>
                <w:szCs w:val="13"/>
                <w:color w:val="auto"/>
                <w:w w:val="96"/>
              </w:rPr>
              <w:t>Shareholders'</w:t>
            </w:r>
          </w:p>
        </w:tc>
        <w:tc>
          <w:tcPr>
            <w:tcW w:w="1140" w:type="dxa"/>
            <w:vAlign w:val="bottom"/>
            <w:gridSpan w:val="3"/>
          </w:tcPr>
          <w:p>
            <w:pPr>
              <w:jc w:val="right"/>
              <w:ind w:right="300"/>
              <w:spacing w:after="0" w:line="149" w:lineRule="exact"/>
              <w:rPr>
                <w:sz w:val="20"/>
                <w:szCs w:val="20"/>
                <w:color w:val="auto"/>
              </w:rPr>
            </w:pPr>
            <w:r>
              <w:rPr>
                <w:rFonts w:ascii="Calibri" w:cs="Calibri" w:eastAsia="Calibri" w:hAnsi="Calibri"/>
                <w:sz w:val="13"/>
                <w:szCs w:val="13"/>
                <w:color w:val="auto"/>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Share And Per Share Data)</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w w:val="97"/>
              </w:rPr>
              <w:t>Common Stock</w:t>
            </w:r>
          </w:p>
        </w:tc>
        <w:tc>
          <w:tcPr>
            <w:tcW w:w="86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Calibri" w:cs="Calibri" w:eastAsia="Calibri" w:hAnsi="Calibri"/>
                <w:sz w:val="13"/>
                <w:szCs w:val="13"/>
                <w:color w:val="auto"/>
              </w:rPr>
              <w:t>in Capital</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Calibri" w:cs="Calibri" w:eastAsia="Calibri" w:hAnsi="Calibri"/>
                <w:sz w:val="13"/>
                <w:szCs w:val="13"/>
                <w:color w:val="auto"/>
                <w:w w:val="97"/>
              </w:rPr>
              <w:t>Loss</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Calibri" w:cs="Calibri" w:eastAsia="Calibri" w:hAnsi="Calibri"/>
                <w:sz w:val="13"/>
                <w:szCs w:val="13"/>
                <w:color w:val="auto"/>
              </w:rPr>
              <w:t>Earnings</w:t>
            </w:r>
          </w:p>
        </w:tc>
        <w:tc>
          <w:tcPr>
            <w:tcW w:w="1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Calibri" w:cs="Calibri" w:eastAsia="Calibri" w:hAnsi="Calibri"/>
                <w:sz w:val="13"/>
                <w:szCs w:val="13"/>
                <w:color w:val="auto"/>
                <w:w w:val="96"/>
              </w:rPr>
              <w:t>Equity</w:t>
            </w: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Calibri" w:cs="Calibri" w:eastAsia="Calibri" w:hAnsi="Calibri"/>
                <w:sz w:val="13"/>
                <w:szCs w:val="13"/>
                <w:color w:val="auto"/>
              </w:rPr>
              <w:t>Interests</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w w:val="95"/>
              </w:rPr>
              <w:t>Total Equity</w:t>
            </w:r>
          </w:p>
        </w:tc>
        <w:tc>
          <w:tcPr>
            <w:tcW w:w="0" w:type="dxa"/>
            <w:vAlign w:val="bottom"/>
          </w:tcPr>
          <w:p>
            <w:pPr>
              <w:spacing w:after="0"/>
              <w:rPr>
                <w:sz w:val="1"/>
                <w:szCs w:val="1"/>
                <w:color w:val="auto"/>
              </w:rPr>
            </w:pPr>
          </w:p>
        </w:tc>
      </w:tr>
      <w:tr>
        <w:trPr>
          <w:trHeight w:val="24"/>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FF0FC"/>
            </w:tcBorders>
            <w:shd w:val="clear" w:color="auto" w:fill="CFF0FC"/>
          </w:tcPr>
          <w:p>
            <w:pPr>
              <w:ind w:left="20"/>
              <w:spacing w:after="0" w:line="145" w:lineRule="exact"/>
              <w:rPr>
                <w:sz w:val="20"/>
                <w:szCs w:val="20"/>
                <w:color w:val="auto"/>
              </w:rPr>
            </w:pPr>
            <w:r>
              <w:rPr>
                <w:rFonts w:ascii="Calibri" w:cs="Calibri" w:eastAsia="Calibri" w:hAnsi="Calibri"/>
                <w:sz w:val="13"/>
                <w:szCs w:val="13"/>
                <w:color w:val="auto"/>
              </w:rPr>
              <w:t>Balance at March 31, 2023</w:t>
            </w:r>
          </w:p>
        </w:tc>
        <w:tc>
          <w:tcPr>
            <w:tcW w:w="940" w:type="dxa"/>
            <w:vAlign w:val="bottom"/>
            <w:tcBorders>
              <w:bottom w:val="single" w:sz="8" w:color="CFF0FC"/>
            </w:tcBorders>
            <w:gridSpan w:val="2"/>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61,967,957</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ind w:right="257"/>
              <w:spacing w:after="0" w:line="145"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1</w:t>
            </w:r>
          </w:p>
        </w:tc>
        <w:tc>
          <w:tcPr>
            <w:tcW w:w="360" w:type="dxa"/>
            <w:vAlign w:val="bottom"/>
            <w:tcBorders>
              <w:bottom w:val="single" w:sz="8" w:color="CFF0FC"/>
            </w:tcBorders>
            <w:gridSpan w:val="2"/>
            <w:shd w:val="clear" w:color="auto" w:fill="CFF0FC"/>
          </w:tcPr>
          <w:p>
            <w:pPr>
              <w:ind w:left="240"/>
              <w:spacing w:after="0" w:line="145"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3,487</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45" w:lineRule="exact"/>
              <w:rPr>
                <w:sz w:val="20"/>
                <w:szCs w:val="20"/>
                <w:color w:val="auto"/>
              </w:rPr>
            </w:pPr>
            <w:r>
              <w:rPr>
                <w:rFonts w:ascii="Calibri" w:cs="Calibri" w:eastAsia="Calibri" w:hAnsi="Calibri"/>
                <w:sz w:val="13"/>
                <w:szCs w:val="13"/>
                <w:color w:val="auto"/>
              </w:rPr>
              <w:t>(37 )</w:t>
            </w: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3,724</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ind w:right="37"/>
              <w:spacing w:after="0" w:line="145"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7,175</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jc w:val="right"/>
              <w:ind w:right="17"/>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45" w:lineRule="exact"/>
              <w:rPr>
                <w:sz w:val="20"/>
                <w:szCs w:val="20"/>
                <w:color w:val="auto"/>
              </w:rPr>
            </w:pPr>
            <w:r>
              <w:rPr>
                <w:rFonts w:ascii="Calibri" w:cs="Calibri" w:eastAsia="Calibri" w:hAnsi="Calibri"/>
                <w:sz w:val="13"/>
                <w:szCs w:val="13"/>
                <w:color w:val="auto"/>
              </w:rPr>
              <w:t>7,177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Calibri" w:cs="Calibri" w:eastAsia="Calibri" w:hAnsi="Calibri"/>
                <w:sz w:val="13"/>
                <w:szCs w:val="13"/>
                <w:color w:val="auto"/>
              </w:rPr>
              <w:t>348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348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349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w w:val="98"/>
              </w:rPr>
              <w:t>Dividends declared ($0.66 per common share)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(41 )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(41 )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(41 )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13,189</w:t>
            </w: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Calibri" w:cs="Calibri" w:eastAsia="Calibri" w:hAnsi="Calibri"/>
                <w:sz w:val="13"/>
                <w:szCs w:val="13"/>
                <w:color w:val="auto"/>
              </w:rPr>
              <w:t>(1 )</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(1 )</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tcBorders>
              <w:bottom w:val="single" w:sz="8" w:color="CFF0FC"/>
            </w:tcBorders>
            <w:gridSpan w:val="3"/>
            <w:shd w:val="clear" w:color="auto" w:fill="CFF0FC"/>
          </w:tcPr>
          <w:p>
            <w:pPr>
              <w:jc w:val="right"/>
              <w:ind w:right="180"/>
              <w:spacing w:after="0" w:line="152" w:lineRule="exact"/>
              <w:rPr>
                <w:sz w:val="20"/>
                <w:szCs w:val="20"/>
                <w:color w:val="auto"/>
              </w:rPr>
            </w:pPr>
            <w:r>
              <w:rPr>
                <w:rFonts w:ascii="Calibri" w:cs="Calibri" w:eastAsia="Calibri" w:hAnsi="Calibri"/>
                <w:sz w:val="13"/>
                <w:szCs w:val="13"/>
                <w:color w:val="auto"/>
              </w:rPr>
              <w:t>(177,750 )</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(76 )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(76 )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(76 )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3"/>
                <w:szCs w:val="13"/>
                <w:color w:val="auto"/>
              </w:rPr>
            </w:pPr>
          </w:p>
        </w:tc>
        <w:tc>
          <w:tcPr>
            <w:tcW w:w="1060" w:type="dxa"/>
            <w:vAlign w:val="bottom"/>
            <w:gridSpan w:val="2"/>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Calibri" w:cs="Calibri" w:eastAsia="Calibri" w:hAnsi="Calibri"/>
                <w:sz w:val="13"/>
                <w:szCs w:val="13"/>
                <w:color w:val="auto"/>
              </w:rPr>
              <w:t>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alibri" w:cs="Calibri" w:eastAsia="Calibri" w:hAnsi="Calibri"/>
                <w:sz w:val="13"/>
                <w:szCs w:val="13"/>
                <w:color w:val="auto"/>
              </w:rPr>
              <w:t>14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Calibri" w:cs="Calibri" w:eastAsia="Calibri" w:hAnsi="Calibri"/>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3"/>
                <w:szCs w:val="13"/>
                <w:color w:val="auto"/>
              </w:rPr>
              <w:t>(1 )</w:t>
            </w:r>
          </w:p>
        </w:tc>
        <w:tc>
          <w:tcPr>
            <w:tcW w:w="1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154"/>
        </w:trPr>
        <w:tc>
          <w:tcPr>
            <w:tcW w:w="2620" w:type="dxa"/>
            <w:vAlign w:val="bottom"/>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20" w:type="dxa"/>
            <w:vAlign w:val="bottom"/>
            <w:vMerge w:val="restart"/>
          </w:tcPr>
          <w:p>
            <w:pPr>
              <w:ind w:left="20"/>
              <w:spacing w:after="0"/>
              <w:rPr>
                <w:sz w:val="20"/>
                <w:szCs w:val="20"/>
                <w:color w:val="auto"/>
              </w:rPr>
            </w:pPr>
            <w:r>
              <w:rPr>
                <w:rFonts w:ascii="Calibri" w:cs="Calibri" w:eastAsia="Calibri" w:hAnsi="Calibri"/>
                <w:sz w:val="13"/>
                <w:szCs w:val="13"/>
                <w:color w:val="auto"/>
              </w:rPr>
              <w:t>Balance at June 30, 2023</w:t>
            </w:r>
          </w:p>
        </w:tc>
        <w:tc>
          <w:tcPr>
            <w:tcW w:w="12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Calibri" w:cs="Calibri" w:eastAsia="Calibri" w:hAnsi="Calibri"/>
                <w:sz w:val="13"/>
                <w:szCs w:val="13"/>
                <w:color w:val="auto"/>
              </w:rPr>
              <w:t>61,803,396</w:t>
            </w:r>
          </w:p>
        </w:tc>
        <w:tc>
          <w:tcPr>
            <w:tcW w:w="240" w:type="dxa"/>
            <w:vAlign w:val="bottom"/>
          </w:tcPr>
          <w:p>
            <w:pPr>
              <w:spacing w:after="0"/>
              <w:rPr>
                <w:sz w:val="13"/>
                <w:szCs w:val="13"/>
                <w:color w:val="auto"/>
              </w:rPr>
            </w:pPr>
          </w:p>
        </w:tc>
        <w:tc>
          <w:tcPr>
            <w:tcW w:w="400" w:type="dxa"/>
            <w:vAlign w:val="bottom"/>
          </w:tcPr>
          <w:p>
            <w:pPr>
              <w:jc w:val="right"/>
              <w:ind w:right="257"/>
              <w:spacing w:after="0" w:line="151" w:lineRule="exact"/>
              <w:rPr>
                <w:sz w:val="20"/>
                <w:szCs w:val="20"/>
                <w:color w:val="auto"/>
              </w:rPr>
            </w:pPr>
            <w:r>
              <w:rPr>
                <w:rFonts w:ascii="Calibri" w:cs="Calibri" w:eastAsia="Calibri" w:hAnsi="Calibri"/>
                <w:sz w:val="13"/>
                <w:szCs w:val="13"/>
                <w:color w:val="auto"/>
                <w:w w:val="90"/>
              </w:rPr>
              <w:t>$</w:t>
            </w:r>
          </w:p>
        </w:tc>
        <w:tc>
          <w:tcPr>
            <w:tcW w:w="460" w:type="dxa"/>
            <w:vAlign w:val="bottom"/>
          </w:tcPr>
          <w:p>
            <w:pPr>
              <w:jc w:val="right"/>
              <w:spacing w:after="0" w:line="151" w:lineRule="exact"/>
              <w:rPr>
                <w:sz w:val="20"/>
                <w:szCs w:val="20"/>
                <w:color w:val="auto"/>
              </w:rPr>
            </w:pPr>
            <w:r>
              <w:rPr>
                <w:rFonts w:ascii="Calibri" w:cs="Calibri" w:eastAsia="Calibri" w:hAnsi="Calibri"/>
                <w:sz w:val="13"/>
                <w:szCs w:val="13"/>
                <w:color w:val="auto"/>
              </w:rPr>
              <w:t>1</w:t>
            </w:r>
          </w:p>
        </w:tc>
        <w:tc>
          <w:tcPr>
            <w:tcW w:w="240" w:type="dxa"/>
            <w:vAlign w:val="bottom"/>
          </w:tcPr>
          <w:p>
            <w:pPr>
              <w:spacing w:after="0"/>
              <w:rPr>
                <w:sz w:val="13"/>
                <w:szCs w:val="13"/>
                <w:color w:val="auto"/>
              </w:rPr>
            </w:pPr>
          </w:p>
        </w:tc>
        <w:tc>
          <w:tcPr>
            <w:tcW w:w="120" w:type="dxa"/>
            <w:vAlign w:val="bottom"/>
          </w:tcPr>
          <w:p>
            <w:pPr>
              <w:spacing w:after="0" w:line="151" w:lineRule="exact"/>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line="151" w:lineRule="exact"/>
              <w:rPr>
                <w:sz w:val="20"/>
                <w:szCs w:val="20"/>
                <w:color w:val="auto"/>
              </w:rPr>
            </w:pPr>
            <w:r>
              <w:rPr>
                <w:rFonts w:ascii="Calibri" w:cs="Calibri" w:eastAsia="Calibri" w:hAnsi="Calibri"/>
                <w:sz w:val="13"/>
                <w:szCs w:val="13"/>
                <w:color w:val="auto"/>
              </w:rPr>
              <w:t>3,501</w:t>
            </w:r>
          </w:p>
        </w:tc>
        <w:tc>
          <w:tcPr>
            <w:tcW w:w="240" w:type="dxa"/>
            <w:vAlign w:val="bottom"/>
          </w:tcPr>
          <w:p>
            <w:pPr>
              <w:spacing w:after="0"/>
              <w:rPr>
                <w:sz w:val="13"/>
                <w:szCs w:val="13"/>
                <w:color w:val="auto"/>
              </w:rPr>
            </w:pPr>
          </w:p>
        </w:tc>
        <w:tc>
          <w:tcPr>
            <w:tcW w:w="8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1120" w:type="dxa"/>
            <w:vAlign w:val="bottom"/>
            <w:gridSpan w:val="2"/>
          </w:tcPr>
          <w:p>
            <w:pPr>
              <w:jc w:val="right"/>
              <w:ind w:right="160"/>
              <w:spacing w:after="0" w:line="151" w:lineRule="exact"/>
              <w:rPr>
                <w:sz w:val="20"/>
                <w:szCs w:val="20"/>
                <w:color w:val="auto"/>
              </w:rPr>
            </w:pPr>
            <w:r>
              <w:rPr>
                <w:rFonts w:ascii="Calibri" w:cs="Calibri" w:eastAsia="Calibri" w:hAnsi="Calibri"/>
                <w:sz w:val="13"/>
                <w:szCs w:val="13"/>
                <w:color w:val="auto"/>
              </w:rPr>
              <w:t>(35 )</w:t>
            </w: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620" w:type="dxa"/>
            <w:vAlign w:val="bottom"/>
          </w:tcPr>
          <w:p>
            <w:pPr>
              <w:jc w:val="right"/>
              <w:spacing w:after="0" w:line="151" w:lineRule="exact"/>
              <w:rPr>
                <w:sz w:val="20"/>
                <w:szCs w:val="20"/>
                <w:color w:val="auto"/>
              </w:rPr>
            </w:pPr>
            <w:r>
              <w:rPr>
                <w:rFonts w:ascii="Calibri" w:cs="Calibri" w:eastAsia="Calibri" w:hAnsi="Calibri"/>
                <w:sz w:val="13"/>
                <w:szCs w:val="13"/>
                <w:color w:val="auto"/>
              </w:rPr>
              <w:t>3,955</w:t>
            </w:r>
          </w:p>
        </w:tc>
        <w:tc>
          <w:tcPr>
            <w:tcW w:w="200" w:type="dxa"/>
            <w:vAlign w:val="bottom"/>
          </w:tcPr>
          <w:p>
            <w:pPr>
              <w:spacing w:after="0"/>
              <w:rPr>
                <w:sz w:val="13"/>
                <w:szCs w:val="13"/>
                <w:color w:val="auto"/>
              </w:rPr>
            </w:pPr>
          </w:p>
        </w:tc>
        <w:tc>
          <w:tcPr>
            <w:tcW w:w="180" w:type="dxa"/>
            <w:vAlign w:val="bottom"/>
          </w:tcPr>
          <w:p>
            <w:pPr>
              <w:jc w:val="right"/>
              <w:ind w:right="37"/>
              <w:spacing w:after="0" w:line="151" w:lineRule="exact"/>
              <w:rPr>
                <w:sz w:val="20"/>
                <w:szCs w:val="20"/>
                <w:color w:val="auto"/>
              </w:rPr>
            </w:pPr>
            <w:r>
              <w:rPr>
                <w:rFonts w:ascii="Calibri" w:cs="Calibri" w:eastAsia="Calibri" w:hAnsi="Calibri"/>
                <w:sz w:val="13"/>
                <w:szCs w:val="13"/>
                <w:color w:val="auto"/>
                <w:w w:val="90"/>
              </w:rPr>
              <w:t>$</w:t>
            </w:r>
          </w:p>
        </w:tc>
        <w:tc>
          <w:tcPr>
            <w:tcW w:w="660" w:type="dxa"/>
            <w:vAlign w:val="bottom"/>
          </w:tcPr>
          <w:p>
            <w:pPr>
              <w:jc w:val="right"/>
              <w:spacing w:after="0" w:line="151" w:lineRule="exact"/>
              <w:rPr>
                <w:sz w:val="20"/>
                <w:szCs w:val="20"/>
                <w:color w:val="auto"/>
              </w:rPr>
            </w:pPr>
            <w:r>
              <w:rPr>
                <w:rFonts w:ascii="Calibri" w:cs="Calibri" w:eastAsia="Calibri" w:hAnsi="Calibri"/>
                <w:sz w:val="13"/>
                <w:szCs w:val="13"/>
                <w:color w:val="auto"/>
              </w:rPr>
              <w:t>7,422</w:t>
            </w:r>
          </w:p>
        </w:tc>
        <w:tc>
          <w:tcPr>
            <w:tcW w:w="200" w:type="dxa"/>
            <w:vAlign w:val="bottom"/>
          </w:tcPr>
          <w:p>
            <w:pPr>
              <w:spacing w:after="0"/>
              <w:rPr>
                <w:sz w:val="13"/>
                <w:szCs w:val="13"/>
                <w:color w:val="auto"/>
              </w:rPr>
            </w:pPr>
          </w:p>
        </w:tc>
        <w:tc>
          <w:tcPr>
            <w:tcW w:w="160" w:type="dxa"/>
            <w:vAlign w:val="bottom"/>
          </w:tcPr>
          <w:p>
            <w:pPr>
              <w:jc w:val="right"/>
              <w:ind w:right="17"/>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51" w:lineRule="exact"/>
              <w:rPr>
                <w:sz w:val="20"/>
                <w:szCs w:val="20"/>
                <w:color w:val="auto"/>
              </w:rPr>
            </w:pPr>
            <w:r>
              <w:rPr>
                <w:rFonts w:ascii="Calibri" w:cs="Calibri" w:eastAsia="Calibri" w:hAnsi="Calibri"/>
                <w:sz w:val="13"/>
                <w:szCs w:val="13"/>
                <w:color w:val="auto"/>
              </w:rPr>
              <w:t>2</w:t>
            </w:r>
          </w:p>
        </w:tc>
        <w:tc>
          <w:tcPr>
            <w:tcW w:w="22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line="151" w:lineRule="exact"/>
              <w:rPr>
                <w:sz w:val="20"/>
                <w:szCs w:val="20"/>
                <w:color w:val="auto"/>
              </w:rPr>
            </w:pPr>
            <w:r>
              <w:rPr>
                <w:rFonts w:ascii="Calibri" w:cs="Calibri" w:eastAsia="Calibri" w:hAnsi="Calibri"/>
                <w:sz w:val="13"/>
                <w:szCs w:val="13"/>
                <w:color w:val="auto"/>
              </w:rPr>
              <w:t>7,424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2620" w:type="dxa"/>
            <w:vAlign w:val="bottom"/>
          </w:tcPr>
          <w:p>
            <w:pPr>
              <w:ind w:left="20"/>
              <w:spacing w:after="0"/>
              <w:rPr>
                <w:sz w:val="20"/>
                <w:szCs w:val="20"/>
                <w:color w:val="auto"/>
              </w:rPr>
            </w:pPr>
            <w:r>
              <w:rPr>
                <w:rFonts w:ascii="Calibri" w:cs="Calibri" w:eastAsia="Calibri" w:hAnsi="Calibri"/>
                <w:sz w:val="13"/>
                <w:szCs w:val="13"/>
                <w:color w:val="auto"/>
              </w:rPr>
              <w:t>Balance at December 31, 2022</w:t>
            </w:r>
          </w:p>
        </w:tc>
        <w:tc>
          <w:tcPr>
            <w:tcW w:w="940" w:type="dxa"/>
            <w:vAlign w:val="bottom"/>
            <w:gridSpan w:val="2"/>
          </w:tcPr>
          <w:p>
            <w:pPr>
              <w:jc w:val="right"/>
              <w:spacing w:after="0"/>
              <w:rPr>
                <w:sz w:val="20"/>
                <w:szCs w:val="20"/>
                <w:color w:val="auto"/>
              </w:rPr>
            </w:pPr>
            <w:r>
              <w:rPr>
                <w:rFonts w:ascii="Calibri" w:cs="Calibri" w:eastAsia="Calibri" w:hAnsi="Calibri"/>
                <w:sz w:val="13"/>
                <w:szCs w:val="13"/>
                <w:color w:val="auto"/>
              </w:rPr>
              <w:t>62,102,353</w:t>
            </w:r>
          </w:p>
        </w:tc>
        <w:tc>
          <w:tcPr>
            <w:tcW w:w="24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Calibri" w:cs="Calibri" w:eastAsia="Calibri" w:hAnsi="Calibri"/>
                <w:sz w:val="13"/>
                <w:szCs w:val="13"/>
                <w:color w:val="auto"/>
                <w:w w:val="90"/>
              </w:rPr>
              <w:t>$</w:t>
            </w:r>
          </w:p>
        </w:tc>
        <w:tc>
          <w:tcPr>
            <w:tcW w:w="460" w:type="dxa"/>
            <w:vAlign w:val="bottom"/>
          </w:tcPr>
          <w:p>
            <w:pPr>
              <w:jc w:val="right"/>
              <w:spacing w:after="0"/>
              <w:rPr>
                <w:sz w:val="20"/>
                <w:szCs w:val="20"/>
                <w:color w:val="auto"/>
              </w:rPr>
            </w:pPr>
            <w:r>
              <w:rPr>
                <w:rFonts w:ascii="Calibri" w:cs="Calibri" w:eastAsia="Calibri" w:hAnsi="Calibri"/>
                <w:sz w:val="13"/>
                <w:szCs w:val="13"/>
                <w:color w:val="auto"/>
              </w:rPr>
              <w:t>1</w:t>
            </w:r>
          </w:p>
        </w:tc>
        <w:tc>
          <w:tcPr>
            <w:tcW w:w="360" w:type="dxa"/>
            <w:vAlign w:val="bottom"/>
            <w:gridSpan w:val="2"/>
          </w:tcPr>
          <w:p>
            <w:pPr>
              <w:ind w:left="240"/>
              <w:spacing w:after="0"/>
              <w:rPr>
                <w:sz w:val="20"/>
                <w:szCs w:val="20"/>
                <w:color w:val="auto"/>
              </w:rPr>
            </w:pPr>
            <w:r>
              <w:rPr>
                <w:rFonts w:ascii="Calibri" w:cs="Calibri" w:eastAsia="Calibri" w:hAnsi="Calibri"/>
                <w:sz w:val="13"/>
                <w:szCs w:val="13"/>
                <w:color w:val="auto"/>
              </w:rPr>
              <w:t>$</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3,489</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1120" w:type="dxa"/>
            <w:vAlign w:val="bottom"/>
            <w:gridSpan w:val="2"/>
          </w:tcPr>
          <w:p>
            <w:pPr>
              <w:jc w:val="right"/>
              <w:ind w:right="160"/>
              <w:spacing w:after="0"/>
              <w:rPr>
                <w:sz w:val="20"/>
                <w:szCs w:val="20"/>
                <w:color w:val="auto"/>
              </w:rPr>
            </w:pPr>
            <w:r>
              <w:rPr>
                <w:rFonts w:ascii="Calibri" w:cs="Calibri" w:eastAsia="Calibri" w:hAnsi="Calibri"/>
                <w:sz w:val="13"/>
                <w:szCs w:val="13"/>
                <w:color w:val="auto"/>
              </w:rPr>
              <w:t>(38 )</w:t>
            </w:r>
          </w:p>
        </w:tc>
        <w:tc>
          <w:tcPr>
            <w:tcW w:w="10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3,719</w:t>
            </w:r>
          </w:p>
        </w:tc>
        <w:tc>
          <w:tcPr>
            <w:tcW w:w="2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Calibri" w:cs="Calibri" w:eastAsia="Calibri" w:hAnsi="Calibri"/>
                <w:sz w:val="13"/>
                <w:szCs w:val="13"/>
                <w:color w:val="auto"/>
                <w:w w:val="90"/>
              </w:rPr>
              <w:t>$</w:t>
            </w:r>
          </w:p>
        </w:tc>
        <w:tc>
          <w:tcPr>
            <w:tcW w:w="660" w:type="dxa"/>
            <w:vAlign w:val="bottom"/>
          </w:tcPr>
          <w:p>
            <w:pPr>
              <w:jc w:val="right"/>
              <w:spacing w:after="0"/>
              <w:rPr>
                <w:sz w:val="20"/>
                <w:szCs w:val="20"/>
                <w:color w:val="auto"/>
              </w:rPr>
            </w:pPr>
            <w:r>
              <w:rPr>
                <w:rFonts w:ascii="Calibri" w:cs="Calibri" w:eastAsia="Calibri" w:hAnsi="Calibri"/>
                <w:sz w:val="13"/>
                <w:szCs w:val="13"/>
                <w:color w:val="auto"/>
              </w:rPr>
              <w:t>7,171</w:t>
            </w:r>
          </w:p>
        </w:tc>
        <w:tc>
          <w:tcPr>
            <w:tcW w:w="2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7,173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469</w:t>
            </w: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469</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470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Calibri" w:cs="Calibri" w:eastAsia="Calibri" w:hAnsi="Calibri"/>
                <w:sz w:val="13"/>
                <w:szCs w:val="13"/>
                <w:color w:val="auto"/>
              </w:rPr>
              <w:t>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w w:val="98"/>
              </w:rPr>
              <w:t>Dividends declared ($1.32 per common share)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(82 )</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52" w:lineRule="exact"/>
              <w:rPr>
                <w:sz w:val="20"/>
                <w:szCs w:val="20"/>
                <w:color w:val="auto"/>
              </w:rPr>
            </w:pPr>
            <w:r>
              <w:rPr>
                <w:rFonts w:ascii="Calibri" w:cs="Calibri" w:eastAsia="Calibri" w:hAnsi="Calibri"/>
                <w:sz w:val="13"/>
                <w:szCs w:val="13"/>
                <w:color w:val="auto"/>
              </w:rPr>
              <w:t>(82 )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52" w:lineRule="exact"/>
              <w:rPr>
                <w:sz w:val="20"/>
                <w:szCs w:val="20"/>
                <w:color w:val="auto"/>
              </w:rPr>
            </w:pPr>
            <w:r>
              <w:rPr>
                <w:rFonts w:ascii="Calibri" w:cs="Calibri" w:eastAsia="Calibri" w:hAnsi="Calibri"/>
                <w:sz w:val="13"/>
                <w:szCs w:val="13"/>
                <w:color w:val="auto"/>
              </w:rPr>
              <w:t>(82 )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4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82,563</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Calibri" w:cs="Calibri" w:eastAsia="Calibri" w:hAnsi="Calibri"/>
                <w:sz w:val="13"/>
                <w:szCs w:val="13"/>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Calibri" w:cs="Calibri" w:eastAsia="Calibri" w:hAnsi="Calibri"/>
                <w:sz w:val="13"/>
                <w:szCs w:val="13"/>
                <w:color w:val="auto"/>
              </w:rPr>
              <w:t>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Calibri" w:cs="Calibri" w:eastAsia="Calibri" w:hAnsi="Calibri"/>
                <w:sz w:val="13"/>
                <w:szCs w:val="13"/>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Borders>
              <w:bottom w:val="single" w:sz="8" w:color="CFF0FC"/>
            </w:tcBorders>
            <w:shd w:val="clear" w:color="auto" w:fill="CFF0FC"/>
          </w:tcPr>
          <w:p>
            <w:pPr>
              <w:ind w:left="26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Calibri" w:cs="Calibri" w:eastAsia="Calibri" w:hAnsi="Calibri"/>
                <w:sz w:val="13"/>
                <w:szCs w:val="13"/>
                <w:color w:val="auto"/>
              </w:rPr>
              <w:t>(18 )</w:t>
            </w: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(18 )</w:t>
            </w: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(18 )</w:t>
            </w: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Repurchases of common stock</w:t>
            </w:r>
          </w:p>
        </w:tc>
        <w:tc>
          <w:tcPr>
            <w:tcW w:w="1180" w:type="dxa"/>
            <w:vAlign w:val="bottom"/>
            <w:gridSpan w:val="3"/>
          </w:tcPr>
          <w:p>
            <w:pPr>
              <w:jc w:val="right"/>
              <w:ind w:right="180"/>
              <w:spacing w:after="0" w:line="152" w:lineRule="exact"/>
              <w:rPr>
                <w:sz w:val="20"/>
                <w:szCs w:val="20"/>
                <w:color w:val="auto"/>
              </w:rPr>
            </w:pPr>
            <w:r>
              <w:rPr>
                <w:rFonts w:ascii="Calibri" w:cs="Calibri" w:eastAsia="Calibri" w:hAnsi="Calibri"/>
                <w:sz w:val="13"/>
                <w:szCs w:val="13"/>
                <w:color w:val="auto"/>
              </w:rPr>
              <w:t>(381,520 )</w:t>
            </w:r>
          </w:p>
        </w:tc>
        <w:tc>
          <w:tcPr>
            <w:tcW w:w="400" w:type="dxa"/>
            <w:vAlign w:val="bottom"/>
          </w:tcPr>
          <w:p>
            <w:pPr>
              <w:spacing w:after="0"/>
              <w:rPr>
                <w:sz w:val="13"/>
                <w:szCs w:val="13"/>
                <w:color w:val="auto"/>
              </w:rPr>
            </w:pPr>
          </w:p>
        </w:tc>
        <w:tc>
          <w:tcPr>
            <w:tcW w:w="46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4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line="152" w:lineRule="exact"/>
              <w:rPr>
                <w:sz w:val="20"/>
                <w:szCs w:val="20"/>
                <w:color w:val="auto"/>
              </w:rPr>
            </w:pPr>
            <w:r>
              <w:rPr>
                <w:rFonts w:ascii="Calibri" w:cs="Calibri" w:eastAsia="Calibri" w:hAnsi="Calibri"/>
                <w:sz w:val="13"/>
                <w:szCs w:val="13"/>
                <w:color w:val="auto"/>
              </w:rPr>
              <w:t>(151 )</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line="152" w:lineRule="exact"/>
              <w:rPr>
                <w:sz w:val="20"/>
                <w:szCs w:val="20"/>
                <w:color w:val="auto"/>
              </w:rPr>
            </w:pPr>
            <w:r>
              <w:rPr>
                <w:rFonts w:ascii="Calibri" w:cs="Calibri" w:eastAsia="Calibri" w:hAnsi="Calibri"/>
                <w:sz w:val="13"/>
                <w:szCs w:val="13"/>
                <w:color w:val="auto"/>
              </w:rPr>
              <w:t>(151 )</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Borders>
              <w:bottom w:val="single" w:sz="8" w:color="CFF0FC"/>
            </w:tcBorders>
            <w:shd w:val="clear" w:color="auto" w:fill="CFF0FC"/>
          </w:tcPr>
          <w:p>
            <w:pPr>
              <w:ind w:left="200"/>
              <w:spacing w:after="0" w:line="152"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gridSpan w:val="2"/>
            <w:shd w:val="clear" w:color="auto" w:fill="CFF0FC"/>
          </w:tcPr>
          <w:p>
            <w:pPr>
              <w:jc w:val="right"/>
              <w:ind w:right="260"/>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28</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28</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line="152" w:lineRule="exact"/>
              <w:rPr>
                <w:sz w:val="20"/>
                <w:szCs w:val="20"/>
                <w:color w:val="auto"/>
              </w:rPr>
            </w:pPr>
            <w:r>
              <w:rPr>
                <w:rFonts w:ascii="Calibri" w:cs="Calibri" w:eastAsia="Calibri" w:hAnsi="Calibri"/>
                <w:sz w:val="13"/>
                <w:szCs w:val="13"/>
                <w:color w:val="auto"/>
              </w:rPr>
              <w:t>Distributons to owners of</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2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Calibri" w:cs="Calibri" w:eastAsia="Calibri" w:hAnsi="Calibri"/>
                <w:sz w:val="13"/>
                <w:szCs w:val="13"/>
                <w:color w:val="auto"/>
              </w:rPr>
              <w:t>(1 )</w:t>
            </w:r>
          </w:p>
        </w:tc>
        <w:tc>
          <w:tcPr>
            <w:tcW w:w="10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Calibri" w:cs="Calibri" w:eastAsia="Calibri" w:hAnsi="Calibri"/>
                <w:sz w:val="13"/>
                <w:szCs w:val="13"/>
                <w:color w:val="auto"/>
              </w:rPr>
              <w:t>(1 )</w:t>
            </w:r>
          </w:p>
        </w:tc>
        <w:tc>
          <w:tcPr>
            <w:tcW w:w="0" w:type="dxa"/>
            <w:vAlign w:val="bottom"/>
          </w:tcPr>
          <w:p>
            <w:pPr>
              <w:spacing w:after="0"/>
              <w:rPr>
                <w:sz w:val="1"/>
                <w:szCs w:val="1"/>
                <w:color w:val="auto"/>
              </w:rPr>
            </w:pPr>
          </w:p>
        </w:tc>
      </w:tr>
      <w:tr>
        <w:trPr>
          <w:trHeight w:val="154"/>
        </w:trPr>
        <w:tc>
          <w:tcPr>
            <w:tcW w:w="2620" w:type="dxa"/>
            <w:vAlign w:val="bottom"/>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Balance at June 30, 2023</w:t>
            </w: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61,803,396</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ind w:right="257"/>
              <w:spacing w:after="0" w:line="151" w:lineRule="exact"/>
              <w:rPr>
                <w:sz w:val="20"/>
                <w:szCs w:val="20"/>
                <w:color w:val="auto"/>
              </w:rPr>
            </w:pPr>
            <w:r>
              <w:rPr>
                <w:rFonts w:ascii="Calibri" w:cs="Calibri" w:eastAsia="Calibri" w:hAnsi="Calibri"/>
                <w:sz w:val="13"/>
                <w:szCs w:val="13"/>
                <w:color w:val="auto"/>
                <w:w w:val="90"/>
              </w:rPr>
              <w:t>$</w:t>
            </w:r>
          </w:p>
        </w:tc>
        <w:tc>
          <w:tcPr>
            <w:tcW w:w="46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1</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line="151" w:lineRule="exact"/>
              <w:rPr>
                <w:sz w:val="20"/>
                <w:szCs w:val="20"/>
                <w:color w:val="auto"/>
              </w:rPr>
            </w:pPr>
            <w:r>
              <w:rPr>
                <w:rFonts w:ascii="Calibri" w:cs="Calibri" w:eastAsia="Calibri" w:hAnsi="Calibri"/>
                <w:sz w:val="13"/>
                <w:szCs w:val="13"/>
                <w:color w:val="auto"/>
              </w:rPr>
              <w:t>$</w:t>
            </w:r>
          </w:p>
        </w:tc>
        <w:tc>
          <w:tcPr>
            <w:tcW w:w="72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3,501</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1120" w:type="dxa"/>
            <w:vAlign w:val="bottom"/>
            <w:tcBorders>
              <w:bottom w:val="single" w:sz="8" w:color="CFF0FC"/>
            </w:tcBorders>
            <w:gridSpan w:val="2"/>
            <w:shd w:val="clear" w:color="auto" w:fill="CFF0FC"/>
          </w:tcPr>
          <w:p>
            <w:pPr>
              <w:jc w:val="right"/>
              <w:ind w:right="160"/>
              <w:spacing w:after="0" w:line="151" w:lineRule="exact"/>
              <w:rPr>
                <w:sz w:val="20"/>
                <w:szCs w:val="20"/>
                <w:color w:val="auto"/>
              </w:rPr>
            </w:pPr>
            <w:r>
              <w:rPr>
                <w:rFonts w:ascii="Calibri" w:cs="Calibri" w:eastAsia="Calibri" w:hAnsi="Calibri"/>
                <w:sz w:val="13"/>
                <w:szCs w:val="13"/>
                <w:color w:val="auto"/>
              </w:rPr>
              <w:t>(35 )</w:t>
            </w:r>
          </w:p>
        </w:tc>
        <w:tc>
          <w:tcPr>
            <w:tcW w:w="10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62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3,955</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jc w:val="right"/>
              <w:ind w:right="37"/>
              <w:spacing w:after="0" w:line="151" w:lineRule="exact"/>
              <w:rPr>
                <w:sz w:val="20"/>
                <w:szCs w:val="20"/>
                <w:color w:val="auto"/>
              </w:rPr>
            </w:pPr>
            <w:r>
              <w:rPr>
                <w:rFonts w:ascii="Calibri" w:cs="Calibri" w:eastAsia="Calibri" w:hAnsi="Calibri"/>
                <w:sz w:val="13"/>
                <w:szCs w:val="13"/>
                <w:color w:val="auto"/>
                <w:w w:val="90"/>
              </w:rPr>
              <w:t>$</w:t>
            </w:r>
          </w:p>
        </w:tc>
        <w:tc>
          <w:tcPr>
            <w:tcW w:w="66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7,422</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jc w:val="right"/>
              <w:ind w:right="17"/>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w w:val="90"/>
              </w:rPr>
              <w:t>$</w:t>
            </w:r>
          </w:p>
        </w:tc>
        <w:tc>
          <w:tcPr>
            <w:tcW w:w="760" w:type="dxa"/>
            <w:vAlign w:val="bottom"/>
            <w:tcBorders>
              <w:bottom w:val="single" w:sz="8" w:color="CFF0FC"/>
            </w:tcBorders>
            <w:shd w:val="clear" w:color="auto" w:fill="CFF0FC"/>
          </w:tcPr>
          <w:p>
            <w:pPr>
              <w:jc w:val="right"/>
              <w:spacing w:after="0" w:line="151" w:lineRule="exact"/>
              <w:rPr>
                <w:sz w:val="20"/>
                <w:szCs w:val="20"/>
                <w:color w:val="auto"/>
              </w:rPr>
            </w:pPr>
            <w:r>
              <w:rPr>
                <w:rFonts w:ascii="Calibri" w:cs="Calibri" w:eastAsia="Calibri" w:hAnsi="Calibri"/>
                <w:sz w:val="13"/>
                <w:szCs w:val="13"/>
                <w:color w:val="auto"/>
              </w:rPr>
              <w:t>7,424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-1962785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-1962785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-1962785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-1962785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-1962785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-1962785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-1962785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07"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 w:name="page8"/>
    <w:bookmarkEnd w:id="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(UNAUDITED)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380" w:hanging="372"/>
        <w:spacing w:after="0"/>
        <w:tabs>
          <w:tab w:leader="none" w:pos="38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Signifcant Accountng Policies</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Organizaton</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Martn Marieta Materials, Inc. (the Company or Martn Marieta) is a natural resource-based building materials company. As of June 30, 2024, the Company supplies aggregates (crushed stone, sand and gravel) through its network of approximately 380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8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w w:val="97"/>
              </w:rPr>
              <w:t>West Group</w:t>
            </w: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80" w:type="dxa"/>
            <w:vAlign w:val="bottom"/>
            <w:vMerge w:val="continue"/>
          </w:tcPr>
          <w:p>
            <w:pPr>
              <w:spacing w:after="0"/>
              <w:rPr>
                <w:sz w:val="18"/>
                <w:szCs w:val="18"/>
                <w:color w:val="auto"/>
              </w:rPr>
            </w:pPr>
          </w:p>
        </w:tc>
        <w:tc>
          <w:tcPr>
            <w:tcW w:w="372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w:t>
            </w:r>
          </w:p>
        </w:tc>
        <w:tc>
          <w:tcPr>
            <w:tcW w:w="180" w:type="dxa"/>
            <w:vAlign w:val="bottom"/>
            <w:vMerge w:val="continue"/>
          </w:tcPr>
          <w:p>
            <w:pPr>
              <w:spacing w:after="0"/>
              <w:rPr>
                <w:sz w:val="18"/>
                <w:szCs w:val="18"/>
                <w:color w:val="auto"/>
              </w:rPr>
            </w:pPr>
          </w:p>
        </w:tc>
        <w:tc>
          <w:tcPr>
            <w:tcW w:w="400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jc w:val="center"/>
              <w:spacing w:after="0" w:line="234" w:lineRule="exact"/>
              <w:rPr>
                <w:sz w:val="20"/>
                <w:szCs w:val="20"/>
                <w:color w:val="auto"/>
              </w:rPr>
            </w:pPr>
            <w:r>
              <w:rPr>
                <w:rFonts w:ascii="Calibri" w:cs="Calibri" w:eastAsia="Calibri" w:hAnsi="Calibri"/>
                <w:sz w:val="20"/>
                <w:szCs w:val="20"/>
                <w:color w:val="auto"/>
              </w:rPr>
              <w:t>Iowa, Kansas, Kentucky, Maryland,</w:t>
            </w:r>
          </w:p>
        </w:tc>
        <w:tc>
          <w:tcPr>
            <w:tcW w:w="180" w:type="dxa"/>
            <w:vAlign w:val="bottom"/>
          </w:tcPr>
          <w:p>
            <w:pPr>
              <w:spacing w:after="0"/>
              <w:rPr>
                <w:sz w:val="20"/>
                <w:szCs w:val="20"/>
                <w:color w:val="auto"/>
              </w:rPr>
            </w:pPr>
          </w:p>
        </w:tc>
        <w:tc>
          <w:tcPr>
            <w:tcW w:w="4000" w:type="dxa"/>
            <w:vAlign w:val="bottom"/>
          </w:tcPr>
          <w:p>
            <w:pPr>
              <w:jc w:val="center"/>
              <w:spacing w:after="0" w:line="234" w:lineRule="exact"/>
              <w:rPr>
                <w:sz w:val="20"/>
                <w:szCs w:val="20"/>
                <w:color w:val="auto"/>
              </w:rPr>
            </w:pPr>
            <w:r>
              <w:rPr>
                <w:rFonts w:ascii="Calibri" w:cs="Calibri" w:eastAsia="Calibri" w:hAnsi="Calibri"/>
                <w:sz w:val="20"/>
                <w:szCs w:val="20"/>
                <w:color w:val="auto"/>
              </w:rPr>
              <w:t>Louisiana, Oklahoma, Texas, Utah,</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ind w:left="960"/>
              <w:spacing w:after="0" w:line="243" w:lineRule="exact"/>
              <w:rPr>
                <w:sz w:val="20"/>
                <w:szCs w:val="20"/>
                <w:color w:val="auto"/>
              </w:rPr>
            </w:pPr>
            <w:r>
              <w:rPr>
                <w:rFonts w:ascii="Calibri" w:cs="Calibri" w:eastAsia="Calibri" w:hAnsi="Calibri"/>
                <w:sz w:val="20"/>
                <w:szCs w:val="20"/>
                <w:color w:val="auto"/>
              </w:rPr>
              <w:t>Minnesota, Missouri,</w:t>
            </w:r>
          </w:p>
        </w:tc>
        <w:tc>
          <w:tcPr>
            <w:tcW w:w="180" w:type="dxa"/>
            <w:vAlign w:val="bottom"/>
          </w:tcPr>
          <w:p>
            <w:pPr>
              <w:spacing w:after="0"/>
              <w:rPr>
                <w:sz w:val="21"/>
                <w:szCs w:val="21"/>
                <w:color w:val="auto"/>
              </w:rPr>
            </w:pPr>
          </w:p>
        </w:tc>
        <w:tc>
          <w:tcPr>
            <w:tcW w:w="4000" w:type="dxa"/>
            <w:vAlign w:val="bottom"/>
          </w:tcPr>
          <w:p>
            <w:pPr>
              <w:ind w:left="88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Nebraska, North Carolina, Ohio,</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Pennsylvania, South Carolina,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w w:val="99"/>
              </w:rPr>
              <w:t>Tennessee, Virginia, West Virginia,</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jc w:val="center"/>
              <w:spacing w:after="0" w:line="243" w:lineRule="exact"/>
              <w:rPr>
                <w:sz w:val="20"/>
                <w:szCs w:val="20"/>
                <w:color w:val="auto"/>
              </w:rPr>
            </w:pPr>
            <w:r>
              <w:rPr>
                <w:rFonts w:ascii="Calibri" w:cs="Calibri" w:eastAsia="Calibri" w:hAnsi="Calibri"/>
                <w:sz w:val="20"/>
                <w:szCs w:val="20"/>
                <w:color w:val="auto"/>
              </w:rPr>
              <w:t>Nova Scota and The Bahamas</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rPr>
              <w:t>Aggregates, Cement and Ready Mixed Concrete,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line="243" w:lineRule="exact"/>
              <w:rPr>
                <w:sz w:val="20"/>
                <w:szCs w:val="20"/>
                <w:color w:val="auto"/>
              </w:rPr>
            </w:pPr>
            <w:r>
              <w:rPr>
                <w:rFonts w:ascii="Calibri" w:cs="Calibri" w:eastAsia="Calibri" w:hAnsi="Calibri"/>
                <w:sz w:val="20"/>
                <w:szCs w:val="20"/>
                <w:color w:val="auto"/>
              </w:rPr>
              <w:t>Asphalt and Paving</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for steel producton and soil stabilizaton.</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Basis of Presentaton and Use of Estmates</w:t>
      </w:r>
    </w:p>
    <w:p>
      <w:pPr>
        <w:spacing w:after="0" w:line="117"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2023. In the opinion of management, the interim consolidated fnancial informaton provided herein refects all adjustments, consistng of normal recurring accruals, necessary for a fair statement of the results of operatons, fnancial positon and cash fows for the interim periods. The consolidated results of operatons for the three and six months ended June 30, 2024 are not necessarily indicatve of the results expected for other interim periods or the full year. The consolidated balance sheet at December 31, 2023 has been derived from the audited consolidated fnancial statements at that date but does not include all of the informaton and notes required by U.S. GAAP for complete</w:t>
      </w:r>
    </w:p>
    <w:p>
      <w:pPr>
        <w:jc w:val="center"/>
        <w:spacing w:after="0"/>
        <w:rPr>
          <w:sz w:val="20"/>
          <w:szCs w:val="20"/>
          <w:color w:val="auto"/>
        </w:rPr>
      </w:pPr>
      <w:r>
        <w:rPr>
          <w:rFonts w:ascii="Calibri" w:cs="Calibri" w:eastAsia="Calibri" w:hAnsi="Calibri"/>
          <w:sz w:val="20"/>
          <w:szCs w:val="20"/>
          <w:color w:val="auto"/>
        </w:rPr>
        <w:t>Page 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 w:name="page9"/>
    <w:bookmarkEnd w:id="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fnancial statements. These consolidated fnancial statements should be read in conjuncton with the audited consolidated fnancial statements and notes thereto included in the Company’s Annual Report on Form 10-K for the year ended December 31, 2023.</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21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Restricted Cash</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At December 31, 2023, the Company had restricted cash of $10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qualifed assets for 180 days from receipt of the proceeds from the sale of the exchanged property. Any unused restricted cash at the end of the 180 days was transferred to unrestricted accounts of the Company and used for general corporate purposes. There was no restricted cash at June 30, 2024.</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color w:val="auto"/>
              </w:rPr>
              <w:t>June 30,</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Calibri" w:cs="Calibri" w:eastAsia="Calibri" w:hAnsi="Calibri"/>
                <w:sz w:val="20"/>
                <w:szCs w:val="20"/>
                <w:color w:val="auto"/>
              </w:rPr>
              <w:t>2024</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jc w:val="right"/>
              <w:ind w:right="68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9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w w:val="98"/>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and cash equivalents</w:t>
            </w:r>
          </w:p>
        </w:tc>
        <w:tc>
          <w:tcPr>
            <w:tcW w:w="1340" w:type="dxa"/>
            <w:vAlign w:val="bottom"/>
            <w:tcBorders>
              <w:bottom w:val="single" w:sz="8" w:color="CFF0FC"/>
            </w:tcBorders>
            <w:shd w:val="clear" w:color="auto" w:fill="CFF0FC"/>
          </w:tcPr>
          <w:p>
            <w:pPr>
              <w:jc w:val="right"/>
              <w:ind w:right="1121"/>
              <w:spacing w:after="0" w:line="234" w:lineRule="exact"/>
              <w:rPr>
                <w:sz w:val="20"/>
                <w:szCs w:val="20"/>
                <w:color w:val="auto"/>
              </w:rPr>
            </w:pPr>
            <w:r>
              <w:rPr>
                <w:rFonts w:ascii="Calibri" w:cs="Calibri" w:eastAsia="Calibri" w:hAnsi="Calibri"/>
                <w:sz w:val="20"/>
                <w:szCs w:val="20"/>
                <w:color w:val="auto"/>
                <w:w w:val="98"/>
              </w:rPr>
              <w:t>$</w:t>
            </w: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w:t>
            </w:r>
          </w:p>
        </w:tc>
        <w:tc>
          <w:tcPr>
            <w:tcW w:w="620" w:type="dxa"/>
            <w:vAlign w:val="bottom"/>
            <w:tcBorders>
              <w:bottom w:val="single" w:sz="8" w:color="CFF0FC"/>
            </w:tcBorders>
            <w:gridSpan w:val="2"/>
            <w:shd w:val="clear" w:color="auto" w:fill="CFF0FC"/>
          </w:tcPr>
          <w:p>
            <w:pPr>
              <w:ind w:left="360"/>
              <w:spacing w:after="0" w:line="234" w:lineRule="exact"/>
              <w:rPr>
                <w:sz w:val="20"/>
                <w:szCs w:val="20"/>
                <w:color w:val="auto"/>
              </w:rPr>
            </w:pPr>
            <w:r>
              <w:rPr>
                <w:rFonts w:ascii="Calibri" w:cs="Calibri" w:eastAsia="Calibri" w:hAnsi="Calibri"/>
                <w:sz w:val="20"/>
                <w:szCs w:val="20"/>
                <w:color w:val="auto"/>
              </w:rPr>
              <w:t>$</w:t>
            </w:r>
          </w:p>
        </w:tc>
        <w:tc>
          <w:tcPr>
            <w:tcW w:w="1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0"/>
              <w:spacing w:after="0" w:line="234" w:lineRule="exact"/>
              <w:rPr>
                <w:sz w:val="20"/>
                <w:szCs w:val="20"/>
                <w:color w:val="auto"/>
              </w:rPr>
            </w:pPr>
            <w:r>
              <w:rPr>
                <w:rFonts w:ascii="Calibri" w:cs="Calibri" w:eastAsia="Calibri" w:hAnsi="Calibri"/>
                <w:sz w:val="20"/>
                <w:szCs w:val="20"/>
                <w:color w:val="auto"/>
              </w:rPr>
              <w:t>Restricted cash</w:t>
            </w:r>
          </w:p>
        </w:tc>
        <w:tc>
          <w:tcPr>
            <w:tcW w:w="134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84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Total cash, cash equivalents and restricted cash</w:t>
            </w:r>
          </w:p>
        </w:tc>
        <w:tc>
          <w:tcPr>
            <w:tcW w:w="1340" w:type="dxa"/>
            <w:vAlign w:val="bottom"/>
            <w:vMerge w:val="restart"/>
            <w:shd w:val="clear" w:color="auto" w:fill="CFF0FC"/>
          </w:tcPr>
          <w:p>
            <w:pPr>
              <w:jc w:val="right"/>
              <w:ind w:right="1121"/>
              <w:spacing w:after="0"/>
              <w:rPr>
                <w:sz w:val="20"/>
                <w:szCs w:val="20"/>
                <w:color w:val="auto"/>
              </w:rPr>
            </w:pPr>
            <w:r>
              <w:rPr>
                <w:rFonts w:ascii="Calibri" w:cs="Calibri" w:eastAsia="Calibri" w:hAnsi="Calibri"/>
                <w:sz w:val="20"/>
                <w:szCs w:val="20"/>
                <w:color w:val="auto"/>
                <w:w w:val="98"/>
              </w:rPr>
              <w:t>$</w:t>
            </w:r>
          </w:p>
        </w:tc>
        <w:tc>
          <w:tcPr>
            <w:tcW w:w="64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109</w:t>
            </w:r>
          </w:p>
        </w:tc>
        <w:tc>
          <w:tcPr>
            <w:tcW w:w="360" w:type="dxa"/>
            <w:vAlign w:val="bottom"/>
            <w:vMerge w:val="restart"/>
            <w:shd w:val="clear" w:color="auto" w:fill="CFF0FC"/>
          </w:tcPr>
          <w:p>
            <w:pPr>
              <w:spacing w:after="0"/>
              <w:rPr>
                <w:sz w:val="19"/>
                <w:szCs w:val="19"/>
                <w:color w:val="auto"/>
              </w:rPr>
            </w:pPr>
          </w:p>
        </w:tc>
        <w:tc>
          <w:tcPr>
            <w:tcW w:w="260" w:type="dxa"/>
            <w:vAlign w:val="bottom"/>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17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presented in the consolidated statements of cash fows</w:t>
            </w:r>
          </w:p>
        </w:tc>
        <w:tc>
          <w:tcPr>
            <w:tcW w:w="1340" w:type="dxa"/>
            <w:vAlign w:val="bottom"/>
            <w:tcBorders>
              <w:bottom w:val="single" w:sz="8" w:color="auto"/>
            </w:tcBorders>
            <w:vMerge w:val="continue"/>
            <w:shd w:val="clear" w:color="auto" w:fill="CFF0FC"/>
          </w:tcPr>
          <w:p>
            <w:pPr>
              <w:spacing w:after="0"/>
              <w:rPr>
                <w:sz w:val="24"/>
                <w:szCs w:val="24"/>
                <w:color w:val="auto"/>
              </w:rPr>
            </w:pPr>
          </w:p>
        </w:tc>
        <w:tc>
          <w:tcPr>
            <w:tcW w:w="640" w:type="dxa"/>
            <w:vAlign w:val="bottom"/>
            <w:tcBorders>
              <w:bottom w:val="single" w:sz="8" w:color="auto"/>
            </w:tcBorders>
            <w:vMerge w:val="continue"/>
            <w:shd w:val="clear" w:color="auto" w:fill="CFF0FC"/>
          </w:tcPr>
          <w:p>
            <w:pPr>
              <w:spacing w:after="0"/>
              <w:rPr>
                <w:sz w:val="24"/>
                <w:szCs w:val="24"/>
                <w:color w:val="auto"/>
              </w:rPr>
            </w:pPr>
          </w:p>
        </w:tc>
        <w:tc>
          <w:tcPr>
            <w:tcW w:w="3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70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Consolidated Comprehensive Earnings and Accumulated Other Comprehensive Loss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Consolidated comprehensive earnings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20" w:type="dxa"/>
            <w:vAlign w:val="bottom"/>
            <w:gridSpan w:val="5"/>
          </w:tcPr>
          <w:p>
            <w:pPr>
              <w:jc w:val="right"/>
              <w:ind w:right="301"/>
              <w:spacing w:after="0"/>
              <w:rPr>
                <w:sz w:val="20"/>
                <w:szCs w:val="20"/>
                <w:color w:val="auto"/>
              </w:rPr>
            </w:pPr>
            <w:r>
              <w:rPr>
                <w:rFonts w:ascii="Calibri" w:cs="Calibri" w:eastAsia="Calibri" w:hAnsi="Calibri"/>
                <w:sz w:val="20"/>
                <w:szCs w:val="20"/>
                <w:color w:val="auto"/>
              </w:rPr>
              <w:t>Consolidated comprehensive earnings atributable to Martn Marieta are as follows: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2480" w:type="dxa"/>
            <w:vAlign w:val="bottom"/>
            <w:gridSpan w:val="4"/>
          </w:tcPr>
          <w:p>
            <w:pPr>
              <w:jc w:val="right"/>
              <w:ind w:right="81"/>
              <w:spacing w:after="0"/>
              <w:rPr>
                <w:sz w:val="20"/>
                <w:szCs w:val="20"/>
                <w:color w:val="auto"/>
              </w:rPr>
            </w:pPr>
            <w:r>
              <w:rPr>
                <w:rFonts w:ascii="Calibri" w:cs="Calibri" w:eastAsia="Calibri" w:hAnsi="Calibri"/>
                <w:sz w:val="20"/>
                <w:szCs w:val="20"/>
                <w:color w:val="auto"/>
              </w:rPr>
              <w:t>Three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380"/>
              <w:spacing w:after="0"/>
              <w:rPr>
                <w:sz w:val="20"/>
                <w:szCs w:val="20"/>
                <w:color w:val="auto"/>
              </w:rPr>
            </w:pPr>
            <w:r>
              <w:rPr>
                <w:rFonts w:ascii="Calibri" w:cs="Calibri" w:eastAsia="Calibri" w:hAnsi="Calibri"/>
                <w:sz w:val="20"/>
                <w:szCs w:val="20"/>
                <w:color w:val="auto"/>
              </w:rPr>
              <w:t>Six Months Ended</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gridSpan w:val="3"/>
          </w:tcPr>
          <w:p>
            <w:pPr>
              <w:jc w:val="right"/>
              <w:ind w:right="601"/>
              <w:spacing w:after="0"/>
              <w:rPr>
                <w:sz w:val="20"/>
                <w:szCs w:val="20"/>
                <w:color w:val="auto"/>
              </w:rPr>
            </w:pPr>
            <w:r>
              <w:rPr>
                <w:rFonts w:ascii="Calibri" w:cs="Calibri" w:eastAsia="Calibri" w:hAnsi="Calibri"/>
                <w:sz w:val="20"/>
                <w:szCs w:val="20"/>
                <w:color w:val="auto"/>
              </w:rPr>
              <w:t>June 30,</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3"/>
          </w:tcPr>
          <w:p>
            <w:pPr>
              <w:jc w:val="right"/>
              <w:ind w:right="1"/>
              <w:spacing w:after="0"/>
              <w:rPr>
                <w:sz w:val="20"/>
                <w:szCs w:val="20"/>
                <w:color w:val="auto"/>
              </w:rPr>
            </w:pPr>
            <w:r>
              <w:rPr>
                <w:rFonts w:ascii="Calibri" w:cs="Calibri" w:eastAsia="Calibri" w:hAnsi="Calibri"/>
                <w:sz w:val="20"/>
                <w:szCs w:val="20"/>
                <w:color w:val="auto"/>
              </w:rPr>
              <w:t>June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52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92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19"/>
                <w:szCs w:val="19"/>
                <w:color w:val="auto"/>
              </w:rPr>
            </w:pPr>
          </w:p>
        </w:tc>
        <w:tc>
          <w:tcPr>
            <w:tcW w:w="118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4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4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0" w:type="dxa"/>
            <w:vAlign w:val="bottom"/>
            <w:gridSpan w:val="5"/>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26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Net earnings atributable to Martn Marieta</w:t>
            </w:r>
          </w:p>
        </w:tc>
        <w:tc>
          <w:tcPr>
            <w:tcW w:w="920" w:type="dxa"/>
            <w:vAlign w:val="bottom"/>
            <w:tcBorders>
              <w:bottom w:val="single" w:sz="8" w:color="CFF0FC"/>
            </w:tcBorders>
            <w:shd w:val="clear" w:color="auto" w:fill="CFF0FC"/>
          </w:tcPr>
          <w:p>
            <w:pPr>
              <w:jc w:val="right"/>
              <w:ind w:right="701"/>
              <w:spacing w:after="0" w:line="234" w:lineRule="exact"/>
              <w:rPr>
                <w:sz w:val="20"/>
                <w:szCs w:val="20"/>
                <w:color w:val="auto"/>
              </w:rPr>
            </w:pPr>
            <w:r>
              <w:rPr>
                <w:rFonts w:ascii="Calibri" w:cs="Calibri" w:eastAsia="Calibri" w:hAnsi="Calibri"/>
                <w:sz w:val="20"/>
                <w:szCs w:val="20"/>
                <w:color w:val="auto"/>
                <w:w w:val="98"/>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294</w:t>
            </w:r>
          </w:p>
        </w:tc>
        <w:tc>
          <w:tcPr>
            <w:tcW w:w="1180" w:type="dxa"/>
            <w:vAlign w:val="bottom"/>
            <w:tcBorders>
              <w:bottom w:val="single" w:sz="8" w:color="CFF0FC"/>
            </w:tcBorders>
            <w:gridSpan w:val="2"/>
            <w:shd w:val="clear" w:color="auto" w:fill="CFF0FC"/>
          </w:tcPr>
          <w:p>
            <w:pPr>
              <w:jc w:val="right"/>
              <w:ind w:right="701"/>
              <w:spacing w:after="0" w:line="234" w:lineRule="exact"/>
              <w:rPr>
                <w:sz w:val="20"/>
                <w:szCs w:val="20"/>
                <w:color w:val="auto"/>
              </w:rPr>
            </w:pPr>
            <w:r>
              <w:rPr>
                <w:rFonts w:ascii="Calibri" w:cs="Calibri" w:eastAsia="Calibri" w:hAnsi="Calibri"/>
                <w:sz w:val="20"/>
                <w:szCs w:val="20"/>
                <w:color w:val="auto"/>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348</w:t>
            </w:r>
          </w:p>
        </w:tc>
        <w:tc>
          <w:tcPr>
            <w:tcW w:w="52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1,339</w:t>
            </w:r>
          </w:p>
        </w:tc>
        <w:tc>
          <w:tcPr>
            <w:tcW w:w="560" w:type="dxa"/>
            <w:vAlign w:val="bottom"/>
            <w:tcBorders>
              <w:bottom w:val="single" w:sz="8" w:color="CFF0FC"/>
            </w:tcBorders>
            <w:gridSpan w:val="2"/>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line="236" w:lineRule="exact"/>
              <w:rPr>
                <w:sz w:val="20"/>
                <w:szCs w:val="20"/>
                <w:color w:val="auto"/>
              </w:rPr>
            </w:pPr>
            <w:r>
              <w:rPr>
                <w:rFonts w:ascii="Calibri" w:cs="Calibri" w:eastAsia="Calibri" w:hAnsi="Calibri"/>
                <w:sz w:val="20"/>
                <w:szCs w:val="20"/>
                <w:color w:val="auto"/>
              </w:rPr>
              <w:t>Other comprehensive earnings, net of tax</w:t>
            </w:r>
          </w:p>
        </w:tc>
        <w:tc>
          <w:tcPr>
            <w:tcW w:w="9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24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Consolidated comprehensive earnings</w:t>
            </w:r>
          </w:p>
        </w:tc>
        <w:tc>
          <w:tcPr>
            <w:tcW w:w="920" w:type="dxa"/>
            <w:vAlign w:val="bottom"/>
            <w:vMerge w:val="restart"/>
            <w:shd w:val="clear" w:color="auto" w:fill="CFF0FC"/>
          </w:tcPr>
          <w:p>
            <w:pPr>
              <w:jc w:val="right"/>
              <w:ind w:right="701"/>
              <w:spacing w:after="0"/>
              <w:rPr>
                <w:sz w:val="20"/>
                <w:szCs w:val="20"/>
                <w:color w:val="auto"/>
              </w:rPr>
            </w:pPr>
            <w:r>
              <w:rPr>
                <w:rFonts w:ascii="Calibri" w:cs="Calibri" w:eastAsia="Calibri" w:hAnsi="Calibri"/>
                <w:sz w:val="20"/>
                <w:szCs w:val="20"/>
                <w:color w:val="auto"/>
                <w:w w:val="98"/>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295</w:t>
            </w:r>
          </w:p>
        </w:tc>
        <w:tc>
          <w:tcPr>
            <w:tcW w:w="280" w:type="dxa"/>
            <w:vAlign w:val="bottom"/>
            <w:vMerge w:val="restart"/>
            <w:shd w:val="clear" w:color="auto" w:fill="CFF0FC"/>
          </w:tcPr>
          <w:p>
            <w:pPr>
              <w:spacing w:after="0"/>
              <w:rPr>
                <w:sz w:val="19"/>
                <w:szCs w:val="19"/>
                <w:color w:val="auto"/>
              </w:rPr>
            </w:pPr>
          </w:p>
        </w:tc>
        <w:tc>
          <w:tcPr>
            <w:tcW w:w="900" w:type="dxa"/>
            <w:vAlign w:val="bottom"/>
            <w:vMerge w:val="restart"/>
            <w:shd w:val="clear" w:color="auto" w:fill="CFF0FC"/>
          </w:tcPr>
          <w:p>
            <w:pPr>
              <w:jc w:val="right"/>
              <w:ind w:right="701"/>
              <w:spacing w:after="0"/>
              <w:rPr>
                <w:sz w:val="20"/>
                <w:szCs w:val="20"/>
                <w:color w:val="auto"/>
              </w:rPr>
            </w:pPr>
            <w:r>
              <w:rPr>
                <w:rFonts w:ascii="Calibri" w:cs="Calibri" w:eastAsia="Calibri" w:hAnsi="Calibri"/>
                <w:sz w:val="20"/>
                <w:szCs w:val="20"/>
                <w:color w:val="auto"/>
                <w:w w:val="78"/>
              </w:rPr>
              <w:t>$</w:t>
            </w:r>
          </w:p>
        </w:tc>
        <w:tc>
          <w:tcPr>
            <w:tcW w:w="3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350</w:t>
            </w:r>
          </w:p>
        </w:tc>
        <w:tc>
          <w:tcPr>
            <w:tcW w:w="260" w:type="dxa"/>
            <w:vAlign w:val="bottom"/>
            <w:vMerge w:val="restart"/>
            <w:shd w:val="clear" w:color="auto" w:fill="CFF0FC"/>
          </w:tcPr>
          <w:p>
            <w:pPr>
              <w:spacing w:after="0"/>
              <w:rPr>
                <w:sz w:val="19"/>
                <w:szCs w:val="19"/>
                <w:color w:val="auto"/>
              </w:rPr>
            </w:pPr>
          </w:p>
        </w:tc>
        <w:tc>
          <w:tcPr>
            <w:tcW w:w="260" w:type="dxa"/>
            <w:vAlign w:val="bottom"/>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1,340</w:t>
            </w:r>
          </w:p>
        </w:tc>
        <w:tc>
          <w:tcPr>
            <w:tcW w:w="240" w:type="dxa"/>
            <w:vAlign w:val="bottom"/>
            <w:vMerge w:val="restart"/>
            <w:shd w:val="clear" w:color="auto" w:fill="CFF0FC"/>
          </w:tcPr>
          <w:p>
            <w:pPr>
              <w:spacing w:after="0"/>
              <w:rPr>
                <w:sz w:val="19"/>
                <w:szCs w:val="19"/>
                <w:color w:val="auto"/>
              </w:rPr>
            </w:pPr>
          </w:p>
        </w:tc>
        <w:tc>
          <w:tcPr>
            <w:tcW w:w="320" w:type="dxa"/>
            <w:vAlign w:val="bottom"/>
            <w:vMerge w:val="restart"/>
            <w:shd w:val="clear" w:color="auto" w:fill="CFF0FC"/>
          </w:tcPr>
          <w:p>
            <w:pPr>
              <w:jc w:val="right"/>
              <w:ind w:right="101"/>
              <w:spacing w:after="0"/>
              <w:rPr>
                <w:sz w:val="20"/>
                <w:szCs w:val="20"/>
                <w:color w:val="auto"/>
              </w:rPr>
            </w:pPr>
            <w:r>
              <w:rPr>
                <w:rFonts w:ascii="Calibri" w:cs="Calibri" w:eastAsia="Calibri" w:hAnsi="Calibri"/>
                <w:sz w:val="20"/>
                <w:szCs w:val="20"/>
                <w:color w:val="auto"/>
                <w:w w:val="98"/>
              </w:rPr>
              <w:t>$</w:t>
            </w:r>
          </w:p>
        </w:tc>
        <w:tc>
          <w:tcPr>
            <w:tcW w:w="96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4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920" w:type="dxa"/>
            <w:vAlign w:val="bottom"/>
            <w:tcBorders>
              <w:bottom w:val="single" w:sz="8" w:color="auto"/>
            </w:tcBorders>
            <w:vMerge w:val="continue"/>
            <w:shd w:val="clear" w:color="auto" w:fill="CFF0FC"/>
          </w:tcPr>
          <w:p>
            <w:pPr>
              <w:spacing w:after="0"/>
              <w:rPr>
                <w:sz w:val="24"/>
                <w:szCs w:val="24"/>
                <w:color w:val="auto"/>
              </w:rPr>
            </w:pPr>
          </w:p>
        </w:tc>
        <w:tc>
          <w:tcPr>
            <w:tcW w:w="380" w:type="dxa"/>
            <w:vAlign w:val="bottom"/>
            <w:tcBorders>
              <w:bottom w:val="single" w:sz="8" w:color="auto"/>
            </w:tcBorders>
            <w:vMerge w:val="continue"/>
            <w:shd w:val="clear" w:color="auto" w:fill="CFF0FC"/>
          </w:tcPr>
          <w:p>
            <w:pPr>
              <w:spacing w:after="0"/>
              <w:rPr>
                <w:sz w:val="24"/>
                <w:szCs w:val="24"/>
                <w:color w:val="auto"/>
              </w:rPr>
            </w:pPr>
          </w:p>
        </w:tc>
        <w:tc>
          <w:tcPr>
            <w:tcW w:w="280" w:type="dxa"/>
            <w:vAlign w:val="bottom"/>
            <w:tcBorders>
              <w:bottom w:val="single" w:sz="8" w:color="CFF0FC"/>
            </w:tcBorders>
            <w:vMerge w:val="continue"/>
            <w:shd w:val="clear" w:color="auto" w:fill="CFF0FC"/>
          </w:tcPr>
          <w:p>
            <w:pPr>
              <w:spacing w:after="0"/>
              <w:rPr>
                <w:sz w:val="24"/>
                <w:szCs w:val="24"/>
                <w:color w:val="auto"/>
              </w:rPr>
            </w:pPr>
          </w:p>
        </w:tc>
        <w:tc>
          <w:tcPr>
            <w:tcW w:w="900" w:type="dxa"/>
            <w:vAlign w:val="bottom"/>
            <w:tcBorders>
              <w:bottom w:val="single" w:sz="8" w:color="auto"/>
            </w:tcBorders>
            <w:vMerge w:val="continue"/>
            <w:shd w:val="clear" w:color="auto" w:fill="CFF0FC"/>
          </w:tcPr>
          <w:p>
            <w:pPr>
              <w:spacing w:after="0"/>
              <w:rPr>
                <w:sz w:val="24"/>
                <w:szCs w:val="24"/>
                <w:color w:val="auto"/>
              </w:rPr>
            </w:pPr>
          </w:p>
        </w:tc>
        <w:tc>
          <w:tcPr>
            <w:tcW w:w="380" w:type="dxa"/>
            <w:vAlign w:val="bottom"/>
            <w:tcBorders>
              <w:bottom w:val="single" w:sz="8" w:color="auto"/>
            </w:tcBorders>
            <w:vMerge w:val="continue"/>
            <w:shd w:val="clear" w:color="auto" w:fill="CFF0FC"/>
          </w:tcPr>
          <w:p>
            <w:pPr>
              <w:spacing w:after="0"/>
              <w:rPr>
                <w:sz w:val="24"/>
                <w:szCs w:val="24"/>
                <w:color w:val="auto"/>
              </w:rPr>
            </w:pPr>
          </w:p>
        </w:tc>
        <w:tc>
          <w:tcPr>
            <w:tcW w:w="260" w:type="dxa"/>
            <w:vAlign w:val="bottom"/>
            <w:tcBorders>
              <w:bottom w:val="single" w:sz="8" w:color="CFF0FC"/>
            </w:tcBorders>
            <w:vMerge w:val="continue"/>
            <w:shd w:val="clear" w:color="auto" w:fill="CFF0FC"/>
          </w:tcPr>
          <w:p>
            <w:pPr>
              <w:spacing w:after="0"/>
              <w:rPr>
                <w:sz w:val="24"/>
                <w:szCs w:val="24"/>
                <w:color w:val="auto"/>
              </w:rPr>
            </w:pPr>
          </w:p>
        </w:tc>
        <w:tc>
          <w:tcPr>
            <w:tcW w:w="260" w:type="dxa"/>
            <w:vAlign w:val="bottom"/>
            <w:tcBorders>
              <w:bottom w:val="single" w:sz="8" w:color="auto"/>
            </w:tcBorders>
            <w:vMerge w:val="continue"/>
            <w:shd w:val="clear" w:color="auto" w:fill="CFF0FC"/>
          </w:tcPr>
          <w:p>
            <w:pPr>
              <w:spacing w:after="0"/>
              <w:rPr>
                <w:sz w:val="24"/>
                <w:szCs w:val="24"/>
                <w:color w:val="auto"/>
              </w:rPr>
            </w:pPr>
          </w:p>
        </w:tc>
        <w:tc>
          <w:tcPr>
            <w:tcW w:w="1000" w:type="dxa"/>
            <w:vAlign w:val="bottom"/>
            <w:tcBorders>
              <w:bottom w:val="single" w:sz="8" w:color="auto"/>
            </w:tcBorders>
            <w:vMerge w:val="continue"/>
            <w:shd w:val="clear" w:color="auto" w:fill="CFF0FC"/>
          </w:tcPr>
          <w:p>
            <w:pPr>
              <w:spacing w:after="0"/>
              <w:rPr>
                <w:sz w:val="24"/>
                <w:szCs w:val="24"/>
                <w:color w:val="auto"/>
              </w:rPr>
            </w:pPr>
          </w:p>
        </w:tc>
        <w:tc>
          <w:tcPr>
            <w:tcW w:w="240" w:type="dxa"/>
            <w:vAlign w:val="bottom"/>
            <w:tcBorders>
              <w:bottom w:val="single" w:sz="8" w:color="CFF0FC"/>
            </w:tcBorders>
            <w:vMerge w:val="continue"/>
            <w:shd w:val="clear" w:color="auto" w:fill="CFF0FC"/>
          </w:tcPr>
          <w:p>
            <w:pPr>
              <w:spacing w:after="0"/>
              <w:rPr>
                <w:sz w:val="24"/>
                <w:szCs w:val="24"/>
                <w:color w:val="auto"/>
              </w:rPr>
            </w:pPr>
          </w:p>
        </w:tc>
        <w:tc>
          <w:tcPr>
            <w:tcW w:w="320" w:type="dxa"/>
            <w:vAlign w:val="bottom"/>
            <w:tcBorders>
              <w:bottom w:val="single" w:sz="8" w:color="auto"/>
            </w:tcBorders>
            <w:vMerge w:val="continue"/>
            <w:shd w:val="clear" w:color="auto" w:fill="CFF0FC"/>
          </w:tcPr>
          <w:p>
            <w:pPr>
              <w:spacing w:after="0"/>
              <w:rPr>
                <w:sz w:val="24"/>
                <w:szCs w:val="24"/>
                <w:color w:val="auto"/>
              </w:rPr>
            </w:pPr>
          </w:p>
        </w:tc>
        <w:tc>
          <w:tcPr>
            <w:tcW w:w="96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Accumulated other comprehensive loss consists of unrecognized gains and losses related to the funded status of the pension and postretrement beneft plans and foreign currency translaton adjustments and is presented on the Company’s consolidated balance sheets.</w:t>
      </w:r>
    </w:p>
    <w:p>
      <w:pPr>
        <w:spacing w:after="0" w:line="17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components of the changes in accumulated other comprehensive loss, net of tax,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100"/>
              <w:spacing w:after="0"/>
              <w:rPr>
                <w:sz w:val="20"/>
                <w:szCs w:val="20"/>
                <w:color w:val="auto"/>
              </w:rPr>
            </w:pPr>
            <w:r>
              <w:rPr>
                <w:rFonts w:ascii="Calibri" w:cs="Calibri" w:eastAsia="Calibri" w:hAnsi="Calibri"/>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46"/>
              <w:spacing w:after="0" w:line="219" w:lineRule="exact"/>
              <w:rPr>
                <w:sz w:val="20"/>
                <w:szCs w:val="20"/>
                <w:color w:val="auto"/>
              </w:rPr>
            </w:pPr>
            <w:r>
              <w:rPr>
                <w:rFonts w:ascii="Calibri" w:cs="Calibri" w:eastAsia="Calibri" w:hAnsi="Calibri"/>
                <w:sz w:val="19"/>
                <w:szCs w:val="19"/>
                <w:color w:val="auto"/>
                <w:w w:val="98"/>
              </w:rPr>
              <w:t>Accumulated</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Calibri" w:cs="Calibri" w:eastAsia="Calibri" w:hAnsi="Calibri"/>
                <w:sz w:val="19"/>
                <w:szCs w:val="19"/>
                <w:color w:val="auto"/>
                <w:w w:val="99"/>
              </w:rPr>
              <w:t>Pension and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91"/>
              <w:spacing w:after="0"/>
              <w:rPr>
                <w:sz w:val="20"/>
                <w:szCs w:val="20"/>
                <w:color w:val="auto"/>
              </w:rPr>
            </w:pPr>
            <w:r>
              <w:rPr>
                <w:rFonts w:ascii="Calibri" w:cs="Calibri" w:eastAsia="Calibri" w:hAnsi="Calibri"/>
                <w:sz w:val="19"/>
                <w:szCs w:val="19"/>
                <w:color w:val="auto"/>
                <w:w w:val="97"/>
              </w:rPr>
              <w:t>Other</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9"/>
              </w:rPr>
              <w:t>Comprehensive</w:t>
            </w: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Calibri" w:cs="Calibri" w:eastAsia="Calibri" w:hAnsi="Calibri"/>
                <w:sz w:val="19"/>
                <w:szCs w:val="19"/>
                <w:color w:val="auto"/>
              </w:rPr>
              <w:t>Beneft Plans</w:t>
            </w:r>
          </w:p>
        </w:tc>
        <w:tc>
          <w:tcPr>
            <w:tcW w:w="100" w:type="dxa"/>
            <w:vAlign w:val="bottom"/>
          </w:tcPr>
          <w:p>
            <w:pPr>
              <w:spacing w:after="0"/>
              <w:rPr>
                <w:sz w:val="21"/>
                <w:szCs w:val="21"/>
                <w:color w:val="auto"/>
              </w:rPr>
            </w:pPr>
          </w:p>
        </w:tc>
        <w:tc>
          <w:tcPr>
            <w:tcW w:w="1780" w:type="dxa"/>
            <w:vAlign w:val="bottom"/>
            <w:gridSpan w:val="3"/>
          </w:tcPr>
          <w:p>
            <w:pPr>
              <w:jc w:val="right"/>
              <w:ind w:right="380"/>
              <w:spacing w:after="0"/>
              <w:rPr>
                <w:sz w:val="20"/>
                <w:szCs w:val="20"/>
                <w:color w:val="auto"/>
              </w:rPr>
            </w:pPr>
            <w:r>
              <w:rPr>
                <w:rFonts w:ascii="Calibri" w:cs="Calibri" w:eastAsia="Calibri" w:hAnsi="Calibri"/>
                <w:sz w:val="19"/>
                <w:szCs w:val="19"/>
                <w:color w:val="auto"/>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7"/>
              </w:rPr>
              <w:t>Loss</w:t>
            </w:r>
          </w:p>
        </w:tc>
      </w:tr>
      <w:tr>
        <w:trPr>
          <w:trHeight w:val="49"/>
        </w:trPr>
        <w:tc>
          <w:tcPr>
            <w:tcW w:w="60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1040"/>
              <w:spacing w:after="0" w:line="219" w:lineRule="exact"/>
              <w:rPr>
                <w:sz w:val="20"/>
                <w:szCs w:val="20"/>
                <w:color w:val="auto"/>
              </w:rPr>
            </w:pPr>
            <w:r>
              <w:rPr>
                <w:rFonts w:ascii="Calibri" w:cs="Calibri" w:eastAsia="Calibri" w:hAnsi="Calibri"/>
                <w:sz w:val="19"/>
                <w:szCs w:val="19"/>
                <w:color w:val="auto"/>
                <w:w w:val="75"/>
              </w:rPr>
              <w:t>Three</w:t>
            </w:r>
          </w:p>
        </w:tc>
        <w:tc>
          <w:tcPr>
            <w:tcW w:w="260" w:type="dxa"/>
            <w:vAlign w:val="bottom"/>
            <w:gridSpan w:val="2"/>
          </w:tcPr>
          <w:p>
            <w:pPr>
              <w:spacing w:after="0"/>
              <w:rPr>
                <w:sz w:val="19"/>
                <w:szCs w:val="19"/>
                <w:color w:val="auto"/>
              </w:rPr>
            </w:pPr>
          </w:p>
        </w:tc>
        <w:tc>
          <w:tcPr>
            <w:tcW w:w="3380" w:type="dxa"/>
            <w:vAlign w:val="bottom"/>
            <w:gridSpan w:val="6"/>
          </w:tcPr>
          <w:p>
            <w:pPr>
              <w:spacing w:after="0" w:line="219" w:lineRule="exact"/>
              <w:rPr>
                <w:sz w:val="20"/>
                <w:szCs w:val="20"/>
                <w:color w:val="auto"/>
              </w:rPr>
            </w:pPr>
            <w:r>
              <w:rPr>
                <w:rFonts w:ascii="Calibri" w:cs="Calibri" w:eastAsia="Calibri" w:hAnsi="Calibri"/>
                <w:sz w:val="19"/>
                <w:szCs w:val="19"/>
                <w:color w:val="auto"/>
              </w:rPr>
              <w:t>Months Ended June 30, 2024</w:t>
            </w:r>
          </w:p>
        </w:tc>
      </w:tr>
      <w:tr>
        <w:trPr>
          <w:trHeight w:val="44"/>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8"/>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bottom w:val="single" w:sz="8" w:color="CFF0FC"/>
            </w:tcBorders>
            <w:gridSpan w:val="2"/>
            <w:shd w:val="clear" w:color="auto" w:fill="CFF0FC"/>
          </w:tcPr>
          <w:p>
            <w:pPr>
              <w:jc w:val="right"/>
              <w:ind w:right="100"/>
              <w:spacing w:after="0" w:line="226" w:lineRule="exact"/>
              <w:rPr>
                <w:sz w:val="20"/>
                <w:szCs w:val="20"/>
                <w:color w:val="auto"/>
              </w:rPr>
            </w:pPr>
            <w:r>
              <w:rPr>
                <w:rFonts w:ascii="Calibri" w:cs="Calibri" w:eastAsia="Calibri" w:hAnsi="Calibri"/>
                <w:sz w:val="19"/>
                <w:szCs w:val="19"/>
                <w:color w:val="auto"/>
              </w:rPr>
              <w:t>(47 )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(49 )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Pr>
          <w:p>
            <w:pPr>
              <w:spacing w:after="0"/>
              <w:rPr>
                <w:sz w:val="20"/>
                <w:szCs w:val="20"/>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280"/>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80"/>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tcPr>
          <w:p>
            <w:pPr>
              <w:jc w:val="right"/>
              <w:ind w:right="100"/>
              <w:spacing w:after="0" w:line="226" w:lineRule="exact"/>
              <w:rPr>
                <w:sz w:val="20"/>
                <w:szCs w:val="20"/>
                <w:color w:val="auto"/>
              </w:rPr>
            </w:pPr>
            <w:r>
              <w:rPr>
                <w:rFonts w:ascii="Calibri" w:cs="Calibri" w:eastAsia="Calibri" w:hAnsi="Calibri"/>
                <w:sz w:val="19"/>
                <w:szCs w:val="19"/>
                <w:color w:val="auto"/>
              </w:rPr>
              <w:t>(46 )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(48 )</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6"/>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9"/>
          </w:tcPr>
          <w:p>
            <w:pPr>
              <w:ind w:left="1040"/>
              <w:spacing w:after="0"/>
              <w:rPr>
                <w:sz w:val="20"/>
                <w:szCs w:val="20"/>
                <w:color w:val="auto"/>
              </w:rPr>
            </w:pPr>
            <w:r>
              <w:rPr>
                <w:rFonts w:ascii="Calibri" w:cs="Calibri" w:eastAsia="Calibri" w:hAnsi="Calibri"/>
                <w:sz w:val="19"/>
                <w:szCs w:val="19"/>
                <w:color w:val="auto"/>
              </w:rPr>
              <w:t>Three Months Ended June 30, 2023</w:t>
            </w:r>
          </w:p>
        </w:tc>
      </w:tr>
      <w:tr>
        <w:trPr>
          <w:trHeight w:val="49"/>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4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tcBorders>
              <w:top w:val="single" w:sz="8" w:color="auto"/>
            </w:tcBorders>
            <w:gridSpan w:val="2"/>
          </w:tcPr>
          <w:p>
            <w:pPr>
              <w:jc w:val="right"/>
              <w:ind w:right="100"/>
              <w:spacing w:after="0" w:line="226" w:lineRule="exact"/>
              <w:rPr>
                <w:sz w:val="20"/>
                <w:szCs w:val="20"/>
                <w:color w:val="auto"/>
              </w:rPr>
            </w:pPr>
            <w:r>
              <w:rPr>
                <w:rFonts w:ascii="Calibri" w:cs="Calibri" w:eastAsia="Calibri" w:hAnsi="Calibri"/>
                <w:sz w:val="19"/>
                <w:szCs w:val="19"/>
                <w:color w:val="auto"/>
              </w:rPr>
              <w:t>(35 )</w:t>
            </w:r>
          </w:p>
        </w:tc>
        <w:tc>
          <w:tcPr>
            <w:tcW w:w="820" w:type="dxa"/>
            <w:vAlign w:val="bottom"/>
            <w:tcBorders>
              <w:top w:val="single" w:sz="8" w:color="auto"/>
            </w:tcBorders>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top w:val="single" w:sz="8" w:color="auto"/>
            </w:tcBorders>
            <w:gridSpan w:val="2"/>
          </w:tcPr>
          <w:p>
            <w:pPr>
              <w:jc w:val="right"/>
              <w:ind w:right="200"/>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(37</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72"/>
              </w:rPr>
              <w:t>)</w:t>
            </w: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6060" w:type="dxa"/>
            <w:vAlign w:val="bottom"/>
            <w:shd w:val="clear" w:color="auto" w:fill="CFF0FC"/>
          </w:tcPr>
          <w:p>
            <w:pPr>
              <w:ind w:left="20"/>
              <w:spacing w:after="0" w:line="219" w:lineRule="exact"/>
              <w:rPr>
                <w:sz w:val="20"/>
                <w:szCs w:val="20"/>
                <w:color w:val="auto"/>
              </w:rPr>
            </w:pPr>
            <w:r>
              <w:rPr>
                <w:rFonts w:ascii="Calibri" w:cs="Calibri" w:eastAsia="Calibri" w:hAnsi="Calibri"/>
                <w:sz w:val="19"/>
                <w:szCs w:val="19"/>
                <w:color w:val="auto"/>
              </w:rPr>
              <w:t>Other comprehensive earnings before reclassifcatons,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7"/>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net of tax</w:t>
            </w:r>
          </w:p>
        </w:tc>
        <w:tc>
          <w:tcPr>
            <w:tcW w:w="14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9"/>
                <w:szCs w:val="19"/>
                <w:color w:val="auto"/>
              </w:rPr>
              <w:t>1</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6060" w:type="dxa"/>
            <w:vAlign w:val="bottom"/>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40" w:type="dxa"/>
            <w:vAlign w:val="bottom"/>
          </w:tcPr>
          <w:p>
            <w:pPr>
              <w:spacing w:after="0"/>
              <w:rPr>
                <w:sz w:val="20"/>
                <w:szCs w:val="20"/>
                <w:color w:val="auto"/>
              </w:rPr>
            </w:pPr>
          </w:p>
        </w:tc>
        <w:tc>
          <w:tcPr>
            <w:tcW w:w="140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280"/>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40" w:type="dxa"/>
            <w:vAlign w:val="bottom"/>
          </w:tcPr>
          <w:p>
            <w:pPr>
              <w:jc w:val="right"/>
              <w:spacing w:after="0" w:line="226" w:lineRule="exact"/>
              <w:rPr>
                <w:sz w:val="20"/>
                <w:szCs w:val="20"/>
                <w:color w:val="auto"/>
              </w:rPr>
            </w:pPr>
            <w:r>
              <w:rPr>
                <w:rFonts w:ascii="Calibri" w:cs="Calibri" w:eastAsia="Calibri" w:hAnsi="Calibri"/>
                <w:sz w:val="19"/>
                <w:szCs w:val="19"/>
                <w:color w:val="auto"/>
              </w:rPr>
              <w:t>$</w:t>
            </w:r>
          </w:p>
        </w:tc>
        <w:tc>
          <w:tcPr>
            <w:tcW w:w="1560" w:type="dxa"/>
            <w:vAlign w:val="bottom"/>
            <w:gridSpan w:val="2"/>
          </w:tcPr>
          <w:p>
            <w:pPr>
              <w:jc w:val="right"/>
              <w:ind w:right="100"/>
              <w:spacing w:after="0" w:line="226" w:lineRule="exact"/>
              <w:rPr>
                <w:sz w:val="20"/>
                <w:szCs w:val="20"/>
                <w:color w:val="auto"/>
              </w:rPr>
            </w:pPr>
            <w:r>
              <w:rPr>
                <w:rFonts w:ascii="Calibri" w:cs="Calibri" w:eastAsia="Calibri" w:hAnsi="Calibri"/>
                <w:sz w:val="19"/>
                <w:szCs w:val="19"/>
                <w:color w:val="auto"/>
              </w:rPr>
              <w:t>(34 )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200"/>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(35 )</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-2271395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-2271395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-1765300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-1765300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ind w:left="100"/>
              <w:spacing w:after="0"/>
              <w:rPr>
                <w:sz w:val="20"/>
                <w:szCs w:val="20"/>
                <w:color w:val="auto"/>
              </w:rPr>
            </w:pPr>
            <w:r>
              <w:rPr>
                <w:rFonts w:ascii="Calibri" w:cs="Calibri" w:eastAsia="Calibri" w:hAnsi="Calibri"/>
                <w:sz w:val="19"/>
                <w:szCs w:val="19"/>
                <w:i w:val="1"/>
                <w:iCs w:val="1"/>
                <w:color w:val="auto"/>
              </w:rPr>
              <w:t>(Dollars in Millions)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
        </w:trPr>
        <w:tc>
          <w:tcPr>
            <w:tcW w:w="6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46"/>
              <w:spacing w:after="0" w:line="219" w:lineRule="exact"/>
              <w:rPr>
                <w:sz w:val="20"/>
                <w:szCs w:val="20"/>
                <w:color w:val="auto"/>
              </w:rPr>
            </w:pPr>
            <w:r>
              <w:rPr>
                <w:rFonts w:ascii="Calibri" w:cs="Calibri" w:eastAsia="Calibri" w:hAnsi="Calibri"/>
                <w:sz w:val="19"/>
                <w:szCs w:val="19"/>
                <w:color w:val="auto"/>
                <w:w w:val="98"/>
              </w:rPr>
              <w:t>Accumulated</w:t>
            </w:r>
          </w:p>
        </w:tc>
        <w:tc>
          <w:tcPr>
            <w:tcW w:w="100" w:type="dxa"/>
            <w:vAlign w:val="bottom"/>
          </w:tcPr>
          <w:p>
            <w:pPr>
              <w:spacing w:after="0"/>
              <w:rPr>
                <w:sz w:val="19"/>
                <w:szCs w:val="19"/>
                <w:color w:val="auto"/>
              </w:rPr>
            </w:pPr>
          </w:p>
        </w:tc>
      </w:tr>
      <w:tr>
        <w:trPr>
          <w:trHeight w:val="239"/>
        </w:trPr>
        <w:tc>
          <w:tcPr>
            <w:tcW w:w="6060" w:type="dxa"/>
            <w:vAlign w:val="bottom"/>
          </w:tcPr>
          <w:p>
            <w:pPr>
              <w:spacing w:after="0"/>
              <w:rPr>
                <w:sz w:val="20"/>
                <w:szCs w:val="20"/>
                <w:color w:val="auto"/>
              </w:rPr>
            </w:pPr>
          </w:p>
        </w:tc>
        <w:tc>
          <w:tcPr>
            <w:tcW w:w="1280" w:type="dxa"/>
            <w:vAlign w:val="bottom"/>
          </w:tcPr>
          <w:p>
            <w:pPr>
              <w:jc w:val="center"/>
              <w:ind w:left="166"/>
              <w:spacing w:after="0"/>
              <w:rPr>
                <w:sz w:val="20"/>
                <w:szCs w:val="20"/>
                <w:color w:val="auto"/>
              </w:rPr>
            </w:pPr>
            <w:r>
              <w:rPr>
                <w:rFonts w:ascii="Calibri" w:cs="Calibri" w:eastAsia="Calibri" w:hAnsi="Calibri"/>
                <w:sz w:val="19"/>
                <w:szCs w:val="19"/>
                <w:color w:val="auto"/>
                <w:w w:val="99"/>
              </w:rPr>
              <w:t>Pension and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91"/>
              <w:spacing w:after="0"/>
              <w:rPr>
                <w:sz w:val="20"/>
                <w:szCs w:val="20"/>
                <w:color w:val="auto"/>
              </w:rPr>
            </w:pPr>
            <w:r>
              <w:rPr>
                <w:rFonts w:ascii="Calibri" w:cs="Calibri" w:eastAsia="Calibri" w:hAnsi="Calibri"/>
                <w:sz w:val="19"/>
                <w:szCs w:val="19"/>
                <w:color w:val="auto"/>
                <w:w w:val="97"/>
              </w:rPr>
              <w:t>Other</w:t>
            </w:r>
          </w:p>
        </w:tc>
      </w:tr>
      <w:tr>
        <w:trPr>
          <w:trHeight w:val="243"/>
        </w:trPr>
        <w:tc>
          <w:tcPr>
            <w:tcW w:w="6060" w:type="dxa"/>
            <w:vAlign w:val="bottom"/>
          </w:tcPr>
          <w:p>
            <w:pPr>
              <w:spacing w:after="0"/>
              <w:rPr>
                <w:sz w:val="21"/>
                <w:szCs w:val="21"/>
                <w:color w:val="auto"/>
              </w:rPr>
            </w:pPr>
          </w:p>
        </w:tc>
        <w:tc>
          <w:tcPr>
            <w:tcW w:w="1700" w:type="dxa"/>
            <w:vAlign w:val="bottom"/>
            <w:gridSpan w:val="3"/>
          </w:tcPr>
          <w:p>
            <w:pPr>
              <w:jc w:val="center"/>
              <w:ind w:right="106"/>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9"/>
              </w:rPr>
              <w:t>Comprehensive</w:t>
            </w:r>
          </w:p>
        </w:tc>
      </w:tr>
      <w:tr>
        <w:trPr>
          <w:trHeight w:val="243"/>
        </w:trPr>
        <w:tc>
          <w:tcPr>
            <w:tcW w:w="6060" w:type="dxa"/>
            <w:vAlign w:val="bottom"/>
          </w:tcPr>
          <w:p>
            <w:pPr>
              <w:spacing w:after="0"/>
              <w:rPr>
                <w:sz w:val="21"/>
                <w:szCs w:val="21"/>
                <w:color w:val="auto"/>
              </w:rPr>
            </w:pPr>
          </w:p>
        </w:tc>
        <w:tc>
          <w:tcPr>
            <w:tcW w:w="1280" w:type="dxa"/>
            <w:vAlign w:val="bottom"/>
          </w:tcPr>
          <w:p>
            <w:pPr>
              <w:jc w:val="center"/>
              <w:ind w:left="186"/>
              <w:spacing w:after="0"/>
              <w:rPr>
                <w:sz w:val="20"/>
                <w:szCs w:val="20"/>
                <w:color w:val="auto"/>
              </w:rPr>
            </w:pPr>
            <w:r>
              <w:rPr>
                <w:rFonts w:ascii="Calibri" w:cs="Calibri" w:eastAsia="Calibri" w:hAnsi="Calibri"/>
                <w:sz w:val="19"/>
                <w:szCs w:val="19"/>
                <w:color w:val="auto"/>
              </w:rPr>
              <w:t>Beneft Plans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286"/>
              <w:spacing w:after="0"/>
              <w:rPr>
                <w:sz w:val="20"/>
                <w:szCs w:val="20"/>
                <w:color w:val="auto"/>
              </w:rPr>
            </w:pPr>
            <w:r>
              <w:rPr>
                <w:rFonts w:ascii="Calibri" w:cs="Calibri" w:eastAsia="Calibri" w:hAnsi="Calibri"/>
                <w:sz w:val="19"/>
                <w:szCs w:val="19"/>
                <w:color w:val="auto"/>
              </w:rPr>
              <w:t>Foreign Currency</w:t>
            </w:r>
          </w:p>
        </w:tc>
        <w:tc>
          <w:tcPr>
            <w:tcW w:w="120" w:type="dxa"/>
            <w:vAlign w:val="bottom"/>
          </w:tcPr>
          <w:p>
            <w:pPr>
              <w:spacing w:after="0"/>
              <w:rPr>
                <w:sz w:val="21"/>
                <w:szCs w:val="21"/>
                <w:color w:val="auto"/>
              </w:rPr>
            </w:pPr>
          </w:p>
        </w:tc>
        <w:tc>
          <w:tcPr>
            <w:tcW w:w="1480" w:type="dxa"/>
            <w:vAlign w:val="bottom"/>
            <w:gridSpan w:val="2"/>
          </w:tcPr>
          <w:p>
            <w:pPr>
              <w:jc w:val="center"/>
              <w:ind w:right="151"/>
              <w:spacing w:after="0"/>
              <w:rPr>
                <w:sz w:val="20"/>
                <w:szCs w:val="20"/>
                <w:color w:val="auto"/>
              </w:rPr>
            </w:pPr>
            <w:r>
              <w:rPr>
                <w:rFonts w:ascii="Calibri" w:cs="Calibri" w:eastAsia="Calibri" w:hAnsi="Calibri"/>
                <w:sz w:val="19"/>
                <w:szCs w:val="19"/>
                <w:color w:val="auto"/>
                <w:w w:val="97"/>
              </w:rPr>
              <w:t>Loss</w:t>
            </w:r>
          </w:p>
        </w:tc>
      </w:tr>
      <w:tr>
        <w:trPr>
          <w:trHeight w:val="48"/>
        </w:trPr>
        <w:tc>
          <w:tcPr>
            <w:tcW w:w="60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19"/>
        </w:trPr>
        <w:tc>
          <w:tcPr>
            <w:tcW w:w="6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jc w:val="right"/>
              <w:spacing w:after="0" w:line="219" w:lineRule="exact"/>
              <w:rPr>
                <w:sz w:val="20"/>
                <w:szCs w:val="20"/>
                <w:color w:val="auto"/>
              </w:rPr>
            </w:pPr>
            <w:r>
              <w:rPr>
                <w:rFonts w:ascii="Calibri" w:cs="Calibri" w:eastAsia="Calibri" w:hAnsi="Calibri"/>
                <w:sz w:val="19"/>
                <w:szCs w:val="19"/>
                <w:color w:val="auto"/>
              </w:rPr>
              <w:t>Six</w:t>
            </w:r>
          </w:p>
        </w:tc>
        <w:tc>
          <w:tcPr>
            <w:tcW w:w="1760" w:type="dxa"/>
            <w:vAlign w:val="bottom"/>
            <w:gridSpan w:val="4"/>
          </w:tcPr>
          <w:p>
            <w:pPr>
              <w:jc w:val="right"/>
              <w:spacing w:after="0" w:line="219" w:lineRule="exact"/>
              <w:rPr>
                <w:sz w:val="20"/>
                <w:szCs w:val="20"/>
                <w:color w:val="auto"/>
              </w:rPr>
            </w:pPr>
            <w:r>
              <w:rPr>
                <w:rFonts w:ascii="Calibri" w:cs="Calibri" w:eastAsia="Calibri" w:hAnsi="Calibri"/>
                <w:sz w:val="19"/>
                <w:szCs w:val="19"/>
                <w:color w:val="auto"/>
                <w:w w:val="96"/>
              </w:rPr>
              <w:t>Months Ended June 30,</w:t>
            </w:r>
          </w:p>
        </w:tc>
        <w:tc>
          <w:tcPr>
            <w:tcW w:w="1780" w:type="dxa"/>
            <w:vAlign w:val="bottom"/>
            <w:gridSpan w:val="3"/>
          </w:tcPr>
          <w:p>
            <w:pPr>
              <w:jc w:val="right"/>
              <w:ind w:right="1206"/>
              <w:spacing w:after="0" w:line="219" w:lineRule="exact"/>
              <w:rPr>
                <w:sz w:val="20"/>
                <w:szCs w:val="20"/>
                <w:color w:val="auto"/>
              </w:rPr>
            </w:pPr>
            <w:r>
              <w:rPr>
                <w:rFonts w:ascii="Calibri" w:cs="Calibri" w:eastAsia="Calibri" w:hAnsi="Calibri"/>
                <w:sz w:val="19"/>
                <w:szCs w:val="19"/>
                <w:color w:val="auto"/>
              </w:rPr>
              <w:t>2024</w:t>
            </w:r>
          </w:p>
        </w:tc>
        <w:tc>
          <w:tcPr>
            <w:tcW w:w="100" w:type="dxa"/>
            <w:vAlign w:val="bottom"/>
          </w:tcPr>
          <w:p>
            <w:pPr>
              <w:spacing w:after="0"/>
              <w:rPr>
                <w:sz w:val="19"/>
                <w:szCs w:val="19"/>
                <w:color w:val="auto"/>
              </w:rPr>
            </w:pPr>
          </w:p>
        </w:tc>
      </w:tr>
      <w:tr>
        <w:trPr>
          <w:trHeight w:val="44"/>
        </w:trPr>
        <w:tc>
          <w:tcPr>
            <w:tcW w:w="60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9"/>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280" w:type="dxa"/>
            <w:vAlign w:val="bottom"/>
            <w:tcBorders>
              <w:bottom w:val="single" w:sz="8" w:color="CFF0FC"/>
            </w:tcBorders>
            <w:shd w:val="clear" w:color="auto" w:fill="CFF0FC"/>
          </w:tcPr>
          <w:p>
            <w:pPr>
              <w:jc w:val="right"/>
              <w:ind w:right="1066"/>
              <w:spacing w:after="0" w:line="226" w:lineRule="exact"/>
              <w:rPr>
                <w:sz w:val="20"/>
                <w:szCs w:val="20"/>
                <w:color w:val="auto"/>
              </w:rPr>
            </w:pPr>
            <w:r>
              <w:rPr>
                <w:rFonts w:ascii="Calibri" w:cs="Calibri" w:eastAsia="Calibri" w:hAnsi="Calibri"/>
                <w:sz w:val="19"/>
                <w:szCs w:val="19"/>
                <w:color w:val="auto"/>
              </w:rPr>
              <w:t>$</w:t>
            </w:r>
          </w:p>
        </w:tc>
        <w:tc>
          <w:tcPr>
            <w:tcW w:w="420" w:type="dxa"/>
            <w:vAlign w:val="bottom"/>
            <w:tcBorders>
              <w:bottom w:val="single" w:sz="8" w:color="CFF0FC"/>
            </w:tcBorders>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w w:val="85"/>
              </w:rPr>
              <w:t>(48 )</w:t>
            </w:r>
          </w:p>
        </w:tc>
        <w:tc>
          <w:tcPr>
            <w:tcW w:w="820" w:type="dxa"/>
            <w:vAlign w:val="bottom"/>
            <w:tcBorders>
              <w:bottom w:val="single" w:sz="8" w:color="CFF0FC"/>
            </w:tcBorders>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bottom w:val="single" w:sz="8" w:color="CFF0FC"/>
            </w:tcBorders>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(49 )</w:t>
            </w:r>
          </w:p>
        </w:tc>
      </w:tr>
      <w:tr>
        <w:trPr>
          <w:trHeight w:val="219"/>
        </w:trPr>
        <w:tc>
          <w:tcPr>
            <w:tcW w:w="6060" w:type="dxa"/>
            <w:vAlign w:val="bottom"/>
            <w:tcBorders>
              <w:top w:val="single" w:sz="8" w:color="CFF0FC"/>
            </w:tcBorders>
          </w:tcPr>
          <w:p>
            <w:pPr>
              <w:ind w:left="20"/>
              <w:spacing w:after="0" w:line="219" w:lineRule="exact"/>
              <w:rPr>
                <w:sz w:val="20"/>
                <w:szCs w:val="20"/>
                <w:color w:val="auto"/>
              </w:rPr>
            </w:pPr>
            <w:r>
              <w:rPr>
                <w:rFonts w:ascii="Calibri" w:cs="Calibri" w:eastAsia="Calibri" w:hAnsi="Calibri"/>
                <w:sz w:val="19"/>
                <w:szCs w:val="19"/>
                <w:color w:val="auto"/>
              </w:rPr>
              <w:t>Other comprehensive loss before reclassifcatons,</w:t>
            </w:r>
          </w:p>
        </w:tc>
        <w:tc>
          <w:tcPr>
            <w:tcW w:w="1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net of tax</w:t>
            </w:r>
          </w:p>
        </w:tc>
        <w:tc>
          <w:tcPr>
            <w:tcW w:w="1280" w:type="dxa"/>
            <w:vAlign w:val="bottom"/>
          </w:tcPr>
          <w:p>
            <w:pPr>
              <w:spacing w:after="0"/>
              <w:rPr>
                <w:sz w:val="20"/>
                <w:szCs w:val="20"/>
                <w:color w:val="auto"/>
              </w:rPr>
            </w:pPr>
          </w:p>
        </w:tc>
        <w:tc>
          <w:tcPr>
            <w:tcW w:w="420" w:type="dxa"/>
            <w:vAlign w:val="bottom"/>
            <w:gridSpan w:val="2"/>
          </w:tcPr>
          <w:p>
            <w:pPr>
              <w:jc w:val="right"/>
              <w:ind w:right="86"/>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06"/>
              <w:spacing w:after="0"/>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9"/>
                <w:szCs w:val="19"/>
                <w:color w:val="auto"/>
              </w:rPr>
              <w:t>(1 )</w:t>
            </w:r>
          </w:p>
        </w:tc>
      </w:tr>
      <w:tr>
        <w:trPr>
          <w:trHeight w:val="48"/>
        </w:trPr>
        <w:tc>
          <w:tcPr>
            <w:tcW w:w="6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5"/>
        </w:trPr>
        <w:tc>
          <w:tcPr>
            <w:tcW w:w="6060" w:type="dxa"/>
            <w:vAlign w:val="bottom"/>
            <w:shd w:val="clear" w:color="auto" w:fill="CFF0FC"/>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4"/>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gridSpan w:val="2"/>
            <w:shd w:val="clear" w:color="auto" w:fill="CFF0FC"/>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Other comprehensive earnings (loss), net of tax</w:t>
            </w:r>
          </w:p>
        </w:tc>
        <w:tc>
          <w:tcPr>
            <w:tcW w:w="1280" w:type="dxa"/>
            <w:vAlign w:val="bottom"/>
          </w:tcPr>
          <w:p>
            <w:pPr>
              <w:spacing w:after="0"/>
              <w:rPr>
                <w:sz w:val="19"/>
                <w:szCs w:val="19"/>
                <w:color w:val="auto"/>
              </w:rPr>
            </w:pPr>
          </w:p>
        </w:tc>
        <w:tc>
          <w:tcPr>
            <w:tcW w:w="260" w:type="dxa"/>
            <w:vAlign w:val="bottom"/>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19"/>
                <w:szCs w:val="19"/>
                <w:color w:val="auto"/>
              </w:rPr>
            </w:pPr>
          </w:p>
        </w:tc>
      </w:tr>
      <w:tr>
        <w:trPr>
          <w:trHeight w:val="35"/>
        </w:trPr>
        <w:tc>
          <w:tcPr>
            <w:tcW w:w="60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9"/>
        </w:trPr>
        <w:tc>
          <w:tcPr>
            <w:tcW w:w="6060" w:type="dxa"/>
            <w:vAlign w:val="bottom"/>
            <w:shd w:val="clear" w:color="auto" w:fill="CFF0FC"/>
          </w:tcPr>
          <w:p>
            <w:pPr>
              <w:ind w:left="20"/>
              <w:spacing w:after="0"/>
              <w:rPr>
                <w:sz w:val="20"/>
                <w:szCs w:val="20"/>
                <w:color w:val="auto"/>
              </w:rPr>
            </w:pPr>
            <w:r>
              <w:rPr>
                <w:rFonts w:ascii="Calibri" w:cs="Calibri" w:eastAsia="Calibri" w:hAnsi="Calibri"/>
                <w:sz w:val="19"/>
                <w:szCs w:val="19"/>
                <w:color w:val="auto"/>
              </w:rPr>
              <w:t>Balance at end of period</w:t>
            </w:r>
          </w:p>
        </w:tc>
        <w:tc>
          <w:tcPr>
            <w:tcW w:w="1280" w:type="dxa"/>
            <w:vAlign w:val="bottom"/>
            <w:shd w:val="clear" w:color="auto" w:fill="CFF0FC"/>
          </w:tcPr>
          <w:p>
            <w:pPr>
              <w:jc w:val="right"/>
              <w:ind w:right="1066"/>
              <w:spacing w:after="0" w:line="226" w:lineRule="exact"/>
              <w:rPr>
                <w:sz w:val="20"/>
                <w:szCs w:val="20"/>
                <w:color w:val="auto"/>
              </w:rPr>
            </w:pPr>
            <w:r>
              <w:rPr>
                <w:rFonts w:ascii="Calibri" w:cs="Calibri" w:eastAsia="Calibri" w:hAnsi="Calibri"/>
                <w:sz w:val="19"/>
                <w:szCs w:val="19"/>
                <w:color w:val="auto"/>
              </w:rPr>
              <w:t>$</w:t>
            </w:r>
          </w:p>
        </w:tc>
        <w:tc>
          <w:tcPr>
            <w:tcW w:w="420" w:type="dxa"/>
            <w:vAlign w:val="bottom"/>
            <w:gridSpan w:val="2"/>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w w:val="85"/>
              </w:rPr>
              <w:t>(46 )</w:t>
            </w:r>
          </w:p>
        </w:tc>
        <w:tc>
          <w:tcPr>
            <w:tcW w:w="820" w:type="dxa"/>
            <w:vAlign w:val="bottom"/>
            <w:gridSpan w:val="2"/>
            <w:shd w:val="clear" w:color="auto" w:fill="CFF0FC"/>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shd w:val="clear" w:color="auto" w:fill="CFF0FC"/>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(48 )</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76"/>
        </w:trPr>
        <w:tc>
          <w:tcPr>
            <w:tcW w:w="6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900" w:type="dxa"/>
            <w:vAlign w:val="bottom"/>
            <w:gridSpan w:val="9"/>
          </w:tcPr>
          <w:p>
            <w:pPr>
              <w:jc w:val="right"/>
              <w:ind w:right="1311"/>
              <w:spacing w:after="0"/>
              <w:rPr>
                <w:sz w:val="20"/>
                <w:szCs w:val="20"/>
                <w:color w:val="auto"/>
              </w:rPr>
            </w:pPr>
            <w:r>
              <w:rPr>
                <w:rFonts w:ascii="Calibri" w:cs="Calibri" w:eastAsia="Calibri" w:hAnsi="Calibri"/>
                <w:sz w:val="19"/>
                <w:szCs w:val="19"/>
                <w:color w:val="auto"/>
                <w:w w:val="99"/>
              </w:rPr>
              <w:t>Six Months Ended June 30, 2023</w:t>
            </w:r>
          </w:p>
        </w:tc>
      </w:tr>
      <w:tr>
        <w:trPr>
          <w:trHeight w:val="49"/>
        </w:trPr>
        <w:tc>
          <w:tcPr>
            <w:tcW w:w="6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tcPr>
          <w:p>
            <w:pPr>
              <w:spacing w:after="0"/>
              <w:rPr>
                <w:sz w:val="4"/>
                <w:szCs w:val="4"/>
                <w:color w:val="auto"/>
              </w:rPr>
            </w:pPr>
          </w:p>
        </w:tc>
      </w:tr>
      <w:tr>
        <w:trPr>
          <w:trHeight w:val="228"/>
        </w:trPr>
        <w:tc>
          <w:tcPr>
            <w:tcW w:w="6060" w:type="dxa"/>
            <w:vAlign w:val="bottom"/>
          </w:tcPr>
          <w:p>
            <w:pPr>
              <w:ind w:left="20"/>
              <w:spacing w:after="0" w:line="229" w:lineRule="exact"/>
              <w:rPr>
                <w:sz w:val="20"/>
                <w:szCs w:val="20"/>
                <w:color w:val="auto"/>
              </w:rPr>
            </w:pPr>
            <w:r>
              <w:rPr>
                <w:rFonts w:ascii="Calibri" w:cs="Calibri" w:eastAsia="Calibri" w:hAnsi="Calibri"/>
                <w:sz w:val="19"/>
                <w:szCs w:val="19"/>
                <w:color w:val="auto"/>
              </w:rPr>
              <w:t>Balance at beginning of period</w:t>
            </w:r>
          </w:p>
        </w:tc>
        <w:tc>
          <w:tcPr>
            <w:tcW w:w="1280" w:type="dxa"/>
            <w:vAlign w:val="bottom"/>
            <w:tcBorders>
              <w:top w:val="single" w:sz="8" w:color="auto"/>
            </w:tcBorders>
          </w:tcPr>
          <w:p>
            <w:pPr>
              <w:jc w:val="right"/>
              <w:ind w:right="1066"/>
              <w:spacing w:after="0" w:line="226" w:lineRule="exact"/>
              <w:rPr>
                <w:sz w:val="20"/>
                <w:szCs w:val="20"/>
                <w:color w:val="auto"/>
              </w:rPr>
            </w:pPr>
            <w:r>
              <w:rPr>
                <w:rFonts w:ascii="Calibri" w:cs="Calibri" w:eastAsia="Calibri" w:hAnsi="Calibri"/>
                <w:sz w:val="19"/>
                <w:szCs w:val="19"/>
                <w:color w:val="auto"/>
              </w:rPr>
              <w:t>$</w:t>
            </w:r>
          </w:p>
        </w:tc>
        <w:tc>
          <w:tcPr>
            <w:tcW w:w="420" w:type="dxa"/>
            <w:vAlign w:val="bottom"/>
            <w:tcBorders>
              <w:top w:val="single" w:sz="8" w:color="auto"/>
            </w:tcBorders>
            <w:gridSpan w:val="2"/>
          </w:tcPr>
          <w:p>
            <w:pPr>
              <w:jc w:val="right"/>
              <w:ind w:right="6"/>
              <w:spacing w:after="0" w:line="226" w:lineRule="exact"/>
              <w:rPr>
                <w:sz w:val="20"/>
                <w:szCs w:val="20"/>
                <w:color w:val="auto"/>
              </w:rPr>
            </w:pPr>
            <w:r>
              <w:rPr>
                <w:rFonts w:ascii="Calibri" w:cs="Calibri" w:eastAsia="Calibri" w:hAnsi="Calibri"/>
                <w:sz w:val="19"/>
                <w:szCs w:val="19"/>
                <w:color w:val="auto"/>
                <w:w w:val="85"/>
              </w:rPr>
              <w:t>(36 )</w:t>
            </w:r>
          </w:p>
        </w:tc>
        <w:tc>
          <w:tcPr>
            <w:tcW w:w="820" w:type="dxa"/>
            <w:vAlign w:val="bottom"/>
            <w:tcBorders>
              <w:top w:val="single" w:sz="8" w:color="auto"/>
            </w:tcBorders>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tcBorders>
              <w:top w:val="single" w:sz="8" w:color="auto"/>
            </w:tcBorders>
            <w:gridSpan w:val="2"/>
          </w:tcPr>
          <w:p>
            <w:pPr>
              <w:jc w:val="right"/>
              <w:ind w:right="106"/>
              <w:spacing w:after="0" w:line="226" w:lineRule="exact"/>
              <w:rPr>
                <w:sz w:val="20"/>
                <w:szCs w:val="20"/>
                <w:color w:val="auto"/>
              </w:rPr>
            </w:pPr>
            <w:r>
              <w:rPr>
                <w:rFonts w:ascii="Calibri" w:cs="Calibri" w:eastAsia="Calibri" w:hAnsi="Calibri"/>
                <w:sz w:val="19"/>
                <w:szCs w:val="19"/>
                <w:color w:val="auto"/>
              </w:rPr>
              <w:t>(2 )</w:t>
            </w:r>
          </w:p>
        </w:tc>
        <w:tc>
          <w:tcPr>
            <w:tcW w:w="12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tcPr>
          <w:p>
            <w:pPr>
              <w:jc w:val="right"/>
              <w:spacing w:after="0" w:line="226" w:lineRule="exact"/>
              <w:rPr>
                <w:sz w:val="20"/>
                <w:szCs w:val="20"/>
                <w:color w:val="auto"/>
              </w:rPr>
            </w:pPr>
            <w:r>
              <w:rPr>
                <w:rFonts w:ascii="Calibri" w:cs="Calibri" w:eastAsia="Calibri" w:hAnsi="Calibri"/>
                <w:sz w:val="19"/>
                <w:szCs w:val="19"/>
                <w:color w:val="auto"/>
              </w:rPr>
              <w:t>(38</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72"/>
              </w:rPr>
              <w:t>)</w:t>
            </w:r>
          </w:p>
        </w:tc>
      </w:tr>
      <w:tr>
        <w:trPr>
          <w:trHeight w:val="35"/>
        </w:trPr>
        <w:tc>
          <w:tcPr>
            <w:tcW w:w="60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6060" w:type="dxa"/>
            <w:vAlign w:val="bottom"/>
            <w:shd w:val="clear" w:color="auto" w:fill="CFF0FC"/>
          </w:tcPr>
          <w:p>
            <w:pPr>
              <w:ind w:left="20"/>
              <w:spacing w:after="0" w:line="219" w:lineRule="exact"/>
              <w:rPr>
                <w:sz w:val="20"/>
                <w:szCs w:val="20"/>
                <w:color w:val="auto"/>
              </w:rPr>
            </w:pPr>
            <w:r>
              <w:rPr>
                <w:rFonts w:ascii="Calibri" w:cs="Calibri" w:eastAsia="Calibri" w:hAnsi="Calibri"/>
                <w:sz w:val="19"/>
                <w:szCs w:val="19"/>
                <w:color w:val="auto"/>
              </w:rPr>
              <w:t>Other comprehensive earnings before reclassifcatons,</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7"/>
        </w:trPr>
        <w:tc>
          <w:tcPr>
            <w:tcW w:w="60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net of tax</w:t>
            </w:r>
          </w:p>
        </w:tc>
        <w:tc>
          <w:tcPr>
            <w:tcW w:w="12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gridSpan w:val="2"/>
            <w:shd w:val="clear" w:color="auto" w:fill="CFF0FC"/>
          </w:tcPr>
          <w:p>
            <w:pPr>
              <w:jc w:val="right"/>
              <w:ind w:right="86"/>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9"/>
                <w:szCs w:val="19"/>
                <w:color w:val="auto"/>
              </w:rPr>
              <w:t>1</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6060" w:type="dxa"/>
            <w:vAlign w:val="bottom"/>
          </w:tcPr>
          <w:p>
            <w:pPr>
              <w:ind w:left="20"/>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0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1280" w:type="dxa"/>
            <w:vAlign w:val="bottom"/>
          </w:tcPr>
          <w:p>
            <w:pPr>
              <w:spacing w:after="0"/>
              <w:rPr>
                <w:sz w:val="20"/>
                <w:szCs w:val="20"/>
                <w:color w:val="auto"/>
              </w:rPr>
            </w:pPr>
          </w:p>
        </w:tc>
        <w:tc>
          <w:tcPr>
            <w:tcW w:w="260" w:type="dxa"/>
            <w:vAlign w:val="bottom"/>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gridSpan w:val="2"/>
          </w:tcPr>
          <w:p>
            <w:pPr>
              <w:jc w:val="right"/>
              <w:ind w:right="186"/>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1380" w:type="dxa"/>
            <w:vAlign w:val="bottom"/>
          </w:tcPr>
          <w:p>
            <w:pPr>
              <w:jc w:val="right"/>
              <w:spacing w:after="0" w:line="226" w:lineRule="exact"/>
              <w:rPr>
                <w:sz w:val="20"/>
                <w:szCs w:val="20"/>
                <w:color w:val="auto"/>
              </w:rPr>
            </w:pPr>
            <w:r>
              <w:rPr>
                <w:rFonts w:ascii="Calibri" w:cs="Calibri" w:eastAsia="Calibri" w:hAnsi="Calibri"/>
                <w:sz w:val="19"/>
                <w:szCs w:val="19"/>
                <w:color w:val="auto"/>
              </w:rPr>
              <w:t>2</w:t>
            </w:r>
          </w:p>
        </w:tc>
        <w:tc>
          <w:tcPr>
            <w:tcW w:w="100" w:type="dxa"/>
            <w:vAlign w:val="bottom"/>
          </w:tcPr>
          <w:p>
            <w:pPr>
              <w:spacing w:after="0"/>
              <w:rPr>
                <w:sz w:val="20"/>
                <w:szCs w:val="20"/>
                <w:color w:val="auto"/>
              </w:rPr>
            </w:pPr>
          </w:p>
        </w:tc>
      </w:tr>
      <w:tr>
        <w:trPr>
          <w:trHeight w:val="35"/>
        </w:trPr>
        <w:tc>
          <w:tcPr>
            <w:tcW w:w="606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19"/>
                <w:szCs w:val="19"/>
                <w:color w:val="auto"/>
              </w:rPr>
              <w:t>Other comprehensive earnings, net of tax</w:t>
            </w:r>
          </w:p>
        </w:tc>
        <w:tc>
          <w:tcPr>
            <w:tcW w:w="1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9"/>
        </w:trPr>
        <w:tc>
          <w:tcPr>
            <w:tcW w:w="6060" w:type="dxa"/>
            <w:vAlign w:val="bottom"/>
          </w:tcPr>
          <w:p>
            <w:pPr>
              <w:ind w:left="20"/>
              <w:spacing w:after="0"/>
              <w:rPr>
                <w:sz w:val="20"/>
                <w:szCs w:val="20"/>
                <w:color w:val="auto"/>
              </w:rPr>
            </w:pPr>
            <w:r>
              <w:rPr>
                <w:rFonts w:ascii="Calibri" w:cs="Calibri" w:eastAsia="Calibri" w:hAnsi="Calibri"/>
                <w:sz w:val="19"/>
                <w:szCs w:val="19"/>
                <w:color w:val="auto"/>
              </w:rPr>
              <w:t>Balance at end of period</w:t>
            </w:r>
          </w:p>
        </w:tc>
        <w:tc>
          <w:tcPr>
            <w:tcW w:w="1280" w:type="dxa"/>
            <w:vAlign w:val="bottom"/>
          </w:tcPr>
          <w:p>
            <w:pPr>
              <w:jc w:val="right"/>
              <w:ind w:right="1066"/>
              <w:spacing w:after="0" w:line="226" w:lineRule="exact"/>
              <w:rPr>
                <w:sz w:val="20"/>
                <w:szCs w:val="20"/>
                <w:color w:val="auto"/>
              </w:rPr>
            </w:pPr>
            <w:r>
              <w:rPr>
                <w:rFonts w:ascii="Calibri" w:cs="Calibri" w:eastAsia="Calibri" w:hAnsi="Calibri"/>
                <w:sz w:val="19"/>
                <w:szCs w:val="19"/>
                <w:color w:val="auto"/>
              </w:rPr>
              <w:t>$</w:t>
            </w:r>
          </w:p>
        </w:tc>
        <w:tc>
          <w:tcPr>
            <w:tcW w:w="420" w:type="dxa"/>
            <w:vAlign w:val="bottom"/>
            <w:gridSpan w:val="2"/>
          </w:tcPr>
          <w:p>
            <w:pPr>
              <w:jc w:val="right"/>
              <w:ind w:right="6"/>
              <w:spacing w:after="0" w:line="226" w:lineRule="exact"/>
              <w:rPr>
                <w:sz w:val="20"/>
                <w:szCs w:val="20"/>
                <w:color w:val="auto"/>
              </w:rPr>
            </w:pPr>
            <w:r>
              <w:rPr>
                <w:rFonts w:ascii="Calibri" w:cs="Calibri" w:eastAsia="Calibri" w:hAnsi="Calibri"/>
                <w:sz w:val="19"/>
                <w:szCs w:val="19"/>
                <w:color w:val="auto"/>
                <w:w w:val="85"/>
              </w:rPr>
              <w:t>(34 )</w:t>
            </w:r>
          </w:p>
        </w:tc>
        <w:tc>
          <w:tcPr>
            <w:tcW w:w="820" w:type="dxa"/>
            <w:vAlign w:val="bottom"/>
            <w:gridSpan w:val="2"/>
          </w:tcPr>
          <w:p>
            <w:pPr>
              <w:ind w:left="120"/>
              <w:spacing w:after="0" w:line="226" w:lineRule="exact"/>
              <w:rPr>
                <w:sz w:val="20"/>
                <w:szCs w:val="20"/>
                <w:color w:val="auto"/>
              </w:rPr>
            </w:pPr>
            <w:r>
              <w:rPr>
                <w:rFonts w:ascii="Calibri" w:cs="Calibri" w:eastAsia="Calibri" w:hAnsi="Calibri"/>
                <w:sz w:val="19"/>
                <w:szCs w:val="19"/>
                <w:color w:val="auto"/>
              </w:rPr>
              <w:t>$</w:t>
            </w:r>
          </w:p>
        </w:tc>
        <w:tc>
          <w:tcPr>
            <w:tcW w:w="1060" w:type="dxa"/>
            <w:vAlign w:val="bottom"/>
            <w:gridSpan w:val="2"/>
          </w:tcPr>
          <w:p>
            <w:pPr>
              <w:jc w:val="right"/>
              <w:ind w:right="106"/>
              <w:spacing w:after="0" w:line="226" w:lineRule="exact"/>
              <w:rPr>
                <w:sz w:val="20"/>
                <w:szCs w:val="20"/>
                <w:color w:val="auto"/>
              </w:rPr>
            </w:pPr>
            <w:r>
              <w:rPr>
                <w:rFonts w:ascii="Calibri" w:cs="Calibri" w:eastAsia="Calibri" w:hAnsi="Calibri"/>
                <w:sz w:val="19"/>
                <w:szCs w:val="19"/>
                <w:color w:val="auto"/>
              </w:rPr>
              <w:t>(1 )</w:t>
            </w:r>
          </w:p>
        </w:tc>
        <w:tc>
          <w:tcPr>
            <w:tcW w:w="120" w:type="dxa"/>
            <w:vAlign w:val="bottom"/>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(35 )</w:t>
            </w:r>
          </w:p>
        </w:tc>
      </w:tr>
      <w:tr>
        <w:trPr>
          <w:trHeight w:val="20"/>
        </w:trPr>
        <w:tc>
          <w:tcPr>
            <w:tcW w:w="60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-2596515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-2596515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-1945005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-1945005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-1585595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-1568450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-1585595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-1568450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Changes in net noncurrent deferred tax assets related to accumulated other comprehensive loss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gridSpan w:val="7"/>
          </w:tcPr>
          <w:p>
            <w:pPr>
              <w:jc w:val="right"/>
              <w:ind w:right="60"/>
              <w:spacing w:after="0"/>
              <w:rPr>
                <w:sz w:val="20"/>
                <w:szCs w:val="20"/>
                <w:color w:val="auto"/>
              </w:rPr>
            </w:pPr>
            <w:r>
              <w:rPr>
                <w:rFonts w:ascii="Calibri" w:cs="Calibri" w:eastAsia="Calibri" w:hAnsi="Calibri"/>
                <w:sz w:val="20"/>
                <w:szCs w:val="20"/>
                <w:color w:val="auto"/>
              </w:rPr>
              <w:t>Pension and Postretrement Beneft Plans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860" w:type="dxa"/>
            <w:vAlign w:val="bottom"/>
          </w:tcPr>
          <w:p>
            <w:pPr>
              <w:spacing w:after="0"/>
              <w:rPr>
                <w:sz w:val="4"/>
                <w:szCs w:val="4"/>
                <w:color w:val="auto"/>
              </w:rPr>
            </w:pPr>
          </w:p>
        </w:tc>
        <w:tc>
          <w:tcPr>
            <w:tcW w:w="1660" w:type="dxa"/>
            <w:vAlign w:val="bottom"/>
            <w:gridSpan w:val="3"/>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20" w:type="dxa"/>
            <w:vAlign w:val="bottom"/>
            <w:gridSpan w:val="4"/>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2680" w:type="dxa"/>
            <w:vAlign w:val="bottom"/>
            <w:tcBorders>
              <w:top w:val="single" w:sz="8" w:color="auto"/>
            </w:tcBorders>
            <w:gridSpan w:val="4"/>
          </w:tcPr>
          <w:p>
            <w:pPr>
              <w:jc w:val="right"/>
              <w:ind w:right="201"/>
              <w:spacing w:after="0" w:line="228" w:lineRule="exact"/>
              <w:rPr>
                <w:sz w:val="20"/>
                <w:szCs w:val="20"/>
                <w:color w:val="auto"/>
              </w:rPr>
            </w:pPr>
            <w:r>
              <w:rPr>
                <w:rFonts w:ascii="Calibri" w:cs="Calibri" w:eastAsia="Calibri" w:hAnsi="Calibri"/>
                <w:sz w:val="20"/>
                <w:szCs w:val="20"/>
                <w:color w:val="auto"/>
              </w:rPr>
              <w:t>Three Months Ended</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4"/>
          </w:tcPr>
          <w:p>
            <w:pPr>
              <w:jc w:val="right"/>
              <w:ind w:right="661"/>
              <w:spacing w:after="0" w:line="228" w:lineRule="exact"/>
              <w:rPr>
                <w:sz w:val="20"/>
                <w:szCs w:val="20"/>
                <w:color w:val="auto"/>
              </w:rPr>
            </w:pPr>
            <w:r>
              <w:rPr>
                <w:rFonts w:ascii="Calibri" w:cs="Calibri" w:eastAsia="Calibri" w:hAnsi="Calibri"/>
                <w:sz w:val="20"/>
                <w:szCs w:val="20"/>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60" w:type="dxa"/>
            <w:vAlign w:val="bottom"/>
            <w:gridSpan w:val="3"/>
          </w:tcPr>
          <w:p>
            <w:pPr>
              <w:jc w:val="right"/>
              <w:ind w:right="721"/>
              <w:spacing w:after="0"/>
              <w:rPr>
                <w:sz w:val="20"/>
                <w:szCs w:val="20"/>
                <w:color w:val="auto"/>
              </w:rPr>
            </w:pPr>
            <w:r>
              <w:rPr>
                <w:rFonts w:ascii="Calibri" w:cs="Calibri" w:eastAsia="Calibri" w:hAnsi="Calibri"/>
                <w:sz w:val="20"/>
                <w:szCs w:val="20"/>
                <w:color w:val="auto"/>
              </w:rPr>
              <w:t>June 30,</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3"/>
          </w:tcPr>
          <w:p>
            <w:pPr>
              <w:jc w:val="right"/>
              <w:ind w:right="41"/>
              <w:spacing w:after="0"/>
              <w:rPr>
                <w:sz w:val="20"/>
                <w:szCs w:val="20"/>
                <w:color w:val="auto"/>
              </w:rPr>
            </w:pPr>
            <w:r>
              <w:rPr>
                <w:rFonts w:ascii="Calibri" w:cs="Calibri" w:eastAsia="Calibri" w:hAnsi="Calibri"/>
                <w:sz w:val="20"/>
                <w:szCs w:val="20"/>
                <w:color w:val="auto"/>
              </w:rPr>
              <w:t>June 30,</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1020" w:type="dxa"/>
            <w:vAlign w:val="bottom"/>
          </w:tcPr>
          <w:p>
            <w:pPr>
              <w:jc w:val="right"/>
              <w:ind w:right="21"/>
              <w:spacing w:after="0" w:line="228" w:lineRule="exact"/>
              <w:rPr>
                <w:sz w:val="20"/>
                <w:szCs w:val="20"/>
                <w:color w:val="auto"/>
              </w:rPr>
            </w:pPr>
            <w:r>
              <w:rPr>
                <w:rFonts w:ascii="Calibri" w:cs="Calibri" w:eastAsia="Calibri" w:hAnsi="Calibri"/>
                <w:sz w:val="20"/>
                <w:szCs w:val="20"/>
                <w:color w:val="auto"/>
              </w:rPr>
              <w:t>2024</w:t>
            </w:r>
          </w:p>
        </w:tc>
        <w:tc>
          <w:tcPr>
            <w:tcW w:w="360" w:type="dxa"/>
            <w:vAlign w:val="bottom"/>
          </w:tcPr>
          <w:p>
            <w:pPr>
              <w:spacing w:after="0"/>
              <w:rPr>
                <w:sz w:val="19"/>
                <w:szCs w:val="19"/>
                <w:color w:val="auto"/>
              </w:rPr>
            </w:pPr>
          </w:p>
        </w:tc>
        <w:tc>
          <w:tcPr>
            <w:tcW w:w="1300" w:type="dxa"/>
            <w:vAlign w:val="bottom"/>
            <w:gridSpan w:val="2"/>
          </w:tcPr>
          <w:p>
            <w:pPr>
              <w:jc w:val="right"/>
              <w:ind w:right="21"/>
              <w:spacing w:after="0" w:line="228" w:lineRule="exact"/>
              <w:rPr>
                <w:sz w:val="20"/>
                <w:szCs w:val="20"/>
                <w:color w:val="auto"/>
              </w:rPr>
            </w:pPr>
            <w:r>
              <w:rPr>
                <w:rFonts w:ascii="Calibri" w:cs="Calibri" w:eastAsia="Calibri" w:hAnsi="Calibri"/>
                <w:sz w:val="20"/>
                <w:szCs w:val="20"/>
                <w:color w:val="auto"/>
              </w:rPr>
              <w:t>2023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0" w:type="dxa"/>
            <w:vAlign w:val="bottom"/>
            <w:gridSpan w:val="5"/>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jc w:val="right"/>
              <w:ind w:right="1"/>
              <w:spacing w:after="0" w:line="217" w:lineRule="exact"/>
              <w:rPr>
                <w:sz w:val="20"/>
                <w:szCs w:val="20"/>
                <w:color w:val="auto"/>
              </w:rPr>
            </w:pPr>
            <w:r>
              <w:rPr>
                <w:rFonts w:ascii="Calibri" w:cs="Calibri" w:eastAsia="Calibri" w:hAnsi="Calibri"/>
                <w:sz w:val="20"/>
                <w:szCs w:val="20"/>
                <w:i w:val="1"/>
                <w:iCs w:val="1"/>
                <w:color w:val="auto"/>
                <w:w w:val="80"/>
              </w:rPr>
              <w:t>in</w:t>
            </w:r>
          </w:p>
        </w:tc>
        <w:tc>
          <w:tcPr>
            <w:tcW w:w="138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beginning of period</w:t>
            </w:r>
          </w:p>
        </w:tc>
        <w:tc>
          <w:tcPr>
            <w:tcW w:w="1020" w:type="dxa"/>
            <w:vAlign w:val="bottom"/>
            <w:tcBorders>
              <w:bottom w:val="single" w:sz="8" w:color="CFF0FC"/>
            </w:tcBorders>
            <w:shd w:val="clear" w:color="auto" w:fill="CFF0FC"/>
          </w:tcPr>
          <w:p>
            <w:pPr>
              <w:jc w:val="right"/>
              <w:ind w:right="821"/>
              <w:spacing w:after="0" w:line="234" w:lineRule="exact"/>
              <w:rPr>
                <w:sz w:val="20"/>
                <w:szCs w:val="20"/>
                <w:color w:val="auto"/>
              </w:rPr>
            </w:pPr>
            <w:r>
              <w:rPr>
                <w:rFonts w:ascii="Calibri" w:cs="Calibri" w:eastAsia="Calibri" w:hAnsi="Calibri"/>
                <w:sz w:val="20"/>
                <w:szCs w:val="20"/>
                <w:color w:val="auto"/>
                <w:w w:val="78"/>
              </w:rPr>
              <w:t>$</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w:t>
            </w:r>
          </w:p>
        </w:tc>
        <w:tc>
          <w:tcPr>
            <w:tcW w:w="1300" w:type="dxa"/>
            <w:vAlign w:val="bottom"/>
            <w:tcBorders>
              <w:bottom w:val="single" w:sz="8" w:color="CFF0FC"/>
            </w:tcBorders>
            <w:gridSpan w:val="2"/>
            <w:shd w:val="clear" w:color="auto" w:fill="CFF0FC"/>
          </w:tcPr>
          <w:p>
            <w:pPr>
              <w:jc w:val="right"/>
              <w:ind w:right="801"/>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0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60" w:type="dxa"/>
            <w:vAlign w:val="bottom"/>
          </w:tcPr>
          <w:p>
            <w:pPr>
              <w:ind w:left="20"/>
              <w:spacing w:after="0" w:line="232" w:lineRule="exact"/>
              <w:rPr>
                <w:sz w:val="20"/>
                <w:szCs w:val="20"/>
                <w:color w:val="auto"/>
              </w:rPr>
            </w:pPr>
            <w:r>
              <w:rPr>
                <w:rFonts w:ascii="Calibri" w:cs="Calibri" w:eastAsia="Calibri" w:hAnsi="Calibri"/>
                <w:sz w:val="20"/>
                <w:szCs w:val="20"/>
                <w:color w:val="auto"/>
              </w:rPr>
              <w:t>Tax efect of other comprehensive</w:t>
            </w:r>
          </w:p>
        </w:tc>
        <w:tc>
          <w:tcPr>
            <w:tcW w:w="102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vMerge w:val="restart"/>
          </w:tcPr>
          <w:p>
            <w:pPr>
              <w:jc w:val="right"/>
              <w:ind w:right="81"/>
              <w:spacing w:after="0"/>
              <w:rPr>
                <w:sz w:val="20"/>
                <w:szCs w:val="20"/>
                <w:color w:val="auto"/>
              </w:rPr>
            </w:pPr>
            <w:r>
              <w:rPr>
                <w:rFonts w:ascii="Calibri" w:cs="Calibri" w:eastAsia="Calibri" w:hAnsi="Calibri"/>
                <w:sz w:val="20"/>
                <w:szCs w:val="20"/>
                <w:color w:val="auto"/>
              </w:rPr>
              <w:t>(1 )</w:t>
            </w:r>
          </w:p>
        </w:tc>
        <w:tc>
          <w:tcPr>
            <w:tcW w:w="300" w:type="dxa"/>
            <w:vAlign w:val="bottom"/>
          </w:tcPr>
          <w:p>
            <w:pPr>
              <w:spacing w:after="0"/>
              <w:rPr>
                <w:sz w:val="20"/>
                <w:szCs w:val="20"/>
                <w:color w:val="auto"/>
              </w:rPr>
            </w:pPr>
          </w:p>
        </w:tc>
        <w:tc>
          <w:tcPr>
            <w:tcW w:w="1320" w:type="dxa"/>
            <w:vAlign w:val="bottom"/>
            <w:gridSpan w:val="2"/>
            <w:vMerge w:val="restart"/>
          </w:tcPr>
          <w:p>
            <w:pPr>
              <w:jc w:val="right"/>
              <w:ind w:right="180"/>
              <w:spacing w:after="0"/>
              <w:rPr>
                <w:sz w:val="20"/>
                <w:szCs w:val="20"/>
                <w:color w:val="auto"/>
              </w:rPr>
            </w:pPr>
            <w:r>
              <w:rPr>
                <w:rFonts w:ascii="Calibri" w:cs="Calibri" w:eastAsia="Calibri" w:hAnsi="Calibri"/>
                <w:sz w:val="20"/>
                <w:szCs w:val="20"/>
                <w:color w:val="auto"/>
              </w:rPr>
              <w:t>(1 )</w:t>
            </w:r>
          </w:p>
        </w:tc>
        <w:tc>
          <w:tcPr>
            <w:tcW w:w="360" w:type="dxa"/>
            <w:vAlign w:val="bottom"/>
          </w:tcPr>
          <w:p>
            <w:pPr>
              <w:spacing w:after="0"/>
              <w:rPr>
                <w:sz w:val="20"/>
                <w:szCs w:val="20"/>
                <w:color w:val="auto"/>
              </w:rPr>
            </w:pPr>
          </w:p>
        </w:tc>
        <w:tc>
          <w:tcPr>
            <w:tcW w:w="1120" w:type="dxa"/>
            <w:vAlign w:val="bottom"/>
            <w:gridSpan w:val="2"/>
            <w:vMerge w:val="restart"/>
          </w:tcPr>
          <w:p>
            <w:pPr>
              <w:jc w:val="right"/>
              <w:ind w:right="40"/>
              <w:spacing w:after="0"/>
              <w:rPr>
                <w:sz w:val="20"/>
                <w:szCs w:val="20"/>
                <w:color w:val="auto"/>
              </w:rPr>
            </w:pPr>
            <w:r>
              <w:rPr>
                <w:rFonts w:ascii="Calibri" w:cs="Calibri" w:eastAsia="Calibri" w:hAnsi="Calibri"/>
                <w:sz w:val="20"/>
                <w:szCs w:val="20"/>
                <w:color w:val="auto"/>
              </w:rPr>
              <w:t>(1 )</w:t>
            </w:r>
          </w:p>
        </w:tc>
        <w:tc>
          <w:tcPr>
            <w:tcW w:w="0" w:type="dxa"/>
            <w:vAlign w:val="bottom"/>
          </w:tcPr>
          <w:p>
            <w:pPr>
              <w:spacing w:after="0"/>
              <w:rPr>
                <w:sz w:val="1"/>
                <w:szCs w:val="1"/>
                <w:color w:val="auto"/>
              </w:rPr>
            </w:pPr>
          </w:p>
        </w:tc>
      </w:tr>
      <w:tr>
        <w:trPr>
          <w:trHeight w:val="234"/>
        </w:trPr>
        <w:tc>
          <w:tcPr>
            <w:tcW w:w="4860" w:type="dxa"/>
            <w:vAlign w:val="bottom"/>
          </w:tcPr>
          <w:p>
            <w:pPr>
              <w:ind w:left="160"/>
              <w:spacing w:after="0" w:line="234" w:lineRule="exact"/>
              <w:rPr>
                <w:sz w:val="20"/>
                <w:szCs w:val="20"/>
                <w:color w:val="auto"/>
              </w:rPr>
            </w:pPr>
            <w:r>
              <w:rPr>
                <w:rFonts w:ascii="Calibri" w:cs="Calibri" w:eastAsia="Calibri" w:hAnsi="Calibri"/>
                <w:sz w:val="20"/>
                <w:szCs w:val="20"/>
                <w:color w:val="auto"/>
              </w:rPr>
              <w:t>earnings</w:t>
            </w:r>
          </w:p>
        </w:tc>
        <w:tc>
          <w:tcPr>
            <w:tcW w:w="10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Balance at end of period</w:t>
            </w:r>
          </w:p>
        </w:tc>
        <w:tc>
          <w:tcPr>
            <w:tcW w:w="1020" w:type="dxa"/>
            <w:vAlign w:val="bottom"/>
            <w:tcBorders>
              <w:bottom w:val="single" w:sz="8" w:color="CFF0FC"/>
            </w:tcBorders>
            <w:shd w:val="clear" w:color="auto" w:fill="CFF0FC"/>
          </w:tcPr>
          <w:p>
            <w:pPr>
              <w:jc w:val="right"/>
              <w:ind w:right="821"/>
              <w:spacing w:after="0" w:line="230" w:lineRule="exact"/>
              <w:rPr>
                <w:sz w:val="20"/>
                <w:szCs w:val="20"/>
                <w:color w:val="auto"/>
              </w:rPr>
            </w:pPr>
            <w:r>
              <w:rPr>
                <w:rFonts w:ascii="Calibri" w:cs="Calibri" w:eastAsia="Calibri" w:hAnsi="Calibri"/>
                <w:sz w:val="20"/>
                <w:szCs w:val="20"/>
                <w:color w:val="auto"/>
                <w:w w:val="78"/>
              </w:rPr>
              <w:t>$</w:t>
            </w:r>
          </w:p>
        </w:tc>
        <w:tc>
          <w:tcPr>
            <w:tcW w:w="3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53</w:t>
            </w:r>
          </w:p>
        </w:tc>
        <w:tc>
          <w:tcPr>
            <w:tcW w:w="1300" w:type="dxa"/>
            <w:vAlign w:val="bottom"/>
            <w:tcBorders>
              <w:bottom w:val="single" w:sz="8" w:color="CFF0FC"/>
            </w:tcBorders>
            <w:gridSpan w:val="2"/>
            <w:shd w:val="clear" w:color="auto" w:fill="CFF0FC"/>
          </w:tcPr>
          <w:p>
            <w:pPr>
              <w:jc w:val="right"/>
              <w:ind w:right="801"/>
              <w:spacing w:after="0" w:line="230" w:lineRule="exact"/>
              <w:rPr>
                <w:sz w:val="20"/>
                <w:szCs w:val="20"/>
                <w:color w:val="auto"/>
              </w:rPr>
            </w:pPr>
            <w:r>
              <w:rPr>
                <w:rFonts w:ascii="Calibri" w:cs="Calibri" w:eastAsia="Calibri" w:hAnsi="Calibri"/>
                <w:sz w:val="20"/>
                <w:szCs w:val="20"/>
                <w:color w:val="auto"/>
              </w:rPr>
              <w:t>$</w:t>
            </w:r>
          </w:p>
        </w:tc>
        <w:tc>
          <w:tcPr>
            <w:tcW w:w="3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49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53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41"/>
              <w:spacing w:after="0" w:line="230" w:lineRule="exact"/>
              <w:rPr>
                <w:sz w:val="20"/>
                <w:szCs w:val="20"/>
                <w:color w:val="auto"/>
              </w:rPr>
            </w:pPr>
            <w:r>
              <w:rPr>
                <w:rFonts w:ascii="Calibri" w:cs="Calibri" w:eastAsia="Calibri" w:hAnsi="Calibri"/>
                <w:sz w:val="20"/>
                <w:szCs w:val="20"/>
                <w:color w:val="auto"/>
                <w:w w:val="98"/>
              </w:rPr>
              <w:t>$</w:t>
            </w:r>
          </w:p>
        </w:tc>
        <w:tc>
          <w:tcPr>
            <w:tcW w:w="102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Reclassifcatons out of accumulated other comprehensive loss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tcPr>
          <w:p>
            <w:pPr>
              <w:jc w:val="center"/>
              <w:spacing w:after="0"/>
              <w:rPr>
                <w:sz w:val="20"/>
                <w:szCs w:val="20"/>
                <w:color w:val="auto"/>
              </w:rPr>
            </w:pPr>
            <w:r>
              <w:rPr>
                <w:rFonts w:ascii="Calibri" w:cs="Calibri" w:eastAsia="Calibri" w:hAnsi="Calibri"/>
                <w:sz w:val="20"/>
                <w:szCs w:val="20"/>
                <w:color w:val="auto"/>
              </w:rPr>
              <w:t>Afected line items in the</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2140" w:type="dxa"/>
            <w:vAlign w:val="bottom"/>
            <w:gridSpan w:val="4"/>
          </w:tcPr>
          <w:p>
            <w:pPr>
              <w:jc w:val="right"/>
              <w:spacing w:after="0" w:line="243" w:lineRule="exact"/>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4"/>
          </w:tcPr>
          <w:p>
            <w:pPr>
              <w:jc w:val="right"/>
              <w:ind w:right="81"/>
              <w:spacing w:after="0" w:line="243" w:lineRule="exact"/>
              <w:rPr>
                <w:sz w:val="20"/>
                <w:szCs w:val="20"/>
                <w:color w:val="auto"/>
              </w:rPr>
            </w:pPr>
            <w:r>
              <w:rPr>
                <w:rFonts w:ascii="Calibri" w:cs="Calibri" w:eastAsia="Calibri" w:hAnsi="Calibri"/>
                <w:sz w:val="20"/>
                <w:szCs w:val="20"/>
                <w:color w:val="auto"/>
              </w:rPr>
              <w:t>Six Months Ended</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tcPr>
          <w:p>
            <w:pPr>
              <w:jc w:val="center"/>
              <w:ind w:left="21"/>
              <w:spacing w:after="0" w:line="243" w:lineRule="exact"/>
              <w:rPr>
                <w:sz w:val="20"/>
                <w:szCs w:val="20"/>
                <w:color w:val="auto"/>
              </w:rPr>
            </w:pPr>
            <w:r>
              <w:rPr>
                <w:rFonts w:ascii="Calibri" w:cs="Calibri" w:eastAsia="Calibri" w:hAnsi="Calibri"/>
                <w:sz w:val="20"/>
                <w:szCs w:val="20"/>
                <w:color w:val="auto"/>
              </w:rPr>
              <w:t>consolidated</w:t>
            </w:r>
          </w:p>
        </w:tc>
        <w:tc>
          <w:tcPr>
            <w:tcW w:w="0" w:type="dxa"/>
            <w:vAlign w:val="bottom"/>
          </w:tcPr>
          <w:p>
            <w:pPr>
              <w:spacing w:after="0"/>
              <w:rPr>
                <w:sz w:val="1"/>
                <w:szCs w:val="1"/>
                <w:color w:val="auto"/>
              </w:rPr>
            </w:pPr>
          </w:p>
        </w:tc>
      </w:tr>
      <w:tr>
        <w:trPr>
          <w:trHeight w:val="284"/>
        </w:trPr>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3"/>
          </w:tcPr>
          <w:p>
            <w:pPr>
              <w:jc w:val="right"/>
              <w:ind w:right="501"/>
              <w:spacing w:after="0"/>
              <w:rPr>
                <w:sz w:val="20"/>
                <w:szCs w:val="20"/>
                <w:color w:val="auto"/>
              </w:rPr>
            </w:pPr>
            <w:r>
              <w:rPr>
                <w:rFonts w:ascii="Calibri" w:cs="Calibri" w:eastAsia="Calibri" w:hAnsi="Calibri"/>
                <w:sz w:val="20"/>
                <w:szCs w:val="20"/>
                <w:color w:val="auto"/>
              </w:rPr>
              <w:t>June 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jc w:val="right"/>
              <w:ind w:right="461"/>
              <w:spacing w:after="0"/>
              <w:rPr>
                <w:sz w:val="20"/>
                <w:szCs w:val="20"/>
                <w:color w:val="auto"/>
              </w:rPr>
            </w:pPr>
            <w:r>
              <w:rPr>
                <w:rFonts w:ascii="Calibri" w:cs="Calibri" w:eastAsia="Calibri" w:hAnsi="Calibri"/>
                <w:sz w:val="20"/>
                <w:szCs w:val="20"/>
                <w:color w:val="auto"/>
              </w:rPr>
              <w:t>June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jc w:val="center"/>
              <w:ind w:left="1"/>
              <w:spacing w:after="0"/>
              <w:rPr>
                <w:sz w:val="20"/>
                <w:szCs w:val="20"/>
                <w:color w:val="auto"/>
              </w:rPr>
            </w:pPr>
            <w:r>
              <w:rPr>
                <w:rFonts w:ascii="Calibri" w:cs="Calibri" w:eastAsia="Calibri" w:hAnsi="Calibri"/>
                <w:sz w:val="20"/>
                <w:szCs w:val="20"/>
                <w:color w:val="auto"/>
              </w:rPr>
              <w:t>statements of earnings</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vMerge w:val="restart"/>
          </w:tcPr>
          <w:p>
            <w:pPr>
              <w:jc w:val="center"/>
              <w:ind w:left="1"/>
              <w:spacing w:after="0"/>
              <w:rPr>
                <w:sz w:val="20"/>
                <w:szCs w:val="20"/>
                <w:color w:val="auto"/>
              </w:rPr>
            </w:pPr>
            <w:r>
              <w:rPr>
                <w:rFonts w:ascii="Calibri" w:cs="Calibri" w:eastAsia="Calibri" w:hAnsi="Calibri"/>
                <w:sz w:val="20"/>
                <w:szCs w:val="20"/>
                <w:color w:val="auto"/>
              </w:rPr>
              <w:t>and comprehensive earnings</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Calibri" w:cs="Calibri" w:eastAsia="Calibri" w:hAnsi="Calibri"/>
                <w:sz w:val="20"/>
                <w:szCs w:val="20"/>
                <w:color w:val="auto"/>
              </w:rPr>
              <w:t>2023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100" w:type="dxa"/>
            <w:vAlign w:val="bottom"/>
            <w:gridSpan w:val="4"/>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jc w:val="right"/>
              <w:ind w:right="27"/>
              <w:spacing w:after="0" w:line="217" w:lineRule="exact"/>
              <w:rPr>
                <w:sz w:val="20"/>
                <w:szCs w:val="20"/>
                <w:color w:val="auto"/>
              </w:rPr>
            </w:pPr>
            <w:r>
              <w:rPr>
                <w:rFonts w:ascii="Calibri" w:cs="Calibri" w:eastAsia="Calibri" w:hAnsi="Calibri"/>
                <w:sz w:val="19"/>
                <w:szCs w:val="19"/>
                <w:i w:val="1"/>
                <w:iCs w:val="1"/>
                <w:color w:val="auto"/>
                <w:w w:val="70"/>
              </w:rPr>
              <w:t>in</w:t>
            </w:r>
          </w:p>
        </w:tc>
        <w:tc>
          <w:tcPr>
            <w:tcW w:w="7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312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Pension and postretrement</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12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beneft plans</w:t>
            </w:r>
          </w:p>
        </w:tc>
        <w:tc>
          <w:tcPr>
            <w:tcW w:w="8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120" w:type="dxa"/>
            <w:vAlign w:val="bottom"/>
          </w:tcPr>
          <w:p>
            <w:pPr>
              <w:ind w:left="200"/>
              <w:spacing w:after="0" w:line="232" w:lineRule="exact"/>
              <w:rPr>
                <w:sz w:val="20"/>
                <w:szCs w:val="20"/>
                <w:color w:val="auto"/>
              </w:rPr>
            </w:pPr>
            <w:r>
              <w:rPr>
                <w:rFonts w:ascii="Calibri" w:cs="Calibri" w:eastAsia="Calibri" w:hAnsi="Calibri"/>
                <w:sz w:val="20"/>
                <w:szCs w:val="20"/>
                <w:color w:val="auto"/>
              </w:rPr>
              <w:t>Amortzaton of prior</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line="234" w:lineRule="exact"/>
              <w:rPr>
                <w:sz w:val="20"/>
                <w:szCs w:val="20"/>
                <w:color w:val="auto"/>
              </w:rPr>
            </w:pPr>
            <w:r>
              <w:rPr>
                <w:rFonts w:ascii="Calibri" w:cs="Calibri" w:eastAsia="Calibri" w:hAnsi="Calibri"/>
                <w:sz w:val="20"/>
                <w:szCs w:val="20"/>
                <w:color w:val="auto"/>
              </w:rPr>
              <w:t>service cost</w:t>
            </w:r>
          </w:p>
        </w:tc>
        <w:tc>
          <w:tcPr>
            <w:tcW w:w="800" w:type="dxa"/>
            <w:vAlign w:val="bottom"/>
          </w:tcPr>
          <w:p>
            <w:pPr>
              <w:jc w:val="right"/>
              <w:ind w:right="581"/>
              <w:spacing w:after="0" w:line="234" w:lineRule="exact"/>
              <w:rPr>
                <w:sz w:val="20"/>
                <w:szCs w:val="20"/>
                <w:color w:val="auto"/>
              </w:rPr>
            </w:pPr>
            <w:r>
              <w:rPr>
                <w:rFonts w:ascii="Calibri" w:cs="Calibri" w:eastAsia="Calibri" w:hAnsi="Calibri"/>
                <w:sz w:val="20"/>
                <w:szCs w:val="20"/>
                <w:color w:val="auto"/>
                <w:w w:val="98"/>
              </w:rPr>
              <w:t>$</w:t>
            </w: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40" w:type="dxa"/>
            <w:vAlign w:val="bottom"/>
          </w:tcPr>
          <w:p>
            <w:pPr>
              <w:spacing w:after="0"/>
              <w:rPr>
                <w:sz w:val="20"/>
                <w:szCs w:val="20"/>
                <w:color w:val="auto"/>
              </w:rPr>
            </w:pPr>
          </w:p>
        </w:tc>
        <w:tc>
          <w:tcPr>
            <w:tcW w:w="840" w:type="dxa"/>
            <w:vAlign w:val="bottom"/>
          </w:tcPr>
          <w:p>
            <w:pPr>
              <w:jc w:val="right"/>
              <w:ind w:right="621"/>
              <w:spacing w:after="0" w:line="234" w:lineRule="exact"/>
              <w:rPr>
                <w:sz w:val="20"/>
                <w:szCs w:val="20"/>
                <w:color w:val="auto"/>
              </w:rPr>
            </w:pPr>
            <w:r>
              <w:rPr>
                <w:rFonts w:ascii="Calibri" w:cs="Calibri" w:eastAsia="Calibri" w:hAnsi="Calibri"/>
                <w:sz w:val="20"/>
                <w:szCs w:val="20"/>
                <w:color w:val="auto"/>
                <w:w w:val="98"/>
              </w:rPr>
              <w:t>$</w:t>
            </w: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240" w:type="dxa"/>
            <w:vAlign w:val="bottom"/>
          </w:tcPr>
          <w:p>
            <w:pPr>
              <w:spacing w:after="0"/>
              <w:rPr>
                <w:sz w:val="20"/>
                <w:szCs w:val="20"/>
                <w:color w:val="auto"/>
              </w:rPr>
            </w:pPr>
          </w:p>
        </w:tc>
        <w:tc>
          <w:tcPr>
            <w:tcW w:w="7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220" w:type="dxa"/>
            <w:vAlign w:val="bottom"/>
          </w:tcPr>
          <w:p>
            <w:pPr>
              <w:spacing w:after="0"/>
              <w:rPr>
                <w:sz w:val="20"/>
                <w:szCs w:val="20"/>
                <w:color w:val="auto"/>
              </w:rPr>
            </w:pPr>
          </w:p>
        </w:tc>
        <w:tc>
          <w:tcPr>
            <w:tcW w:w="800" w:type="dxa"/>
            <w:vAlign w:val="bottom"/>
          </w:tcPr>
          <w:p>
            <w:pPr>
              <w:jc w:val="right"/>
              <w:ind w:right="581"/>
              <w:spacing w:after="0" w:line="234" w:lineRule="exact"/>
              <w:rPr>
                <w:sz w:val="20"/>
                <w:szCs w:val="20"/>
                <w:color w:val="auto"/>
              </w:rPr>
            </w:pPr>
            <w:r>
              <w:rPr>
                <w:rFonts w:ascii="Calibri" w:cs="Calibri" w:eastAsia="Calibri" w:hAnsi="Calibri"/>
                <w:sz w:val="20"/>
                <w:szCs w:val="20"/>
                <w:color w:val="auto"/>
                <w:w w:val="98"/>
              </w:rPr>
              <w:t>$</w:t>
            </w:r>
          </w:p>
        </w:tc>
        <w:tc>
          <w:tcPr>
            <w:tcW w:w="342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4   Other nonoperatng income, net</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1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Tax efect</w:t>
            </w:r>
          </w:p>
        </w:tc>
        <w:tc>
          <w:tcPr>
            <w:tcW w:w="8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(1 )</w:t>
            </w:r>
          </w:p>
        </w:tc>
        <w:tc>
          <w:tcPr>
            <w:tcW w:w="84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gridSpan w:val="2"/>
            <w:shd w:val="clear" w:color="auto" w:fill="CFF0FC"/>
          </w:tcPr>
          <w:p>
            <w:pPr>
              <w:jc w:val="right"/>
              <w:ind w:right="87"/>
              <w:spacing w:after="0" w:line="234" w:lineRule="exact"/>
              <w:rPr>
                <w:sz w:val="20"/>
                <w:szCs w:val="20"/>
                <w:color w:val="auto"/>
              </w:rPr>
            </w:pPr>
            <w:r>
              <w:rPr>
                <w:rFonts w:ascii="Calibri" w:cs="Calibri" w:eastAsia="Calibri" w:hAnsi="Calibri"/>
                <w:sz w:val="20"/>
                <w:szCs w:val="20"/>
                <w:color w:val="auto"/>
              </w:rPr>
              <w:t>(1 )</w:t>
            </w:r>
          </w:p>
        </w:tc>
        <w:tc>
          <w:tcPr>
            <w:tcW w:w="76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gridSpan w:val="2"/>
            <w:shd w:val="clear" w:color="auto" w:fill="CFF0FC"/>
          </w:tcPr>
          <w:p>
            <w:pPr>
              <w:jc w:val="right"/>
              <w:ind w:right="140"/>
              <w:spacing w:after="0" w:line="234" w:lineRule="exact"/>
              <w:rPr>
                <w:sz w:val="20"/>
                <w:szCs w:val="20"/>
                <w:color w:val="auto"/>
              </w:rPr>
            </w:pPr>
            <w:r>
              <w:rPr>
                <w:rFonts w:ascii="Calibri" w:cs="Calibri" w:eastAsia="Calibri" w:hAnsi="Calibri"/>
                <w:sz w:val="20"/>
                <w:szCs w:val="20"/>
                <w:color w:val="auto"/>
              </w:rPr>
              <w:t>(1 )</w:t>
            </w:r>
          </w:p>
        </w:tc>
        <w:tc>
          <w:tcPr>
            <w:tcW w:w="800" w:type="dxa"/>
            <w:vAlign w:val="bottom"/>
            <w:tcBorders>
              <w:bottom w:val="single" w:sz="8" w:color="CFF0FC"/>
            </w:tcBorders>
            <w:shd w:val="clear" w:color="auto" w:fill="CFF0FC"/>
          </w:tcPr>
          <w:p>
            <w:pPr>
              <w:spacing w:after="0"/>
              <w:rPr>
                <w:sz w:val="23"/>
                <w:szCs w:val="23"/>
                <w:color w:val="auto"/>
              </w:rPr>
            </w:pPr>
          </w:p>
        </w:tc>
        <w:tc>
          <w:tcPr>
            <w:tcW w:w="3420" w:type="dxa"/>
            <w:vAlign w:val="bottom"/>
            <w:tcBorders>
              <w:bottom w:val="single" w:sz="8" w:color="CFF0FC"/>
            </w:tcBorders>
            <w:gridSpan w:val="3"/>
            <w:shd w:val="clear" w:color="auto" w:fill="CFF0FC"/>
          </w:tcPr>
          <w:p>
            <w:pPr>
              <w:ind w:left="80"/>
              <w:spacing w:after="0" w:line="236" w:lineRule="exact"/>
              <w:rPr>
                <w:sz w:val="20"/>
                <w:szCs w:val="20"/>
                <w:color w:val="auto"/>
              </w:rPr>
            </w:pPr>
            <w:r>
              <w:rPr>
                <w:rFonts w:ascii="Calibri" w:cs="Calibri" w:eastAsia="Calibri" w:hAnsi="Calibri"/>
                <w:sz w:val="20"/>
                <w:szCs w:val="20"/>
                <w:color w:val="auto"/>
              </w:rPr>
              <w:t>(2 )  Income tax expense</w:t>
            </w:r>
          </w:p>
        </w:tc>
        <w:tc>
          <w:tcPr>
            <w:tcW w:w="0" w:type="dxa"/>
            <w:vAlign w:val="bottom"/>
          </w:tcPr>
          <w:p>
            <w:pPr>
              <w:spacing w:after="0"/>
              <w:rPr>
                <w:sz w:val="1"/>
                <w:szCs w:val="1"/>
                <w:color w:val="auto"/>
              </w:rPr>
            </w:pPr>
          </w:p>
        </w:tc>
      </w:tr>
      <w:tr>
        <w:trPr>
          <w:trHeight w:val="231"/>
        </w:trPr>
        <w:tc>
          <w:tcPr>
            <w:tcW w:w="3120" w:type="dxa"/>
            <w:vAlign w:val="bottom"/>
            <w:tcBorders>
              <w:top w:val="single" w:sz="8" w:color="CFF0FC"/>
            </w:tcBorders>
          </w:tcPr>
          <w:p>
            <w:pPr>
              <w:ind w:left="20"/>
              <w:spacing w:after="0" w:line="230" w:lineRule="exact"/>
              <w:rPr>
                <w:sz w:val="20"/>
                <w:szCs w:val="20"/>
                <w:color w:val="auto"/>
              </w:rPr>
            </w:pPr>
            <w:r>
              <w:rPr>
                <w:rFonts w:ascii="Calibri" w:cs="Calibri" w:eastAsia="Calibri" w:hAnsi="Calibri"/>
                <w:sz w:val="20"/>
                <w:szCs w:val="20"/>
                <w:color w:val="auto"/>
              </w:rPr>
              <w:t>Total</w:t>
            </w:r>
          </w:p>
        </w:tc>
        <w:tc>
          <w:tcPr>
            <w:tcW w:w="800" w:type="dxa"/>
            <w:vAlign w:val="bottom"/>
            <w:tcBorders>
              <w:top w:val="single" w:sz="8" w:color="auto"/>
            </w:tcBorders>
          </w:tcPr>
          <w:p>
            <w:pPr>
              <w:jc w:val="right"/>
              <w:ind w:right="581"/>
              <w:spacing w:after="0" w:line="230" w:lineRule="exact"/>
              <w:rPr>
                <w:sz w:val="20"/>
                <w:szCs w:val="20"/>
                <w:color w:val="auto"/>
              </w:rPr>
            </w:pPr>
            <w:r>
              <w:rPr>
                <w:rFonts w:ascii="Calibri" w:cs="Calibri" w:eastAsia="Calibri" w:hAnsi="Calibri"/>
                <w:sz w:val="20"/>
                <w:szCs w:val="20"/>
                <w:color w:val="auto"/>
                <w:w w:val="98"/>
              </w:rPr>
              <w:t>$</w:t>
            </w:r>
          </w:p>
        </w:tc>
        <w:tc>
          <w:tcPr>
            <w:tcW w:w="26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w:t>
            </w:r>
          </w:p>
        </w:tc>
        <w:tc>
          <w:tcPr>
            <w:tcW w:w="24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jc w:val="right"/>
              <w:ind w:right="621"/>
              <w:spacing w:after="0" w:line="230" w:lineRule="exact"/>
              <w:rPr>
                <w:sz w:val="20"/>
                <w:szCs w:val="20"/>
                <w:color w:val="auto"/>
              </w:rPr>
            </w:pPr>
            <w:r>
              <w:rPr>
                <w:rFonts w:ascii="Calibri" w:cs="Calibri" w:eastAsia="Calibri" w:hAnsi="Calibri"/>
                <w:sz w:val="20"/>
                <w:szCs w:val="20"/>
                <w:color w:val="auto"/>
                <w:w w:val="98"/>
              </w:rPr>
              <w:t>$</w:t>
            </w:r>
          </w:p>
        </w:tc>
        <w:tc>
          <w:tcPr>
            <w:tcW w:w="26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w:t>
            </w:r>
          </w:p>
        </w:tc>
        <w:tc>
          <w:tcPr>
            <w:tcW w:w="240" w:type="dxa"/>
            <w:vAlign w:val="bottom"/>
            <w:tcBorders>
              <w:top w:val="single" w:sz="8" w:color="CFF0FC"/>
            </w:tcBorders>
          </w:tcPr>
          <w:p>
            <w:pPr>
              <w:spacing w:after="0"/>
              <w:rPr>
                <w:sz w:val="20"/>
                <w:szCs w:val="20"/>
                <w:color w:val="auto"/>
              </w:rPr>
            </w:pPr>
          </w:p>
        </w:tc>
        <w:tc>
          <w:tcPr>
            <w:tcW w:w="760" w:type="dxa"/>
            <w:vAlign w:val="bottom"/>
            <w:tcBorders>
              <w:top w:val="single" w:sz="8" w:color="auto"/>
            </w:tcBorders>
          </w:tcPr>
          <w:p>
            <w:pPr>
              <w:ind w:left="20"/>
              <w:spacing w:after="0" w:line="230" w:lineRule="exact"/>
              <w:rPr>
                <w:sz w:val="20"/>
                <w:szCs w:val="20"/>
                <w:color w:val="auto"/>
              </w:rPr>
            </w:pPr>
            <w:r>
              <w:rPr>
                <w:rFonts w:ascii="Calibri" w:cs="Calibri" w:eastAsia="Calibri" w:hAnsi="Calibri"/>
                <w:sz w:val="20"/>
                <w:szCs w:val="20"/>
                <w:color w:val="auto"/>
              </w:rPr>
              <w:t>$</w:t>
            </w:r>
          </w:p>
        </w:tc>
        <w:tc>
          <w:tcPr>
            <w:tcW w:w="28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2</w:t>
            </w:r>
          </w:p>
        </w:tc>
        <w:tc>
          <w:tcPr>
            <w:tcW w:w="22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jc w:val="right"/>
              <w:ind w:right="581"/>
              <w:spacing w:after="0" w:line="230" w:lineRule="exact"/>
              <w:rPr>
                <w:sz w:val="20"/>
                <w:szCs w:val="20"/>
                <w:color w:val="auto"/>
              </w:rPr>
            </w:pPr>
            <w:r>
              <w:rPr>
                <w:rFonts w:ascii="Calibri" w:cs="Calibri" w:eastAsia="Calibri" w:hAnsi="Calibri"/>
                <w:sz w:val="20"/>
                <w:szCs w:val="20"/>
                <w:color w:val="auto"/>
                <w:w w:val="98"/>
              </w:rPr>
              <w:t>$</w:t>
            </w:r>
          </w:p>
        </w:tc>
        <w:tc>
          <w:tcPr>
            <w:tcW w:w="240" w:type="dxa"/>
            <w:vAlign w:val="bottom"/>
            <w:tcBorders>
              <w:top w:val="single" w:sz="8" w:color="auto"/>
            </w:tcBorders>
          </w:tcPr>
          <w:p>
            <w:pPr>
              <w:ind w:left="140"/>
              <w:spacing w:after="0" w:line="230" w:lineRule="exact"/>
              <w:rPr>
                <w:sz w:val="20"/>
                <w:szCs w:val="20"/>
                <w:color w:val="auto"/>
              </w:rPr>
            </w:pPr>
            <w:r>
              <w:rPr>
                <w:rFonts w:ascii="Calibri" w:cs="Calibri" w:eastAsia="Calibri" w:hAnsi="Calibri"/>
                <w:sz w:val="20"/>
                <w:szCs w:val="20"/>
                <w:color w:val="auto"/>
                <w:w w:val="78"/>
              </w:rPr>
              <w:t>2</w:t>
            </w:r>
          </w:p>
        </w:tc>
        <w:tc>
          <w:tcPr>
            <w:tcW w:w="120" w:type="dxa"/>
            <w:vAlign w:val="bottom"/>
            <w:tcBorders>
              <w:top w:val="single" w:sz="8" w:color="CFF0FC"/>
            </w:tcBorders>
          </w:tcPr>
          <w:p>
            <w:pPr>
              <w:spacing w:after="0"/>
              <w:rPr>
                <w:sz w:val="20"/>
                <w:szCs w:val="20"/>
                <w:color w:val="auto"/>
              </w:rPr>
            </w:pPr>
          </w:p>
        </w:tc>
        <w:tc>
          <w:tcPr>
            <w:tcW w:w="306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-205105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-205105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-205105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-205105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53" w:right="339" w:bottom="1074" w:gutter="0" w:footer="0" w:header="0"/>
        </w:sectPr>
      </w:pPr>
    </w:p>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074" w:gutter="0" w:footer="0" w:header="0"/>
          <w:type w:val="continuous"/>
        </w:sectPr>
      </w:pPr>
    </w:p>
    <w:bookmarkStart w:id="11" w:name="page12"/>
    <w:bookmarkEnd w:id="11"/>
    <w:p>
      <w:pPr>
        <w:jc w:val="center"/>
        <w:ind w:right="6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60"/>
        <w:spacing w:after="0" w:line="238" w:lineRule="auto"/>
        <w:rPr>
          <w:sz w:val="20"/>
          <w:szCs w:val="20"/>
          <w:color w:val="auto"/>
        </w:rPr>
      </w:pPr>
      <w:r>
        <w:rPr>
          <w:rFonts w:ascii="Calibri" w:cs="Calibri" w:eastAsia="Calibri" w:hAnsi="Calibri"/>
          <w:sz w:val="20"/>
          <w:szCs w:val="20"/>
          <w:color w:val="auto"/>
        </w:rPr>
        <w:t>FORM 10-Q</w:t>
      </w:r>
    </w:p>
    <w:p>
      <w:pPr>
        <w:jc w:val="center"/>
        <w:ind w:right="20"/>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(UNAUDITED) NOTES TO CONSOLIDATED FINANCIAL STATEMENTS</w:t>
      </w:r>
    </w:p>
    <w:p>
      <w:pPr>
        <w:jc w:val="center"/>
        <w:ind w:right="20"/>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60"/>
        <w:spacing w:after="0"/>
        <w:rPr>
          <w:sz w:val="20"/>
          <w:szCs w:val="20"/>
          <w:color w:val="auto"/>
        </w:rPr>
      </w:pPr>
      <w:r>
        <w:rPr>
          <w:rFonts w:ascii="Calibri" w:cs="Calibri" w:eastAsia="Calibri" w:hAnsi="Calibri"/>
          <w:sz w:val="20"/>
          <w:szCs w:val="20"/>
          <w:b w:val="1"/>
          <w:bCs w:val="1"/>
          <w:color w:val="auto"/>
        </w:rPr>
        <w:t>Earnings per Common Share</w:t>
      </w:r>
    </w:p>
    <w:p>
      <w:pPr>
        <w:spacing w:after="0" w:line="117" w:lineRule="exact"/>
        <w:rPr>
          <w:sz w:val="20"/>
          <w:szCs w:val="20"/>
          <w:color w:val="auto"/>
        </w:rPr>
      </w:pPr>
    </w:p>
    <w:p>
      <w:pPr>
        <w:jc w:val="both"/>
        <w:ind w:left="360"/>
        <w:spacing w:after="0" w:line="237" w:lineRule="auto"/>
        <w:rPr>
          <w:sz w:val="20"/>
          <w:szCs w:val="20"/>
          <w:color w:val="auto"/>
        </w:rPr>
      </w:pPr>
      <w:r>
        <w:rPr>
          <w:rFonts w:ascii="Calibri" w:cs="Calibri" w:eastAsia="Calibri" w:hAnsi="Calibri"/>
          <w:sz w:val="20"/>
          <w:szCs w:val="20"/>
          <w:color w:val="auto"/>
        </w:rPr>
        <w:t>The numerator for basic and diluted earnings per common share is net earnings atributable to Martn Marieta.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and six months ended June 30, 2024 and 2023, the diluted per-share computatons refect the number of common shares outstanding including the number of additonal shares that would have been outstanding if the potentally dilutve common shares had been issued.</w:t>
      </w:r>
    </w:p>
    <w:p>
      <w:pPr>
        <w:spacing w:after="0" w:line="112"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The following table reconciles the denominator for basic and diluted earnings from contnuing operatons per common share:</w:t>
      </w:r>
    </w:p>
    <w:p>
      <w:pPr>
        <w:spacing w:after="0" w:line="120" w:lineRule="exact"/>
        <w:rPr>
          <w:sz w:val="20"/>
          <w:szCs w:val="20"/>
          <w:color w:val="auto"/>
        </w:rPr>
      </w:pPr>
    </w:p>
    <w:p>
      <w:pPr>
        <w:ind w:left="6180"/>
        <w:spacing w:after="0"/>
        <w:tabs>
          <w:tab w:leader="none" w:pos="9080" w:val="left"/>
        </w:tabs>
        <w:rPr>
          <w:sz w:val="20"/>
          <w:szCs w:val="20"/>
          <w:color w:val="auto"/>
        </w:rPr>
      </w:pPr>
      <w:r>
        <w:rPr>
          <w:rFonts w:ascii="Calibri" w:cs="Calibri" w:eastAsia="Calibri" w:hAnsi="Calibri"/>
          <w:sz w:val="20"/>
          <w:szCs w:val="20"/>
          <w:color w:val="auto"/>
        </w:rPr>
        <w:t>Three Months Ended</w:t>
      </w:r>
      <w:r>
        <w:rPr>
          <w:sz w:val="20"/>
          <w:szCs w:val="20"/>
          <w:color w:val="auto"/>
        </w:rPr>
        <w:tab/>
      </w:r>
      <w:r>
        <w:rPr>
          <w:rFonts w:ascii="Calibri" w:cs="Calibri" w:eastAsia="Calibri" w:hAnsi="Calibri"/>
          <w:sz w:val="20"/>
          <w:szCs w:val="20"/>
          <w:color w:val="auto"/>
        </w:rPr>
        <w:t>Six Months Ended</w:t>
      </w:r>
    </w:p>
    <w:p>
      <w:pPr>
        <w:spacing w:after="0" w:line="26" w:lineRule="exact"/>
        <w:rPr>
          <w:sz w:val="20"/>
          <w:szCs w:val="20"/>
          <w:color w:val="auto"/>
        </w:rPr>
      </w:pPr>
    </w:p>
    <w:p>
      <w:pPr>
        <w:ind w:left="6700"/>
        <w:spacing w:after="0"/>
        <w:tabs>
          <w:tab w:leader="none" w:pos="9480" w:val="left"/>
        </w:tabs>
        <w:rPr>
          <w:sz w:val="20"/>
          <w:szCs w:val="20"/>
          <w:color w:val="auto"/>
        </w:rPr>
      </w:pPr>
      <w:r>
        <w:rPr>
          <w:rFonts w:ascii="Calibri" w:cs="Calibri" w:eastAsia="Calibri" w:hAnsi="Calibri"/>
          <w:sz w:val="20"/>
          <w:szCs w:val="20"/>
          <w:color w:val="auto"/>
        </w:rPr>
        <w:t>June 30,</w:t>
      </w:r>
      <w:r>
        <w:rPr>
          <w:sz w:val="20"/>
          <w:szCs w:val="20"/>
          <w:color w:val="auto"/>
        </w:rPr>
        <w:tab/>
      </w:r>
      <w:r>
        <w:rPr>
          <w:rFonts w:ascii="Calibri" w:cs="Calibri" w:eastAsia="Calibri" w:hAnsi="Calibri"/>
          <w:sz w:val="20"/>
          <w:szCs w:val="20"/>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29210</wp:posOffset>
            </wp:positionV>
            <wp:extent cx="34201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1220"/>
          </w:cols>
          <w:pgMar w:left="340" w:top="75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alibri" w:cs="Calibri" w:eastAsia="Calibri" w:hAnsi="Calibri"/>
          <w:sz w:val="20"/>
          <w:szCs w:val="20"/>
          <w:color w:val="auto"/>
        </w:rPr>
        <w:t>Basic weighted-average common shares outstanding</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color w:val="auto"/>
        </w:rPr>
        <w:t>Efect of dilutve employee and director awards</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200" w:type="dxa"/>
            <w:vAlign w:val="bottom"/>
          </w:tcPr>
          <w:p>
            <w:pPr>
              <w:jc w:val="right"/>
              <w:ind w:right="301"/>
              <w:spacing w:after="0"/>
              <w:rPr>
                <w:sz w:val="20"/>
                <w:szCs w:val="20"/>
                <w:color w:val="auto"/>
              </w:rPr>
            </w:pPr>
            <w:r>
              <w:rPr>
                <w:rFonts w:ascii="Calibri" w:cs="Calibri" w:eastAsia="Calibri" w:hAnsi="Calibri"/>
                <w:sz w:val="20"/>
                <w:szCs w:val="20"/>
                <w:color w:val="auto"/>
              </w:rPr>
              <w:t>2024</w:t>
            </w:r>
          </w:p>
        </w:tc>
        <w:tc>
          <w:tcPr>
            <w:tcW w:w="1420" w:type="dxa"/>
            <w:vAlign w:val="bottom"/>
            <w:gridSpan w:val="2"/>
          </w:tcPr>
          <w:p>
            <w:pPr>
              <w:jc w:val="right"/>
              <w:ind w:right="281"/>
              <w:spacing w:after="0"/>
              <w:rPr>
                <w:sz w:val="20"/>
                <w:szCs w:val="20"/>
                <w:color w:val="auto"/>
              </w:rPr>
            </w:pPr>
            <w:r>
              <w:rPr>
                <w:rFonts w:ascii="Calibri" w:cs="Calibri" w:eastAsia="Calibri" w:hAnsi="Calibri"/>
                <w:sz w:val="20"/>
                <w:szCs w:val="20"/>
                <w:color w:val="auto"/>
              </w:rPr>
              <w:t>2023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281"/>
              <w:spacing w:after="0"/>
              <w:rPr>
                <w:sz w:val="20"/>
                <w:szCs w:val="20"/>
                <w:color w:val="auto"/>
              </w:rPr>
            </w:pPr>
            <w:r>
              <w:rPr>
                <w:rFonts w:ascii="Calibri" w:cs="Calibri" w:eastAsia="Calibri" w:hAnsi="Calibri"/>
                <w:sz w:val="20"/>
                <w:szCs w:val="20"/>
                <w:color w:val="auto"/>
                <w:w w:val="98"/>
              </w:rPr>
              <w:t>2024</w:t>
            </w:r>
          </w:p>
        </w:tc>
        <w:tc>
          <w:tcPr>
            <w:tcW w:w="1400" w:type="dxa"/>
            <w:vAlign w:val="bottom"/>
            <w:gridSpan w:val="2"/>
          </w:tcPr>
          <w:p>
            <w:pPr>
              <w:jc w:val="right"/>
              <w:ind w:right="301"/>
              <w:spacing w:after="0"/>
              <w:rPr>
                <w:sz w:val="20"/>
                <w:szCs w:val="20"/>
                <w:color w:val="auto"/>
              </w:rPr>
            </w:pPr>
            <w:r>
              <w:rPr>
                <w:rFonts w:ascii="Calibri" w:cs="Calibri" w:eastAsia="Calibri" w:hAnsi="Calibri"/>
                <w:sz w:val="20"/>
                <w:szCs w:val="20"/>
                <w:color w:val="auto"/>
              </w:rPr>
              <w:t>2023</w:t>
            </w:r>
          </w:p>
        </w:tc>
      </w:tr>
      <w:tr>
        <w:trPr>
          <w:trHeight w:val="47"/>
        </w:trPr>
        <w:tc>
          <w:tcPr>
            <w:tcW w:w="12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28"/>
        </w:trPr>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01"/>
              <w:spacing w:after="0" w:line="228" w:lineRule="exact"/>
              <w:rPr>
                <w:sz w:val="20"/>
                <w:szCs w:val="20"/>
                <w:color w:val="auto"/>
              </w:rPr>
            </w:pPr>
            <w:r>
              <w:rPr>
                <w:rFonts w:ascii="Calibri" w:cs="Calibri" w:eastAsia="Calibri" w:hAnsi="Calibri"/>
                <w:sz w:val="20"/>
                <w:szCs w:val="20"/>
                <w:i w:val="1"/>
                <w:iCs w:val="1"/>
                <w:color w:val="auto"/>
              </w:rPr>
              <w:t>(In</w:t>
            </w:r>
          </w:p>
        </w:tc>
        <w:tc>
          <w:tcPr>
            <w:tcW w:w="58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0"/>
              </w:rPr>
              <w:t>Millions)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9"/>
        </w:trPr>
        <w:tc>
          <w:tcPr>
            <w:tcW w:w="1200" w:type="dxa"/>
            <w:vAlign w:val="bottom"/>
          </w:tcPr>
          <w:p>
            <w:pPr>
              <w:jc w:val="right"/>
              <w:spacing w:after="0"/>
              <w:rPr>
                <w:sz w:val="20"/>
                <w:szCs w:val="20"/>
                <w:color w:val="auto"/>
              </w:rPr>
            </w:pPr>
            <w:r>
              <w:rPr>
                <w:rFonts w:ascii="Calibri" w:cs="Calibri" w:eastAsia="Calibri" w:hAnsi="Calibri"/>
                <w:sz w:val="20"/>
                <w:szCs w:val="20"/>
                <w:color w:val="auto"/>
              </w:rPr>
              <w:t>61.5</w:t>
            </w:r>
          </w:p>
        </w:tc>
        <w:tc>
          <w:tcPr>
            <w:tcW w:w="1420" w:type="dxa"/>
            <w:vAlign w:val="bottom"/>
            <w:gridSpan w:val="2"/>
          </w:tcPr>
          <w:p>
            <w:pPr>
              <w:jc w:val="right"/>
              <w:spacing w:after="0"/>
              <w:rPr>
                <w:sz w:val="20"/>
                <w:szCs w:val="20"/>
                <w:color w:val="auto"/>
              </w:rPr>
            </w:pPr>
            <w:r>
              <w:rPr>
                <w:rFonts w:ascii="Calibri" w:cs="Calibri" w:eastAsia="Calibri" w:hAnsi="Calibri"/>
                <w:sz w:val="20"/>
                <w:szCs w:val="20"/>
                <w:color w:val="auto"/>
              </w:rPr>
              <w:t>61.9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61.6</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62.0</w:t>
            </w:r>
          </w:p>
        </w:tc>
      </w:tr>
      <w:tr>
        <w:trPr>
          <w:trHeight w:val="270"/>
        </w:trPr>
        <w:tc>
          <w:tcPr>
            <w:tcW w:w="1200" w:type="dxa"/>
            <w:vAlign w:val="bottom"/>
          </w:tcPr>
          <w:p>
            <w:pPr>
              <w:jc w:val="right"/>
              <w:spacing w:after="0"/>
              <w:rPr>
                <w:sz w:val="20"/>
                <w:szCs w:val="20"/>
                <w:color w:val="auto"/>
              </w:rPr>
            </w:pPr>
            <w:r>
              <w:rPr>
                <w:rFonts w:ascii="Calibri" w:cs="Calibri" w:eastAsia="Calibri" w:hAnsi="Calibri"/>
                <w:sz w:val="20"/>
                <w:szCs w:val="20"/>
                <w:color w:val="auto"/>
              </w:rPr>
              <w:t>0.1</w:t>
            </w:r>
          </w:p>
        </w:tc>
        <w:tc>
          <w:tcPr>
            <w:tcW w:w="1420" w:type="dxa"/>
            <w:vAlign w:val="bottom"/>
            <w:gridSpan w:val="2"/>
          </w:tcPr>
          <w:p>
            <w:pPr>
              <w:jc w:val="right"/>
              <w:spacing w:after="0"/>
              <w:rPr>
                <w:sz w:val="20"/>
                <w:szCs w:val="20"/>
                <w:color w:val="auto"/>
              </w:rPr>
            </w:pPr>
            <w:r>
              <w:rPr>
                <w:rFonts w:ascii="Calibri" w:cs="Calibri" w:eastAsia="Calibri" w:hAnsi="Calibri"/>
                <w:sz w:val="20"/>
                <w:szCs w:val="20"/>
                <w:color w:val="auto"/>
              </w:rPr>
              <w:t>0.2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0.2</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0.2</w:t>
            </w:r>
          </w:p>
        </w:tc>
      </w:tr>
      <w:tr>
        <w:trPr>
          <w:trHeight w:val="47"/>
        </w:trPr>
        <w:tc>
          <w:tcPr>
            <w:tcW w:w="120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r>
      <w:tr>
        <w:trPr>
          <w:trHeight w:val="228"/>
        </w:trPr>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61.6</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62.1</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61.8</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62.2</w:t>
            </w:r>
          </w:p>
        </w:tc>
      </w:tr>
      <w:tr>
        <w:trPr>
          <w:trHeight w:val="36"/>
        </w:trPr>
        <w:tc>
          <w:tcPr>
            <w:tcW w:w="12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-548005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-196215</wp:posOffset>
            </wp:positionV>
            <wp:extent cx="713232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500"/>
          </w:cols>
          <w:pgMar w:left="340" w:top="753"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Page 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488315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53" w:right="339" w:bottom="1440" w:gutter="0" w:footer="0" w:header="0"/>
          <w:type w:val="continuous"/>
        </w:sectPr>
      </w:pPr>
    </w:p>
    <w:bookmarkStart w:id="12" w:name="page13"/>
    <w:bookmarkEnd w:id="1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New Accountng Pronouncements</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In November 2023, the FASB issued ASU 2023-07, </w:t>
      </w:r>
      <w:r>
        <w:rPr>
          <w:rFonts w:ascii="Calibri" w:cs="Calibri" w:eastAsia="Calibri" w:hAnsi="Calibri"/>
          <w:sz w:val="20"/>
          <w:szCs w:val="20"/>
          <w:i w:val="1"/>
          <w:iCs w:val="1"/>
          <w:color w:val="auto"/>
        </w:rPr>
        <w:t>Segment Reportng (Topic 280): Improvements to Reportable Segment Disclosures</w:t>
      </w:r>
      <w:r>
        <w:rPr>
          <w:rFonts w:ascii="Calibri" w:cs="Calibri" w:eastAsia="Calibri" w:hAnsi="Calibri"/>
          <w:sz w:val="20"/>
          <w:szCs w:val="20"/>
          <w:color w:val="auto"/>
        </w:rPr>
        <w:t>, which requires a public entty to disclose signifcant segment expenses and other segment items on an annual and interim basis and provide in interim periods all disclosures about a reportable segment’s proft or loss and assets that are currently required annually. Additonally, it requires a public entty to disclose the ttle and positon of the Chief Operatng Decision Maker. The ASU does not change how a public entty identfes its operatng segments, aggregates them, or applies the quanttatve thresholds to determine its reportable segments. The new standard is efectve for fscal years beginning afer December 15, 2023, and interim periods within fscal years beginning afer December 15, 2024, with early adopton permited. This ASU requires companies to apply retrospectvely to all prior periods presented in the fnancial statements. The ASU will impact the Company's disclosures, but will have no impact on its results of operatons, cash fows or fnancial conditon.</w:t>
      </w:r>
    </w:p>
    <w:p>
      <w:pPr>
        <w:spacing w:after="0" w:line="125"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In December 2023, the FASB issued ASU 2023-09, </w:t>
      </w:r>
      <w:r>
        <w:rPr>
          <w:rFonts w:ascii="Calibri" w:cs="Calibri" w:eastAsia="Calibri" w:hAnsi="Calibri"/>
          <w:sz w:val="20"/>
          <w:szCs w:val="20"/>
          <w:i w:val="1"/>
          <w:iCs w:val="1"/>
          <w:color w:val="auto"/>
        </w:rPr>
        <w:t>Income Taxes (Topic 740): Improvements to Income Tax Disclosures</w:t>
      </w:r>
      <w:r>
        <w:rPr>
          <w:rFonts w:ascii="Calibri" w:cs="Calibri" w:eastAsia="Calibri" w:hAnsi="Calibri"/>
          <w:sz w:val="20"/>
          <w:szCs w:val="20"/>
          <w:color w:val="auto"/>
        </w:rPr>
        <w:t>, which focuses on the rate reconciliaton and income taxes paid. ASU 2023-09 requires public enttes to disclose, on an annual basis, a tabular tax rate reconciliaton using both percentages and currency amounts, broken out into specifed categories. Certain reconciling items are further broken out by nature and jurisdicton to the extent those items exceed a specifed threshold. Additonally, all enttes are required to disclose income taxes paid, net of refunds received, disaggregated by federal, state, local, and foreign taxes and by individual jurisdicton if the amount is at least 5% of total income tax payments, net of refunds received. The ASU also requires additonal qualitatve disclosures. ASU 2023-09 is efectve prospectvely for annual periods beginning afer December 15, 2024, and early adopton and retrospectve applicaton are permited. The ASU will impact the Company's income tax disclosures, but will have no impact on its results of operatons, cash fows or fnancial conditon.</w:t>
      </w:r>
    </w:p>
    <w:p>
      <w:pPr>
        <w:spacing w:after="0" w:line="224"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Reclassifcatons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Certain reclassifcatons have been made in the Company's fnancial statements of the prior year to conform to the current-year presentaton. The reclassifcatons had no impact on the Company’s previously reported results of operatons, fnancial conditon or cash fows.</w:t>
      </w:r>
    </w:p>
    <w:p>
      <w:pPr>
        <w:spacing w:after="0" w:line="323"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 Divesttures, Discontnued Operatons and Assets and Liabilites Held for Sale</w:t>
      </w:r>
    </w:p>
    <w:p>
      <w:pPr>
        <w:spacing w:after="0" w:line="21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Revenues and pretax earnings atributable to operatons acquired in 2024 (as subsequently described) included in the Company's consolidated statements of earnings and comprehensive earnings were $83 million and $11 million, respectvely, for the three months ended June 30, 2024, and $97 million and $12 million, respectvely, for the six months ended June 30, 2024. The pretax earnings for both the quarter and year-to-date periods include a $20 million charge for the impact of selling acquired inventory afer its markup to fair value as part of acquisiton accountng for the Blue Water Industries LLC transacton.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 w:name="page14"/>
    <w:bookmarkEnd w:id="1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Albert Frei &amp; Sons, Inc. </w:t>
      </w:r>
      <w:r>
        <w:rPr>
          <w:rFonts w:ascii="Calibri" w:cs="Calibri" w:eastAsia="Calibri" w:hAnsi="Calibri"/>
          <w:sz w:val="20"/>
          <w:szCs w:val="20"/>
          <w:color w:val="auto"/>
        </w:rPr>
        <w:t>On January 12, 2024, the Company acquired Albert Frei &amp; Sons, Inc. (AFS), a leading aggregates producer in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Colorado. This acquisiton provides more than 60 years (at 2023 producton levels) of high-quality, hard rock reserves to beter serve new and existng customers and enhances the Company's aggregates platorm in the high-growth Denver metropolitan area. The Company has recorded preliminary fair values of the assets acquired and liabilites assumed, which are subject to additonal reviews that are not yet complete. Thus, these amounts are subject to change during the measurement period, which remains open as of June 30, 2024. Specifc accounts subject to ongoing purchase accountng adjustments include, but are not limited to, goodwill and deferred income taxes. The goodwill generated by the transacton is not deductble for income tax purposes. The acquisiton is reported in the Company's West Group and is immaterial for pro-forma fnancial statement disclosures.</w:t>
      </w:r>
    </w:p>
    <w:p>
      <w:pPr>
        <w:spacing w:after="0" w:line="12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Blue Water Industries LLC. </w:t>
      </w:r>
      <w:r>
        <w:rPr>
          <w:rFonts w:ascii="Calibri" w:cs="Calibri" w:eastAsia="Calibri" w:hAnsi="Calibri"/>
          <w:sz w:val="20"/>
          <w:szCs w:val="20"/>
          <w:color w:val="auto"/>
        </w:rPr>
        <w:t>On April 5, 2024, the Company completed the acquisiton of 20 actve aggregates operatons in Alabama,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South Carolina, South Florida, Tennessee, and Virginia from afliates of Blue Water Industries LLC (BWI Southeast) for $2.05 billion in cash. The BWI Southeast acquisiton complements Martn Marieta’s existng geographic footprint in the southeast region by allowing the Company to expand into new growth platorms in target markets including Tennessee and South Florida. The results from the acquired operatons are reported in the Company's East Group.</w:t>
      </w:r>
    </w:p>
    <w:p>
      <w:pPr>
        <w:spacing w:after="0" w:line="118"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Company determined the acquisiton-date fair values of assets acquired and liabilites assumed. Although the inital accountng for the business combinaton has been recorded, these amounts are subject to change during the measurement period, which extends no longer than one year from the consummaton date, based on additonal reviews. Therefore, the measurement period remains open as of June 30, 2024. Specifc accounts subject to ongoing purchase accountng adjustments include, but are not limited to, property, plant and equipment; intangible assets; goodwill; deferred income taxes; asset retrement obligatons; and other liabilites. The goodwill generated by the transacton is not deductble for income tax purposes.</w:t>
      </w:r>
    </w:p>
    <w:p>
      <w:pPr>
        <w:spacing w:after="0" w:line="120"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The following is a summary of the preliminary estmated fair values of the assets acquired and liabilites assumed as of April 5, 2024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Pr>
          <w:p>
            <w:pPr>
              <w:ind w:left="20"/>
              <w:spacing w:after="0"/>
              <w:rPr>
                <w:sz w:val="20"/>
                <w:szCs w:val="20"/>
                <w:color w:val="auto"/>
              </w:rPr>
            </w:pPr>
            <w:r>
              <w:rPr>
                <w:rFonts w:ascii="Calibri" w:cs="Calibri" w:eastAsia="Calibri" w:hAnsi="Calibri"/>
                <w:sz w:val="20"/>
                <w:szCs w:val="20"/>
                <w:color w:val="auto"/>
              </w:rPr>
              <w:t>Assets:</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
        </w:trPr>
        <w:tc>
          <w:tcPr>
            <w:tcW w:w="8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Inventories</w:t>
            </w:r>
          </w:p>
        </w:tc>
        <w:tc>
          <w:tcPr>
            <w:tcW w:w="108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w w:val="78"/>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8600" w:type="dxa"/>
            <w:vAlign w:val="bottom"/>
          </w:tcPr>
          <w:p>
            <w:pPr>
              <w:ind w:left="200"/>
              <w:spacing w:after="0" w:line="270" w:lineRule="exact"/>
              <w:rPr>
                <w:sz w:val="20"/>
                <w:szCs w:val="20"/>
                <w:color w:val="auto"/>
              </w:rPr>
            </w:pPr>
            <w:r>
              <w:rPr>
                <w:rFonts w:ascii="Calibri" w:cs="Calibri" w:eastAsia="Calibri" w:hAnsi="Calibri"/>
                <w:sz w:val="20"/>
                <w:szCs w:val="20"/>
                <w:color w:val="auto"/>
              </w:rPr>
              <w:t xml:space="preserve">Property, plant and equipment </w:t>
            </w:r>
            <w:r>
              <w:rPr>
                <w:rFonts w:ascii="Calibri" w:cs="Calibri" w:eastAsia="Calibri" w:hAnsi="Calibri"/>
                <w:sz w:val="26"/>
                <w:szCs w:val="26"/>
                <w:color w:val="auto"/>
                <w:vertAlign w:val="superscript"/>
              </w:rPr>
              <w:t>1</w:t>
            </w:r>
          </w:p>
        </w:tc>
        <w:tc>
          <w:tcPr>
            <w:tcW w:w="1080" w:type="dxa"/>
            <w:vAlign w:val="bottom"/>
          </w:tcPr>
          <w:p>
            <w:pPr>
              <w:spacing w:after="0"/>
              <w:rPr>
                <w:sz w:val="23"/>
                <w:szCs w:val="23"/>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1,961</w:t>
            </w:r>
          </w:p>
        </w:tc>
        <w:tc>
          <w:tcPr>
            <w:tcW w:w="100" w:type="dxa"/>
            <w:vAlign w:val="bottom"/>
          </w:tcPr>
          <w:p>
            <w:pPr>
              <w:spacing w:after="0"/>
              <w:rPr>
                <w:sz w:val="23"/>
                <w:szCs w:val="23"/>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Intangible assets, other than goodwill</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0"/>
              <w:spacing w:after="0" w:line="234" w:lineRule="exact"/>
              <w:rPr>
                <w:sz w:val="20"/>
                <w:szCs w:val="20"/>
                <w:color w:val="auto"/>
              </w:rPr>
            </w:pPr>
            <w:r>
              <w:rPr>
                <w:rFonts w:ascii="Calibri" w:cs="Calibri" w:eastAsia="Calibri" w:hAnsi="Calibri"/>
                <w:sz w:val="20"/>
                <w:szCs w:val="20"/>
                <w:color w:val="auto"/>
              </w:rPr>
              <w:t>Other assets</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68"/>
        </w:trPr>
        <w:tc>
          <w:tcPr>
            <w:tcW w:w="86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assets</w:t>
            </w:r>
          </w:p>
        </w:tc>
        <w:tc>
          <w:tcPr>
            <w:tcW w:w="108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2,031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86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Liabilites:</w:t>
            </w:r>
          </w:p>
        </w:tc>
        <w:tc>
          <w:tcPr>
            <w:tcW w:w="10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36"/>
        </w:trPr>
        <w:tc>
          <w:tcPr>
            <w:tcW w:w="8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Deferred income taxes</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0"/>
              <w:spacing w:after="0" w:line="234" w:lineRule="exact"/>
              <w:rPr>
                <w:sz w:val="20"/>
                <w:szCs w:val="20"/>
                <w:color w:val="auto"/>
              </w:rPr>
            </w:pPr>
            <w:r>
              <w:rPr>
                <w:rFonts w:ascii="Calibri" w:cs="Calibri" w:eastAsia="Calibri" w:hAnsi="Calibri"/>
                <w:sz w:val="20"/>
                <w:szCs w:val="20"/>
                <w:color w:val="auto"/>
              </w:rPr>
              <w:t>Asset retrement obligatons</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860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Other liabilites</w:t>
            </w:r>
          </w:p>
        </w:tc>
        <w:tc>
          <w:tcPr>
            <w:tcW w:w="108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86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liabilites</w:t>
            </w:r>
          </w:p>
        </w:tc>
        <w:tc>
          <w:tcPr>
            <w:tcW w:w="10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326</w:t>
            </w:r>
          </w:p>
        </w:tc>
        <w:tc>
          <w:tcPr>
            <w:tcW w:w="100" w:type="dxa"/>
            <w:vAlign w:val="bottom"/>
            <w:tcBorders>
              <w:top w:val="single" w:sz="8" w:color="CFF0FC"/>
            </w:tcBorders>
          </w:tcPr>
          <w:p>
            <w:pPr>
              <w:spacing w:after="0"/>
              <w:rPr>
                <w:sz w:val="19"/>
                <w:szCs w:val="19"/>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86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Net identfable assets acquired</w:t>
            </w:r>
          </w:p>
        </w:tc>
        <w:tc>
          <w:tcPr>
            <w:tcW w:w="10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600" w:type="dxa"/>
            <w:vAlign w:val="bottom"/>
          </w:tcPr>
          <w:p>
            <w:pPr>
              <w:ind w:left="20"/>
              <w:spacing w:after="0" w:line="234" w:lineRule="exact"/>
              <w:rPr>
                <w:sz w:val="20"/>
                <w:szCs w:val="20"/>
                <w:color w:val="auto"/>
              </w:rPr>
            </w:pPr>
            <w:r>
              <w:rPr>
                <w:rFonts w:ascii="Calibri" w:cs="Calibri" w:eastAsia="Calibri" w:hAnsi="Calibri"/>
                <w:sz w:val="20"/>
                <w:szCs w:val="20"/>
                <w:color w:val="auto"/>
              </w:rPr>
              <w:t>Goodwill</w:t>
            </w:r>
          </w:p>
        </w:tc>
        <w:tc>
          <w:tcPr>
            <w:tcW w:w="108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345</w:t>
            </w:r>
          </w:p>
        </w:tc>
        <w:tc>
          <w:tcPr>
            <w:tcW w:w="100" w:type="dxa"/>
            <w:vAlign w:val="bottom"/>
          </w:tcPr>
          <w:p>
            <w:pPr>
              <w:spacing w:after="0"/>
              <w:rPr>
                <w:sz w:val="20"/>
                <w:szCs w:val="20"/>
                <w:color w:val="auto"/>
              </w:rPr>
            </w:pPr>
          </w:p>
        </w:tc>
      </w:tr>
      <w:tr>
        <w:trPr>
          <w:trHeight w:val="36"/>
        </w:trPr>
        <w:tc>
          <w:tcPr>
            <w:tcW w:w="86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9"/>
        </w:trPr>
        <w:tc>
          <w:tcPr>
            <w:tcW w:w="8600" w:type="dxa"/>
            <w:vAlign w:val="bottom"/>
            <w:tcBorders>
              <w:bottom w:val="single" w:sz="8" w:color="CFF0FC"/>
            </w:tcBorders>
            <w:shd w:val="clear" w:color="auto" w:fill="CFF0FC"/>
          </w:tcPr>
          <w:p>
            <w:pPr>
              <w:ind w:left="20"/>
              <w:spacing w:after="0" w:line="230" w:lineRule="exact"/>
              <w:rPr>
                <w:sz w:val="20"/>
                <w:szCs w:val="20"/>
                <w:color w:val="auto"/>
              </w:rPr>
            </w:pPr>
            <w:r>
              <w:rPr>
                <w:rFonts w:ascii="Calibri" w:cs="Calibri" w:eastAsia="Calibri" w:hAnsi="Calibri"/>
                <w:sz w:val="20"/>
                <w:szCs w:val="20"/>
                <w:color w:val="auto"/>
              </w:rPr>
              <w:t>Total consideraton</w:t>
            </w:r>
          </w:p>
        </w:tc>
        <w:tc>
          <w:tcPr>
            <w:tcW w:w="1080" w:type="dxa"/>
            <w:vAlign w:val="bottom"/>
            <w:tcBorders>
              <w:bottom w:val="single" w:sz="8" w:color="CFF0FC"/>
            </w:tcBorders>
            <w:shd w:val="clear" w:color="auto" w:fill="CFF0FC"/>
          </w:tcPr>
          <w:p>
            <w:pPr>
              <w:jc w:val="right"/>
              <w:ind w:right="881"/>
              <w:spacing w:after="0" w:line="230" w:lineRule="exact"/>
              <w:rPr>
                <w:sz w:val="20"/>
                <w:szCs w:val="20"/>
                <w:color w:val="auto"/>
              </w:rPr>
            </w:pPr>
            <w:r>
              <w:rPr>
                <w:rFonts w:ascii="Calibri" w:cs="Calibri" w:eastAsia="Calibri" w:hAnsi="Calibri"/>
                <w:sz w:val="20"/>
                <w:szCs w:val="20"/>
                <w:color w:val="auto"/>
                <w:w w:val="78"/>
              </w:rPr>
              <w:t>$</w:t>
            </w:r>
          </w:p>
        </w:tc>
        <w:tc>
          <w:tcPr>
            <w:tcW w:w="1460" w:type="dxa"/>
            <w:vAlign w:val="bottom"/>
            <w:tcBorders>
              <w:bottom w:val="single" w:sz="8" w:color="CFF0FC"/>
            </w:tcBorders>
            <w:shd w:val="clear" w:color="auto" w:fill="CFF0FC"/>
          </w:tcPr>
          <w:p>
            <w:pPr>
              <w:jc w:val="right"/>
              <w:spacing w:after="0" w:line="230" w:lineRule="exact"/>
              <w:rPr>
                <w:sz w:val="20"/>
                <w:szCs w:val="20"/>
                <w:color w:val="auto"/>
              </w:rPr>
            </w:pPr>
            <w:r>
              <w:rPr>
                <w:rFonts w:ascii="Calibri" w:cs="Calibri" w:eastAsia="Calibri" w:hAnsi="Calibri"/>
                <w:sz w:val="20"/>
                <w:szCs w:val="20"/>
                <w:color w:val="auto"/>
              </w:rPr>
              <w:t>2,050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86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380"/>
        <w:spacing w:after="0"/>
        <w:rPr>
          <w:sz w:val="20"/>
          <w:szCs w:val="20"/>
          <w:color w:val="auto"/>
        </w:rPr>
      </w:pPr>
      <w:r>
        <w:rPr>
          <w:rFonts w:ascii="Calibri" w:cs="Calibri" w:eastAsia="Calibri" w:hAnsi="Calibri"/>
          <w:sz w:val="13"/>
          <w:szCs w:val="13"/>
          <w:color w:val="auto"/>
        </w:rPr>
        <w:t>1 Includes mineral reserves of $1.8 billion.</w:t>
      </w: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following unaudited pro forma fnancial informaton summarizes the combined results of operatons for the Company and BWI Southeast as though the companies were combined as of January 1, 2023. Consistent with the assumed acquisiton date of January 1, 2023, the pro forma fnancial results include acquisiton and integraton expenses of $22 million and the $20 million charge for selling inventory afer its markup to fair value for the six months ended June 30, 2023.</w:t>
      </w:r>
    </w:p>
    <w:p>
      <w:pPr>
        <w:spacing w:after="0" w:line="12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unaudited pro forma fnancial informaton does not purport to project the future fnancial positon or operatng results of the combined company. The following pro forma fnancial informaton is for informatonal purposes only and is not indicatve of the results of operatons that would have been achieved if the acquisiton had taken place as of January 1,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4"/>
          </w:tcPr>
          <w:p>
            <w:pPr>
              <w:jc w:val="right"/>
              <w:ind w:right="58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5"/>
          </w:tcPr>
          <w:p>
            <w:pPr>
              <w:ind w:left="460"/>
              <w:spacing w:after="0"/>
              <w:rPr>
                <w:sz w:val="20"/>
                <w:szCs w:val="20"/>
                <w:color w:val="auto"/>
              </w:rPr>
            </w:pPr>
            <w:r>
              <w:rPr>
                <w:rFonts w:ascii="Calibri" w:cs="Calibri" w:eastAsia="Calibri" w:hAnsi="Calibri"/>
                <w:sz w:val="20"/>
                <w:szCs w:val="20"/>
                <w:color w:val="auto"/>
              </w:rPr>
              <w:t>Six Months Ended</w:t>
            </w:r>
          </w:p>
        </w:tc>
      </w:tr>
      <w:tr>
        <w:trPr>
          <w:trHeight w:val="270"/>
        </w:trPr>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3"/>
          </w:tcPr>
          <w:p>
            <w:pPr>
              <w:jc w:val="right"/>
              <w:ind w:right="160"/>
              <w:spacing w:after="0"/>
              <w:rPr>
                <w:sz w:val="20"/>
                <w:szCs w:val="20"/>
                <w:color w:val="auto"/>
              </w:rPr>
            </w:pPr>
            <w:r>
              <w:rPr>
                <w:rFonts w:ascii="Calibri" w:cs="Calibri" w:eastAsia="Calibri" w:hAnsi="Calibri"/>
                <w:sz w:val="20"/>
                <w:szCs w:val="20"/>
                <w:color w:val="auto"/>
              </w:rPr>
              <w:t>June 30,</w:t>
            </w: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48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4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38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Revenues</w:t>
            </w:r>
          </w:p>
        </w:tc>
        <w:tc>
          <w:tcPr>
            <w:tcW w:w="30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1,764</w:t>
            </w:r>
          </w:p>
        </w:tc>
        <w:tc>
          <w:tcPr>
            <w:tcW w:w="640" w:type="dxa"/>
            <w:vAlign w:val="bottom"/>
            <w:tcBorders>
              <w:bottom w:val="single" w:sz="8" w:color="CFF0FC"/>
            </w:tcBorders>
            <w:gridSpan w:val="2"/>
            <w:shd w:val="clear" w:color="auto" w:fill="CFF0FC"/>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1,876</w:t>
            </w:r>
          </w:p>
        </w:tc>
        <w:tc>
          <w:tcPr>
            <w:tcW w:w="56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3,067</w:t>
            </w:r>
          </w:p>
        </w:tc>
        <w:tc>
          <w:tcPr>
            <w:tcW w:w="600" w:type="dxa"/>
            <w:vAlign w:val="bottom"/>
            <w:tcBorders>
              <w:bottom w:val="single" w:sz="8" w:color="CFF0FC"/>
            </w:tcBorders>
            <w:gridSpan w:val="2"/>
            <w:shd w:val="clear" w:color="auto" w:fill="CFF0FC"/>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0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820" w:type="dxa"/>
            <w:vAlign w:val="bottom"/>
          </w:tcPr>
          <w:p>
            <w:pPr>
              <w:ind w:left="20"/>
              <w:spacing w:after="0" w:line="232" w:lineRule="exact"/>
              <w:rPr>
                <w:sz w:val="20"/>
                <w:szCs w:val="20"/>
                <w:color w:val="auto"/>
              </w:rPr>
            </w:pPr>
            <w:r>
              <w:rPr>
                <w:rFonts w:ascii="Calibri" w:cs="Calibri" w:eastAsia="Calibri" w:hAnsi="Calibri"/>
                <w:sz w:val="20"/>
                <w:szCs w:val="20"/>
                <w:color w:val="auto"/>
              </w:rPr>
              <w:t>Net earnings from contnuing operatons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4820" w:type="dxa"/>
            <w:vAlign w:val="bottom"/>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3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324</w:t>
            </w:r>
          </w:p>
        </w:tc>
        <w:tc>
          <w:tcPr>
            <w:tcW w:w="640" w:type="dxa"/>
            <w:vAlign w:val="bottom"/>
            <w:gridSpan w:val="2"/>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342</w:t>
            </w:r>
          </w:p>
        </w:tc>
        <w:tc>
          <w:tcPr>
            <w:tcW w:w="56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1,373</w:t>
            </w:r>
          </w:p>
        </w:tc>
        <w:tc>
          <w:tcPr>
            <w:tcW w:w="600" w:type="dxa"/>
            <w:vAlign w:val="bottom"/>
            <w:gridSpan w:val="2"/>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420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Divesttures</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 xml:space="preserve">On February 9, 2024, the Company completed the sale of its South Texas cement business and certain of its related ready mixed concrete operatons to CRH Americas Materials, Inc., a subsidiary of CRH plc, for $2.1 billion in cash plus normal customary closing adjustments. Specifcally, the divested facilites included the Hunter cement plant in New Braunfels, Texas, related cement distributon terminals and 20 ready mixed concrete plants that served the Austn and San Antonio region, all of which were classifed as assets held for sale as of December 31, 2023. The divestture provided proceeds the Company used to consummate the BWI Southeast acquisiton. The transacton resulted in a pretax gain of $1.3 billion, which is included in </w:t>
      </w:r>
      <w:r>
        <w:rPr>
          <w:rFonts w:ascii="Calibri" w:cs="Calibri" w:eastAsia="Calibri" w:hAnsi="Calibri"/>
          <w:sz w:val="20"/>
          <w:szCs w:val="20"/>
          <w:i w:val="1"/>
          <w:iCs w:val="1"/>
          <w:color w:val="auto"/>
        </w:rPr>
        <w:t>Other operatng (income)</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expense, net</w:t>
      </w:r>
      <w:r>
        <w:rPr>
          <w:rFonts w:ascii="Calibri" w:cs="Calibri" w:eastAsia="Calibri" w:hAnsi="Calibri"/>
          <w:sz w:val="20"/>
          <w:szCs w:val="20"/>
          <w:color w:val="auto"/>
        </w:rPr>
        <w:t>, on the Company's consolidated statement of earnings and comprehensive earnings for the six months ended June 30,</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2024 and is exclusive of transacton expenses incurred due to the divestture. The divested operatons and the gain on divestture are reported in the West Group.</w:t>
      </w:r>
    </w:p>
    <w:p>
      <w:pPr>
        <w:spacing w:after="0" w:line="224"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Discontnued Operatons</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For the three and six months ended June 30, 2023, discontnued operatons included the Company's Tehachapi, California cement plant, which was divested in October 2023, and the Stockton, California cement import terminal, which was divested in May 2023. There were no discontnued operatons for the three and six months ended June 30, 2024.</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5" w:name="page16"/>
    <w:bookmarkEnd w:id="1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tcPr>
          <w:p>
            <w:pPr>
              <w:ind w:left="380"/>
              <w:spacing w:after="0"/>
              <w:rPr>
                <w:sz w:val="20"/>
                <w:szCs w:val="20"/>
                <w:color w:val="auto"/>
              </w:rPr>
            </w:pPr>
            <w:r>
              <w:rPr>
                <w:rFonts w:ascii="Calibri" w:cs="Calibri" w:eastAsia="Calibri" w:hAnsi="Calibri"/>
                <w:sz w:val="20"/>
                <w:szCs w:val="20"/>
                <w:color w:val="auto"/>
              </w:rPr>
              <w:t>Financial results for the Company's discontnued operatons are as follows:</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jc w:val="right"/>
              <w:ind w:right="300"/>
              <w:spacing w:after="0"/>
              <w:rPr>
                <w:sz w:val="20"/>
                <w:szCs w:val="20"/>
                <w:color w:val="auto"/>
              </w:rPr>
            </w:pPr>
            <w:r>
              <w:rPr>
                <w:rFonts w:ascii="Calibri" w:cs="Calibri" w:eastAsia="Calibri" w:hAnsi="Calibri"/>
                <w:sz w:val="20"/>
                <w:szCs w:val="20"/>
                <w:color w:val="auto"/>
              </w:rPr>
              <w:t>Three Months Ended</w:t>
            </w:r>
          </w:p>
        </w:tc>
        <w:tc>
          <w:tcPr>
            <w:tcW w:w="160" w:type="dxa"/>
            <w:vAlign w:val="bottom"/>
          </w:tcPr>
          <w:p>
            <w:pPr>
              <w:spacing w:after="0"/>
              <w:rPr>
                <w:sz w:val="24"/>
                <w:szCs w:val="24"/>
                <w:color w:val="auto"/>
              </w:rPr>
            </w:pPr>
          </w:p>
        </w:tc>
        <w:tc>
          <w:tcPr>
            <w:tcW w:w="2100" w:type="dxa"/>
            <w:vAlign w:val="bottom"/>
            <w:gridSpan w:val="3"/>
          </w:tcPr>
          <w:p>
            <w:pPr>
              <w:jc w:val="right"/>
              <w:ind w:right="360"/>
              <w:spacing w:after="0"/>
              <w:rPr>
                <w:sz w:val="20"/>
                <w:szCs w:val="20"/>
                <w:color w:val="auto"/>
              </w:rPr>
            </w:pPr>
            <w:r>
              <w:rPr>
                <w:rFonts w:ascii="Calibri" w:cs="Calibri" w:eastAsia="Calibri" w:hAnsi="Calibri"/>
                <w:sz w:val="20"/>
                <w:szCs w:val="20"/>
                <w:color w:val="auto"/>
              </w:rPr>
              <w:t>Six Months Ended</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20" w:type="dxa"/>
            <w:vAlign w:val="bottom"/>
            <w:gridSpan w:val="5"/>
          </w:tcPr>
          <w:p>
            <w:pPr>
              <w:jc w:val="right"/>
              <w:ind w:right="1121"/>
              <w:spacing w:after="0"/>
              <w:rPr>
                <w:sz w:val="20"/>
                <w:szCs w:val="20"/>
                <w:color w:val="auto"/>
              </w:rPr>
            </w:pPr>
            <w:r>
              <w:rPr>
                <w:rFonts w:ascii="Calibri" w:cs="Calibri" w:eastAsia="Calibri" w:hAnsi="Calibri"/>
                <w:sz w:val="20"/>
                <w:szCs w:val="20"/>
                <w:color w:val="auto"/>
              </w:rPr>
              <w:t>June 30, 2023</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6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20" w:type="dxa"/>
            <w:vAlign w:val="bottom"/>
            <w:gridSpan w:val="5"/>
          </w:tcPr>
          <w:p>
            <w:pPr>
              <w:jc w:val="right"/>
              <w:ind w:right="90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7"/>
        </w:trPr>
        <w:tc>
          <w:tcPr>
            <w:tcW w:w="68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Revenues</w:t>
            </w:r>
          </w:p>
        </w:tc>
        <w:tc>
          <w:tcPr>
            <w:tcW w:w="12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880" w:type="dxa"/>
            <w:vAlign w:val="bottom"/>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35</w:t>
            </w:r>
          </w:p>
        </w:tc>
        <w:tc>
          <w:tcPr>
            <w:tcW w:w="160" w:type="dxa"/>
            <w:vAlign w:val="bottom"/>
            <w:shd w:val="clear" w:color="auto" w:fill="CFF0FC"/>
          </w:tcPr>
          <w:p>
            <w:pPr>
              <w:spacing w:after="0"/>
              <w:rPr>
                <w:sz w:val="24"/>
                <w:szCs w:val="24"/>
                <w:color w:val="auto"/>
              </w:rPr>
            </w:pPr>
          </w:p>
        </w:tc>
        <w:tc>
          <w:tcPr>
            <w:tcW w:w="1780" w:type="dxa"/>
            <w:vAlign w:val="bottom"/>
            <w:gridSpan w:val="2"/>
            <w:shd w:val="clear" w:color="auto" w:fill="CFF0FC"/>
          </w:tcPr>
          <w:p>
            <w:pPr>
              <w:jc w:val="right"/>
              <w:ind w:right="1401"/>
              <w:spacing w:after="0" w:line="234" w:lineRule="exact"/>
              <w:rPr>
                <w:sz w:val="20"/>
                <w:szCs w:val="20"/>
                <w:color w:val="auto"/>
              </w:rPr>
            </w:pPr>
            <w:r>
              <w:rPr>
                <w:rFonts w:ascii="Calibri" w:cs="Calibri" w:eastAsia="Calibri" w:hAnsi="Calibri"/>
                <w:sz w:val="20"/>
                <w:szCs w:val="20"/>
                <w:color w:val="auto"/>
              </w:rPr>
              <w:t>$</w:t>
            </w:r>
          </w:p>
        </w:tc>
        <w:tc>
          <w:tcPr>
            <w:tcW w:w="3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82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Pretax loss from operatons</w:t>
            </w:r>
          </w:p>
        </w:tc>
        <w:tc>
          <w:tcPr>
            <w:tcW w:w="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2040" w:type="dxa"/>
            <w:vAlign w:val="bottom"/>
            <w:tcBorders>
              <w:bottom w:val="single" w:sz="8" w:color="CFF0FC"/>
            </w:tcBorders>
            <w:gridSpan w:val="3"/>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(1 )</w:t>
            </w:r>
          </w:p>
        </w:tc>
        <w:tc>
          <w:tcPr>
            <w:tcW w:w="1780" w:type="dxa"/>
            <w:vAlign w:val="bottom"/>
            <w:tcBorders>
              <w:bottom w:val="single" w:sz="8" w:color="CFF0FC"/>
            </w:tcBorders>
            <w:gridSpan w:val="2"/>
            <w:shd w:val="clear" w:color="auto" w:fill="CFF0FC"/>
          </w:tcPr>
          <w:p>
            <w:pPr>
              <w:jc w:val="right"/>
              <w:ind w:right="1401"/>
              <w:spacing w:after="0" w:line="234" w:lineRule="exact"/>
              <w:rPr>
                <w:sz w:val="20"/>
                <w:szCs w:val="20"/>
                <w:color w:val="auto"/>
              </w:rPr>
            </w:pPr>
            <w:r>
              <w:rPr>
                <w:rFonts w:ascii="Calibri" w:cs="Calibri" w:eastAsia="Calibri" w:hAnsi="Calibri"/>
                <w:sz w:val="20"/>
                <w:szCs w:val="20"/>
                <w:color w:val="auto"/>
              </w:rPr>
              <w:t>$</w:t>
            </w:r>
          </w:p>
        </w:tc>
        <w:tc>
          <w:tcPr>
            <w:tcW w:w="4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(18 )</w:t>
            </w:r>
          </w:p>
        </w:tc>
        <w:tc>
          <w:tcPr>
            <w:tcW w:w="0" w:type="dxa"/>
            <w:vAlign w:val="bottom"/>
          </w:tcPr>
          <w:p>
            <w:pPr>
              <w:spacing w:after="0"/>
              <w:rPr>
                <w:sz w:val="1"/>
                <w:szCs w:val="1"/>
                <w:color w:val="auto"/>
              </w:rPr>
            </w:pPr>
          </w:p>
        </w:tc>
      </w:tr>
      <w:tr>
        <w:trPr>
          <w:trHeight w:val="232"/>
        </w:trPr>
        <w:tc>
          <w:tcPr>
            <w:tcW w:w="6820" w:type="dxa"/>
            <w:vAlign w:val="bottom"/>
          </w:tcPr>
          <w:p>
            <w:pPr>
              <w:ind w:left="20"/>
              <w:spacing w:after="0" w:line="232" w:lineRule="exact"/>
              <w:rPr>
                <w:sz w:val="20"/>
                <w:szCs w:val="20"/>
                <w:color w:val="auto"/>
              </w:rPr>
            </w:pPr>
            <w:r>
              <w:rPr>
                <w:rFonts w:ascii="Calibri" w:cs="Calibri" w:eastAsia="Calibri" w:hAnsi="Calibri"/>
                <w:sz w:val="20"/>
                <w:szCs w:val="20"/>
                <w:color w:val="auto"/>
              </w:rPr>
              <w:t>Pretax gain on divesttures and sales</w:t>
            </w:r>
          </w:p>
        </w:tc>
        <w:tc>
          <w:tcPr>
            <w:tcW w:w="120" w:type="dxa"/>
            <w:vAlign w:val="bottom"/>
          </w:tcPr>
          <w:p>
            <w:pPr>
              <w:spacing w:after="0"/>
              <w:rPr>
                <w:sz w:val="20"/>
                <w:szCs w:val="20"/>
                <w:color w:val="auto"/>
              </w:rPr>
            </w:pPr>
          </w:p>
        </w:tc>
        <w:tc>
          <w:tcPr>
            <w:tcW w:w="188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Calibri" w:cs="Calibri" w:eastAsia="Calibri" w:hAnsi="Calibri"/>
                <w:sz w:val="20"/>
                <w:szCs w:val="20"/>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60"/>
              <w:spacing w:after="0" w:line="234" w:lineRule="exact"/>
              <w:rPr>
                <w:sz w:val="20"/>
                <w:szCs w:val="20"/>
                <w:color w:val="auto"/>
              </w:rPr>
            </w:pPr>
            <w:r>
              <w:rPr>
                <w:rFonts w:ascii="Calibri" w:cs="Calibri" w:eastAsia="Calibri" w:hAnsi="Calibri"/>
                <w:sz w:val="20"/>
                <w:szCs w:val="20"/>
                <w:color w:val="auto"/>
              </w:rPr>
              <w:t>of assets</w:t>
            </w:r>
          </w:p>
        </w:tc>
        <w:tc>
          <w:tcPr>
            <w:tcW w:w="12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Pretax earnings (loss)</w:t>
            </w:r>
          </w:p>
        </w:tc>
        <w:tc>
          <w:tcPr>
            <w:tcW w:w="1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gridSpan w:val="2"/>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jc w:val="right"/>
              <w:ind w:right="40"/>
              <w:spacing w:after="0" w:line="228" w:lineRule="exact"/>
              <w:rPr>
                <w:sz w:val="20"/>
                <w:szCs w:val="20"/>
                <w:color w:val="auto"/>
              </w:rPr>
            </w:pPr>
            <w:r>
              <w:rPr>
                <w:rFonts w:ascii="Calibri" w:cs="Calibri" w:eastAsia="Calibri" w:hAnsi="Calibri"/>
                <w:sz w:val="20"/>
                <w:szCs w:val="20"/>
                <w:color w:val="auto"/>
              </w:rPr>
              <w:t>(16 )</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line="236" w:lineRule="exact"/>
              <w:rPr>
                <w:sz w:val="20"/>
                <w:szCs w:val="20"/>
                <w:color w:val="auto"/>
              </w:rPr>
            </w:pPr>
            <w:r>
              <w:rPr>
                <w:rFonts w:ascii="Calibri" w:cs="Calibri" w:eastAsia="Calibri" w:hAnsi="Calibri"/>
                <w:sz w:val="20"/>
                <w:szCs w:val="20"/>
                <w:color w:val="auto"/>
              </w:rPr>
              <w:t>Income tax beneft</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w w:val="99"/>
              </w:rPr>
              <w:t>—</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(4 )</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82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Earnings (loss) from discontnued operatons,</w:t>
            </w:r>
          </w:p>
        </w:tc>
        <w:tc>
          <w:tcPr>
            <w:tcW w:w="12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w w:val="78"/>
              </w:rPr>
              <w:t>$</w:t>
            </w:r>
          </w:p>
        </w:tc>
        <w:tc>
          <w:tcPr>
            <w:tcW w:w="188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20"/>
                <w:szCs w:val="20"/>
                <w:color w:val="auto"/>
              </w:rPr>
              <w:t>1</w:t>
            </w:r>
          </w:p>
        </w:tc>
        <w:tc>
          <w:tcPr>
            <w:tcW w:w="160" w:type="dxa"/>
            <w:vAlign w:val="bottom"/>
            <w:shd w:val="clear" w:color="auto" w:fill="CFF0FC"/>
          </w:tcPr>
          <w:p>
            <w:pPr>
              <w:spacing w:after="0"/>
              <w:rPr>
                <w:sz w:val="19"/>
                <w:szCs w:val="19"/>
                <w:color w:val="auto"/>
              </w:rPr>
            </w:pPr>
          </w:p>
        </w:tc>
        <w:tc>
          <w:tcPr>
            <w:tcW w:w="160" w:type="dxa"/>
            <w:vAlign w:val="bottom"/>
            <w:vMerge w:val="restart"/>
            <w:shd w:val="clear" w:color="auto" w:fill="CFF0FC"/>
          </w:tcPr>
          <w:p>
            <w:pPr>
              <w:spacing w:after="0"/>
              <w:rPr>
                <w:sz w:val="19"/>
                <w:szCs w:val="19"/>
                <w:color w:val="auto"/>
              </w:rPr>
            </w:pPr>
          </w:p>
        </w:tc>
        <w:tc>
          <w:tcPr>
            <w:tcW w:w="1620" w:type="dxa"/>
            <w:vAlign w:val="bottom"/>
            <w:vMerge w:val="restart"/>
            <w:shd w:val="clear" w:color="auto" w:fill="CFF0FC"/>
          </w:tcPr>
          <w:p>
            <w:pPr>
              <w:jc w:val="right"/>
              <w:ind w:right="1401"/>
              <w:spacing w:after="0"/>
              <w:rPr>
                <w:sz w:val="20"/>
                <w:szCs w:val="20"/>
                <w:color w:val="auto"/>
              </w:rPr>
            </w:pPr>
            <w:r>
              <w:rPr>
                <w:rFonts w:ascii="Calibri" w:cs="Calibri" w:eastAsia="Calibri" w:hAnsi="Calibri"/>
                <w:sz w:val="20"/>
                <w:szCs w:val="20"/>
                <w:color w:val="auto"/>
                <w:w w:val="98"/>
              </w:rPr>
              <w:t>$</w:t>
            </w:r>
          </w:p>
        </w:tc>
        <w:tc>
          <w:tcPr>
            <w:tcW w:w="48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20"/>
                <w:szCs w:val="20"/>
                <w:color w:val="auto"/>
              </w:rPr>
              <w:t>(12 )</w:t>
            </w:r>
          </w:p>
        </w:tc>
        <w:tc>
          <w:tcPr>
            <w:tcW w:w="0" w:type="dxa"/>
            <w:vAlign w:val="bottom"/>
          </w:tcPr>
          <w:p>
            <w:pPr>
              <w:spacing w:after="0"/>
              <w:rPr>
                <w:sz w:val="1"/>
                <w:szCs w:val="1"/>
                <w:color w:val="auto"/>
              </w:rPr>
            </w:pPr>
          </w:p>
        </w:tc>
      </w:tr>
      <w:tr>
        <w:trPr>
          <w:trHeight w:val="257"/>
        </w:trPr>
        <w:tc>
          <w:tcPr>
            <w:tcW w:w="68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net of income tax beneft</w:t>
            </w:r>
          </w:p>
        </w:tc>
        <w:tc>
          <w:tcPr>
            <w:tcW w:w="120" w:type="dxa"/>
            <w:vAlign w:val="bottom"/>
            <w:vMerge w:val="continue"/>
            <w:shd w:val="clear" w:color="auto" w:fill="CFF0FC"/>
          </w:tcPr>
          <w:p>
            <w:pPr>
              <w:spacing w:after="0"/>
              <w:rPr>
                <w:sz w:val="22"/>
                <w:szCs w:val="22"/>
                <w:color w:val="auto"/>
              </w:rPr>
            </w:pPr>
          </w:p>
        </w:tc>
        <w:tc>
          <w:tcPr>
            <w:tcW w:w="1880" w:type="dxa"/>
            <w:vAlign w:val="bottom"/>
            <w:gridSpan w:val="2"/>
            <w:vMerge w:val="continue"/>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vMerge w:val="continue"/>
            <w:shd w:val="clear" w:color="auto" w:fill="CFF0FC"/>
          </w:tcPr>
          <w:p>
            <w:pPr>
              <w:spacing w:after="0"/>
              <w:rPr>
                <w:sz w:val="22"/>
                <w:szCs w:val="22"/>
                <w:color w:val="auto"/>
              </w:rPr>
            </w:pPr>
          </w:p>
        </w:tc>
        <w:tc>
          <w:tcPr>
            <w:tcW w:w="1620" w:type="dxa"/>
            <w:vAlign w:val="bottom"/>
            <w:vMerge w:val="continue"/>
            <w:shd w:val="clear" w:color="auto" w:fill="CFF0FC"/>
          </w:tcPr>
          <w:p>
            <w:pPr>
              <w:spacing w:after="0"/>
              <w:rPr>
                <w:sz w:val="22"/>
                <w:szCs w:val="22"/>
                <w:color w:val="auto"/>
              </w:rPr>
            </w:pPr>
          </w:p>
        </w:tc>
        <w:tc>
          <w:tcPr>
            <w:tcW w:w="480" w:type="dxa"/>
            <w:vAlign w:val="bottom"/>
            <w:gridSpan w:val="2"/>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940" w:type="dxa"/>
            <w:vAlign w:val="bottom"/>
            <w:gridSpan w:val="2"/>
          </w:tcPr>
          <w:p>
            <w:pPr>
              <w:ind w:left="380"/>
              <w:spacing w:after="0"/>
              <w:rPr>
                <w:sz w:val="20"/>
                <w:szCs w:val="20"/>
                <w:color w:val="auto"/>
              </w:rPr>
            </w:pPr>
            <w:r>
              <w:rPr>
                <w:rFonts w:ascii="Calibri" w:cs="Calibri" w:eastAsia="Calibri" w:hAnsi="Calibri"/>
                <w:sz w:val="20"/>
                <w:szCs w:val="20"/>
                <w:color w:val="auto"/>
              </w:rPr>
              <w:t>Cash fow informaton for the Company's discontnued operatons is as follows: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Calibri" w:cs="Calibri" w:eastAsia="Calibri" w:hAnsi="Calibri"/>
                <w:sz w:val="20"/>
                <w:szCs w:val="20"/>
                <w:color w:val="auto"/>
              </w:rPr>
              <w:t>Six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center"/>
              <w:ind w:right="81"/>
              <w:spacing w:after="0"/>
              <w:rPr>
                <w:sz w:val="20"/>
                <w:szCs w:val="20"/>
                <w:color w:val="auto"/>
              </w:rPr>
            </w:pPr>
            <w:r>
              <w:rPr>
                <w:rFonts w:ascii="Calibri" w:cs="Calibri" w:eastAsia="Calibri" w:hAnsi="Calibri"/>
                <w:sz w:val="20"/>
                <w:szCs w:val="20"/>
                <w:color w:val="auto"/>
                <w:w w:val="99"/>
              </w:rPr>
              <w:t>June 30, 2023</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7"/>
        </w:trPr>
        <w:tc>
          <w:tcPr>
            <w:tcW w:w="68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Net cash used for operatng actvites</w:t>
            </w:r>
          </w:p>
        </w:tc>
        <w:tc>
          <w:tcPr>
            <w:tcW w:w="120" w:type="dxa"/>
            <w:vAlign w:val="bottom"/>
            <w:shd w:val="clear" w:color="auto" w:fill="CFF0FC"/>
          </w:tcPr>
          <w:p>
            <w:pPr>
              <w:spacing w:after="0"/>
              <w:rPr>
                <w:sz w:val="24"/>
                <w:szCs w:val="24"/>
                <w:color w:val="auto"/>
              </w:rPr>
            </w:pPr>
          </w:p>
        </w:tc>
        <w:tc>
          <w:tcPr>
            <w:tcW w:w="16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shd w:val="clear" w:color="auto" w:fill="CFF0FC"/>
          </w:tcPr>
          <w:p>
            <w:pPr>
              <w:spacing w:after="0"/>
              <w:rPr>
                <w:sz w:val="24"/>
                <w:szCs w:val="24"/>
                <w:color w:val="auto"/>
              </w:rPr>
            </w:pPr>
          </w:p>
        </w:tc>
        <w:tc>
          <w:tcPr>
            <w:tcW w:w="480" w:type="dxa"/>
            <w:vAlign w:val="bottom"/>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(11 )</w:t>
            </w:r>
          </w:p>
        </w:tc>
        <w:tc>
          <w:tcPr>
            <w:tcW w:w="0" w:type="dxa"/>
            <w:vAlign w:val="bottom"/>
          </w:tcPr>
          <w:p>
            <w:pPr>
              <w:spacing w:after="0"/>
              <w:rPr>
                <w:sz w:val="1"/>
                <w:szCs w:val="1"/>
                <w:color w:val="auto"/>
              </w:rPr>
            </w:pPr>
          </w:p>
        </w:tc>
      </w:tr>
      <w:tr>
        <w:trPr>
          <w:trHeight w:val="254"/>
        </w:trPr>
        <w:tc>
          <w:tcPr>
            <w:tcW w:w="682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66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Additons to property, plant and equipment</w:t>
            </w:r>
          </w:p>
        </w:tc>
        <w:tc>
          <w:tcPr>
            <w:tcW w:w="1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gridSpan w:val="2"/>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(4 )</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line="236" w:lineRule="exact"/>
              <w:rPr>
                <w:sz w:val="20"/>
                <w:szCs w:val="20"/>
                <w:color w:val="auto"/>
              </w:rPr>
            </w:pPr>
            <w:r>
              <w:rPr>
                <w:rFonts w:ascii="Calibri" w:cs="Calibri" w:eastAsia="Calibri" w:hAnsi="Calibri"/>
                <w:sz w:val="20"/>
                <w:szCs w:val="20"/>
                <w:color w:val="auto"/>
              </w:rPr>
              <w:t>Proceeds from divesttures and sales of assets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8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Net cash provided by investng actvites</w:t>
            </w:r>
          </w:p>
        </w:tc>
        <w:tc>
          <w:tcPr>
            <w:tcW w:w="12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-3110865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-3093720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-1765300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-1748155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Assets and Liabilites Held for Sale</w:t>
      </w:r>
    </w:p>
    <w:p>
      <w:pPr>
        <w:spacing w:after="0" w:line="117" w:lineRule="exact"/>
        <w:rPr>
          <w:sz w:val="20"/>
          <w:szCs w:val="20"/>
          <w:color w:val="auto"/>
        </w:rPr>
      </w:pPr>
    </w:p>
    <w:p>
      <w:pPr>
        <w:jc w:val="both"/>
        <w:ind w:left="380" w:right="20"/>
        <w:spacing w:after="0" w:line="236" w:lineRule="auto"/>
        <w:rPr>
          <w:sz w:val="20"/>
          <w:szCs w:val="20"/>
          <w:color w:val="auto"/>
        </w:rPr>
      </w:pPr>
      <w:r>
        <w:rPr>
          <w:rFonts w:ascii="Calibri" w:cs="Calibri" w:eastAsia="Calibri" w:hAnsi="Calibri"/>
          <w:sz w:val="20"/>
          <w:szCs w:val="20"/>
          <w:color w:val="auto"/>
        </w:rPr>
        <w:t>Assets and liabilites held for sale at June 30, 2024 included certain nonoperatng land. At December 31, 2023, assets and liabilites held for sale also included the South Texas cement plant, related cement distributon terminals and 20 ready mixed concrete plants that were sold in February 2024.</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6" w:name="page17"/>
    <w:bookmarkEnd w:id="1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Pr>
          <w:p>
            <w:pPr>
              <w:ind w:left="380"/>
              <w:spacing w:after="0"/>
              <w:rPr>
                <w:sz w:val="20"/>
                <w:szCs w:val="20"/>
                <w:color w:val="auto"/>
              </w:rPr>
            </w:pPr>
            <w:r>
              <w:rPr>
                <w:rFonts w:ascii="Calibri" w:cs="Calibri" w:eastAsia="Calibri" w:hAnsi="Calibri"/>
                <w:sz w:val="20"/>
                <w:szCs w:val="20"/>
                <w:color w:val="auto"/>
              </w:rPr>
              <w:t>Assets and liabilites held for sale are as follows:</w:t>
            </w: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4"/>
        </w:trPr>
        <w:tc>
          <w:tcPr>
            <w:tcW w:w="70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color w:val="auto"/>
              </w:rPr>
              <w:t>June 30, 2024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Calibri" w:cs="Calibri" w:eastAsia="Calibri" w:hAnsi="Calibri"/>
                <w:sz w:val="20"/>
                <w:szCs w:val="20"/>
                <w:color w:val="auto"/>
              </w:rPr>
              <w:t>December 31, 2023</w:t>
            </w:r>
          </w:p>
        </w:tc>
      </w:tr>
      <w:tr>
        <w:trPr>
          <w:trHeight w:val="46"/>
        </w:trPr>
        <w:tc>
          <w:tcPr>
            <w:tcW w:w="7020" w:type="dxa"/>
            <w:vAlign w:val="bottom"/>
          </w:tcPr>
          <w:p>
            <w:pPr>
              <w:spacing w:after="0"/>
              <w:rPr>
                <w:sz w:val="4"/>
                <w:szCs w:val="4"/>
                <w:color w:val="auto"/>
              </w:rPr>
            </w:pPr>
          </w:p>
        </w:tc>
        <w:tc>
          <w:tcPr>
            <w:tcW w:w="2220" w:type="dxa"/>
            <w:vAlign w:val="bottom"/>
            <w:gridSpan w:val="3"/>
          </w:tcPr>
          <w:p>
            <w:pPr>
              <w:spacing w:after="0"/>
              <w:rPr>
                <w:sz w:val="4"/>
                <w:szCs w:val="4"/>
                <w:color w:val="auto"/>
              </w:rPr>
            </w:pPr>
          </w:p>
        </w:tc>
        <w:tc>
          <w:tcPr>
            <w:tcW w:w="1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020" w:type="dxa"/>
            <w:vAlign w:val="bottom"/>
          </w:tcPr>
          <w:p>
            <w:pPr>
              <w:spacing w:after="0"/>
              <w:rPr>
                <w:sz w:val="19"/>
                <w:szCs w:val="19"/>
                <w:color w:val="auto"/>
              </w:rPr>
            </w:pPr>
          </w:p>
        </w:tc>
        <w:tc>
          <w:tcPr>
            <w:tcW w:w="19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rPr>
              <w:t>Contnuing</w:t>
            </w:r>
          </w:p>
        </w:tc>
        <w:tc>
          <w:tcPr>
            <w:tcW w:w="300" w:type="dxa"/>
            <w:vAlign w:val="bottom"/>
          </w:tcPr>
          <w:p>
            <w:pPr>
              <w:spacing w:after="0"/>
              <w:rPr>
                <w:sz w:val="19"/>
                <w:szCs w:val="19"/>
                <w:color w:val="auto"/>
              </w:rPr>
            </w:pPr>
          </w:p>
        </w:tc>
        <w:tc>
          <w:tcPr>
            <w:tcW w:w="11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Operatons</w:t>
            </w: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3380" w:type="dxa"/>
            <w:vAlign w:val="bottom"/>
            <w:tcBorders>
              <w:bottom w:val="single" w:sz="8" w:color="auto"/>
            </w:tcBorders>
            <w:gridSpan w:val="4"/>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020" w:type="dxa"/>
            <w:vAlign w:val="bottom"/>
          </w:tcPr>
          <w:p>
            <w:pPr>
              <w:spacing w:after="0"/>
              <w:rPr>
                <w:sz w:val="19"/>
                <w:szCs w:val="19"/>
                <w:color w:val="auto"/>
              </w:rPr>
            </w:pPr>
          </w:p>
        </w:tc>
        <w:tc>
          <w:tcPr>
            <w:tcW w:w="3380" w:type="dxa"/>
            <w:vAlign w:val="bottom"/>
            <w:gridSpan w:val="4"/>
          </w:tcPr>
          <w:p>
            <w:pPr>
              <w:ind w:left="126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Inventories, net</w:t>
            </w:r>
          </w:p>
        </w:tc>
        <w:tc>
          <w:tcPr>
            <w:tcW w:w="1600" w:type="dxa"/>
            <w:vAlign w:val="bottom"/>
            <w:tcBorders>
              <w:bottom w:val="single" w:sz="8" w:color="CFF0FC"/>
            </w:tcBorders>
            <w:shd w:val="clear" w:color="auto" w:fill="CFF0FC"/>
          </w:tcPr>
          <w:p>
            <w:pPr>
              <w:jc w:val="right"/>
              <w:ind w:right="1401"/>
              <w:spacing w:after="0" w:line="234" w:lineRule="exact"/>
              <w:rPr>
                <w:sz w:val="20"/>
                <w:szCs w:val="20"/>
                <w:color w:val="auto"/>
              </w:rPr>
            </w:pPr>
            <w:r>
              <w:rPr>
                <w:rFonts w:ascii="Calibri" w:cs="Calibri" w:eastAsia="Calibri" w:hAnsi="Calibri"/>
                <w:sz w:val="20"/>
                <w:szCs w:val="20"/>
                <w:color w:val="auto"/>
                <w:w w:val="78"/>
              </w:rPr>
              <w:t>$</w:t>
            </w:r>
          </w:p>
        </w:tc>
        <w:tc>
          <w:tcPr>
            <w:tcW w:w="3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tcBorders>
              <w:bottom w:val="single" w:sz="8" w:color="CFF0FC"/>
            </w:tcBorders>
            <w:gridSpan w:val="2"/>
            <w:shd w:val="clear" w:color="auto" w:fill="CFF0FC"/>
          </w:tcPr>
          <w:p>
            <w:pPr>
              <w:ind w:left="320"/>
              <w:spacing w:after="0" w:line="234" w:lineRule="exact"/>
              <w:rPr>
                <w:sz w:val="20"/>
                <w:szCs w:val="20"/>
                <w:color w:val="auto"/>
              </w:rPr>
            </w:pPr>
            <w:r>
              <w:rPr>
                <w:rFonts w:ascii="Calibri" w:cs="Calibri" w:eastAsia="Calibri" w:hAnsi="Calibri"/>
                <w:sz w:val="20"/>
                <w:szCs w:val="20"/>
                <w:color w:val="auto"/>
              </w:rPr>
              <w:t>$</w:t>
            </w: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Investment land</w:t>
            </w:r>
          </w:p>
        </w:tc>
        <w:tc>
          <w:tcPr>
            <w:tcW w:w="1600" w:type="dxa"/>
            <w:vAlign w:val="bottom"/>
          </w:tcPr>
          <w:p>
            <w:pPr>
              <w:spacing w:after="0"/>
              <w:rPr>
                <w:sz w:val="20"/>
                <w:szCs w:val="20"/>
                <w:color w:val="auto"/>
              </w:rPr>
            </w:pP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18</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Other assets</w:t>
            </w:r>
          </w:p>
        </w:tc>
        <w:tc>
          <w:tcPr>
            <w:tcW w:w="16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Property, plant and equipment</w:t>
            </w:r>
          </w:p>
        </w:tc>
        <w:tc>
          <w:tcPr>
            <w:tcW w:w="1600" w:type="dxa"/>
            <w:vAlign w:val="bottom"/>
          </w:tcPr>
          <w:p>
            <w:pPr>
              <w:spacing w:after="0"/>
              <w:rPr>
                <w:sz w:val="20"/>
                <w:szCs w:val="20"/>
                <w:color w:val="auto"/>
              </w:rPr>
            </w:pP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Intangible assets, excluding goodwill</w:t>
            </w:r>
          </w:p>
        </w:tc>
        <w:tc>
          <w:tcPr>
            <w:tcW w:w="16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Operatng lease right-of-use assets</w:t>
            </w:r>
          </w:p>
        </w:tc>
        <w:tc>
          <w:tcPr>
            <w:tcW w:w="1600" w:type="dxa"/>
            <w:vAlign w:val="bottom"/>
          </w:tcPr>
          <w:p>
            <w:pPr>
              <w:spacing w:after="0"/>
              <w:rPr>
                <w:sz w:val="20"/>
                <w:szCs w:val="20"/>
                <w:color w:val="auto"/>
              </w:rPr>
            </w:pP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100" w:type="dxa"/>
            <w:vAlign w:val="bottom"/>
          </w:tcPr>
          <w:p>
            <w:pPr>
              <w:spacing w:after="0"/>
              <w:rPr>
                <w:sz w:val="20"/>
                <w:szCs w:val="20"/>
                <w:color w:val="auto"/>
              </w:rPr>
            </w:pPr>
          </w:p>
        </w:tc>
      </w:tr>
      <w:tr>
        <w:trPr>
          <w:trHeight w:val="36"/>
        </w:trPr>
        <w:tc>
          <w:tcPr>
            <w:tcW w:w="7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0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Goodwill</w:t>
            </w:r>
          </w:p>
        </w:tc>
        <w:tc>
          <w:tcPr>
            <w:tcW w:w="16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1"/>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assets held for sale</w:t>
            </w:r>
          </w:p>
        </w:tc>
        <w:tc>
          <w:tcPr>
            <w:tcW w:w="1600" w:type="dxa"/>
            <w:vAlign w:val="bottom"/>
            <w:tcBorders>
              <w:top w:val="single" w:sz="8" w:color="auto"/>
              <w:bottom w:val="single" w:sz="8" w:color="auto"/>
            </w:tcBorders>
          </w:tcPr>
          <w:p>
            <w:pPr>
              <w:jc w:val="right"/>
              <w:ind w:right="1401"/>
              <w:spacing w:after="0" w:line="234" w:lineRule="exact"/>
              <w:rPr>
                <w:sz w:val="20"/>
                <w:szCs w:val="20"/>
                <w:color w:val="auto"/>
              </w:rPr>
            </w:pPr>
            <w:r>
              <w:rPr>
                <w:rFonts w:ascii="Calibri" w:cs="Calibri" w:eastAsia="Calibri" w:hAnsi="Calibri"/>
                <w:sz w:val="20"/>
                <w:szCs w:val="20"/>
                <w:color w:val="auto"/>
                <w:w w:val="78"/>
              </w:rPr>
              <w:t>$</w:t>
            </w:r>
          </w:p>
        </w:tc>
        <w:tc>
          <w:tcPr>
            <w:tcW w:w="3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10</w:t>
            </w:r>
          </w:p>
        </w:tc>
        <w:tc>
          <w:tcPr>
            <w:tcW w:w="300" w:type="dxa"/>
            <w:vAlign w:val="bottom"/>
          </w:tcPr>
          <w:p>
            <w:pPr>
              <w:spacing w:after="0"/>
              <w:rPr>
                <w:sz w:val="22"/>
                <w:szCs w:val="22"/>
                <w:color w:val="auto"/>
              </w:rPr>
            </w:pPr>
          </w:p>
        </w:tc>
        <w:tc>
          <w:tcPr>
            <w:tcW w:w="116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7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807</w:t>
            </w:r>
          </w:p>
        </w:tc>
        <w:tc>
          <w:tcPr>
            <w:tcW w:w="100" w:type="dxa"/>
            <w:vAlign w:val="bottom"/>
          </w:tcPr>
          <w:p>
            <w:pPr>
              <w:spacing w:after="0"/>
              <w:rPr>
                <w:sz w:val="22"/>
                <w:szCs w:val="22"/>
                <w:color w:val="auto"/>
              </w:rPr>
            </w:pPr>
          </w:p>
        </w:tc>
      </w:tr>
      <w:tr>
        <w:trPr>
          <w:trHeight w:val="20"/>
        </w:trPr>
        <w:tc>
          <w:tcPr>
            <w:tcW w:w="7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7020" w:type="dxa"/>
            <w:vAlign w:val="bottom"/>
            <w:shd w:val="clear" w:color="auto" w:fill="CFF0FC"/>
          </w:tcPr>
          <w:p>
            <w:pPr>
              <w:spacing w:after="0"/>
              <w:rPr>
                <w:sz w:val="22"/>
                <w:szCs w:val="22"/>
                <w:color w:val="auto"/>
              </w:rPr>
            </w:pPr>
          </w:p>
        </w:tc>
        <w:tc>
          <w:tcPr>
            <w:tcW w:w="1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7020" w:type="dxa"/>
            <w:vAlign w:val="bottom"/>
          </w:tcPr>
          <w:p>
            <w:pPr>
              <w:ind w:left="20"/>
              <w:spacing w:after="0" w:line="234" w:lineRule="exact"/>
              <w:rPr>
                <w:sz w:val="20"/>
                <w:szCs w:val="20"/>
                <w:color w:val="auto"/>
              </w:rPr>
            </w:pPr>
            <w:r>
              <w:rPr>
                <w:rFonts w:ascii="Calibri" w:cs="Calibri" w:eastAsia="Calibri" w:hAnsi="Calibri"/>
                <w:sz w:val="20"/>
                <w:szCs w:val="20"/>
                <w:color w:val="auto"/>
              </w:rPr>
              <w:t>Lease obligatons</w:t>
            </w:r>
          </w:p>
        </w:tc>
        <w:tc>
          <w:tcPr>
            <w:tcW w:w="1600" w:type="dxa"/>
            <w:vAlign w:val="bottom"/>
          </w:tcPr>
          <w:p>
            <w:pPr>
              <w:jc w:val="right"/>
              <w:ind w:right="1401"/>
              <w:spacing w:after="0" w:line="234" w:lineRule="exact"/>
              <w:rPr>
                <w:sz w:val="20"/>
                <w:szCs w:val="20"/>
                <w:color w:val="auto"/>
              </w:rPr>
            </w:pPr>
            <w:r>
              <w:rPr>
                <w:rFonts w:ascii="Calibri" w:cs="Calibri" w:eastAsia="Calibri" w:hAnsi="Calibri"/>
                <w:sz w:val="20"/>
                <w:szCs w:val="20"/>
                <w:color w:val="auto"/>
                <w:w w:val="78"/>
              </w:rPr>
              <w:t>$</w:t>
            </w: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460" w:type="dxa"/>
            <w:vAlign w:val="bottom"/>
            <w:gridSpan w:val="2"/>
          </w:tcPr>
          <w:p>
            <w:pPr>
              <w:ind w:left="320"/>
              <w:spacing w:after="0" w:line="234" w:lineRule="exact"/>
              <w:rPr>
                <w:sz w:val="20"/>
                <w:szCs w:val="20"/>
                <w:color w:val="auto"/>
              </w:rPr>
            </w:pPr>
            <w:r>
              <w:rPr>
                <w:rFonts w:ascii="Calibri" w:cs="Calibri" w:eastAsia="Calibri" w:hAnsi="Calibri"/>
                <w:sz w:val="20"/>
                <w:szCs w:val="20"/>
                <w:color w:val="auto"/>
              </w:rPr>
              <w:t>$</w:t>
            </w:r>
          </w:p>
        </w:tc>
        <w:tc>
          <w:tcPr>
            <w:tcW w:w="84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(16 )</w:t>
            </w:r>
          </w:p>
        </w:tc>
      </w:tr>
      <w:tr>
        <w:trPr>
          <w:trHeight w:val="36"/>
        </w:trPr>
        <w:tc>
          <w:tcPr>
            <w:tcW w:w="7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02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Asset retrement obligatons</w:t>
            </w:r>
          </w:p>
        </w:tc>
        <w:tc>
          <w:tcPr>
            <w:tcW w:w="16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(2 )</w:t>
            </w:r>
          </w:p>
        </w:tc>
      </w:tr>
      <w:tr>
        <w:trPr>
          <w:trHeight w:val="20"/>
        </w:trPr>
        <w:tc>
          <w:tcPr>
            <w:tcW w:w="70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7020" w:type="dxa"/>
            <w:vAlign w:val="bottom"/>
          </w:tcPr>
          <w:p>
            <w:pPr>
              <w:ind w:left="20"/>
              <w:spacing w:after="0"/>
              <w:rPr>
                <w:sz w:val="20"/>
                <w:szCs w:val="20"/>
                <w:color w:val="auto"/>
              </w:rPr>
            </w:pPr>
            <w:r>
              <w:rPr>
                <w:rFonts w:ascii="Calibri" w:cs="Calibri" w:eastAsia="Calibri" w:hAnsi="Calibri"/>
                <w:sz w:val="20"/>
                <w:szCs w:val="20"/>
                <w:color w:val="auto"/>
              </w:rPr>
              <w:t>Total current liabilites held for sale</w:t>
            </w:r>
          </w:p>
        </w:tc>
        <w:tc>
          <w:tcPr>
            <w:tcW w:w="1600" w:type="dxa"/>
            <w:vAlign w:val="bottom"/>
          </w:tcPr>
          <w:p>
            <w:pPr>
              <w:jc w:val="right"/>
              <w:ind w:right="1401"/>
              <w:spacing w:after="0" w:line="234" w:lineRule="exact"/>
              <w:rPr>
                <w:sz w:val="20"/>
                <w:szCs w:val="20"/>
                <w:color w:val="auto"/>
              </w:rPr>
            </w:pPr>
            <w:r>
              <w:rPr>
                <w:rFonts w:ascii="Calibri" w:cs="Calibri" w:eastAsia="Calibri" w:hAnsi="Calibri"/>
                <w:sz w:val="20"/>
                <w:szCs w:val="20"/>
                <w:color w:val="auto"/>
                <w:w w:val="78"/>
              </w:rPr>
              <w:t>$</w:t>
            </w: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2"/>
                <w:szCs w:val="22"/>
                <w:color w:val="auto"/>
              </w:rPr>
            </w:pPr>
          </w:p>
        </w:tc>
        <w:tc>
          <w:tcPr>
            <w:tcW w:w="1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84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(18 )</w:t>
            </w:r>
          </w:p>
        </w:tc>
      </w:tr>
      <w:tr>
        <w:trPr>
          <w:trHeight w:val="20"/>
        </w:trPr>
        <w:tc>
          <w:tcPr>
            <w:tcW w:w="70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-205105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ind w:left="380" w:hanging="372"/>
        <w:spacing w:after="0"/>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Goodwill and Other Intangibles</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shows the changes in goodwill by reportable segment and in total:</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Calibri" w:cs="Calibri" w:eastAsia="Calibri" w:hAnsi="Calibri"/>
                <w:sz w:val="20"/>
                <w:szCs w:val="20"/>
                <w:color w:val="auto"/>
              </w:rPr>
              <w:t>East</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9"/>
              </w:rPr>
              <w:t>West</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0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Group</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center"/>
              <w:ind w:right="580"/>
              <w:spacing w:after="0"/>
              <w:rPr>
                <w:sz w:val="20"/>
                <w:szCs w:val="20"/>
                <w:color w:val="auto"/>
              </w:rPr>
            </w:pPr>
            <w:r>
              <w:rPr>
                <w:rFonts w:ascii="Calibri" w:cs="Calibri" w:eastAsia="Calibri" w:hAnsi="Calibri"/>
                <w:sz w:val="20"/>
                <w:szCs w:val="20"/>
                <w:color w:val="auto"/>
                <w:w w:val="97"/>
              </w:rPr>
              <w:t>Group</w:t>
            </w:r>
          </w:p>
        </w:tc>
        <w:tc>
          <w:tcPr>
            <w:tcW w:w="3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Calibri" w:cs="Calibri" w:eastAsia="Calibri" w:hAnsi="Calibri"/>
                <w:sz w:val="20"/>
                <w:szCs w:val="20"/>
                <w:color w:val="auto"/>
              </w:rPr>
              <w:t>Total</w:t>
            </w:r>
          </w:p>
        </w:tc>
      </w:tr>
      <w:tr>
        <w:trPr>
          <w:trHeight w:val="46"/>
        </w:trPr>
        <w:tc>
          <w:tcPr>
            <w:tcW w:w="60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94"/>
              </w:rPr>
              <w:t>(Dollars in Millions)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Balance at January 1, 2024</w:t>
            </w:r>
          </w:p>
        </w:tc>
        <w:tc>
          <w:tcPr>
            <w:tcW w:w="1040" w:type="dxa"/>
            <w:vAlign w:val="bottom"/>
            <w:tcBorders>
              <w:bottom w:val="single" w:sz="8" w:color="CFF0FC"/>
            </w:tcBorders>
            <w:shd w:val="clear" w:color="auto" w:fill="CFF0FC"/>
          </w:tcPr>
          <w:p>
            <w:pPr>
              <w:jc w:val="right"/>
              <w:ind w:right="821"/>
              <w:spacing w:after="0" w:line="234" w:lineRule="exact"/>
              <w:rPr>
                <w:sz w:val="20"/>
                <w:szCs w:val="20"/>
                <w:color w:val="auto"/>
              </w:rPr>
            </w:pPr>
            <w:r>
              <w:rPr>
                <w:rFonts w:ascii="Calibri" w:cs="Calibri" w:eastAsia="Calibri" w:hAnsi="Calibri"/>
                <w:sz w:val="20"/>
                <w:szCs w:val="20"/>
                <w:color w:val="auto"/>
                <w:w w:val="98"/>
              </w:rPr>
              <w:t>$</w:t>
            </w:r>
          </w:p>
        </w:tc>
        <w:tc>
          <w:tcPr>
            <w:tcW w:w="5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764</w:t>
            </w:r>
          </w:p>
        </w:tc>
        <w:tc>
          <w:tcPr>
            <w:tcW w:w="56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2,625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21"/>
              <w:spacing w:after="0" w:line="234"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060" w:type="dxa"/>
            <w:vAlign w:val="bottom"/>
          </w:tcPr>
          <w:p>
            <w:pPr>
              <w:ind w:left="20"/>
              <w:spacing w:after="0" w:line="234" w:lineRule="exact"/>
              <w:rPr>
                <w:sz w:val="20"/>
                <w:szCs w:val="20"/>
                <w:color w:val="auto"/>
              </w:rPr>
            </w:pPr>
            <w:r>
              <w:rPr>
                <w:rFonts w:ascii="Calibri" w:cs="Calibri" w:eastAsia="Calibri" w:hAnsi="Calibri"/>
                <w:sz w:val="20"/>
                <w:szCs w:val="20"/>
                <w:color w:val="auto"/>
              </w:rPr>
              <w:t>Acquisitons</w:t>
            </w:r>
          </w:p>
        </w:tc>
        <w:tc>
          <w:tcPr>
            <w:tcW w:w="1040" w:type="dxa"/>
            <w:vAlign w:val="bottom"/>
          </w:tcPr>
          <w:p>
            <w:pPr>
              <w:spacing w:after="0"/>
              <w:rPr>
                <w:sz w:val="20"/>
                <w:szCs w:val="20"/>
                <w:color w:val="auto"/>
              </w:rPr>
            </w:pPr>
          </w:p>
        </w:tc>
        <w:tc>
          <w:tcPr>
            <w:tcW w:w="500" w:type="dxa"/>
            <w:vAlign w:val="bottom"/>
          </w:tcPr>
          <w:p>
            <w:pPr>
              <w:jc w:val="right"/>
              <w:spacing w:after="0" w:line="234" w:lineRule="exact"/>
              <w:rPr>
                <w:sz w:val="20"/>
                <w:szCs w:val="20"/>
                <w:color w:val="auto"/>
              </w:rPr>
            </w:pPr>
            <w:r>
              <w:rPr>
                <w:rFonts w:ascii="Calibri" w:cs="Calibri" w:eastAsia="Calibri" w:hAnsi="Calibri"/>
                <w:sz w:val="20"/>
                <w:szCs w:val="20"/>
                <w:color w:val="auto"/>
              </w:rPr>
              <w:t>345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108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453</w:t>
            </w:r>
          </w:p>
        </w:tc>
        <w:tc>
          <w:tcPr>
            <w:tcW w:w="100" w:type="dxa"/>
            <w:vAlign w:val="bottom"/>
          </w:tcPr>
          <w:p>
            <w:pPr>
              <w:spacing w:after="0"/>
              <w:rPr>
                <w:sz w:val="20"/>
                <w:szCs w:val="20"/>
                <w:color w:val="auto"/>
              </w:rPr>
            </w:pPr>
          </w:p>
        </w:tc>
      </w:tr>
      <w:tr>
        <w:trPr>
          <w:trHeight w:val="36"/>
        </w:trPr>
        <w:tc>
          <w:tcPr>
            <w:tcW w:w="6060" w:type="dxa"/>
            <w:vAlign w:val="bottom"/>
            <w:tcBorders>
              <w:bottom w:val="single" w:sz="8" w:color="CFF0FC"/>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88"/>
        </w:trPr>
        <w:tc>
          <w:tcPr>
            <w:tcW w:w="606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20"/>
                <w:szCs w:val="20"/>
                <w:color w:val="auto"/>
              </w:rPr>
              <w:t>Balance at June 30, 2024</w:t>
            </w:r>
          </w:p>
        </w:tc>
        <w:tc>
          <w:tcPr>
            <w:tcW w:w="1040" w:type="dxa"/>
            <w:vAlign w:val="bottom"/>
            <w:tcBorders>
              <w:bottom w:val="single" w:sz="8" w:color="CFF0FC"/>
            </w:tcBorders>
            <w:shd w:val="clear" w:color="auto" w:fill="CFF0FC"/>
          </w:tcPr>
          <w:p>
            <w:pPr>
              <w:jc w:val="right"/>
              <w:ind w:right="821"/>
              <w:spacing w:after="0" w:line="228" w:lineRule="exact"/>
              <w:rPr>
                <w:sz w:val="20"/>
                <w:szCs w:val="20"/>
                <w:color w:val="auto"/>
              </w:rPr>
            </w:pPr>
            <w:r>
              <w:rPr>
                <w:rFonts w:ascii="Calibri" w:cs="Calibri" w:eastAsia="Calibri" w:hAnsi="Calibri"/>
                <w:sz w:val="20"/>
                <w:szCs w:val="20"/>
                <w:color w:val="auto"/>
                <w:w w:val="98"/>
              </w:rPr>
              <w:t>$</w:t>
            </w:r>
          </w:p>
        </w:tc>
        <w:tc>
          <w:tcPr>
            <w:tcW w:w="5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1,109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2,733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21"/>
              <w:spacing w:after="0" w:line="228"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3,842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-205105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Pr>
          <w:p>
            <w:pPr>
              <w:ind w:left="380"/>
              <w:spacing w:after="0"/>
              <w:rPr>
                <w:sz w:val="20"/>
                <w:szCs w:val="20"/>
                <w:color w:val="auto"/>
              </w:rPr>
            </w:pPr>
            <w:r>
              <w:rPr>
                <w:rFonts w:ascii="Calibri" w:cs="Calibri" w:eastAsia="Calibri" w:hAnsi="Calibri"/>
                <w:sz w:val="20"/>
                <w:szCs w:val="20"/>
                <w:color w:val="auto"/>
              </w:rPr>
              <w:t>Intangible assets acquired during 2024 are as follows:</w:t>
            </w: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7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center"/>
              <w:ind w:left="41"/>
              <w:spacing w:after="0"/>
              <w:rPr>
                <w:sz w:val="20"/>
                <w:szCs w:val="20"/>
                <w:color w:val="auto"/>
              </w:rPr>
            </w:pPr>
            <w:r>
              <w:rPr>
                <w:rFonts w:ascii="Calibri" w:cs="Calibri" w:eastAsia="Calibri" w:hAnsi="Calibri"/>
                <w:sz w:val="20"/>
                <w:szCs w:val="20"/>
                <w:color w:val="auto"/>
                <w:w w:val="98"/>
              </w:rPr>
              <w:t>Weighted-average</w:t>
            </w:r>
          </w:p>
        </w:tc>
        <w:tc>
          <w:tcPr>
            <w:tcW w:w="0" w:type="dxa"/>
            <w:vAlign w:val="bottom"/>
          </w:tcPr>
          <w:p>
            <w:pPr>
              <w:spacing w:after="0"/>
              <w:rPr>
                <w:sz w:val="1"/>
                <w:szCs w:val="1"/>
                <w:color w:val="auto"/>
              </w:rPr>
            </w:pPr>
          </w:p>
        </w:tc>
      </w:tr>
      <w:tr>
        <w:trPr>
          <w:trHeight w:val="257"/>
        </w:trPr>
        <w:tc>
          <w:tcPr>
            <w:tcW w:w="7220" w:type="dxa"/>
            <w:vAlign w:val="bottom"/>
          </w:tcPr>
          <w:p>
            <w:pPr>
              <w:ind w:left="20"/>
              <w:spacing w:after="0"/>
              <w:rPr>
                <w:sz w:val="20"/>
                <w:szCs w:val="20"/>
                <w:color w:val="auto"/>
              </w:rPr>
            </w:pPr>
            <w:r>
              <w:rPr>
                <w:rFonts w:ascii="Calibri" w:cs="Calibri" w:eastAsia="Calibri" w:hAnsi="Calibri"/>
                <w:sz w:val="20"/>
                <w:szCs w:val="20"/>
                <w:i w:val="1"/>
                <w:iCs w:val="1"/>
                <w:color w:val="auto"/>
              </w:rPr>
              <w:t>(Dollars in Millions)</w:t>
            </w:r>
          </w:p>
        </w:tc>
        <w:tc>
          <w:tcPr>
            <w:tcW w:w="140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Amount</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Pr>
          <w:p>
            <w:pPr>
              <w:jc w:val="center"/>
              <w:ind w:left="81"/>
              <w:spacing w:after="0" w:line="243" w:lineRule="exact"/>
              <w:rPr>
                <w:sz w:val="20"/>
                <w:szCs w:val="20"/>
                <w:color w:val="auto"/>
              </w:rPr>
            </w:pPr>
            <w:r>
              <w:rPr>
                <w:rFonts w:ascii="Calibri" w:cs="Calibri" w:eastAsia="Calibri" w:hAnsi="Calibri"/>
                <w:sz w:val="20"/>
                <w:szCs w:val="20"/>
                <w:color w:val="auto"/>
              </w:rPr>
              <w:t>amortzaton period</w:t>
            </w:r>
          </w:p>
        </w:tc>
        <w:tc>
          <w:tcPr>
            <w:tcW w:w="0" w:type="dxa"/>
            <w:vAlign w:val="bottom"/>
          </w:tcPr>
          <w:p>
            <w:pPr>
              <w:spacing w:after="0"/>
              <w:rPr>
                <w:sz w:val="1"/>
                <w:szCs w:val="1"/>
                <w:color w:val="auto"/>
              </w:rPr>
            </w:pPr>
          </w:p>
        </w:tc>
      </w:tr>
      <w:tr>
        <w:trPr>
          <w:trHeight w:val="33"/>
        </w:trPr>
        <w:tc>
          <w:tcPr>
            <w:tcW w:w="7220" w:type="dxa"/>
            <w:vAlign w:val="bottom"/>
            <w:vMerge w:val="restart"/>
          </w:tcPr>
          <w:p>
            <w:pPr>
              <w:ind w:left="20"/>
              <w:spacing w:after="0"/>
              <w:rPr>
                <w:sz w:val="20"/>
                <w:szCs w:val="20"/>
                <w:color w:val="auto"/>
              </w:rPr>
            </w:pPr>
            <w:r>
              <w:rPr>
                <w:rFonts w:ascii="Calibri" w:cs="Calibri" w:eastAsia="Calibri" w:hAnsi="Calibri"/>
                <w:sz w:val="20"/>
                <w:szCs w:val="20"/>
                <w:color w:val="auto"/>
              </w:rPr>
              <w:t>Subject to amortzaton:</w:t>
            </w: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Customer relatonships</w:t>
            </w:r>
          </w:p>
        </w:tc>
        <w:tc>
          <w:tcPr>
            <w:tcW w:w="1400" w:type="dxa"/>
            <w:vAlign w:val="bottom"/>
            <w:tcBorders>
              <w:bottom w:val="single" w:sz="8" w:color="CFF0FC"/>
            </w:tcBorders>
            <w:shd w:val="clear" w:color="auto" w:fill="CFF0FC"/>
          </w:tcPr>
          <w:p>
            <w:pPr>
              <w:jc w:val="right"/>
              <w:ind w:right="118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CFF0FC"/>
            </w:tcBorders>
            <w:shd w:val="clear" w:color="auto" w:fill="CFF0FC"/>
          </w:tcPr>
          <w:p>
            <w:pPr>
              <w:jc w:val="center"/>
              <w:ind w:left="81"/>
              <w:spacing w:after="0" w:line="234" w:lineRule="exact"/>
              <w:rPr>
                <w:sz w:val="20"/>
                <w:szCs w:val="20"/>
                <w:color w:val="auto"/>
              </w:rPr>
            </w:pPr>
            <w:r>
              <w:rPr>
                <w:rFonts w:ascii="Calibri" w:cs="Calibri" w:eastAsia="Calibri" w:hAnsi="Calibri"/>
                <w:sz w:val="20"/>
                <w:szCs w:val="20"/>
                <w:color w:val="auto"/>
                <w:w w:val="99"/>
              </w:rPr>
              <w:t>12 years</w:t>
            </w:r>
          </w:p>
        </w:tc>
        <w:tc>
          <w:tcPr>
            <w:tcW w:w="0" w:type="dxa"/>
            <w:vAlign w:val="bottom"/>
          </w:tcPr>
          <w:p>
            <w:pPr>
              <w:spacing w:after="0"/>
              <w:rPr>
                <w:sz w:val="1"/>
                <w:szCs w:val="1"/>
                <w:color w:val="auto"/>
              </w:rPr>
            </w:pPr>
          </w:p>
        </w:tc>
      </w:tr>
      <w:tr>
        <w:trPr>
          <w:trHeight w:val="234"/>
        </w:trPr>
        <w:tc>
          <w:tcPr>
            <w:tcW w:w="7220" w:type="dxa"/>
            <w:vAlign w:val="bottom"/>
          </w:tcPr>
          <w:p>
            <w:pPr>
              <w:ind w:left="20"/>
              <w:spacing w:after="0" w:line="234" w:lineRule="exact"/>
              <w:rPr>
                <w:sz w:val="20"/>
                <w:szCs w:val="20"/>
                <w:color w:val="auto"/>
              </w:rPr>
            </w:pPr>
            <w:r>
              <w:rPr>
                <w:rFonts w:ascii="Calibri" w:cs="Calibri" w:eastAsia="Calibri" w:hAnsi="Calibri"/>
                <w:sz w:val="20"/>
                <w:szCs w:val="20"/>
                <w:color w:val="auto"/>
              </w:rPr>
              <w:t>Not subject to amortzaton:</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7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722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Use rights</w:t>
            </w:r>
          </w:p>
        </w:tc>
        <w:tc>
          <w:tcPr>
            <w:tcW w:w="14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20" w:type="dxa"/>
            <w:vAlign w:val="bottom"/>
            <w:tcBorders>
              <w:bottom w:val="single" w:sz="8" w:color="CFF0FC"/>
            </w:tcBorders>
            <w:shd w:val="clear" w:color="auto" w:fill="CFF0FC"/>
          </w:tcPr>
          <w:p>
            <w:pPr>
              <w:spacing w:after="0"/>
              <w:rPr>
                <w:sz w:val="23"/>
                <w:szCs w:val="23"/>
                <w:color w:val="auto"/>
              </w:rPr>
            </w:pPr>
          </w:p>
        </w:tc>
        <w:tc>
          <w:tcPr>
            <w:tcW w:w="2100" w:type="dxa"/>
            <w:vAlign w:val="bottom"/>
            <w:tcBorders>
              <w:bottom w:val="single" w:sz="8" w:color="CFF0FC"/>
            </w:tcBorders>
            <w:shd w:val="clear" w:color="auto" w:fill="CFF0FC"/>
          </w:tcPr>
          <w:p>
            <w:pPr>
              <w:jc w:val="center"/>
              <w:ind w:left="81"/>
              <w:spacing w:after="0" w:line="236" w:lineRule="exact"/>
              <w:rPr>
                <w:sz w:val="20"/>
                <w:szCs w:val="20"/>
                <w:color w:val="auto"/>
              </w:rPr>
            </w:pPr>
            <w:r>
              <w:rPr>
                <w:rFonts w:ascii="Calibri" w:cs="Calibri" w:eastAsia="Calibri" w:hAnsi="Calibri"/>
                <w:sz w:val="20"/>
                <w:szCs w:val="20"/>
                <w:color w:val="auto"/>
                <w:w w:val="99"/>
              </w:rPr>
              <w:t>N/A</w:t>
            </w:r>
          </w:p>
        </w:tc>
        <w:tc>
          <w:tcPr>
            <w:tcW w:w="0" w:type="dxa"/>
            <w:vAlign w:val="bottom"/>
          </w:tcPr>
          <w:p>
            <w:pPr>
              <w:spacing w:after="0"/>
              <w:rPr>
                <w:sz w:val="1"/>
                <w:szCs w:val="1"/>
                <w:color w:val="auto"/>
              </w:rPr>
            </w:pPr>
          </w:p>
        </w:tc>
      </w:tr>
      <w:tr>
        <w:trPr>
          <w:trHeight w:val="228"/>
        </w:trPr>
        <w:tc>
          <w:tcPr>
            <w:tcW w:w="72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1400" w:type="dxa"/>
            <w:vAlign w:val="bottom"/>
            <w:tcBorders>
              <w:top w:val="single" w:sz="8" w:color="auto"/>
            </w:tcBorders>
          </w:tcPr>
          <w:p>
            <w:pPr>
              <w:jc w:val="right"/>
              <w:ind w:right="1181"/>
              <w:spacing w:after="0" w:line="228" w:lineRule="exact"/>
              <w:rPr>
                <w:sz w:val="20"/>
                <w:szCs w:val="20"/>
                <w:color w:val="auto"/>
              </w:rPr>
            </w:pPr>
            <w:r>
              <w:rPr>
                <w:rFonts w:ascii="Calibri" w:cs="Calibri" w:eastAsia="Calibri" w:hAnsi="Calibri"/>
                <w:sz w:val="20"/>
                <w:szCs w:val="20"/>
                <w:color w:val="auto"/>
                <w:w w:val="98"/>
              </w:rPr>
              <w:t>$</w:t>
            </w:r>
          </w:p>
        </w:tc>
        <w:tc>
          <w:tcPr>
            <w:tcW w:w="4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29</w:t>
            </w:r>
          </w:p>
        </w:tc>
        <w:tc>
          <w:tcPr>
            <w:tcW w:w="120" w:type="dxa"/>
            <w:vAlign w:val="bottom"/>
            <w:tcBorders>
              <w:top w:val="single" w:sz="8" w:color="CFF0FC"/>
            </w:tcBorders>
          </w:tcPr>
          <w:p>
            <w:pPr>
              <w:spacing w:after="0"/>
              <w:rPr>
                <w:sz w:val="19"/>
                <w:szCs w:val="19"/>
                <w:color w:val="auto"/>
              </w:rPr>
            </w:pPr>
          </w:p>
        </w:tc>
        <w:tc>
          <w:tcPr>
            <w:tcW w:w="2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2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-205105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4.  Inventories, Net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99"/>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right"/>
              <w:ind w:right="801"/>
              <w:spacing w:after="0"/>
              <w:rPr>
                <w:sz w:val="20"/>
                <w:szCs w:val="20"/>
                <w:color w:val="auto"/>
              </w:rPr>
            </w:pPr>
            <w:r>
              <w:rPr>
                <w:rFonts w:ascii="Calibri" w:cs="Calibri" w:eastAsia="Calibri" w:hAnsi="Calibri"/>
                <w:sz w:val="20"/>
                <w:szCs w:val="20"/>
                <w:color w:val="auto"/>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Calibri" w:cs="Calibri" w:eastAsia="Calibri" w:hAnsi="Calibri"/>
                <w:sz w:val="20"/>
                <w:szCs w:val="20"/>
                <w:color w:val="auto"/>
              </w:rPr>
              <w:t>December 31,</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621"/>
              <w:spacing w:after="0"/>
              <w:rPr>
                <w:sz w:val="20"/>
                <w:szCs w:val="20"/>
                <w:color w:val="auto"/>
              </w:rPr>
            </w:pPr>
            <w:r>
              <w:rPr>
                <w:rFonts w:ascii="Calibri" w:cs="Calibri" w:eastAsia="Calibri" w:hAnsi="Calibri"/>
                <w:sz w:val="20"/>
                <w:szCs w:val="20"/>
                <w:color w:val="auto"/>
              </w:rPr>
              <w:t>2024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62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6"/>
        </w:trPr>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17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gridSpan w:val="2"/>
          </w:tcPr>
          <w:p>
            <w:pPr>
              <w:jc w:val="right"/>
              <w:ind w:right="21"/>
              <w:spacing w:after="0" w:line="217" w:lineRule="exact"/>
              <w:rPr>
                <w:sz w:val="20"/>
                <w:szCs w:val="20"/>
                <w:color w:val="auto"/>
              </w:rPr>
            </w:pPr>
            <w:r>
              <w:rPr>
                <w:rFonts w:ascii="Calibri" w:cs="Calibri" w:eastAsia="Calibri" w:hAnsi="Calibri"/>
                <w:sz w:val="20"/>
                <w:szCs w:val="20"/>
                <w:i w:val="1"/>
                <w:iCs w:val="1"/>
                <w:color w:val="auto"/>
              </w:rPr>
              <w:t>in</w:t>
            </w:r>
          </w:p>
        </w:tc>
        <w:tc>
          <w:tcPr>
            <w:tcW w:w="1860" w:type="dxa"/>
            <w:vAlign w:val="bottom"/>
            <w:tcBorders>
              <w:top w:val="single" w:sz="8" w:color="auto"/>
            </w:tcBorders>
            <w:gridSpan w:val="3"/>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Finished products</w:t>
            </w:r>
          </w:p>
        </w:tc>
        <w:tc>
          <w:tcPr>
            <w:tcW w:w="2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1,313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w w:val="98"/>
              </w:rPr>
              <w:t>$</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Products in process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line="234" w:lineRule="exact"/>
              <w:rPr>
                <w:sz w:val="20"/>
                <w:szCs w:val="20"/>
                <w:color w:val="auto"/>
              </w:rPr>
            </w:pPr>
            <w:r>
              <w:rPr>
                <w:rFonts w:ascii="Calibri" w:cs="Calibri" w:eastAsia="Calibri" w:hAnsi="Calibri"/>
                <w:sz w:val="20"/>
                <w:szCs w:val="20"/>
                <w:color w:val="auto"/>
              </w:rPr>
              <w:t>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25</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Raw materials</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Supplies and expendable parts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line="234" w:lineRule="exact"/>
              <w:rPr>
                <w:sz w:val="20"/>
                <w:szCs w:val="20"/>
                <w:color w:val="auto"/>
              </w:rPr>
            </w:pPr>
            <w:r>
              <w:rPr>
                <w:rFonts w:ascii="Calibri" w:cs="Calibri" w:eastAsia="Calibri" w:hAnsi="Calibri"/>
                <w:sz w:val="20"/>
                <w:szCs w:val="20"/>
                <w:color w:val="auto"/>
              </w:rPr>
              <w:t>158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155</w:t>
            </w:r>
          </w:p>
        </w:tc>
        <w:tc>
          <w:tcPr>
            <w:tcW w:w="10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1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inventories</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1,575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line="236" w:lineRule="exact"/>
              <w:rPr>
                <w:sz w:val="20"/>
                <w:szCs w:val="20"/>
                <w:color w:val="auto"/>
              </w:rPr>
            </w:pPr>
            <w:r>
              <w:rPr>
                <w:rFonts w:ascii="Calibri" w:cs="Calibri" w:eastAsia="Calibri" w:hAnsi="Calibri"/>
                <w:sz w:val="20"/>
                <w:szCs w:val="20"/>
                <w:color w:val="auto"/>
              </w:rPr>
              <w:t>Less: allowances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(470 )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(403 )</w:t>
            </w: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00"/>
        </w:trPr>
        <w:tc>
          <w:tcPr>
            <w:tcW w:w="71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Inventories, net</w:t>
            </w:r>
          </w:p>
        </w:tc>
        <w:tc>
          <w:tcPr>
            <w:tcW w:w="280" w:type="dxa"/>
            <w:vAlign w:val="bottom"/>
            <w:tcBorders>
              <w:bottom w:val="single" w:sz="8" w:color="auto"/>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22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1,105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w w:val="98"/>
              </w:rPr>
              <w:t>$</w:t>
            </w:r>
          </w:p>
        </w:tc>
        <w:tc>
          <w:tcPr>
            <w:tcW w:w="16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5.  Long-Term Debt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right"/>
              <w:ind w:right="601"/>
              <w:spacing w:after="0"/>
              <w:rPr>
                <w:sz w:val="20"/>
                <w:szCs w:val="20"/>
                <w:color w:val="auto"/>
              </w:rPr>
            </w:pPr>
            <w:r>
              <w:rPr>
                <w:rFonts w:ascii="Calibri" w:cs="Calibri" w:eastAsia="Calibri" w:hAnsi="Calibri"/>
                <w:sz w:val="20"/>
                <w:szCs w:val="20"/>
                <w:color w:val="auto"/>
              </w:rPr>
              <w:t>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380"/>
              <w:spacing w:after="0"/>
              <w:rPr>
                <w:sz w:val="20"/>
                <w:szCs w:val="20"/>
                <w:color w:val="auto"/>
              </w:rPr>
            </w:pPr>
            <w:r>
              <w:rPr>
                <w:rFonts w:ascii="Calibri" w:cs="Calibri" w:eastAsia="Calibri" w:hAnsi="Calibri"/>
                <w:sz w:val="20"/>
                <w:szCs w:val="20"/>
                <w:color w:val="auto"/>
              </w:rPr>
              <w:t>December 31,</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421"/>
              <w:spacing w:after="0"/>
              <w:rPr>
                <w:sz w:val="20"/>
                <w:szCs w:val="20"/>
                <w:color w:val="auto"/>
              </w:rPr>
            </w:pPr>
            <w:r>
              <w:rPr>
                <w:rFonts w:ascii="Calibri" w:cs="Calibri" w:eastAsia="Calibri" w:hAnsi="Calibri"/>
                <w:sz w:val="20"/>
                <w:szCs w:val="20"/>
                <w:color w:val="auto"/>
              </w:rPr>
              <w:t>2024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56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7"/>
        </w:trPr>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gridSpan w:val="4"/>
          </w:tcPr>
          <w:p>
            <w:pPr>
              <w:spacing w:after="0"/>
              <w:rPr>
                <w:sz w:val="4"/>
                <w:szCs w:val="4"/>
                <w:color w:val="auto"/>
              </w:rPr>
            </w:pPr>
          </w:p>
        </w:tc>
        <w:tc>
          <w:tcPr>
            <w:tcW w:w="1820" w:type="dxa"/>
            <w:vAlign w:val="bottom"/>
            <w:gridSpan w:val="3"/>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gridSpan w:val="2"/>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7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4.250% Senior Notes, due 2024</w:t>
            </w:r>
          </w:p>
        </w:tc>
        <w:tc>
          <w:tcPr>
            <w:tcW w:w="500" w:type="dxa"/>
            <w:vAlign w:val="bottom"/>
            <w:tcBorders>
              <w:bottom w:val="single" w:sz="8" w:color="CFF0FC"/>
            </w:tcBorders>
            <w:gridSpan w:val="2"/>
            <w:shd w:val="clear" w:color="auto" w:fill="CFF0FC"/>
          </w:tcPr>
          <w:p>
            <w:pPr>
              <w:jc w:val="right"/>
              <w:ind w:right="1"/>
              <w:spacing w:after="0" w:line="234" w:lineRule="exact"/>
              <w:rPr>
                <w:sz w:val="20"/>
                <w:szCs w:val="20"/>
                <w:color w:val="auto"/>
              </w:rPr>
            </w:pPr>
            <w:r>
              <w:rPr>
                <w:rFonts w:ascii="Calibri" w:cs="Calibri" w:eastAsia="Calibri" w:hAnsi="Calibri"/>
                <w:sz w:val="20"/>
                <w:szCs w:val="20"/>
                <w:color w:val="auto"/>
              </w:rPr>
              <w:t>$</w:t>
            </w:r>
          </w:p>
        </w:tc>
        <w:tc>
          <w:tcPr>
            <w:tcW w:w="15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gridSpan w:val="2"/>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7% Debentures, due 2025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125</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3.450% Senior Notes, due 2027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3.500% Senior Notes, due 2027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493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492</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2.500% Senior Notes, due 2030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2.400% Senior Notes, due 2031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890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890</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6.25% Senior Notes, due 2037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228</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100" w:type="dxa"/>
            <w:vAlign w:val="bottom"/>
          </w:tcPr>
          <w:p>
            <w:pPr>
              <w:ind w:left="20"/>
              <w:spacing w:after="0" w:line="234" w:lineRule="exact"/>
              <w:rPr>
                <w:sz w:val="20"/>
                <w:szCs w:val="20"/>
                <w:color w:val="auto"/>
              </w:rPr>
            </w:pPr>
            <w:r>
              <w:rPr>
                <w:rFonts w:ascii="Calibri" w:cs="Calibri" w:eastAsia="Calibri" w:hAnsi="Calibri"/>
                <w:sz w:val="20"/>
                <w:szCs w:val="20"/>
                <w:color w:val="auto"/>
              </w:rPr>
              <w:t>4.250% Senior Notes, due 2047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590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590</w:t>
            </w:r>
          </w:p>
        </w:tc>
        <w:tc>
          <w:tcPr>
            <w:tcW w:w="100" w:type="dxa"/>
            <w:vAlign w:val="bottom"/>
          </w:tcPr>
          <w:p>
            <w:pPr>
              <w:spacing w:after="0"/>
              <w:rPr>
                <w:sz w:val="20"/>
                <w:szCs w:val="20"/>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5"/>
        </w:trPr>
        <w:tc>
          <w:tcPr>
            <w:tcW w:w="710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3.200% Senior Notes, due 2051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gridSpan w:val="2"/>
            <w:shd w:val="clear" w:color="auto" w:fill="CFF0FC"/>
          </w:tcPr>
          <w:p>
            <w:pPr>
              <w:jc w:val="right"/>
              <w:spacing w:after="0" w:line="236" w:lineRule="exact"/>
              <w:rPr>
                <w:sz w:val="20"/>
                <w:szCs w:val="20"/>
                <w:color w:val="auto"/>
              </w:rPr>
            </w:pPr>
            <w:r>
              <w:rPr>
                <w:rFonts w:ascii="Calibri" w:cs="Calibri" w:eastAsia="Calibri" w:hAnsi="Calibri"/>
                <w:sz w:val="20"/>
                <w:szCs w:val="20"/>
                <w:color w:val="auto"/>
              </w:rPr>
              <w:t>850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100" w:type="dxa"/>
            <w:vAlign w:val="bottom"/>
            <w:tcBorders>
              <w:top w:val="single" w:sz="8" w:color="CFF0FC"/>
            </w:tcBorders>
          </w:tcPr>
          <w:p>
            <w:pPr>
              <w:ind w:left="20"/>
              <w:spacing w:after="0" w:line="214" w:lineRule="exact"/>
              <w:rPr>
                <w:sz w:val="20"/>
                <w:szCs w:val="20"/>
                <w:color w:val="auto"/>
              </w:rPr>
            </w:pPr>
            <w:r>
              <w:rPr>
                <w:rFonts w:ascii="Calibri" w:cs="Calibri" w:eastAsia="Calibri" w:hAnsi="Calibri"/>
                <w:sz w:val="20"/>
                <w:szCs w:val="20"/>
                <w:color w:val="auto"/>
              </w:rPr>
              <w:t>Total debt</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spacing w:after="0" w:line="221" w:lineRule="exact"/>
              <w:rPr>
                <w:sz w:val="20"/>
                <w:szCs w:val="20"/>
                <w:color w:val="auto"/>
              </w:rPr>
            </w:pPr>
            <w:r>
              <w:rPr>
                <w:rFonts w:ascii="Calibri" w:cs="Calibri" w:eastAsia="Calibri" w:hAnsi="Calibri"/>
                <w:sz w:val="20"/>
                <w:szCs w:val="20"/>
                <w:color w:val="auto"/>
              </w:rPr>
              <w:t>4,347</w:t>
            </w: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4,346</w:t>
            </w:r>
          </w:p>
        </w:tc>
        <w:tc>
          <w:tcPr>
            <w:tcW w:w="100" w:type="dxa"/>
            <w:vAlign w:val="bottom"/>
            <w:tcBorders>
              <w:top w:val="single" w:sz="8" w:color="CFF0FC"/>
            </w:tcBorders>
          </w:tcPr>
          <w:p>
            <w:pPr>
              <w:spacing w:after="0"/>
              <w:rPr>
                <w:sz w:val="19"/>
                <w:szCs w:val="19"/>
                <w:color w:val="auto"/>
              </w:rPr>
            </w:pPr>
          </w:p>
        </w:tc>
      </w:tr>
      <w:tr>
        <w:trPr>
          <w:trHeight w:val="36"/>
        </w:trPr>
        <w:tc>
          <w:tcPr>
            <w:tcW w:w="7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r>
      <w:tr>
        <w:trPr>
          <w:trHeight w:val="275"/>
        </w:trPr>
        <w:tc>
          <w:tcPr>
            <w:tcW w:w="710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Less: current maturites</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bottom w:val="single" w:sz="8" w:color="CFF0FC"/>
            </w:tcBorders>
            <w:gridSpan w:val="3"/>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(400 )</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(400 )</w:t>
            </w:r>
          </w:p>
        </w:tc>
      </w:tr>
      <w:tr>
        <w:trPr>
          <w:trHeight w:val="260"/>
        </w:trPr>
        <w:tc>
          <w:tcPr>
            <w:tcW w:w="710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Long-term debt</w:t>
            </w:r>
          </w:p>
        </w:tc>
        <w:tc>
          <w:tcPr>
            <w:tcW w:w="28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line="234" w:lineRule="exact"/>
              <w:rPr>
                <w:sz w:val="20"/>
                <w:szCs w:val="20"/>
                <w:color w:val="auto"/>
              </w:rPr>
            </w:pPr>
            <w:r>
              <w:rPr>
                <w:rFonts w:ascii="Calibri" w:cs="Calibri" w:eastAsia="Calibri" w:hAnsi="Calibri"/>
                <w:sz w:val="20"/>
                <w:szCs w:val="20"/>
                <w:color w:val="auto"/>
                <w:w w:val="98"/>
              </w:rPr>
              <w:t>$</w:t>
            </w:r>
          </w:p>
        </w:tc>
        <w:tc>
          <w:tcPr>
            <w:tcW w:w="1520" w:type="dxa"/>
            <w:vAlign w:val="bottom"/>
            <w:tcBorders>
              <w:top w:val="single" w:sz="8" w:color="auto"/>
              <w:bottom w:val="single" w:sz="8" w:color="auto"/>
            </w:tcBorders>
            <w:gridSpan w:val="2"/>
          </w:tcPr>
          <w:p>
            <w:pPr>
              <w:jc w:val="right"/>
              <w:spacing w:after="0" w:line="234" w:lineRule="exact"/>
              <w:rPr>
                <w:sz w:val="20"/>
                <w:szCs w:val="20"/>
                <w:color w:val="auto"/>
              </w:rPr>
            </w:pPr>
            <w:r>
              <w:rPr>
                <w:rFonts w:ascii="Calibri" w:cs="Calibri" w:eastAsia="Calibri" w:hAnsi="Calibri"/>
                <w:sz w:val="20"/>
                <w:szCs w:val="20"/>
                <w:color w:val="auto"/>
              </w:rPr>
              <w:t>3,947</w:t>
            </w:r>
          </w:p>
        </w:tc>
        <w:tc>
          <w:tcPr>
            <w:tcW w:w="16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3,946</w:t>
            </w:r>
          </w:p>
        </w:tc>
        <w:tc>
          <w:tcPr>
            <w:tcW w:w="100" w:type="dxa"/>
            <w:vAlign w:val="bottom"/>
            <w:tcBorders>
              <w:top w:val="single" w:sz="8" w:color="CFF0FC"/>
            </w:tcBorders>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-3256915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-3239770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-205105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4"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Company has a credit agreement with JPMorgan Chase Bank, N.A., as Administratve Agent, Deutsche Bank Securites, Inc., PNC Bank, Truist Bank and Wells Fargo Bank, N.A., as Syndicaton Agents, and the lenders party thereto (the Credit Agreement), which provides for an $800 million fve-year senior unsecured revolving facility (the Revolving Facility) with a maturity date of December 21, 2028. Borrowings under the Revolving Facility bear interest, at the Company’s opton, at rates based upon the Secured Overnight Financing Rate (SOFR) or a base rate, plus, for each rate, a margin determined in accordance with a ratngs-based pricing grid. Any outstanding principal amounts, together with interest accrued thereon, are due in full on that maturity date. There were no borrowings outstanding under the Revolving Facility as of June 30, 2024 and December 31, 2023. Available borrowings under the Revolving Facility are reduced by any outstanding leters of credit issued by the Company under the Revolving Facility. At June 30, 2024 and December 31, 2023, the Company had $3 million of outstanding leters of credit issued under the Revolving Facility.</w:t>
      </w:r>
    </w:p>
    <w:p>
      <w:pPr>
        <w:spacing w:after="0" w:line="12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any debt incurred in connecton with certain acquisitons during the quarter or three preceding</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 w:name="page19"/>
    <w:bookmarkEnd w:id="1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quarters so long as the Rato calculated without such exclusion does not exceed 4.00x. Additonally, if no amounts are outstanding under the Revolving Facility or the Company's trade receivable securitzaton facility (discussed below), consolidated debt, as defned, which includes debt for which the Company is a guarantor, shall be reduced in an amount equal to the lesser of $500 million or the sum of the Company’s unrestricted cash and temporary investments, for purposes of the covenant calculaton. The Company was in compliance with the Rato at June 30, 2024.</w:t>
      </w:r>
    </w:p>
    <w:p>
      <w:pPr>
        <w:spacing w:after="0" w:line="118" w:lineRule="exact"/>
        <w:rPr>
          <w:sz w:val="20"/>
          <w:szCs w:val="20"/>
          <w:color w:val="auto"/>
        </w:rPr>
      </w:pPr>
    </w:p>
    <w:p>
      <w:pPr>
        <w:jc w:val="both"/>
        <w:ind w:left="380"/>
        <w:spacing w:after="0" w:line="238"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19, 2024.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0.7%. The Trade Receivable Facility contains a cross-default provision to the Company’s other debt agreements. Subject to certain conditons, including lenders providing the requisite commitments, the Trade Receivable Facility may be increased to a borrowing base not to exceed $500 million. There were no borrowings outstanding under the Trade Receivable Facility at June 30, 2024 and December 31, 2023.</w:t>
      </w:r>
    </w:p>
    <w:p>
      <w:pPr>
        <w:spacing w:after="0" w:line="118"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On July 2, 2024, the Company used available liquidity to repay the $400 million of 4.250% Senior Notes that matured by their own terms.</w:t>
      </w:r>
    </w:p>
    <w:p>
      <w:pPr>
        <w:spacing w:after="0" w:line="108"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Instruments</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Company’s fnancial instruments include temporary cash investments, restricted cash, accounts receivable, notes receivable, accounts payable, publicly-registered long-term notes and debentures.</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6"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cash is held in a trust account with a third-party intermediary. Due to the short-term nature of this account, the carrying value of restricted cash approximates its fair value.</w:t>
      </w:r>
    </w:p>
    <w:p>
      <w:pPr>
        <w:spacing w:after="0" w:line="117"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receivable are due from a large number of customers, primarily in the constructon industry, and are dispersed across wide geographic and economic regions. However, accounts receivable are more heavily concentrated in certain states, namely Texas, North Carolina, Colorado, California, Georgia, Minnesota, Arizona, Iowa, Florida and Indiana. The carrying values of accounts receivable approximate their fair values.</w:t>
      </w:r>
    </w:p>
    <w:p>
      <w:pPr>
        <w:spacing w:after="0" w:line="119"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note receivable at June 30, 2024 is a promissory note and is not publicly traded. Management estmates that the carrying value of the note receivable approximates its fair value.</w:t>
      </w:r>
    </w:p>
    <w:p>
      <w:pPr>
        <w:spacing w:after="0" w:line="117" w:lineRule="exact"/>
        <w:rPr>
          <w:rFonts w:ascii="Calibri" w:cs="Calibri" w:eastAsia="Calibri" w:hAnsi="Calibri"/>
          <w:sz w:val="20"/>
          <w:szCs w:val="20"/>
          <w:b w:val="1"/>
          <w:bCs w:val="1"/>
          <w:color w:val="auto"/>
        </w:rPr>
      </w:pPr>
    </w:p>
    <w:p>
      <w:pPr>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payable represent amounts owed to suppliers and vendors. The estmated carrying value of accounts payable approximates its fair value due to the short-term nature of the payables.</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The carrying value and fair value of the Company’s long-term debt were $4.3 billion and $3.7 billion, respectvely, at June 30, 2024 and $4.3 billion and $3.9 billion, respectvely, at December 31, 2023. The estmated fair value of the Company’s publicly-registered long-term debt was estmated based on Level 1 of the fair value hierarchy using quoted market prices.</w:t>
      </w:r>
    </w:p>
    <w:p>
      <w:pPr>
        <w:jc w:val="center"/>
        <w:spacing w:after="0"/>
        <w:rPr>
          <w:sz w:val="20"/>
          <w:szCs w:val="20"/>
          <w:color w:val="auto"/>
        </w:rPr>
      </w:pPr>
      <w:r>
        <w:rPr>
          <w:rFonts w:ascii="Calibri" w:cs="Calibri" w:eastAsia="Calibri" w:hAnsi="Calibri"/>
          <w:sz w:val="20"/>
          <w:szCs w:val="20"/>
          <w:color w:val="auto"/>
        </w:rPr>
        <w:t>Page 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25.0% and 20.9% for the six months ended June 30, 2024 and 2023, respectvely. The higher 2024 efectve income tax rate versus 2023 was driven by the impact of the February 2024 divestture of the South Texas cement business and certain related ready mixed concrete operatons, which refected the write of of certain nondeductble goodwill and was treated as a discrete tax event.</w:t>
      </w:r>
    </w:p>
    <w:p>
      <w:pPr>
        <w:spacing w:after="0" w:line="325"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Pension Benefts</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net periodic beneft cost for pension benefts includes the following components: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20" w:type="dxa"/>
            <w:vAlign w:val="bottom"/>
          </w:tcPr>
          <w:p>
            <w:pPr>
              <w:spacing w:after="0"/>
              <w:rPr>
                <w:sz w:val="21"/>
                <w:szCs w:val="21"/>
                <w:color w:val="auto"/>
              </w:rPr>
            </w:pPr>
          </w:p>
        </w:tc>
        <w:tc>
          <w:tcPr>
            <w:tcW w:w="3020" w:type="dxa"/>
            <w:vAlign w:val="bottom"/>
            <w:gridSpan w:val="4"/>
          </w:tcPr>
          <w:p>
            <w:pPr>
              <w:jc w:val="right"/>
              <w:ind w:right="1"/>
              <w:spacing w:after="0"/>
              <w:rPr>
                <w:sz w:val="20"/>
                <w:szCs w:val="20"/>
                <w:color w:val="auto"/>
              </w:rPr>
            </w:pPr>
            <w:r>
              <w:rPr>
                <w:rFonts w:ascii="Calibri" w:cs="Calibri" w:eastAsia="Calibri" w:hAnsi="Calibri"/>
                <w:sz w:val="20"/>
                <w:szCs w:val="20"/>
                <w:color w:val="auto"/>
              </w:rPr>
              <w:t>Three Months Ended June 30,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5"/>
          </w:tcPr>
          <w:p>
            <w:pPr>
              <w:jc w:val="right"/>
              <w:ind w:right="680"/>
              <w:spacing w:after="0"/>
              <w:rPr>
                <w:sz w:val="20"/>
                <w:szCs w:val="20"/>
                <w:color w:val="auto"/>
              </w:rPr>
            </w:pPr>
            <w:r>
              <w:rPr>
                <w:rFonts w:ascii="Calibri" w:cs="Calibri" w:eastAsia="Calibri" w:hAnsi="Calibri"/>
                <w:sz w:val="20"/>
                <w:szCs w:val="20"/>
                <w:color w:val="auto"/>
              </w:rPr>
              <w:t>Six Months Ended June 30,</w:t>
            </w:r>
          </w:p>
        </w:tc>
      </w:tr>
      <w:tr>
        <w:trPr>
          <w:trHeight w:val="46"/>
        </w:trPr>
        <w:tc>
          <w:tcPr>
            <w:tcW w:w="4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4120" w:type="dxa"/>
            <w:vAlign w:val="bottom"/>
          </w:tcPr>
          <w:p>
            <w:pPr>
              <w:spacing w:after="0"/>
              <w:rPr>
                <w:sz w:val="19"/>
                <w:szCs w:val="19"/>
                <w:color w:val="auto"/>
              </w:rPr>
            </w:pPr>
          </w:p>
        </w:tc>
        <w:tc>
          <w:tcPr>
            <w:tcW w:w="1120" w:type="dxa"/>
            <w:vAlign w:val="bottom"/>
          </w:tcPr>
          <w:p>
            <w:pPr>
              <w:jc w:val="right"/>
              <w:ind w:right="41"/>
              <w:spacing w:after="0" w:line="228" w:lineRule="exact"/>
              <w:rPr>
                <w:sz w:val="20"/>
                <w:szCs w:val="20"/>
                <w:color w:val="auto"/>
              </w:rPr>
            </w:pPr>
            <w:r>
              <w:rPr>
                <w:rFonts w:ascii="Calibri" w:cs="Calibri" w:eastAsia="Calibri" w:hAnsi="Calibri"/>
                <w:sz w:val="20"/>
                <w:szCs w:val="20"/>
                <w:color w:val="auto"/>
              </w:rPr>
              <w:t>2024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01"/>
              <w:spacing w:after="0" w:line="228" w:lineRule="exact"/>
              <w:rPr>
                <w:sz w:val="20"/>
                <w:szCs w:val="20"/>
                <w:color w:val="auto"/>
              </w:rPr>
            </w:pPr>
            <w:r>
              <w:rPr>
                <w:rFonts w:ascii="Calibri" w:cs="Calibri" w:eastAsia="Calibri" w:hAnsi="Calibri"/>
                <w:sz w:val="20"/>
                <w:szCs w:val="20"/>
                <w:color w:val="auto"/>
              </w:rPr>
              <w:t>2023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61"/>
              <w:spacing w:after="0" w:line="228" w:lineRule="exact"/>
              <w:rPr>
                <w:sz w:val="20"/>
                <w:szCs w:val="20"/>
                <w:color w:val="auto"/>
              </w:rPr>
            </w:pPr>
            <w:r>
              <w:rPr>
                <w:rFonts w:ascii="Calibri" w:cs="Calibri" w:eastAsia="Calibri" w:hAnsi="Calibri"/>
                <w:sz w:val="20"/>
                <w:szCs w:val="20"/>
                <w:color w:val="auto"/>
              </w:rPr>
              <w:t>2024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8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4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15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4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gridSpan w:val="2"/>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5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4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Service cost</w:t>
            </w:r>
          </w:p>
        </w:tc>
        <w:tc>
          <w:tcPr>
            <w:tcW w:w="1120" w:type="dxa"/>
            <w:vAlign w:val="bottom"/>
            <w:tcBorders>
              <w:bottom w:val="single" w:sz="8" w:color="CFF0FC"/>
            </w:tcBorders>
            <w:shd w:val="clear" w:color="auto" w:fill="CFF0FC"/>
          </w:tcPr>
          <w:p>
            <w:pPr>
              <w:jc w:val="right"/>
              <w:ind w:right="921"/>
              <w:spacing w:after="0" w:line="234" w:lineRule="exact"/>
              <w:rPr>
                <w:sz w:val="20"/>
                <w:szCs w:val="20"/>
                <w:color w:val="auto"/>
              </w:rPr>
            </w:pPr>
            <w:r>
              <w:rPr>
                <w:rFonts w:ascii="Calibri" w:cs="Calibri" w:eastAsia="Calibri" w:hAnsi="Calibri"/>
                <w:sz w:val="20"/>
                <w:szCs w:val="20"/>
                <w:color w:val="auto"/>
                <w:w w:val="78"/>
              </w:rPr>
              <w:t>$</w:t>
            </w:r>
          </w:p>
        </w:tc>
        <w:tc>
          <w:tcPr>
            <w:tcW w:w="4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61"/>
              <w:spacing w:after="0" w:line="234" w:lineRule="exact"/>
              <w:rPr>
                <w:sz w:val="20"/>
                <w:szCs w:val="20"/>
                <w:color w:val="auto"/>
              </w:rPr>
            </w:pPr>
            <w:r>
              <w:rPr>
                <w:rFonts w:ascii="Calibri" w:cs="Calibri" w:eastAsia="Calibri" w:hAnsi="Calibri"/>
                <w:sz w:val="20"/>
                <w:szCs w:val="20"/>
                <w:color w:val="auto"/>
                <w:w w:val="78"/>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ind w:left="18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4120" w:type="dxa"/>
            <w:vAlign w:val="bottom"/>
          </w:tcPr>
          <w:p>
            <w:pPr>
              <w:ind w:left="20"/>
              <w:spacing w:after="0" w:line="234" w:lineRule="exact"/>
              <w:rPr>
                <w:sz w:val="20"/>
                <w:szCs w:val="20"/>
                <w:color w:val="auto"/>
              </w:rPr>
            </w:pPr>
            <w:r>
              <w:rPr>
                <w:rFonts w:ascii="Calibri" w:cs="Calibri" w:eastAsia="Calibri" w:hAnsi="Calibri"/>
                <w:sz w:val="20"/>
                <w:szCs w:val="20"/>
                <w:color w:val="auto"/>
              </w:rPr>
              <w:t>Interest cost</w:t>
            </w:r>
          </w:p>
        </w:tc>
        <w:tc>
          <w:tcPr>
            <w:tcW w:w="1120" w:type="dxa"/>
            <w:vAlign w:val="bottom"/>
          </w:tcPr>
          <w:p>
            <w:pPr>
              <w:spacing w:after="0"/>
              <w:rPr>
                <w:sz w:val="20"/>
                <w:szCs w:val="20"/>
                <w:color w:val="auto"/>
              </w:rPr>
            </w:pPr>
          </w:p>
        </w:tc>
        <w:tc>
          <w:tcPr>
            <w:tcW w:w="44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28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26</w:t>
            </w:r>
          </w:p>
        </w:tc>
        <w:tc>
          <w:tcPr>
            <w:tcW w:w="100" w:type="dxa"/>
            <w:vAlign w:val="bottom"/>
          </w:tcPr>
          <w:p>
            <w:pPr>
              <w:spacing w:after="0"/>
              <w:rPr>
                <w:sz w:val="20"/>
                <w:szCs w:val="20"/>
                <w:color w:val="auto"/>
              </w:rPr>
            </w:pPr>
          </w:p>
        </w:tc>
      </w:tr>
      <w:tr>
        <w:trPr>
          <w:trHeight w:val="36"/>
        </w:trPr>
        <w:tc>
          <w:tcPr>
            <w:tcW w:w="4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Expected return on assets</w:t>
            </w:r>
          </w:p>
        </w:tc>
        <w:tc>
          <w:tcPr>
            <w:tcW w:w="1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jc w:val="right"/>
              <w:ind w:right="220"/>
              <w:spacing w:after="0" w:line="234" w:lineRule="exact"/>
              <w:rPr>
                <w:sz w:val="20"/>
                <w:szCs w:val="20"/>
                <w:color w:val="auto"/>
              </w:rPr>
            </w:pPr>
            <w:r>
              <w:rPr>
                <w:rFonts w:ascii="Calibri" w:cs="Calibri" w:eastAsia="Calibri" w:hAnsi="Calibri"/>
                <w:sz w:val="20"/>
                <w:szCs w:val="20"/>
                <w:color w:val="auto"/>
              </w:rPr>
              <w:t>(21 )</w:t>
            </w:r>
          </w:p>
        </w:tc>
        <w:tc>
          <w:tcPr>
            <w:tcW w:w="1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(20 )</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(39 )</w:t>
            </w:r>
          </w:p>
        </w:tc>
        <w:tc>
          <w:tcPr>
            <w:tcW w:w="3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(36 )</w:t>
            </w:r>
          </w:p>
        </w:tc>
      </w:tr>
      <w:tr>
        <w:trPr>
          <w:trHeight w:val="234"/>
        </w:trPr>
        <w:tc>
          <w:tcPr>
            <w:tcW w:w="4120" w:type="dxa"/>
            <w:vAlign w:val="bottom"/>
          </w:tcPr>
          <w:p>
            <w:pPr>
              <w:ind w:left="20"/>
              <w:spacing w:after="0" w:line="234" w:lineRule="exact"/>
              <w:rPr>
                <w:sz w:val="20"/>
                <w:szCs w:val="20"/>
                <w:color w:val="auto"/>
              </w:rPr>
            </w:pPr>
            <w:r>
              <w:rPr>
                <w:rFonts w:ascii="Calibri" w:cs="Calibri" w:eastAsia="Calibri" w:hAnsi="Calibri"/>
                <w:sz w:val="20"/>
                <w:szCs w:val="20"/>
                <w:color w:val="auto"/>
              </w:rPr>
              <w:t>Amortzaton of prior service cost</w:t>
            </w:r>
          </w:p>
        </w:tc>
        <w:tc>
          <w:tcPr>
            <w:tcW w:w="1120" w:type="dxa"/>
            <w:vAlign w:val="bottom"/>
          </w:tcPr>
          <w:p>
            <w:pPr>
              <w:spacing w:after="0"/>
              <w:rPr>
                <w:sz w:val="20"/>
                <w:szCs w:val="20"/>
                <w:color w:val="auto"/>
              </w:rPr>
            </w:pPr>
          </w:p>
        </w:tc>
        <w:tc>
          <w:tcPr>
            <w:tcW w:w="44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Pr>
          <w:p>
            <w:pPr>
              <w:spacing w:after="0"/>
              <w:rPr>
                <w:sz w:val="20"/>
                <w:szCs w:val="20"/>
                <w:color w:val="auto"/>
              </w:rPr>
            </w:pPr>
          </w:p>
        </w:tc>
      </w:tr>
      <w:tr>
        <w:trPr>
          <w:trHeight w:val="36"/>
        </w:trPr>
        <w:tc>
          <w:tcPr>
            <w:tcW w:w="412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300"/>
        </w:trPr>
        <w:tc>
          <w:tcPr>
            <w:tcW w:w="41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Net periodic beneft cost</w:t>
            </w:r>
          </w:p>
        </w:tc>
        <w:tc>
          <w:tcPr>
            <w:tcW w:w="1120" w:type="dxa"/>
            <w:vAlign w:val="bottom"/>
            <w:tcBorders>
              <w:bottom w:val="single" w:sz="8" w:color="auto"/>
            </w:tcBorders>
            <w:shd w:val="clear" w:color="auto" w:fill="CFF0FC"/>
          </w:tcPr>
          <w:p>
            <w:pPr>
              <w:jc w:val="right"/>
              <w:ind w:right="921"/>
              <w:spacing w:after="0" w:line="234" w:lineRule="exact"/>
              <w:rPr>
                <w:sz w:val="20"/>
                <w:szCs w:val="20"/>
                <w:color w:val="auto"/>
              </w:rPr>
            </w:pPr>
            <w:r>
              <w:rPr>
                <w:rFonts w:ascii="Calibri" w:cs="Calibri" w:eastAsia="Calibri" w:hAnsi="Calibri"/>
                <w:sz w:val="20"/>
                <w:szCs w:val="20"/>
                <w:color w:val="auto"/>
                <w:w w:val="78"/>
              </w:rPr>
              <w:t>$</w:t>
            </w:r>
          </w:p>
        </w:tc>
        <w:tc>
          <w:tcPr>
            <w:tcW w:w="44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w:t>
            </w:r>
          </w:p>
        </w:tc>
        <w:tc>
          <w:tcPr>
            <w:tcW w:w="3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61"/>
              <w:spacing w:after="0" w:line="234" w:lineRule="exact"/>
              <w:rPr>
                <w:sz w:val="20"/>
                <w:szCs w:val="20"/>
                <w:color w:val="auto"/>
              </w:rPr>
            </w:pPr>
            <w:r>
              <w:rPr>
                <w:rFonts w:ascii="Calibri" w:cs="Calibri" w:eastAsia="Calibri" w:hAnsi="Calibri"/>
                <w:sz w:val="20"/>
                <w:szCs w:val="20"/>
                <w:color w:val="auto"/>
                <w:w w:val="78"/>
              </w:rPr>
              <w:t>$</w:t>
            </w:r>
          </w:p>
        </w:tc>
        <w:tc>
          <w:tcPr>
            <w:tcW w:w="38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-205105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-205105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5"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 xml:space="preserve">The components of net periodic beneft cost, other than service cost, are included in the line item </w:t>
      </w:r>
      <w:r>
        <w:rPr>
          <w:rFonts w:ascii="Calibri" w:cs="Calibri" w:eastAsia="Calibri" w:hAnsi="Calibri"/>
          <w:sz w:val="20"/>
          <w:szCs w:val="20"/>
          <w:i w:val="1"/>
          <w:iCs w:val="1"/>
          <w:color w:val="auto"/>
        </w:rPr>
        <w:t>Other nonoperatng income, net</w:t>
      </w:r>
      <w:r>
        <w:rPr>
          <w:rFonts w:ascii="Calibri" w:cs="Calibri" w:eastAsia="Calibri" w:hAnsi="Calibri"/>
          <w:sz w:val="20"/>
          <w:szCs w:val="20"/>
          <w:color w:val="auto"/>
        </w:rPr>
        <w:t xml:space="preserve">, in the consolidated statements of earnings and comprehensive earnings. Based on the roles of the employees, service cost is included in the </w:t>
      </w:r>
      <w:r>
        <w:rPr>
          <w:rFonts w:ascii="Calibri" w:cs="Calibri" w:eastAsia="Calibri" w:hAnsi="Calibri"/>
          <w:sz w:val="20"/>
          <w:szCs w:val="20"/>
          <w:i w:val="1"/>
          <w:iCs w:val="1"/>
          <w:color w:val="auto"/>
        </w:rPr>
        <w:t>Cost of revenues</w:t>
      </w:r>
      <w:r>
        <w:rPr>
          <w:rFonts w:ascii="Calibri" w:cs="Calibri" w:eastAsia="Calibri" w:hAnsi="Calibri"/>
          <w:sz w:val="20"/>
          <w:szCs w:val="20"/>
          <w:color w:val="auto"/>
        </w:rPr>
        <w:t xml:space="preserve"> or </w:t>
      </w:r>
      <w:r>
        <w:rPr>
          <w:rFonts w:ascii="Calibri" w:cs="Calibri" w:eastAsia="Calibri" w:hAnsi="Calibri"/>
          <w:sz w:val="20"/>
          <w:szCs w:val="20"/>
          <w:i w:val="1"/>
          <w:iCs w:val="1"/>
          <w:color w:val="auto"/>
        </w:rPr>
        <w:t>Selling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general and administratve expenses</w:t>
      </w:r>
      <w:r>
        <w:rPr>
          <w:rFonts w:ascii="Calibri" w:cs="Calibri" w:eastAsia="Calibri" w:hAnsi="Calibri"/>
          <w:sz w:val="20"/>
          <w:szCs w:val="20"/>
          <w:color w:val="auto"/>
        </w:rPr>
        <w:t xml:space="preserve"> line items in the consolidated statements of earnings and comprehensive earnings.</w:t>
      </w:r>
    </w:p>
    <w:p>
      <w:pPr>
        <w:spacing w:after="0" w:line="336" w:lineRule="exact"/>
        <w:rPr>
          <w:sz w:val="20"/>
          <w:szCs w:val="20"/>
          <w:color w:val="auto"/>
        </w:rPr>
      </w:pPr>
    </w:p>
    <w:p>
      <w:pPr>
        <w:ind w:left="380" w:right="7720" w:hanging="372"/>
        <w:spacing w:after="0" w:line="335" w:lineRule="auto"/>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 Legal and Administratve Proceedings</w:t>
      </w:r>
    </w:p>
    <w:p>
      <w:pPr>
        <w:spacing w:after="0" w:line="20"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Company's fnancial conditon, results of operatons or cash fows, as a whole, based on currently available facts.</w:t>
      </w:r>
    </w:p>
    <w:p>
      <w:pPr>
        <w:spacing w:after="0" w:line="22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Leters of Credit</w:t>
      </w:r>
    </w:p>
    <w:p>
      <w:pPr>
        <w:spacing w:after="0" w:line="106"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In the normal course of business, the Company provides certain third partes with standby leter of credit agreements guaranteeing</w:t>
      </w:r>
    </w:p>
    <w:p>
      <w:pPr>
        <w:spacing w:after="0" w:line="9" w:lineRule="exact"/>
        <w:rPr>
          <w:sz w:val="20"/>
          <w:szCs w:val="20"/>
          <w:color w:val="auto"/>
        </w:rPr>
      </w:pPr>
    </w:p>
    <w:p>
      <w:pPr>
        <w:ind w:left="380" w:right="20"/>
        <w:spacing w:after="0" w:line="234" w:lineRule="auto"/>
        <w:rPr>
          <w:sz w:val="20"/>
          <w:szCs w:val="20"/>
          <w:color w:val="auto"/>
        </w:rPr>
      </w:pPr>
      <w:r>
        <w:rPr>
          <w:rFonts w:ascii="Calibri" w:cs="Calibri" w:eastAsia="Calibri" w:hAnsi="Calibri"/>
          <w:sz w:val="20"/>
          <w:szCs w:val="20"/>
          <w:color w:val="auto"/>
        </w:rPr>
        <w:t>its payment for certain insurance claims, contract performance and permit requirements. At June 30, 2024, the Company was contngently liable for $33 million in leters of credit.</w:t>
      </w:r>
    </w:p>
    <w:p>
      <w:pPr>
        <w:jc w:val="center"/>
        <w:spacing w:after="0"/>
        <w:rPr>
          <w:sz w:val="20"/>
          <w:szCs w:val="20"/>
          <w:color w:val="auto"/>
        </w:rPr>
      </w:pPr>
      <w:r>
        <w:rPr>
          <w:rFonts w:ascii="Calibri" w:cs="Calibri" w:eastAsia="Calibri" w:hAnsi="Calibri"/>
          <w:sz w:val="20"/>
          <w:szCs w:val="20"/>
          <w:color w:val="auto"/>
        </w:rPr>
        <w:t>Page 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Segments</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contains two reportable segments: the East Group and the West Group. The Company also has a Magnesia Specialtes reportable segment. The Chief Operatng Decision Maker's evaluaton of performance and allocaton of resources are based primarily on earnings from operatons. Segment earnings from operatons include revenues less cost of revenues; selling, general and administratve expenses; other operatng income and expenses, net; and exclude interest income and expense; other nonoperatng income and expenses, net; and income tax expense. Corporate loss from operatons primarily includes depreciaton; expenses for corporate administratve functons; acquisiton, divestture and integraton expenses; and other nonrecurring income and expenses not atributable to operatons of the Company's operatng segments.</w:t>
      </w:r>
    </w:p>
    <w:p>
      <w:pPr>
        <w:spacing w:after="0" w:line="121" w:lineRule="exact"/>
        <w:rPr>
          <w:rFonts w:ascii="Calibri" w:cs="Calibri" w:eastAsia="Calibri" w:hAnsi="Calibri"/>
          <w:sz w:val="20"/>
          <w:szCs w:val="20"/>
          <w:b w:val="1"/>
          <w:bCs w:val="1"/>
          <w:color w:val="auto"/>
        </w:rPr>
      </w:pPr>
    </w:p>
    <w:p>
      <w:pPr>
        <w:jc w:val="both"/>
        <w:ind w:left="380" w:right="2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Assets employed by segment include assets directly identfed with those operatons. Corporate assets consist primarily of cash, cash equivalents and restricted cash; restricted investments; property, plant and equipment for corporate operatons; and other assets not directly identfable with a reportable segment.</w:t>
      </w:r>
    </w:p>
    <w:p>
      <w:pPr>
        <w:spacing w:after="0" w:line="116" w:lineRule="exact"/>
        <w:rPr>
          <w:rFonts w:ascii="Calibri" w:cs="Calibri" w:eastAsia="Calibri" w:hAnsi="Calibri"/>
          <w:sz w:val="20"/>
          <w:szCs w:val="20"/>
          <w:b w:val="1"/>
          <w:bCs w:val="1"/>
          <w:color w:val="auto"/>
        </w:rPr>
      </w:pPr>
    </w:p>
    <w:p>
      <w:pPr>
        <w:jc w:val="both"/>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displays selected fnancial data for the Company’s reportable segments. Revenues, as presented on the consolidated statements of earnings and comprehensive earnings, refect the eliminaton of intersegment revenues, which represent sales from one segment to another segment. Revenues and earnings (loss) from operatons refect contnuing operatons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80" w:type="dxa"/>
            <w:vAlign w:val="bottom"/>
          </w:tcPr>
          <w:p>
            <w:pPr>
              <w:spacing w:after="0"/>
              <w:rPr>
                <w:sz w:val="21"/>
                <w:szCs w:val="21"/>
                <w:color w:val="auto"/>
              </w:rPr>
            </w:pPr>
          </w:p>
        </w:tc>
        <w:tc>
          <w:tcPr>
            <w:tcW w:w="3580" w:type="dxa"/>
            <w:vAlign w:val="bottom"/>
            <w:gridSpan w:val="8"/>
          </w:tcPr>
          <w:p>
            <w:pPr>
              <w:ind w:left="800"/>
              <w:spacing w:after="0"/>
              <w:rPr>
                <w:sz w:val="20"/>
                <w:szCs w:val="20"/>
                <w:color w:val="auto"/>
              </w:rPr>
            </w:pPr>
            <w:r>
              <w:rPr>
                <w:rFonts w:ascii="Calibri" w:cs="Calibri" w:eastAsia="Calibri" w:hAnsi="Calibri"/>
                <w:sz w:val="20"/>
                <w:szCs w:val="20"/>
                <w:color w:val="auto"/>
              </w:rPr>
              <w:t>Three Months Ended</w:t>
            </w:r>
          </w:p>
        </w:tc>
        <w:tc>
          <w:tcPr>
            <w:tcW w:w="340" w:type="dxa"/>
            <w:vAlign w:val="bottom"/>
          </w:tcPr>
          <w:p>
            <w:pPr>
              <w:spacing w:after="0"/>
              <w:rPr>
                <w:sz w:val="21"/>
                <w:szCs w:val="21"/>
                <w:color w:val="auto"/>
              </w:rPr>
            </w:pPr>
          </w:p>
        </w:tc>
        <w:tc>
          <w:tcPr>
            <w:tcW w:w="3040" w:type="dxa"/>
            <w:vAlign w:val="bottom"/>
            <w:gridSpan w:val="6"/>
          </w:tcPr>
          <w:p>
            <w:pPr>
              <w:jc w:val="right"/>
              <w:ind w:right="1000"/>
              <w:spacing w:after="0"/>
              <w:rPr>
                <w:sz w:val="20"/>
                <w:szCs w:val="20"/>
                <w:color w:val="auto"/>
              </w:rPr>
            </w:pPr>
            <w:r>
              <w:rPr>
                <w:rFonts w:ascii="Calibri" w:cs="Calibri" w:eastAsia="Calibri" w:hAnsi="Calibri"/>
                <w:sz w:val="20"/>
                <w:szCs w:val="20"/>
                <w:color w:val="auto"/>
              </w:rPr>
              <w:t>Six Months Ended</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gridSpan w:val="4"/>
          </w:tcPr>
          <w:p>
            <w:pPr>
              <w:jc w:val="right"/>
              <w:ind w:right="81"/>
              <w:spacing w:after="0"/>
              <w:rPr>
                <w:sz w:val="20"/>
                <w:szCs w:val="20"/>
                <w:color w:val="auto"/>
              </w:rPr>
            </w:pPr>
            <w:r>
              <w:rPr>
                <w:rFonts w:ascii="Calibri" w:cs="Calibri" w:eastAsia="Calibri" w:hAnsi="Calibri"/>
                <w:sz w:val="20"/>
                <w:szCs w:val="20"/>
                <w:color w:val="auto"/>
              </w:rPr>
              <w:t>June 30,</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4"/>
          </w:tcPr>
          <w:p>
            <w:pPr>
              <w:jc w:val="right"/>
              <w:ind w:right="61"/>
              <w:spacing w:after="0"/>
              <w:rPr>
                <w:sz w:val="20"/>
                <w:szCs w:val="20"/>
                <w:color w:val="auto"/>
              </w:rPr>
            </w:pPr>
            <w:r>
              <w:rPr>
                <w:rFonts w:ascii="Calibri" w:cs="Calibri" w:eastAsia="Calibri" w:hAnsi="Calibri"/>
                <w:sz w:val="20"/>
                <w:szCs w:val="20"/>
                <w:color w:val="auto"/>
              </w:rPr>
              <w:t>June 30,</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2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02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6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41"/>
              <w:spacing w:after="0" w:line="228" w:lineRule="exact"/>
              <w:rPr>
                <w:sz w:val="20"/>
                <w:szCs w:val="20"/>
                <w:color w:val="auto"/>
              </w:rPr>
            </w:pPr>
            <w:r>
              <w:rPr>
                <w:rFonts w:ascii="Calibri" w:cs="Calibri" w:eastAsia="Calibri" w:hAnsi="Calibri"/>
                <w:sz w:val="20"/>
                <w:szCs w:val="20"/>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6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66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gridSpan w:val="2"/>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5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020" w:type="dxa"/>
            <w:vAlign w:val="bottom"/>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735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1,349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860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1,005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1,505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02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2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Total</w:t>
            </w:r>
          </w:p>
        </w:tc>
        <w:tc>
          <w:tcPr>
            <w:tcW w:w="1020" w:type="dxa"/>
            <w:vAlign w:val="bottom"/>
            <w:tcBorders>
              <w:bottom w:val="single" w:sz="8" w:color="auto"/>
            </w:tcBorders>
            <w:shd w:val="clear" w:color="auto" w:fill="CFF0FC"/>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1,764</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1,821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3,015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3,175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Earnings (Loss) from operatons: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020" w:type="dxa"/>
            <w:vAlign w:val="bottom"/>
            <w:tcBorders>
              <w:bottom w:val="single" w:sz="8" w:color="CFF0FC"/>
            </w:tcBorders>
            <w:shd w:val="clear" w:color="auto" w:fill="CFF0FC"/>
          </w:tcPr>
          <w:p>
            <w:pPr>
              <w:jc w:val="right"/>
              <w:ind w:right="80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102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171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1,470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0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48</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445</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490</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1,896</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714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102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(47 )</w:t>
            </w: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(27 )</w:t>
            </w: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(77 )</w:t>
            </w: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(55 )</w:t>
            </w:r>
          </w:p>
        </w:tc>
        <w:tc>
          <w:tcPr>
            <w:tcW w:w="0" w:type="dxa"/>
            <w:vAlign w:val="bottom"/>
          </w:tcPr>
          <w:p>
            <w:pPr>
              <w:spacing w:after="0"/>
              <w:rPr>
                <w:sz w:val="1"/>
                <w:szCs w:val="1"/>
                <w:color w:val="auto"/>
              </w:rPr>
            </w:pPr>
          </w:p>
        </w:tc>
      </w:tr>
      <w:tr>
        <w:trPr>
          <w:trHeight w:val="228"/>
        </w:trPr>
        <w:tc>
          <w:tcPr>
            <w:tcW w:w="428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Consolidated earnings from operatons</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398</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463</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1,819</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659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Interest expense</w:t>
            </w:r>
          </w:p>
        </w:tc>
        <w:tc>
          <w:tcPr>
            <w:tcW w:w="10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20"/>
              <w:spacing w:after="0" w:line="236" w:lineRule="exact"/>
              <w:rPr>
                <w:sz w:val="20"/>
                <w:szCs w:val="20"/>
                <w:color w:val="auto"/>
              </w:rPr>
            </w:pPr>
            <w:r>
              <w:rPr>
                <w:rFonts w:ascii="Calibri" w:cs="Calibri" w:eastAsia="Calibri" w:hAnsi="Calibri"/>
                <w:sz w:val="20"/>
                <w:szCs w:val="20"/>
                <w:color w:val="auto"/>
              </w:rPr>
              <w:t>Other nonoperatng income, net</w:t>
            </w:r>
          </w:p>
        </w:tc>
        <w:tc>
          <w:tcPr>
            <w:tcW w:w="1020" w:type="dxa"/>
            <w:vAlign w:val="bottom"/>
          </w:tcPr>
          <w:p>
            <w:pPr>
              <w:spacing w:after="0"/>
              <w:rPr>
                <w:sz w:val="20"/>
                <w:szCs w:val="20"/>
                <w:color w:val="auto"/>
              </w:rPr>
            </w:pPr>
          </w:p>
        </w:tc>
        <w:tc>
          <w:tcPr>
            <w:tcW w:w="640" w:type="dxa"/>
            <w:vAlign w:val="bottom"/>
            <w:gridSpan w:val="2"/>
          </w:tcPr>
          <w:p>
            <w:pPr>
              <w:jc w:val="right"/>
              <w:ind w:right="60"/>
              <w:spacing w:after="0" w:line="234" w:lineRule="exact"/>
              <w:rPr>
                <w:sz w:val="20"/>
                <w:szCs w:val="20"/>
                <w:color w:val="auto"/>
              </w:rPr>
            </w:pPr>
            <w:r>
              <w:rPr>
                <w:rFonts w:ascii="Calibri" w:cs="Calibri" w:eastAsia="Calibri" w:hAnsi="Calibri"/>
                <w:sz w:val="20"/>
                <w:szCs w:val="20"/>
                <w:color w:val="auto"/>
              </w:rPr>
              <w:t>(14 )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(19 )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(46 )</w:t>
            </w:r>
          </w:p>
        </w:tc>
        <w:tc>
          <w:tcPr>
            <w:tcW w:w="160" w:type="dxa"/>
            <w:vAlign w:val="bottom"/>
          </w:tcPr>
          <w:p>
            <w:pPr>
              <w:spacing w:after="0"/>
              <w:rPr>
                <w:sz w:val="20"/>
                <w:szCs w:val="20"/>
                <w:color w:val="auto"/>
              </w:rPr>
            </w:pPr>
          </w:p>
        </w:tc>
        <w:tc>
          <w:tcPr>
            <w:tcW w:w="36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w w:val="78"/>
              </w:rPr>
              <w:t>$</w:t>
            </w:r>
          </w:p>
        </w:tc>
        <w:tc>
          <w:tcPr>
            <w:tcW w:w="124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(35 )</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FF0FC"/>
          </w:tcPr>
          <w:p>
            <w:pPr>
              <w:ind w:left="20"/>
              <w:spacing w:after="0" w:line="225" w:lineRule="exact"/>
              <w:rPr>
                <w:sz w:val="20"/>
                <w:szCs w:val="20"/>
                <w:color w:val="auto"/>
              </w:rPr>
            </w:pPr>
            <w:r>
              <w:rPr>
                <w:rFonts w:ascii="Calibri" w:cs="Calibri" w:eastAsia="Calibri" w:hAnsi="Calibri"/>
                <w:sz w:val="20"/>
                <w:szCs w:val="20"/>
                <w:color w:val="auto"/>
              </w:rPr>
              <w:t>Consolidated earnings from contnuing</w:t>
            </w:r>
          </w:p>
        </w:tc>
        <w:tc>
          <w:tcPr>
            <w:tcW w:w="1020" w:type="dxa"/>
            <w:vAlign w:val="bottom"/>
            <w:vMerge w:val="restart"/>
            <w:shd w:val="clear" w:color="auto" w:fill="CFF0FC"/>
          </w:tcPr>
          <w:p>
            <w:pPr>
              <w:jc w:val="right"/>
              <w:ind w:right="801"/>
              <w:spacing w:after="0"/>
              <w:rPr>
                <w:sz w:val="20"/>
                <w:szCs w:val="20"/>
                <w:color w:val="auto"/>
              </w:rPr>
            </w:pPr>
            <w:r>
              <w:rPr>
                <w:rFonts w:ascii="Calibri" w:cs="Calibri" w:eastAsia="Calibri" w:hAnsi="Calibri"/>
                <w:sz w:val="20"/>
                <w:szCs w:val="20"/>
                <w:color w:val="auto"/>
                <w:w w:val="98"/>
              </w:rPr>
              <w:t>$</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372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ind w:right="141"/>
              <w:spacing w:after="0"/>
              <w:rPr>
                <w:sz w:val="20"/>
                <w:szCs w:val="20"/>
                <w:color w:val="auto"/>
              </w:rPr>
            </w:pPr>
            <w:r>
              <w:rPr>
                <w:rFonts w:ascii="Calibri" w:cs="Calibri" w:eastAsia="Calibri" w:hAnsi="Calibri"/>
                <w:sz w:val="20"/>
                <w:szCs w:val="20"/>
                <w:color w:val="auto"/>
                <w:w w:val="98"/>
              </w:rPr>
              <w:t>$</w:t>
            </w:r>
          </w:p>
        </w:tc>
        <w:tc>
          <w:tcPr>
            <w:tcW w:w="114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vMerge w:val="restart"/>
            <w:shd w:val="clear" w:color="auto" w:fill="CFF0FC"/>
          </w:tcPr>
          <w:p>
            <w:pPr>
              <w:ind w:left="20"/>
              <w:spacing w:after="0"/>
              <w:rPr>
                <w:sz w:val="20"/>
                <w:szCs w:val="20"/>
                <w:color w:val="auto"/>
              </w:rPr>
            </w:pPr>
            <w:r>
              <w:rPr>
                <w:rFonts w:ascii="Calibri" w:cs="Calibri" w:eastAsia="Calibri" w:hAnsi="Calibri"/>
                <w:sz w:val="20"/>
                <w:szCs w:val="20"/>
                <w:color w:val="auto"/>
              </w:rPr>
              <w:t>$</w:t>
            </w:r>
          </w:p>
        </w:tc>
        <w:tc>
          <w:tcPr>
            <w:tcW w:w="116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1,785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vMerge w:val="restart"/>
            <w:shd w:val="clear" w:color="auto" w:fill="CFF0FC"/>
          </w:tcPr>
          <w:p>
            <w:pPr>
              <w:jc w:val="right"/>
              <w:ind w:right="161"/>
              <w:spacing w:after="0"/>
              <w:rPr>
                <w:sz w:val="20"/>
                <w:szCs w:val="20"/>
                <w:color w:val="auto"/>
              </w:rPr>
            </w:pPr>
            <w:r>
              <w:rPr>
                <w:rFonts w:ascii="Calibri" w:cs="Calibri" w:eastAsia="Calibri" w:hAnsi="Calibri"/>
                <w:sz w:val="20"/>
                <w:szCs w:val="20"/>
                <w:color w:val="auto"/>
                <w:w w:val="78"/>
              </w:rPr>
              <w:t>$</w:t>
            </w:r>
          </w:p>
        </w:tc>
        <w:tc>
          <w:tcPr>
            <w:tcW w:w="114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operatons before income tax expense</w:t>
            </w:r>
          </w:p>
        </w:tc>
        <w:tc>
          <w:tcPr>
            <w:tcW w:w="1020" w:type="dxa"/>
            <w:vAlign w:val="bottom"/>
            <w:tcBorders>
              <w:bottom w:val="single" w:sz="8" w:color="auto"/>
            </w:tcBorders>
            <w:vMerge w:val="continue"/>
            <w:shd w:val="clear" w:color="auto" w:fill="CFF0FC"/>
          </w:tcPr>
          <w:p>
            <w:pPr>
              <w:spacing w:after="0"/>
              <w:rPr>
                <w:sz w:val="24"/>
                <w:szCs w:val="24"/>
                <w:color w:val="auto"/>
              </w:rPr>
            </w:pPr>
          </w:p>
        </w:tc>
        <w:tc>
          <w:tcPr>
            <w:tcW w:w="52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vMerge w:val="continue"/>
            <w:shd w:val="clear" w:color="auto" w:fill="CFF0FC"/>
          </w:tcPr>
          <w:p>
            <w:pPr>
              <w:spacing w:after="0"/>
              <w:rPr>
                <w:sz w:val="24"/>
                <w:szCs w:val="24"/>
                <w:color w:val="auto"/>
              </w:rPr>
            </w:pPr>
          </w:p>
        </w:tc>
        <w:tc>
          <w:tcPr>
            <w:tcW w:w="114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vMerge w:val="continue"/>
            <w:shd w:val="clear" w:color="auto" w:fill="CFF0FC"/>
          </w:tcPr>
          <w:p>
            <w:pPr>
              <w:spacing w:after="0"/>
              <w:rPr>
                <w:sz w:val="24"/>
                <w:szCs w:val="24"/>
                <w:color w:val="auto"/>
              </w:rPr>
            </w:pPr>
          </w:p>
        </w:tc>
        <w:tc>
          <w:tcPr>
            <w:tcW w:w="116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vMerge w:val="continue"/>
            <w:shd w:val="clear" w:color="auto" w:fill="CFF0FC"/>
          </w:tcPr>
          <w:p>
            <w:pPr>
              <w:spacing w:after="0"/>
              <w:rPr>
                <w:sz w:val="24"/>
                <w:szCs w:val="24"/>
                <w:color w:val="auto"/>
              </w:rPr>
            </w:pPr>
          </w:p>
        </w:tc>
        <w:tc>
          <w:tcPr>
            <w:tcW w:w="114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-2262505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-2245360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-2262505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-2245360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-2262505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-2245360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-1207770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-1207770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-856615</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-856615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-856615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9"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Earnings from operatons for the West Group for the six months ended June 30, 2024 included a $1.3 billion gain on the divestture of the South Texas cement business and certain of its related ready mixed concrete operatons and a noncash asset and portolio ratonalizaton charge of $50 million (see Note 13).</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color w:val="auto"/>
              </w:rPr>
              <w:t>June 30,</w:t>
            </w: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ind w:left="140"/>
              <w:spacing w:after="0"/>
              <w:rPr>
                <w:sz w:val="20"/>
                <w:szCs w:val="20"/>
                <w:color w:val="auto"/>
              </w:rPr>
            </w:pPr>
            <w:r>
              <w:rPr>
                <w:rFonts w:ascii="Calibri" w:cs="Calibri" w:eastAsia="Calibri" w:hAnsi="Calibri"/>
                <w:sz w:val="20"/>
                <w:szCs w:val="20"/>
                <w:color w:val="auto"/>
              </w:rPr>
              <w:t>December 31,</w:t>
            </w:r>
          </w:p>
        </w:tc>
      </w:tr>
      <w:tr>
        <w:trPr>
          <w:trHeight w:val="270"/>
        </w:trPr>
        <w:tc>
          <w:tcPr>
            <w:tcW w:w="6960" w:type="dxa"/>
            <w:vAlign w:val="bottom"/>
          </w:tcPr>
          <w:p>
            <w:pPr>
              <w:spacing w:after="0"/>
              <w:rPr>
                <w:sz w:val="23"/>
                <w:szCs w:val="23"/>
                <w:color w:val="auto"/>
              </w:rPr>
            </w:pPr>
          </w:p>
        </w:tc>
        <w:tc>
          <w:tcPr>
            <w:tcW w:w="1320" w:type="dxa"/>
            <w:vAlign w:val="bottom"/>
          </w:tcPr>
          <w:p>
            <w:pPr>
              <w:jc w:val="right"/>
              <w:ind w:right="61"/>
              <w:spacing w:after="0"/>
              <w:rPr>
                <w:sz w:val="20"/>
                <w:szCs w:val="20"/>
                <w:color w:val="auto"/>
              </w:rPr>
            </w:pPr>
            <w:r>
              <w:rPr>
                <w:rFonts w:ascii="Calibri" w:cs="Calibri" w:eastAsia="Calibri" w:hAnsi="Calibri"/>
                <w:sz w:val="20"/>
                <w:szCs w:val="20"/>
                <w:color w:val="auto"/>
              </w:rPr>
              <w:t>2024</w:t>
            </w: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ind w:right="641"/>
              <w:spacing w:after="0"/>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23"/>
                <w:szCs w:val="23"/>
                <w:color w:val="auto"/>
              </w:rPr>
            </w:pPr>
          </w:p>
        </w:tc>
      </w:tr>
      <w:tr>
        <w:trPr>
          <w:trHeight w:val="47"/>
        </w:trPr>
        <w:tc>
          <w:tcPr>
            <w:tcW w:w="6960" w:type="dxa"/>
            <w:vAlign w:val="bottom"/>
          </w:tcPr>
          <w:p>
            <w:pPr>
              <w:spacing w:after="0"/>
              <w:rPr>
                <w:sz w:val="4"/>
                <w:szCs w:val="4"/>
                <w:color w:val="auto"/>
              </w:rPr>
            </w:pPr>
          </w:p>
        </w:tc>
        <w:tc>
          <w:tcPr>
            <w:tcW w:w="2280" w:type="dxa"/>
            <w:vAlign w:val="bottom"/>
            <w:gridSpan w:val="3"/>
          </w:tcPr>
          <w:p>
            <w:pPr>
              <w:spacing w:after="0"/>
              <w:rPr>
                <w:sz w:val="4"/>
                <w:szCs w:val="4"/>
                <w:color w:val="auto"/>
              </w:rPr>
            </w:pPr>
          </w:p>
        </w:tc>
        <w:tc>
          <w:tcPr>
            <w:tcW w:w="1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60" w:type="dxa"/>
            <w:vAlign w:val="bottom"/>
          </w:tcPr>
          <w:p>
            <w:pPr>
              <w:spacing w:after="0"/>
              <w:rPr>
                <w:sz w:val="19"/>
                <w:szCs w:val="19"/>
                <w:color w:val="auto"/>
              </w:rPr>
            </w:pPr>
          </w:p>
        </w:tc>
        <w:tc>
          <w:tcPr>
            <w:tcW w:w="19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7" w:lineRule="exact"/>
              <w:rPr>
                <w:sz w:val="20"/>
                <w:szCs w:val="20"/>
                <w:color w:val="auto"/>
              </w:rPr>
            </w:pPr>
            <w:r>
              <w:rPr>
                <w:rFonts w:ascii="Calibri" w:cs="Calibri" w:eastAsia="Calibri" w:hAnsi="Calibri"/>
                <w:sz w:val="20"/>
                <w:szCs w:val="20"/>
                <w:i w:val="1"/>
                <w:iCs w:val="1"/>
                <w:color w:val="auto"/>
              </w:rPr>
              <w:t>in</w:t>
            </w:r>
          </w:p>
        </w:tc>
        <w:tc>
          <w:tcPr>
            <w:tcW w:w="190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r>
      <w:tr>
        <w:trPr>
          <w:trHeight w:val="259"/>
        </w:trPr>
        <w:tc>
          <w:tcPr>
            <w:tcW w:w="6960" w:type="dxa"/>
            <w:vAlign w:val="bottom"/>
          </w:tcPr>
          <w:p>
            <w:pPr>
              <w:ind w:left="20"/>
              <w:spacing w:after="0"/>
              <w:rPr>
                <w:sz w:val="20"/>
                <w:szCs w:val="20"/>
                <w:color w:val="auto"/>
              </w:rPr>
            </w:pPr>
            <w:r>
              <w:rPr>
                <w:rFonts w:ascii="Calibri" w:cs="Calibri" w:eastAsia="Calibri" w:hAnsi="Calibri"/>
                <w:sz w:val="20"/>
                <w:szCs w:val="20"/>
                <w:b w:val="1"/>
                <w:bCs w:val="1"/>
                <w:color w:val="auto"/>
              </w:rPr>
              <w:t>Assets employed:</w:t>
            </w: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7"/>
        </w:trPr>
        <w:tc>
          <w:tcPr>
            <w:tcW w:w="69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69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320" w:type="dxa"/>
            <w:vAlign w:val="bottom"/>
            <w:tcBorders>
              <w:bottom w:val="single" w:sz="8" w:color="CFF0FC"/>
            </w:tcBorders>
            <w:shd w:val="clear" w:color="auto" w:fill="CFF0FC"/>
          </w:tcPr>
          <w:p>
            <w:pPr>
              <w:jc w:val="right"/>
              <w:ind w:right="1101"/>
              <w:spacing w:after="0" w:line="234" w:lineRule="exact"/>
              <w:rPr>
                <w:sz w:val="20"/>
                <w:szCs w:val="20"/>
                <w:color w:val="auto"/>
              </w:rPr>
            </w:pPr>
            <w:r>
              <w:rPr>
                <w:rFonts w:ascii="Calibri" w:cs="Calibri" w:eastAsia="Calibri" w:hAnsi="Calibri"/>
                <w:sz w:val="20"/>
                <w:szCs w:val="20"/>
                <w:color w:val="auto"/>
                <w:w w:val="9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7,687</w:t>
            </w:r>
          </w:p>
        </w:tc>
        <w:tc>
          <w:tcPr>
            <w:tcW w:w="600" w:type="dxa"/>
            <w:vAlign w:val="bottom"/>
            <w:tcBorders>
              <w:bottom w:val="single" w:sz="8" w:color="CFF0FC"/>
            </w:tcBorders>
            <w:gridSpan w:val="2"/>
            <w:shd w:val="clear" w:color="auto" w:fill="CFF0FC"/>
          </w:tcPr>
          <w:p>
            <w:pPr>
              <w:ind w:left="38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960" w:type="dxa"/>
            <w:vAlign w:val="bottom"/>
          </w:tcPr>
          <w:p>
            <w:pPr>
              <w:ind w:left="20"/>
              <w:spacing w:after="0" w:line="234" w:lineRule="exact"/>
              <w:rPr>
                <w:sz w:val="20"/>
                <w:szCs w:val="20"/>
                <w:color w:val="auto"/>
              </w:rPr>
            </w:pPr>
            <w:r>
              <w:rPr>
                <w:rFonts w:ascii="Calibri" w:cs="Calibri" w:eastAsia="Calibri" w:hAnsi="Calibri"/>
                <w:sz w:val="20"/>
                <w:szCs w:val="20"/>
                <w:color w:val="auto"/>
              </w:rPr>
              <w:t>West Group</w:t>
            </w:r>
          </w:p>
        </w:tc>
        <w:tc>
          <w:tcPr>
            <w:tcW w:w="1320" w:type="dxa"/>
            <w:vAlign w:val="bottom"/>
          </w:tcPr>
          <w:p>
            <w:pPr>
              <w:spacing w:after="0"/>
              <w:rPr>
                <w:sz w:val="20"/>
                <w:szCs w:val="20"/>
                <w:color w:val="auto"/>
              </w:rPr>
            </w:pP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7,516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line="234" w:lineRule="exact"/>
              <w:rPr>
                <w:sz w:val="20"/>
                <w:szCs w:val="20"/>
                <w:color w:val="auto"/>
              </w:rPr>
            </w:pPr>
            <w:r>
              <w:rPr>
                <w:rFonts w:ascii="Calibri" w:cs="Calibri" w:eastAsia="Calibri" w:hAnsi="Calibri"/>
                <w:sz w:val="20"/>
                <w:szCs w:val="20"/>
                <w:color w:val="auto"/>
              </w:rPr>
              <w:t>7,697</w:t>
            </w:r>
          </w:p>
        </w:tc>
        <w:tc>
          <w:tcPr>
            <w:tcW w:w="100" w:type="dxa"/>
            <w:vAlign w:val="bottom"/>
          </w:tcPr>
          <w:p>
            <w:pPr>
              <w:spacing w:after="0"/>
              <w:rPr>
                <w:sz w:val="20"/>
                <w:szCs w:val="20"/>
                <w:color w:val="auto"/>
              </w:rPr>
            </w:pPr>
          </w:p>
        </w:tc>
      </w:tr>
      <w:tr>
        <w:trPr>
          <w:trHeight w:val="36"/>
        </w:trPr>
        <w:tc>
          <w:tcPr>
            <w:tcW w:w="69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696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Magnesia Specialtes</w:t>
            </w:r>
          </w:p>
        </w:tc>
        <w:tc>
          <w:tcPr>
            <w:tcW w:w="13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261</w:t>
            </w:r>
          </w:p>
        </w:tc>
        <w:tc>
          <w:tcPr>
            <w:tcW w:w="3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696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reportable segments</w:t>
            </w:r>
          </w:p>
        </w:tc>
        <w:tc>
          <w:tcPr>
            <w:tcW w:w="1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15,464</w:t>
            </w:r>
          </w:p>
        </w:tc>
        <w:tc>
          <w:tcPr>
            <w:tcW w:w="3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13,078</w:t>
            </w:r>
          </w:p>
        </w:tc>
        <w:tc>
          <w:tcPr>
            <w:tcW w:w="100" w:type="dxa"/>
            <w:vAlign w:val="bottom"/>
            <w:tcBorders>
              <w:top w:val="single" w:sz="8" w:color="CFF0FC"/>
            </w:tcBorders>
          </w:tcPr>
          <w:p>
            <w:pPr>
              <w:spacing w:after="0"/>
              <w:rPr>
                <w:sz w:val="19"/>
                <w:szCs w:val="19"/>
                <w:color w:val="auto"/>
              </w:rPr>
            </w:pPr>
          </w:p>
        </w:tc>
      </w:tr>
      <w:tr>
        <w:trPr>
          <w:trHeight w:val="36"/>
        </w:trPr>
        <w:tc>
          <w:tcPr>
            <w:tcW w:w="69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6960" w:type="dxa"/>
            <w:vAlign w:val="bottom"/>
            <w:tcBorders>
              <w:bottom w:val="single" w:sz="8" w:color="CFF0FC"/>
            </w:tcBorders>
            <w:shd w:val="clear" w:color="auto" w:fill="CFF0FC"/>
          </w:tcPr>
          <w:p>
            <w:pPr>
              <w:ind w:left="20"/>
              <w:spacing w:after="0" w:line="236" w:lineRule="exact"/>
              <w:rPr>
                <w:sz w:val="20"/>
                <w:szCs w:val="20"/>
                <w:color w:val="auto"/>
              </w:rPr>
            </w:pPr>
            <w:r>
              <w:rPr>
                <w:rFonts w:ascii="Calibri" w:cs="Calibri" w:eastAsia="Calibri" w:hAnsi="Calibri"/>
                <w:sz w:val="20"/>
                <w:szCs w:val="20"/>
                <w:color w:val="auto"/>
              </w:rPr>
              <w:t>Corporate</w:t>
            </w:r>
          </w:p>
        </w:tc>
        <w:tc>
          <w:tcPr>
            <w:tcW w:w="13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869</w:t>
            </w:r>
          </w:p>
        </w:tc>
        <w:tc>
          <w:tcPr>
            <w:tcW w:w="3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2,047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0"/>
        </w:trPr>
        <w:tc>
          <w:tcPr>
            <w:tcW w:w="6960" w:type="dxa"/>
            <w:vAlign w:val="bottom"/>
            <w:tcBorders>
              <w:top w:val="single" w:sz="8" w:color="CFF0FC"/>
            </w:tcBorders>
          </w:tcPr>
          <w:p>
            <w:pPr>
              <w:ind w:left="20"/>
              <w:spacing w:after="0"/>
              <w:rPr>
                <w:sz w:val="20"/>
                <w:szCs w:val="20"/>
                <w:color w:val="auto"/>
              </w:rPr>
            </w:pPr>
            <w:r>
              <w:rPr>
                <w:rFonts w:ascii="Calibri" w:cs="Calibri" w:eastAsia="Calibri" w:hAnsi="Calibri"/>
                <w:sz w:val="20"/>
                <w:szCs w:val="20"/>
                <w:color w:val="auto"/>
              </w:rPr>
              <w:t>Total</w:t>
            </w:r>
          </w:p>
        </w:tc>
        <w:tc>
          <w:tcPr>
            <w:tcW w:w="1320" w:type="dxa"/>
            <w:vAlign w:val="bottom"/>
            <w:tcBorders>
              <w:top w:val="single" w:sz="8" w:color="auto"/>
              <w:bottom w:val="single" w:sz="8" w:color="auto"/>
            </w:tcBorders>
          </w:tcPr>
          <w:p>
            <w:pPr>
              <w:jc w:val="right"/>
              <w:ind w:right="1101"/>
              <w:spacing w:after="0" w:line="234" w:lineRule="exact"/>
              <w:rPr>
                <w:sz w:val="20"/>
                <w:szCs w:val="20"/>
                <w:color w:val="auto"/>
              </w:rPr>
            </w:pPr>
            <w:r>
              <w:rPr>
                <w:rFonts w:ascii="Calibri" w:cs="Calibri" w:eastAsia="Calibri" w:hAnsi="Calibri"/>
                <w:sz w:val="20"/>
                <w:szCs w:val="20"/>
                <w:color w:val="auto"/>
                <w:w w:val="98"/>
              </w:rPr>
              <w:t>$</w:t>
            </w:r>
          </w:p>
        </w:tc>
        <w:tc>
          <w:tcPr>
            <w:tcW w:w="60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16,333</w:t>
            </w:r>
          </w:p>
        </w:tc>
        <w:tc>
          <w:tcPr>
            <w:tcW w:w="36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6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15,125</w:t>
            </w:r>
          </w:p>
        </w:tc>
        <w:tc>
          <w:tcPr>
            <w:tcW w:w="100" w:type="dxa"/>
            <w:vAlign w:val="bottom"/>
            <w:tcBorders>
              <w:top w:val="single" w:sz="8" w:color="CFF0FC"/>
            </w:tcBorders>
          </w:tcPr>
          <w:p>
            <w:pPr>
              <w:spacing w:after="0"/>
              <w:rPr>
                <w:sz w:val="22"/>
                <w:szCs w:val="22"/>
                <w:color w:val="auto"/>
              </w:rPr>
            </w:pPr>
          </w:p>
        </w:tc>
      </w:tr>
      <w:tr>
        <w:trPr>
          <w:trHeight w:val="20"/>
        </w:trPr>
        <w:tc>
          <w:tcPr>
            <w:tcW w:w="6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-556895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-205105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Revenues and Gross Proft</w:t>
      </w:r>
    </w:p>
    <w:p>
      <w:pPr>
        <w:spacing w:after="0" w:line="116"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following tables, which are reconciled to consolidated amounts, provide revenues and gross proft (loss) by line of business: Building Materials (further divided by product line) and Magnesia Specialtes. Interproduct revenues represent sales from the</w:t>
      </w:r>
    </w:p>
    <w:p>
      <w:pPr>
        <w:spacing w:after="0" w:line="10"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aggregates product line to the cement and ready mixed concrete and asphalt and paving product lines. Efectve January 1, 2024, the Company combined the cement and ready mixed concrete product lines. This change was driven by the reduced signifcance of each of these product lines relatve to the Building Materials business and consolidated operatng results from recent divesttures. Additonally, there is a signifcant relatonship between these product lines, as the ready mixed concrete product line is a signifcant customer of the cement product line. Revenues and gross proft (loss) refect contnuing operatons only.</w:t>
      </w:r>
    </w:p>
    <w:p>
      <w:pPr>
        <w:jc w:val="center"/>
        <w:spacing w:after="0"/>
        <w:rPr>
          <w:sz w:val="20"/>
          <w:szCs w:val="20"/>
          <w:color w:val="auto"/>
        </w:rPr>
      </w:pPr>
      <w:r>
        <w:rPr>
          <w:rFonts w:ascii="Calibri" w:cs="Calibri" w:eastAsia="Calibri" w:hAnsi="Calibri"/>
          <w:sz w:val="20"/>
          <w:szCs w:val="20"/>
          <w:color w:val="auto"/>
        </w:rPr>
        <w:t>Page 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40" w:type="dxa"/>
            <w:vAlign w:val="bottom"/>
          </w:tcPr>
          <w:p>
            <w:pPr>
              <w:spacing w:after="0"/>
              <w:rPr>
                <w:sz w:val="21"/>
                <w:szCs w:val="21"/>
                <w:color w:val="auto"/>
              </w:rPr>
            </w:pPr>
          </w:p>
        </w:tc>
        <w:tc>
          <w:tcPr>
            <w:tcW w:w="3860" w:type="dxa"/>
            <w:vAlign w:val="bottom"/>
            <w:gridSpan w:val="6"/>
          </w:tcPr>
          <w:p>
            <w:pPr>
              <w:jc w:val="right"/>
              <w:ind w:right="1161"/>
              <w:spacing w:after="0"/>
              <w:rPr>
                <w:sz w:val="20"/>
                <w:szCs w:val="20"/>
                <w:color w:val="auto"/>
              </w:rPr>
            </w:pPr>
            <w:r>
              <w:rPr>
                <w:rFonts w:ascii="Calibri" w:cs="Calibri" w:eastAsia="Calibri" w:hAnsi="Calibri"/>
                <w:sz w:val="20"/>
                <w:szCs w:val="20"/>
                <w:color w:val="auto"/>
              </w:rPr>
              <w:t>Three Months Ended</w:t>
            </w:r>
          </w:p>
        </w:tc>
        <w:tc>
          <w:tcPr>
            <w:tcW w:w="580" w:type="dxa"/>
            <w:vAlign w:val="bottom"/>
          </w:tcPr>
          <w:p>
            <w:pPr>
              <w:spacing w:after="0"/>
              <w:rPr>
                <w:sz w:val="21"/>
                <w:szCs w:val="21"/>
                <w:color w:val="auto"/>
              </w:rPr>
            </w:pPr>
          </w:p>
        </w:tc>
        <w:tc>
          <w:tcPr>
            <w:tcW w:w="2960" w:type="dxa"/>
            <w:vAlign w:val="bottom"/>
            <w:gridSpan w:val="5"/>
          </w:tcPr>
          <w:p>
            <w:pPr>
              <w:jc w:val="right"/>
              <w:ind w:right="1080"/>
              <w:spacing w:after="0"/>
              <w:rPr>
                <w:sz w:val="20"/>
                <w:szCs w:val="20"/>
                <w:color w:val="auto"/>
              </w:rPr>
            </w:pPr>
            <w:r>
              <w:rPr>
                <w:rFonts w:ascii="Calibri" w:cs="Calibri" w:eastAsia="Calibri" w:hAnsi="Calibri"/>
                <w:sz w:val="20"/>
                <w:szCs w:val="20"/>
                <w:color w:val="auto"/>
              </w:rPr>
              <w:t>Six Months Ended</w:t>
            </w:r>
          </w:p>
        </w:tc>
      </w:tr>
      <w:tr>
        <w:trPr>
          <w:trHeight w:val="270"/>
        </w:trPr>
        <w:tc>
          <w:tcPr>
            <w:tcW w:w="38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20" w:type="dxa"/>
            <w:vAlign w:val="bottom"/>
            <w:gridSpan w:val="3"/>
          </w:tcPr>
          <w:p>
            <w:pPr>
              <w:jc w:val="right"/>
              <w:ind w:right="121"/>
              <w:spacing w:after="0"/>
              <w:rPr>
                <w:sz w:val="20"/>
                <w:szCs w:val="20"/>
                <w:color w:val="auto"/>
              </w:rPr>
            </w:pPr>
            <w:r>
              <w:rPr>
                <w:rFonts w:ascii="Calibri" w:cs="Calibri" w:eastAsia="Calibri" w:hAnsi="Calibri"/>
                <w:sz w:val="20"/>
                <w:szCs w:val="20"/>
                <w:color w:val="auto"/>
              </w:rPr>
              <w:t>June 30,</w:t>
            </w: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60" w:type="dxa"/>
            <w:vAlign w:val="bottom"/>
            <w:gridSpan w:val="3"/>
          </w:tcPr>
          <w:p>
            <w:pPr>
              <w:jc w:val="right"/>
              <w:ind w:right="81"/>
              <w:spacing w:after="0"/>
              <w:rPr>
                <w:sz w:val="20"/>
                <w:szCs w:val="20"/>
                <w:color w:val="auto"/>
              </w:rPr>
            </w:pPr>
            <w:r>
              <w:rPr>
                <w:rFonts w:ascii="Calibri" w:cs="Calibri" w:eastAsia="Calibri" w:hAnsi="Calibri"/>
                <w:sz w:val="20"/>
                <w:szCs w:val="20"/>
                <w:color w:val="auto"/>
              </w:rPr>
              <w:t>June 30,</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38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384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2023</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481"/>
              <w:spacing w:after="0" w:line="228" w:lineRule="exact"/>
              <w:rPr>
                <w:sz w:val="20"/>
                <w:szCs w:val="20"/>
                <w:color w:val="auto"/>
              </w:rPr>
            </w:pPr>
            <w:r>
              <w:rPr>
                <w:rFonts w:ascii="Calibri" w:cs="Calibri" w:eastAsia="Calibri" w:hAnsi="Calibri"/>
                <w:sz w:val="20"/>
                <w:szCs w:val="20"/>
                <w:color w:val="auto"/>
                <w:w w:val="98"/>
              </w:rPr>
              <w:t>2024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140" w:type="dxa"/>
            <w:vAlign w:val="bottom"/>
            <w:gridSpan w:val="3"/>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38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jc w:val="right"/>
              <w:ind w:right="81"/>
              <w:spacing w:after="0" w:line="217" w:lineRule="exact"/>
              <w:rPr>
                <w:sz w:val="20"/>
                <w:szCs w:val="20"/>
                <w:color w:val="auto"/>
              </w:rPr>
            </w:pPr>
            <w:r>
              <w:rPr>
                <w:rFonts w:ascii="Calibri" w:cs="Calibri" w:eastAsia="Calibri" w:hAnsi="Calibri"/>
                <w:sz w:val="20"/>
                <w:szCs w:val="20"/>
                <w:i w:val="1"/>
                <w:iCs w:val="1"/>
                <w:color w:val="auto"/>
              </w:rPr>
              <w:t>in</w:t>
            </w:r>
          </w:p>
        </w:tc>
        <w:tc>
          <w:tcPr>
            <w:tcW w:w="5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w w:val="80"/>
              </w:rPr>
              <w:t>Millions)</w:t>
            </w: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1,242</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1,151</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2,127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261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413</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526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753</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245</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241</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303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120"/>
              <w:spacing w:after="0" w:line="234" w:lineRule="exact"/>
              <w:rPr>
                <w:sz w:val="20"/>
                <w:szCs w:val="20"/>
                <w:color w:val="auto"/>
              </w:rPr>
            </w:pPr>
            <w:r>
              <w:rPr>
                <w:rFonts w:ascii="Calibri" w:cs="Calibri" w:eastAsia="Calibri" w:hAnsi="Calibri"/>
                <w:sz w:val="20"/>
                <w:szCs w:val="20"/>
                <w:color w:val="auto"/>
              </w:rPr>
              <w:t>Less: interproduct revenues</w:t>
            </w:r>
          </w:p>
        </w:tc>
        <w:tc>
          <w:tcPr>
            <w:tcW w:w="1080" w:type="dxa"/>
            <w:vAlign w:val="bottom"/>
          </w:tcPr>
          <w:p>
            <w:pPr>
              <w:spacing w:after="0"/>
              <w:rPr>
                <w:sz w:val="20"/>
                <w:szCs w:val="20"/>
                <w:color w:val="auto"/>
              </w:rPr>
            </w:pPr>
          </w:p>
        </w:tc>
        <w:tc>
          <w:tcPr>
            <w:tcW w:w="8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(65 )</w:t>
            </w:r>
          </w:p>
        </w:tc>
        <w:tc>
          <w:tcPr>
            <w:tcW w:w="400" w:type="dxa"/>
            <w:vAlign w:val="bottom"/>
          </w:tcPr>
          <w:p>
            <w:pPr>
              <w:spacing w:after="0"/>
              <w:rPr>
                <w:sz w:val="20"/>
                <w:szCs w:val="20"/>
                <w:color w:val="auto"/>
              </w:rPr>
            </w:pPr>
          </w:p>
        </w:tc>
        <w:tc>
          <w:tcPr>
            <w:tcW w:w="156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(65 )</w:t>
            </w:r>
          </w:p>
        </w:tc>
        <w:tc>
          <w:tcPr>
            <w:tcW w:w="580" w:type="dxa"/>
            <w:vAlign w:val="bottom"/>
          </w:tcPr>
          <w:p>
            <w:pPr>
              <w:spacing w:after="0"/>
              <w:rPr>
                <w:sz w:val="20"/>
                <w:szCs w:val="20"/>
                <w:color w:val="auto"/>
              </w:rPr>
            </w:pPr>
          </w:p>
        </w:tc>
        <w:tc>
          <w:tcPr>
            <w:tcW w:w="128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(102 )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(104 )</w:t>
            </w:r>
          </w:p>
        </w:tc>
      </w:tr>
      <w:tr>
        <w:trPr>
          <w:trHeight w:val="36"/>
        </w:trPr>
        <w:tc>
          <w:tcPr>
            <w:tcW w:w="3840" w:type="dxa"/>
            <w:vAlign w:val="bottom"/>
            <w:tcBorders>
              <w:bottom w:val="single" w:sz="8" w:color="CFF0FC"/>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CFF0FC"/>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r>
      <w:tr>
        <w:trPr>
          <w:trHeight w:val="243"/>
        </w:trPr>
        <w:tc>
          <w:tcPr>
            <w:tcW w:w="3840" w:type="dxa"/>
            <w:vAlign w:val="bottom"/>
            <w:tcBorders>
              <w:bottom w:val="single" w:sz="8" w:color="CFF0FC"/>
            </w:tcBorders>
            <w:shd w:val="clear" w:color="auto" w:fill="CFF0FC"/>
          </w:tcPr>
          <w:p>
            <w:pPr>
              <w:ind w:left="20"/>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1,683</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1,740</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2,854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3,011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161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164</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08"/>
        </w:trPr>
        <w:tc>
          <w:tcPr>
            <w:tcW w:w="384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08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1,764</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181"/>
              <w:spacing w:after="0" w:line="228"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1,821</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3,015</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81"/>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3,175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1"/>
        </w:trPr>
        <w:tc>
          <w:tcPr>
            <w:tcW w:w="3840" w:type="dxa"/>
            <w:vAlign w:val="bottom"/>
            <w:tcBorders>
              <w:top w:val="single" w:sz="8" w:color="CFF0FC"/>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Gross proft (loss):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Aggregates</w:t>
            </w:r>
          </w:p>
        </w:tc>
        <w:tc>
          <w:tcPr>
            <w:tcW w:w="1080" w:type="dxa"/>
            <w:vAlign w:val="bottom"/>
            <w:tcBorders>
              <w:bottom w:val="single" w:sz="8" w:color="CFF0FC"/>
            </w:tcBorders>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392</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371</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632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0"/>
              <w:spacing w:after="0" w:line="234" w:lineRule="exact"/>
              <w:rPr>
                <w:sz w:val="20"/>
                <w:szCs w:val="20"/>
                <w:color w:val="auto"/>
              </w:rPr>
            </w:pPr>
            <w:r>
              <w:rPr>
                <w:rFonts w:ascii="Calibri" w:cs="Calibri" w:eastAsia="Calibri" w:hAnsi="Calibri"/>
                <w:sz w:val="20"/>
                <w:szCs w:val="20"/>
                <w:color w:val="auto"/>
              </w:rPr>
              <w:t>Cement and ready mixed concrete</w:t>
            </w:r>
          </w:p>
        </w:tc>
        <w:tc>
          <w:tcPr>
            <w:tcW w:w="108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72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129</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line="234" w:lineRule="exact"/>
              <w:rPr>
                <w:sz w:val="20"/>
                <w:szCs w:val="20"/>
                <w:color w:val="auto"/>
              </w:rPr>
            </w:pPr>
            <w:r>
              <w:rPr>
                <w:rFonts w:ascii="Calibri" w:cs="Calibri" w:eastAsia="Calibri" w:hAnsi="Calibri"/>
                <w:sz w:val="20"/>
                <w:szCs w:val="20"/>
                <w:color w:val="auto"/>
              </w:rPr>
              <w:t>103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187</w:t>
            </w:r>
          </w:p>
        </w:tc>
        <w:tc>
          <w:tcPr>
            <w:tcW w:w="100" w:type="dxa"/>
            <w:vAlign w:val="bottom"/>
          </w:tcPr>
          <w:p>
            <w:pPr>
              <w:spacing w:after="0"/>
              <w:rPr>
                <w:sz w:val="20"/>
                <w:szCs w:val="20"/>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384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Asphalt and paving services</w:t>
            </w:r>
          </w:p>
        </w:tc>
        <w:tc>
          <w:tcPr>
            <w:tcW w:w="10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w:t>
            </w:r>
          </w:p>
        </w:tc>
        <w:tc>
          <w:tcPr>
            <w:tcW w:w="3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36</w:t>
            </w:r>
          </w:p>
        </w:tc>
        <w:tc>
          <w:tcPr>
            <w:tcW w:w="3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w:t>
            </w:r>
          </w:p>
        </w:tc>
        <w:tc>
          <w:tcPr>
            <w:tcW w:w="2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8"/>
        </w:trPr>
        <w:tc>
          <w:tcPr>
            <w:tcW w:w="384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501</w:t>
            </w:r>
          </w:p>
        </w:tc>
        <w:tc>
          <w:tcPr>
            <w:tcW w:w="30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536</w:t>
            </w:r>
          </w:p>
        </w:tc>
        <w:tc>
          <w:tcPr>
            <w:tcW w:w="36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750</w:t>
            </w: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812</w:t>
            </w:r>
          </w:p>
        </w:tc>
        <w:tc>
          <w:tcPr>
            <w:tcW w:w="100" w:type="dxa"/>
            <w:vAlign w:val="bottom"/>
            <w:tcBorders>
              <w:top w:val="single" w:sz="8" w:color="CFF0FC"/>
            </w:tcBorders>
          </w:tcPr>
          <w:p>
            <w:pPr>
              <w:spacing w:after="0"/>
              <w:rPr>
                <w:sz w:val="19"/>
                <w:szCs w:val="19"/>
                <w:color w:val="auto"/>
              </w:rPr>
            </w:pPr>
          </w:p>
        </w:tc>
      </w:tr>
      <w:tr>
        <w:trPr>
          <w:trHeight w:val="36"/>
        </w:trPr>
        <w:tc>
          <w:tcPr>
            <w:tcW w:w="3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38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0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w:t>
            </w: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1080" w:type="dxa"/>
            <w:vAlign w:val="bottom"/>
          </w:tcPr>
          <w:p>
            <w:pPr>
              <w:spacing w:after="0"/>
              <w:rPr>
                <w:sz w:val="20"/>
                <w:szCs w:val="20"/>
                <w:color w:val="auto"/>
              </w:rPr>
            </w:pPr>
          </w:p>
        </w:tc>
        <w:tc>
          <w:tcPr>
            <w:tcW w:w="8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(11 )</w:t>
            </w:r>
          </w:p>
        </w:tc>
        <w:tc>
          <w:tcPr>
            <w:tcW w:w="400" w:type="dxa"/>
            <w:vAlign w:val="bottom"/>
          </w:tcPr>
          <w:p>
            <w:pPr>
              <w:spacing w:after="0"/>
              <w:rPr>
                <w:sz w:val="20"/>
                <w:szCs w:val="20"/>
                <w:color w:val="auto"/>
              </w:rPr>
            </w:pPr>
          </w:p>
        </w:tc>
        <w:tc>
          <w:tcPr>
            <w:tcW w:w="156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(4 )</w:t>
            </w:r>
          </w:p>
        </w:tc>
        <w:tc>
          <w:tcPr>
            <w:tcW w:w="580" w:type="dxa"/>
            <w:vAlign w:val="bottom"/>
          </w:tcPr>
          <w:p>
            <w:pPr>
              <w:spacing w:after="0"/>
              <w:rPr>
                <w:sz w:val="20"/>
                <w:szCs w:val="20"/>
                <w:color w:val="auto"/>
              </w:rPr>
            </w:pPr>
          </w:p>
        </w:tc>
        <w:tc>
          <w:tcPr>
            <w:tcW w:w="128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(16 )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(2 )</w:t>
            </w:r>
          </w:p>
        </w:tc>
      </w:tr>
      <w:tr>
        <w:trPr>
          <w:trHeight w:val="36"/>
        </w:trPr>
        <w:tc>
          <w:tcPr>
            <w:tcW w:w="38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8"/>
        </w:trPr>
        <w:tc>
          <w:tcPr>
            <w:tcW w:w="384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w:t>
            </w:r>
          </w:p>
        </w:tc>
        <w:tc>
          <w:tcPr>
            <w:tcW w:w="108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98"/>
              </w:rPr>
              <w:t>$</w:t>
            </w:r>
          </w:p>
        </w:tc>
        <w:tc>
          <w:tcPr>
            <w:tcW w:w="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517</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181"/>
              <w:spacing w:after="0" w:line="228"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560</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w:t>
            </w:r>
          </w:p>
        </w:tc>
        <w:tc>
          <w:tcPr>
            <w:tcW w:w="10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790</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81"/>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-2313940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-2313940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-2313940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-1782445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-1765300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-1782445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-1765300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-1765300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-728345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-728345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-728345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9"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The above informaton for 2023 has been reclassifed to conform to current-year presentaton. For the quarter ended June 30, 2023, the cement product line reported revenues of $198 million, inclusive of $56 million to the ready mixed concrete product line, and gross proft of $93 million. For the quarter ended June 30, 2023, the ready mixed concrete product line reported revenues of $271 million and gross proft of $35 million. For the six months ended June 30, 2023, the cement product line reported revenues of $366 million, inclusive of $104 million to the ready mixed concrete product line, and gross proft of $140 million. For the six months ended June 30, 2023, the ready mixed concrete product line reported revenues of $491 million and gross proft of $47 million. Revenues from sales of cement to the ready mixed concrete product line were previously eliminated in the interproduct revenues line.</w:t>
      </w:r>
    </w:p>
    <w:p>
      <w:pPr>
        <w:spacing w:after="0" w:line="343"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Performance Obligatons. </w:t>
      </w:r>
      <w:r>
        <w:rPr>
          <w:rFonts w:ascii="Calibri" w:cs="Calibri" w:eastAsia="Calibri" w:hAnsi="Calibri"/>
          <w:sz w:val="20"/>
          <w:szCs w:val="20"/>
          <w:color w:val="auto"/>
        </w:rPr>
        <w:t>Performance obligatons are contractual promises to transfer or provide a distnct good or service for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stated price. The Company’s product sales agreements are single-performance obligatons that are satsfed at a point in tme. Performance obligatons within paving service agreements are satsfed over tme, primarily ranging from one day to two years. Customer payments for the paving operatons are based on a contractual billing schedule and are typically paid-when-paid, meaning the Company is paid once the customer is paid.</w:t>
      </w:r>
    </w:p>
    <w:p>
      <w:pPr>
        <w:spacing w:after="0" w:line="118"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Future revenues from unsatsfed performance obligatons at June 30, 2024 and 2023 were $377 million and $358 million, respectvely, where the remaining periods to complete these obligatons ranged from one month to 18 months and one month to 28 months, respectvely.</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93" w:lineRule="exact"/>
        <w:rPr>
          <w:sz w:val="20"/>
          <w:szCs w:val="20"/>
          <w:color w:val="auto"/>
        </w:rPr>
      </w:pPr>
    </w:p>
    <w:p>
      <w:pPr>
        <w:jc w:val="both"/>
        <w:ind w:left="380"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Service Revenues. </w:t>
      </w:r>
      <w:r>
        <w:rPr>
          <w:rFonts w:ascii="Calibri" w:cs="Calibri" w:eastAsia="Calibri" w:hAnsi="Calibri"/>
          <w:sz w:val="20"/>
          <w:szCs w:val="20"/>
          <w:color w:val="auto"/>
        </w:rPr>
        <w:t>Service revenues, which include paving services located in California and Colorado, were $117 million and $108</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million for the three months ended June 30, 2024 and 2023, respectvely, and reported in the West Group. Service revenues for the six months ended June 30, 2024 and 2023 were $143 million and $134 million, respectvely.</w:t>
      </w:r>
    </w:p>
    <w:p>
      <w:pPr>
        <w:spacing w:after="0" w:line="117"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b w:val="1"/>
          <w:bCs w:val="1"/>
          <w:i w:val="1"/>
          <w:iCs w:val="1"/>
          <w:color w:val="auto"/>
        </w:rPr>
        <w:t xml:space="preserve">Contract Balances. </w:t>
      </w:r>
      <w:r>
        <w:rPr>
          <w:rFonts w:ascii="Calibri" w:cs="Calibri" w:eastAsia="Calibri" w:hAnsi="Calibri"/>
          <w:sz w:val="20"/>
          <w:szCs w:val="20"/>
          <w:color w:val="auto"/>
        </w:rPr>
        <w:t>Costs in excess of billings relate to the conditonal right to consideraton for completed contractual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alibri" w:cs="Calibri" w:eastAsia="Calibri" w:hAnsi="Calibri"/>
                <w:sz w:val="20"/>
                <w:szCs w:val="20"/>
                <w:color w:val="auto"/>
              </w:rPr>
              <w:t>June 30, 2024</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ind w:left="100"/>
              <w:spacing w:after="0"/>
              <w:rPr>
                <w:sz w:val="20"/>
                <w:szCs w:val="20"/>
                <w:color w:val="auto"/>
              </w:rPr>
            </w:pPr>
            <w:r>
              <w:rPr>
                <w:rFonts w:ascii="Calibri" w:cs="Calibri" w:eastAsia="Calibri" w:hAnsi="Calibri"/>
                <w:sz w:val="20"/>
                <w:szCs w:val="20"/>
                <w:color w:val="auto"/>
              </w:rPr>
              <w:t>December 31, 2023</w:t>
            </w:r>
          </w:p>
        </w:tc>
      </w:tr>
      <w:tr>
        <w:trPr>
          <w:trHeight w:val="46"/>
        </w:trPr>
        <w:tc>
          <w:tcPr>
            <w:tcW w:w="6940" w:type="dxa"/>
            <w:vAlign w:val="bottom"/>
          </w:tcPr>
          <w:p>
            <w:pPr>
              <w:spacing w:after="0"/>
              <w:rPr>
                <w:sz w:val="4"/>
                <w:szCs w:val="4"/>
                <w:color w:val="auto"/>
              </w:rPr>
            </w:pPr>
          </w:p>
        </w:tc>
        <w:tc>
          <w:tcPr>
            <w:tcW w:w="2400" w:type="dxa"/>
            <w:vAlign w:val="bottom"/>
            <w:gridSpan w:val="3"/>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6940" w:type="dxa"/>
            <w:vAlign w:val="bottom"/>
          </w:tcPr>
          <w:p>
            <w:pPr>
              <w:spacing w:after="0"/>
              <w:rPr>
                <w:sz w:val="19"/>
                <w:szCs w:val="19"/>
                <w:color w:val="auto"/>
              </w:rPr>
            </w:pPr>
          </w:p>
        </w:tc>
        <w:tc>
          <w:tcPr>
            <w:tcW w:w="212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1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6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6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Costs in excess of billings</w:t>
            </w:r>
          </w:p>
        </w:tc>
        <w:tc>
          <w:tcPr>
            <w:tcW w:w="1840" w:type="dxa"/>
            <w:vAlign w:val="bottom"/>
            <w:tcBorders>
              <w:bottom w:val="single" w:sz="8" w:color="CFF0FC"/>
            </w:tcBorders>
            <w:shd w:val="clear" w:color="auto" w:fill="CFF0FC"/>
          </w:tcPr>
          <w:p>
            <w:pPr>
              <w:jc w:val="right"/>
              <w:ind w:right="1321"/>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17</w:t>
            </w:r>
          </w:p>
        </w:tc>
        <w:tc>
          <w:tcPr>
            <w:tcW w:w="1380" w:type="dxa"/>
            <w:vAlign w:val="bottom"/>
            <w:tcBorders>
              <w:bottom w:val="single" w:sz="8" w:color="CFF0FC"/>
            </w:tcBorders>
            <w:gridSpan w:val="2"/>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940" w:type="dxa"/>
            <w:vAlign w:val="bottom"/>
          </w:tcPr>
          <w:p>
            <w:pPr>
              <w:ind w:left="20"/>
              <w:spacing w:after="0" w:line="234" w:lineRule="exact"/>
              <w:rPr>
                <w:sz w:val="20"/>
                <w:szCs w:val="20"/>
                <w:color w:val="auto"/>
              </w:rPr>
            </w:pPr>
            <w:r>
              <w:rPr>
                <w:rFonts w:ascii="Calibri" w:cs="Calibri" w:eastAsia="Calibri" w:hAnsi="Calibri"/>
                <w:sz w:val="20"/>
                <w:szCs w:val="20"/>
                <w:color w:val="auto"/>
              </w:rPr>
              <w:t>Billings in excess of costs</w:t>
            </w:r>
          </w:p>
        </w:tc>
        <w:tc>
          <w:tcPr>
            <w:tcW w:w="1840" w:type="dxa"/>
            <w:vAlign w:val="bottom"/>
          </w:tcPr>
          <w:p>
            <w:pPr>
              <w:jc w:val="right"/>
              <w:ind w:right="1321"/>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380" w:type="dxa"/>
            <w:vAlign w:val="bottom"/>
            <w:gridSpan w:val="2"/>
          </w:tcPr>
          <w:p>
            <w:pPr>
              <w:ind w:left="30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00" w:type="dxa"/>
            <w:vAlign w:val="bottom"/>
          </w:tcPr>
          <w:p>
            <w:pPr>
              <w:spacing w:after="0"/>
              <w:rPr>
                <w:sz w:val="20"/>
                <w:szCs w:val="20"/>
                <w:color w:val="auto"/>
              </w:rPr>
            </w:pPr>
          </w:p>
        </w:tc>
      </w:tr>
    </w:tbl>
    <w:p>
      <w:pPr>
        <w:spacing w:after="0" w:line="254" w:lineRule="exact"/>
        <w:rPr>
          <w:sz w:val="20"/>
          <w:szCs w:val="20"/>
          <w:color w:val="auto"/>
        </w:rPr>
      </w:pPr>
    </w:p>
    <w:p>
      <w:pPr>
        <w:jc w:val="both"/>
        <w:ind w:left="380" w:right="20"/>
        <w:spacing w:after="0" w:line="234" w:lineRule="auto"/>
        <w:rPr>
          <w:sz w:val="20"/>
          <w:szCs w:val="20"/>
          <w:color w:val="auto"/>
        </w:rPr>
      </w:pPr>
      <w:r>
        <w:rPr>
          <w:rFonts w:ascii="Calibri" w:cs="Calibri" w:eastAsia="Calibri" w:hAnsi="Calibri"/>
          <w:sz w:val="20"/>
          <w:szCs w:val="20"/>
          <w:color w:val="auto"/>
        </w:rPr>
        <w:t>Revenues recognized from the beginning balance of contract liabilites for the three months ended June 30, 2024 and 2023 were $6 million and $5 million, respectvely, and $8 million for both the six months ended June 30, 2024 and 2023.</w:t>
      </w:r>
    </w:p>
    <w:p>
      <w:pPr>
        <w:spacing w:after="0" w:line="118"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 xml:space="preserve">Retainage, which primarily relates to the paving services, represents amounts that have been billed to customers but payment is withheld untl fnal acceptance of the performance obligaton by the customer. Retainage, which is included in </w:t>
      </w:r>
      <w:r>
        <w:rPr>
          <w:rFonts w:ascii="Calibri" w:cs="Calibri" w:eastAsia="Calibri" w:hAnsi="Calibri"/>
          <w:sz w:val="20"/>
          <w:szCs w:val="20"/>
          <w:i w:val="1"/>
          <w:iCs w:val="1"/>
          <w:color w:val="auto"/>
        </w:rPr>
        <w:t>Other current assets</w:t>
      </w:r>
      <w:r>
        <w:rPr>
          <w:rFonts w:ascii="Calibri" w:cs="Calibri" w:eastAsia="Calibri" w:hAnsi="Calibri"/>
          <w:sz w:val="20"/>
          <w:szCs w:val="20"/>
          <w:color w:val="auto"/>
        </w:rPr>
        <w:t xml:space="preserve"> on the Company’s consolidated balance sheets, was $12 million and $17 million at June 30, 2024 and December 31, 2023, respectvely.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12. Supplemental Cash Flow Informaton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60" w:type="dxa"/>
            <w:vAlign w:val="bottom"/>
          </w:tcPr>
          <w:p>
            <w:pPr>
              <w:ind w:left="380"/>
              <w:spacing w:after="0"/>
              <w:rPr>
                <w:sz w:val="20"/>
                <w:szCs w:val="20"/>
                <w:color w:val="auto"/>
              </w:rPr>
            </w:pPr>
            <w:r>
              <w:rPr>
                <w:rFonts w:ascii="Calibri" w:cs="Calibri" w:eastAsia="Calibri" w:hAnsi="Calibri"/>
                <w:sz w:val="20"/>
                <w:szCs w:val="20"/>
                <w:color w:val="auto"/>
              </w:rPr>
              <w:t>Noncash investng and fnancing actvites are as follows:</w:t>
            </w: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0"/>
        </w:trPr>
        <w:tc>
          <w:tcPr>
            <w:tcW w:w="7760" w:type="dxa"/>
            <w:vAlign w:val="bottom"/>
          </w:tcPr>
          <w:p>
            <w:pPr>
              <w:spacing w:after="0"/>
              <w:rPr>
                <w:sz w:val="24"/>
                <w:szCs w:val="24"/>
                <w:color w:val="auto"/>
              </w:rPr>
            </w:pPr>
          </w:p>
        </w:tc>
        <w:tc>
          <w:tcPr>
            <w:tcW w:w="2980" w:type="dxa"/>
            <w:vAlign w:val="bottom"/>
            <w:gridSpan w:val="4"/>
          </w:tcPr>
          <w:p>
            <w:pPr>
              <w:jc w:val="center"/>
              <w:ind w:left="281"/>
              <w:spacing w:after="0"/>
              <w:rPr>
                <w:sz w:val="20"/>
                <w:szCs w:val="20"/>
                <w:color w:val="auto"/>
              </w:rPr>
            </w:pPr>
            <w:r>
              <w:rPr>
                <w:rFonts w:ascii="Calibri" w:cs="Calibri" w:eastAsia="Calibri" w:hAnsi="Calibri"/>
                <w:sz w:val="20"/>
                <w:szCs w:val="20"/>
                <w:color w:val="auto"/>
              </w:rPr>
              <w:t>Six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20" w:type="dxa"/>
            <w:vAlign w:val="bottom"/>
            <w:gridSpan w:val="3"/>
          </w:tcPr>
          <w:p>
            <w:pPr>
              <w:jc w:val="center"/>
              <w:ind w:right="681"/>
              <w:spacing w:after="0"/>
              <w:rPr>
                <w:sz w:val="20"/>
                <w:szCs w:val="20"/>
                <w:color w:val="auto"/>
              </w:rPr>
            </w:pPr>
            <w:r>
              <w:rPr>
                <w:rFonts w:ascii="Calibri" w:cs="Calibri" w:eastAsia="Calibri" w:hAnsi="Calibri"/>
                <w:sz w:val="20"/>
                <w:szCs w:val="20"/>
                <w:color w:val="auto"/>
              </w:rPr>
              <w:t>June 30,</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7"/>
        </w:trPr>
        <w:tc>
          <w:tcPr>
            <w:tcW w:w="77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760" w:type="dxa"/>
            <w:vAlign w:val="bottom"/>
          </w:tcPr>
          <w:p>
            <w:pPr>
              <w:spacing w:after="0"/>
              <w:rPr>
                <w:sz w:val="19"/>
                <w:szCs w:val="19"/>
                <w:color w:val="auto"/>
              </w:rPr>
            </w:pPr>
          </w:p>
        </w:tc>
        <w:tc>
          <w:tcPr>
            <w:tcW w:w="1160" w:type="dxa"/>
            <w:vAlign w:val="bottom"/>
          </w:tcPr>
          <w:p>
            <w:pPr>
              <w:jc w:val="right"/>
              <w:ind w:right="81"/>
              <w:spacing w:after="0" w:line="228" w:lineRule="exact"/>
              <w:rPr>
                <w:sz w:val="20"/>
                <w:szCs w:val="20"/>
                <w:color w:val="auto"/>
              </w:rPr>
            </w:pPr>
            <w:r>
              <w:rPr>
                <w:rFonts w:ascii="Calibri" w:cs="Calibri" w:eastAsia="Calibri" w:hAnsi="Calibri"/>
                <w:sz w:val="20"/>
                <w:szCs w:val="20"/>
                <w:color w:val="auto"/>
              </w:rPr>
              <w:t>2024</w:t>
            </w:r>
          </w:p>
        </w:tc>
        <w:tc>
          <w:tcPr>
            <w:tcW w:w="400" w:type="dxa"/>
            <w:vAlign w:val="bottom"/>
          </w:tcPr>
          <w:p>
            <w:pPr>
              <w:spacing w:after="0"/>
              <w:rPr>
                <w:sz w:val="19"/>
                <w:szCs w:val="19"/>
                <w:color w:val="auto"/>
              </w:rPr>
            </w:pPr>
          </w:p>
        </w:tc>
        <w:tc>
          <w:tcPr>
            <w:tcW w:w="1420" w:type="dxa"/>
            <w:vAlign w:val="bottom"/>
            <w:gridSpan w:val="2"/>
          </w:tcPr>
          <w:p>
            <w:pPr>
              <w:jc w:val="right"/>
              <w:ind w:right="81"/>
              <w:spacing w:after="0" w:line="228" w:lineRule="exact"/>
              <w:rPr>
                <w:sz w:val="20"/>
                <w:szCs w:val="20"/>
                <w:color w:val="auto"/>
              </w:rPr>
            </w:pPr>
            <w:r>
              <w:rPr>
                <w:rFonts w:ascii="Calibri" w:cs="Calibri" w:eastAsia="Calibri" w:hAnsi="Calibri"/>
                <w:sz w:val="20"/>
                <w:szCs w:val="20"/>
                <w:color w:val="auto"/>
              </w:rPr>
              <w:t>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760" w:type="dxa"/>
            <w:vAlign w:val="bottom"/>
          </w:tcPr>
          <w:p>
            <w:pPr>
              <w:spacing w:after="0"/>
              <w:rPr>
                <w:sz w:val="3"/>
                <w:szCs w:val="3"/>
                <w:color w:val="auto"/>
              </w:rPr>
            </w:pPr>
          </w:p>
        </w:tc>
        <w:tc>
          <w:tcPr>
            <w:tcW w:w="1840" w:type="dxa"/>
            <w:vAlign w:val="bottom"/>
            <w:gridSpan w:val="3"/>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76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20"/>
              <w:spacing w:after="0" w:line="217" w:lineRule="exact"/>
              <w:rPr>
                <w:sz w:val="20"/>
                <w:szCs w:val="20"/>
                <w:color w:val="auto"/>
              </w:rPr>
            </w:pPr>
            <w:r>
              <w:rPr>
                <w:rFonts w:ascii="Calibri" w:cs="Calibri" w:eastAsia="Calibri" w:hAnsi="Calibri"/>
                <w:sz w:val="20"/>
                <w:szCs w:val="20"/>
                <w:i w:val="1"/>
                <w:iCs w:val="1"/>
                <w:color w:val="auto"/>
              </w:rPr>
              <w:t>in</w:t>
            </w:r>
          </w:p>
        </w:tc>
        <w:tc>
          <w:tcPr>
            <w:tcW w:w="114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7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7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Accrued liabilites for purchases of property, plant and equipment</w:t>
            </w:r>
          </w:p>
        </w:tc>
        <w:tc>
          <w:tcPr>
            <w:tcW w:w="1160" w:type="dxa"/>
            <w:vAlign w:val="bottom"/>
            <w:tcBorders>
              <w:bottom w:val="single" w:sz="8" w:color="CFF0FC"/>
            </w:tcBorders>
            <w:shd w:val="clear" w:color="auto" w:fill="CFF0FC"/>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49</w:t>
            </w:r>
          </w:p>
        </w:tc>
        <w:tc>
          <w:tcPr>
            <w:tcW w:w="142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 new</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7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operatng lease liabilites</w:t>
            </w:r>
          </w:p>
        </w:tc>
        <w:tc>
          <w:tcPr>
            <w:tcW w:w="1160" w:type="dxa"/>
            <w:vAlign w:val="bottom"/>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43</w:t>
            </w:r>
          </w:p>
        </w:tc>
        <w:tc>
          <w:tcPr>
            <w:tcW w:w="142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29</w:t>
            </w:r>
          </w:p>
        </w:tc>
        <w:tc>
          <w:tcPr>
            <w:tcW w:w="100" w:type="dxa"/>
            <w:vAlign w:val="bottom"/>
          </w:tcPr>
          <w:p>
            <w:pPr>
              <w:spacing w:after="0"/>
              <w:rPr>
                <w:sz w:val="20"/>
                <w:szCs w:val="20"/>
                <w:color w:val="auto"/>
              </w:rPr>
            </w:pPr>
          </w:p>
        </w:tc>
      </w:tr>
      <w:tr>
        <w:trPr>
          <w:trHeight w:val="47"/>
        </w:trPr>
        <w:tc>
          <w:tcPr>
            <w:tcW w:w="7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2"/>
        </w:trPr>
        <w:tc>
          <w:tcPr>
            <w:tcW w:w="77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Right-of-use assets obtained in exchange for</w:t>
            </w:r>
          </w:p>
        </w:tc>
        <w:tc>
          <w:tcPr>
            <w:tcW w:w="1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776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new fnance lease liabilites</w:t>
            </w:r>
          </w:p>
        </w:tc>
        <w:tc>
          <w:tcPr>
            <w:tcW w:w="1160" w:type="dxa"/>
            <w:vAlign w:val="bottom"/>
            <w:tcBorders>
              <w:bottom w:val="single" w:sz="8" w:color="CFF0FC"/>
            </w:tcBorders>
            <w:shd w:val="clear" w:color="auto" w:fill="CFF0FC"/>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w:t>
            </w:r>
          </w:p>
        </w:tc>
        <w:tc>
          <w:tcPr>
            <w:tcW w:w="142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7760" w:type="dxa"/>
            <w:vAlign w:val="bottom"/>
          </w:tcPr>
          <w:p>
            <w:pPr>
              <w:ind w:left="20"/>
              <w:spacing w:after="0" w:line="234" w:lineRule="exact"/>
              <w:rPr>
                <w:sz w:val="20"/>
                <w:szCs w:val="20"/>
                <w:color w:val="auto"/>
              </w:rPr>
            </w:pPr>
            <w:r>
              <w:rPr>
                <w:rFonts w:ascii="Calibri" w:cs="Calibri" w:eastAsia="Calibri" w:hAnsi="Calibri"/>
                <w:sz w:val="20"/>
                <w:szCs w:val="20"/>
                <w:color w:val="auto"/>
              </w:rPr>
              <w:t>Remeasurement of operatng lease right-of-use assets</w:t>
            </w:r>
          </w:p>
        </w:tc>
        <w:tc>
          <w:tcPr>
            <w:tcW w:w="1160" w:type="dxa"/>
            <w:vAlign w:val="bottom"/>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3</w:t>
            </w:r>
          </w:p>
        </w:tc>
        <w:tc>
          <w:tcPr>
            <w:tcW w:w="142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7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7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Remeasurement of fnance lease right-of-use assets</w:t>
            </w:r>
          </w:p>
        </w:tc>
        <w:tc>
          <w:tcPr>
            <w:tcW w:w="1160" w:type="dxa"/>
            <w:vAlign w:val="bottom"/>
            <w:tcBorders>
              <w:bottom w:val="single" w:sz="8" w:color="CFF0FC"/>
            </w:tcBorders>
            <w:shd w:val="clear" w:color="auto" w:fill="CFF0FC"/>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w:t>
            </w:r>
          </w:p>
        </w:tc>
        <w:tc>
          <w:tcPr>
            <w:tcW w:w="1420" w:type="dxa"/>
            <w:vAlign w:val="bottom"/>
            <w:tcBorders>
              <w:bottom w:val="single" w:sz="8" w:color="CFF0FC"/>
            </w:tcBorders>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34"/>
        </w:trPr>
        <w:tc>
          <w:tcPr>
            <w:tcW w:w="7760" w:type="dxa"/>
            <w:vAlign w:val="bottom"/>
          </w:tcPr>
          <w:p>
            <w:pPr>
              <w:ind w:left="20"/>
              <w:spacing w:after="0" w:line="234" w:lineRule="exact"/>
              <w:rPr>
                <w:sz w:val="20"/>
                <w:szCs w:val="20"/>
                <w:color w:val="auto"/>
              </w:rPr>
            </w:pPr>
            <w:r>
              <w:rPr>
                <w:rFonts w:ascii="Calibri" w:cs="Calibri" w:eastAsia="Calibri" w:hAnsi="Calibri"/>
                <w:sz w:val="20"/>
                <w:szCs w:val="20"/>
                <w:color w:val="auto"/>
              </w:rPr>
              <w:t>Acquisiton of assets through asset exchange</w:t>
            </w:r>
          </w:p>
        </w:tc>
        <w:tc>
          <w:tcPr>
            <w:tcW w:w="1160" w:type="dxa"/>
            <w:vAlign w:val="bottom"/>
          </w:tcPr>
          <w:p>
            <w:pPr>
              <w:jc w:val="right"/>
              <w:ind w:right="941"/>
              <w:spacing w:after="0" w:line="234" w:lineRule="exact"/>
              <w:rPr>
                <w:sz w:val="20"/>
                <w:szCs w:val="20"/>
                <w:color w:val="auto"/>
              </w:rPr>
            </w:pPr>
            <w:r>
              <w:rPr>
                <w:rFonts w:ascii="Calibri" w:cs="Calibri" w:eastAsia="Calibri" w:hAnsi="Calibri"/>
                <w:sz w:val="20"/>
                <w:szCs w:val="20"/>
                <w:color w:val="auto"/>
                <w:w w:val="98"/>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gridSpan w:val="2"/>
          </w:tcPr>
          <w:p>
            <w:pPr>
              <w:ind w:left="280"/>
              <w:spacing w:after="0" w:line="234" w:lineRule="exact"/>
              <w:rPr>
                <w:sz w:val="20"/>
                <w:szCs w:val="20"/>
                <w:color w:val="auto"/>
              </w:rPr>
            </w:pPr>
            <w:r>
              <w:rPr>
                <w:rFonts w:ascii="Calibri" w:cs="Calibri" w:eastAsia="Calibri" w:hAnsi="Calibri"/>
                <w:sz w:val="20"/>
                <w:szCs w:val="20"/>
                <w:color w:val="auto"/>
              </w:rPr>
              <w:t>$</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4" w:name="page25"/>
    <w:bookmarkEnd w:id="2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60" w:type="dxa"/>
            <w:vAlign w:val="bottom"/>
          </w:tcPr>
          <w:p>
            <w:pPr>
              <w:ind w:left="380"/>
              <w:spacing w:after="0"/>
              <w:rPr>
                <w:sz w:val="20"/>
                <w:szCs w:val="20"/>
                <w:color w:val="auto"/>
              </w:rPr>
            </w:pPr>
            <w:r>
              <w:rPr>
                <w:rFonts w:ascii="Calibri" w:cs="Calibri" w:eastAsia="Calibri" w:hAnsi="Calibri"/>
                <w:sz w:val="20"/>
                <w:szCs w:val="20"/>
                <w:color w:val="auto"/>
              </w:rPr>
              <w:t>Supplemental disclosures of cash fow informaton are as follows: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00"/>
        </w:trPr>
        <w:tc>
          <w:tcPr>
            <w:tcW w:w="7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Calibri" w:cs="Calibri" w:eastAsia="Calibri" w:hAnsi="Calibri"/>
                <w:sz w:val="20"/>
                <w:szCs w:val="20"/>
                <w:color w:val="auto"/>
              </w:rPr>
              <w:t>Six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3"/>
          </w:tcPr>
          <w:p>
            <w:pPr>
              <w:jc w:val="center"/>
              <w:spacing w:after="0"/>
              <w:rPr>
                <w:sz w:val="20"/>
                <w:szCs w:val="20"/>
                <w:color w:val="auto"/>
              </w:rPr>
            </w:pPr>
            <w:r>
              <w:rPr>
                <w:rFonts w:ascii="Calibri" w:cs="Calibri" w:eastAsia="Calibri" w:hAnsi="Calibri"/>
                <w:sz w:val="20"/>
                <w:szCs w:val="20"/>
                <w:color w:val="auto"/>
              </w:rPr>
              <w:t>June 30,</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73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736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581"/>
              <w:spacing w:after="0" w:line="228" w:lineRule="exact"/>
              <w:rPr>
                <w:sz w:val="20"/>
                <w:szCs w:val="20"/>
                <w:color w:val="auto"/>
              </w:rPr>
            </w:pPr>
            <w:r>
              <w:rPr>
                <w:rFonts w:ascii="Calibri" w:cs="Calibri" w:eastAsia="Calibri" w:hAnsi="Calibri"/>
                <w:sz w:val="20"/>
                <w:szCs w:val="20"/>
                <w:color w:val="auto"/>
                <w:w w:val="98"/>
              </w:rPr>
              <w:t>2023</w:t>
            </w:r>
          </w:p>
        </w:tc>
        <w:tc>
          <w:tcPr>
            <w:tcW w:w="100" w:type="dxa"/>
            <w:vAlign w:val="bottom"/>
          </w:tcPr>
          <w:p>
            <w:pPr>
              <w:spacing w:after="0"/>
              <w:rPr>
                <w:sz w:val="19"/>
                <w:szCs w:val="19"/>
                <w:color w:val="auto"/>
              </w:rPr>
            </w:pPr>
          </w:p>
        </w:tc>
      </w:tr>
      <w:tr>
        <w:trPr>
          <w:trHeight w:val="36"/>
        </w:trPr>
        <w:tc>
          <w:tcPr>
            <w:tcW w:w="7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73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w w:val="98"/>
              </w:rPr>
              <w:t>(Dollars</w:t>
            </w:r>
          </w:p>
        </w:tc>
        <w:tc>
          <w:tcPr>
            <w:tcW w:w="260" w:type="dxa"/>
            <w:vAlign w:val="bottom"/>
          </w:tcPr>
          <w:p>
            <w:pPr>
              <w:ind w:left="40"/>
              <w:spacing w:after="0" w:line="217" w:lineRule="exact"/>
              <w:rPr>
                <w:sz w:val="20"/>
                <w:szCs w:val="20"/>
                <w:color w:val="auto"/>
              </w:rPr>
            </w:pPr>
            <w:r>
              <w:rPr>
                <w:rFonts w:ascii="Calibri" w:cs="Calibri" w:eastAsia="Calibri" w:hAnsi="Calibri"/>
                <w:sz w:val="20"/>
                <w:szCs w:val="20"/>
                <w:i w:val="1"/>
                <w:iCs w:val="1"/>
                <w:color w:val="auto"/>
              </w:rPr>
              <w:t>in</w:t>
            </w:r>
          </w:p>
        </w:tc>
        <w:tc>
          <w:tcPr>
            <w:tcW w:w="6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i w:val="1"/>
                <w:iCs w:val="1"/>
                <w:color w:val="auto"/>
                <w:w w:val="94"/>
              </w:rPr>
              <w:t>Millions)</w:t>
            </w: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7360" w:type="dxa"/>
            <w:vAlign w:val="bottom"/>
          </w:tcPr>
          <w:p>
            <w:pPr>
              <w:ind w:left="20"/>
              <w:spacing w:after="0"/>
              <w:rPr>
                <w:sz w:val="20"/>
                <w:szCs w:val="20"/>
                <w:color w:val="auto"/>
              </w:rPr>
            </w:pPr>
            <w:r>
              <w:rPr>
                <w:rFonts w:ascii="Calibri" w:cs="Calibri" w:eastAsia="Calibri" w:hAnsi="Calibri"/>
                <w:sz w:val="20"/>
                <w:szCs w:val="20"/>
                <w:color w:val="auto"/>
              </w:rPr>
              <w:t>Cash paid for interest, net of capitalized amount</w:t>
            </w:r>
          </w:p>
        </w:tc>
        <w:tc>
          <w:tcPr>
            <w:tcW w:w="1080" w:type="dxa"/>
            <w:vAlign w:val="bottom"/>
          </w:tcPr>
          <w:p>
            <w:pPr>
              <w:jc w:val="right"/>
              <w:ind w:right="861"/>
              <w:spacing w:after="0"/>
              <w:rPr>
                <w:sz w:val="20"/>
                <w:szCs w:val="20"/>
                <w:color w:val="auto"/>
              </w:rPr>
            </w:pPr>
            <w:r>
              <w:rPr>
                <w:rFonts w:ascii="Calibri" w:cs="Calibri" w:eastAsia="Calibri" w:hAnsi="Calibri"/>
                <w:sz w:val="20"/>
                <w:szCs w:val="20"/>
                <w:color w:val="auto"/>
                <w:w w:val="98"/>
              </w:rPr>
              <w:t>$</w:t>
            </w:r>
          </w:p>
        </w:tc>
        <w:tc>
          <w:tcPr>
            <w:tcW w:w="660" w:type="dxa"/>
            <w:vAlign w:val="bottom"/>
          </w:tcPr>
          <w:p>
            <w:pPr>
              <w:jc w:val="right"/>
              <w:spacing w:after="0"/>
              <w:rPr>
                <w:sz w:val="20"/>
                <w:szCs w:val="20"/>
                <w:color w:val="auto"/>
              </w:rPr>
            </w:pPr>
            <w:r>
              <w:rPr>
                <w:rFonts w:ascii="Calibri" w:cs="Calibri" w:eastAsia="Calibri" w:hAnsi="Calibri"/>
                <w:sz w:val="20"/>
                <w:szCs w:val="20"/>
                <w:color w:val="auto"/>
              </w:rPr>
              <w:t>76</w:t>
            </w:r>
          </w:p>
        </w:tc>
        <w:tc>
          <w:tcPr>
            <w:tcW w:w="940" w:type="dxa"/>
            <w:vAlign w:val="bottom"/>
            <w:gridSpan w:val="2"/>
          </w:tcPr>
          <w:p>
            <w:pPr>
              <w:ind w:left="280"/>
              <w:spacing w:after="0"/>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color w:val="auto"/>
              </w:rPr>
              <w:t>80</w:t>
            </w:r>
          </w:p>
        </w:tc>
        <w:tc>
          <w:tcPr>
            <w:tcW w:w="100" w:type="dxa"/>
            <w:vAlign w:val="bottom"/>
          </w:tcPr>
          <w:p>
            <w:pPr>
              <w:spacing w:after="0"/>
              <w:rPr>
                <w:sz w:val="22"/>
                <w:szCs w:val="22"/>
                <w:color w:val="auto"/>
              </w:rPr>
            </w:pPr>
          </w:p>
        </w:tc>
      </w:tr>
      <w:tr>
        <w:trPr>
          <w:trHeight w:val="46"/>
        </w:trPr>
        <w:tc>
          <w:tcPr>
            <w:tcW w:w="7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4"/>
        </w:trPr>
        <w:tc>
          <w:tcPr>
            <w:tcW w:w="73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Cash paid for income taxes, net of refunds</w:t>
            </w:r>
          </w:p>
        </w:tc>
        <w:tc>
          <w:tcPr>
            <w:tcW w:w="1080" w:type="dxa"/>
            <w:vAlign w:val="bottom"/>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374</w:t>
            </w:r>
          </w:p>
        </w:tc>
        <w:tc>
          <w:tcPr>
            <w:tcW w:w="940" w:type="dxa"/>
            <w:vAlign w:val="bottom"/>
            <w:gridSpan w:val="2"/>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83</w:t>
            </w:r>
          </w:p>
        </w:tc>
        <w:tc>
          <w:tcPr>
            <w:tcW w:w="100" w:type="dxa"/>
            <w:vAlign w:val="bottom"/>
            <w:shd w:val="clear" w:color="auto" w:fill="CFF0FC"/>
          </w:tcPr>
          <w:p>
            <w:pPr>
              <w:spacing w:after="0"/>
              <w:rPr>
                <w:sz w:val="20"/>
                <w:szCs w:val="20"/>
                <w:color w:val="auto"/>
              </w:rPr>
            </w:pPr>
          </w:p>
        </w:tc>
      </w:tr>
      <w:tr>
        <w:trPr>
          <w:trHeight w:val="36"/>
        </w:trPr>
        <w:tc>
          <w:tcPr>
            <w:tcW w:w="73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344" w:lineRule="exact"/>
        <w:rPr>
          <w:sz w:val="20"/>
          <w:szCs w:val="20"/>
          <w:color w:val="auto"/>
        </w:rPr>
      </w:pPr>
    </w:p>
    <w:p>
      <w:pPr>
        <w:ind w:left="380" w:hanging="372"/>
        <w:spacing w:after="0"/>
        <w:tabs>
          <w:tab w:leader="none" w:pos="38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Operatng Income, Net</w:t>
      </w:r>
    </w:p>
    <w:p>
      <w:pPr>
        <w:spacing w:after="0" w:line="116"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Other operatng income, net, is comprised generally of gains and losses on divesttures and the sale of assets; asset and portolio ratonalizaton charges; recoveries and losses related to certain customer accounts receivable; recoveries and losses on the resoluton of contngency accruals; rental, royalty and services income; and accreton expense, depreciaton expense and gains and losses related to asset retrement obligatons. For the six months ended June 30, 2024, other operatng income, net, included a $1.3 billion pretax gain on the divestture of the South Texas cement business and certain of its related ready mixed concrete operatons, which was partally ofset by a $50 million pretax, noncash asset and portolio ratonalizaton charge.</w:t>
      </w:r>
    </w:p>
    <w:p>
      <w:pPr>
        <w:spacing w:after="0" w:line="120"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The noncash asset and portolio ratonalizaton charge for the six months ended June 30, 2024 relates to the Company's decision to discontnue usage of certain long-haul distributon facilites to transport aggregates products into Colorado as the AFS acquisiton completed in January 2024 provides more economical, local aggregates supply. This charge, which is reported in the West Group, refects the Company's evaluaton of the recoverability of certain long-lived assets, including property, plant and equipment and operatng lease right-of-use assets, for the cessaton of these railroad operatons.</w:t>
      </w:r>
    </w:p>
    <w:p>
      <w:pPr>
        <w:jc w:val="center"/>
        <w:spacing w:after="0"/>
        <w:rPr>
          <w:sz w:val="20"/>
          <w:szCs w:val="20"/>
          <w:color w:val="auto"/>
        </w:rPr>
      </w:pPr>
      <w:r>
        <w:rPr>
          <w:rFonts w:ascii="Calibri" w:cs="Calibri" w:eastAsia="Calibri" w:hAnsi="Calibri"/>
          <w:sz w:val="20"/>
          <w:szCs w:val="20"/>
          <w:color w:val="auto"/>
        </w:rPr>
        <w:t>Page 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color w:val="auto"/>
        </w:rPr>
        <w:t>Item 2. Management’s Discussion and Analysis of Financial Conditon and Results of Operatons.</w:t>
      </w:r>
    </w:p>
    <w:p>
      <w:pPr>
        <w:spacing w:after="0" w:line="238" w:lineRule="auto"/>
        <w:rPr>
          <w:sz w:val="20"/>
          <w:szCs w:val="20"/>
          <w:color w:val="auto"/>
        </w:rPr>
      </w:pPr>
      <w:r>
        <w:rPr>
          <w:rFonts w:ascii="Calibri" w:cs="Calibri" w:eastAsia="Calibri" w:hAnsi="Calibri"/>
          <w:sz w:val="20"/>
          <w:szCs w:val="20"/>
          <w:color w:val="auto"/>
        </w:rPr>
        <w:t>OVERVIEW</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Martn Marieta Materials, Inc. (the Company or Martn Marieta) is a natural resource-based building materials company. As of June 30, 2024, the Company supplies aggregates (crushed stone, sand and gravel) through its network of approximately 380 quarries, mines and distributon yards in 28 states, Canada and The Bahamas. Martn Marieta also provides cement and downstream products, namely, ready mixed concrete, asphalt and paving services, in certain vertcally-integrated structured markets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07" w:lineRule="exact"/>
        <w:rPr>
          <w:sz w:val="20"/>
          <w:szCs w:val="20"/>
          <w:color w:val="auto"/>
        </w:rPr>
      </w:pPr>
    </w:p>
    <w:p>
      <w:pPr>
        <w:ind w:left="4280"/>
        <w:spacing w:after="0"/>
        <w:rPr>
          <w:sz w:val="20"/>
          <w:szCs w:val="20"/>
          <w:color w:val="auto"/>
        </w:rPr>
      </w:pPr>
      <w:r>
        <w:rPr>
          <w:rFonts w:ascii="Calibri" w:cs="Calibri" w:eastAsia="Calibri" w:hAnsi="Calibri"/>
          <w:sz w:val="20"/>
          <w:szCs w:val="20"/>
          <w:b w:val="1"/>
          <w:bCs w:val="1"/>
          <w:color w:val="auto"/>
        </w:rPr>
        <w:t>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60" w:type="dxa"/>
            <w:vAlign w:val="bottom"/>
          </w:tcPr>
          <w:p>
            <w:pPr>
              <w:jc w:val="center"/>
              <w:spacing w:after="0"/>
              <w:rPr>
                <w:sz w:val="20"/>
                <w:szCs w:val="20"/>
                <w:color w:val="auto"/>
              </w:rPr>
            </w:pPr>
            <w:r>
              <w:rPr>
                <w:rFonts w:ascii="Calibri" w:cs="Calibri" w:eastAsia="Calibri" w:hAnsi="Calibri"/>
                <w:sz w:val="20"/>
                <w:szCs w:val="20"/>
                <w:color w:val="auto"/>
              </w:rPr>
              <w:t>Reportable Segments</w:t>
            </w: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East Group</w:t>
            </w: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West Group</w:t>
            </w:r>
          </w:p>
        </w:tc>
        <w:tc>
          <w:tcPr>
            <w:tcW w:w="0" w:type="dxa"/>
            <w:vAlign w:val="bottom"/>
          </w:tcPr>
          <w:p>
            <w:pPr>
              <w:spacing w:after="0"/>
              <w:rPr>
                <w:sz w:val="1"/>
                <w:szCs w:val="1"/>
                <w:color w:val="auto"/>
              </w:rPr>
            </w:pPr>
          </w:p>
        </w:tc>
      </w:tr>
      <w:tr>
        <w:trPr>
          <w:trHeight w:val="46"/>
        </w:trPr>
        <w:tc>
          <w:tcPr>
            <w:tcW w:w="21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20" w:type="dxa"/>
            <w:vAlign w:val="bottom"/>
            <w:vMerge w:val="continue"/>
          </w:tcPr>
          <w:p>
            <w:pPr>
              <w:spacing w:after="0"/>
              <w:rPr>
                <w:sz w:val="18"/>
                <w:szCs w:val="18"/>
                <w:color w:val="auto"/>
              </w:rPr>
            </w:pPr>
          </w:p>
        </w:tc>
        <w:tc>
          <w:tcPr>
            <w:tcW w:w="448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 Iowa,</w:t>
            </w:r>
          </w:p>
        </w:tc>
        <w:tc>
          <w:tcPr>
            <w:tcW w:w="100" w:type="dxa"/>
            <w:vAlign w:val="bottom"/>
            <w:vMerge w:val="continue"/>
          </w:tcPr>
          <w:p>
            <w:pPr>
              <w:spacing w:after="0"/>
              <w:rPr>
                <w:sz w:val="18"/>
                <w:szCs w:val="18"/>
                <w:color w:val="auto"/>
              </w:rPr>
            </w:pPr>
          </w:p>
        </w:tc>
        <w:tc>
          <w:tcPr>
            <w:tcW w:w="438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 Louisiana,</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Kansas, Kentucky, Maryland,</w:t>
            </w:r>
          </w:p>
        </w:tc>
        <w:tc>
          <w:tcPr>
            <w:tcW w:w="100" w:type="dxa"/>
            <w:vAlign w:val="bottom"/>
          </w:tcPr>
          <w:p>
            <w:pPr>
              <w:spacing w:after="0"/>
              <w:rPr>
                <w:sz w:val="20"/>
                <w:szCs w:val="20"/>
                <w:color w:val="auto"/>
              </w:rPr>
            </w:pP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Minnesota, Missouri, Nebraska,</w:t>
            </w:r>
          </w:p>
        </w:tc>
        <w:tc>
          <w:tcPr>
            <w:tcW w:w="100" w:type="dxa"/>
            <w:vAlign w:val="bottom"/>
          </w:tcPr>
          <w:p>
            <w:pPr>
              <w:spacing w:after="0"/>
              <w:rPr>
                <w:sz w:val="21"/>
                <w:szCs w:val="21"/>
                <w:color w:val="auto"/>
              </w:rPr>
            </w:pPr>
          </w:p>
        </w:tc>
        <w:tc>
          <w:tcPr>
            <w:tcW w:w="4380" w:type="dxa"/>
            <w:vAlign w:val="bottom"/>
          </w:tcPr>
          <w:p>
            <w:pPr>
              <w:ind w:left="1060"/>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North Carolina, Ohio, Pennsylvania,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South Carolina, Tennessee, Virginia,</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West Virginia, Nova Scota and The Bahamas</w:t>
            </w: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Aggregates, Cement and Ready</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Mixed Concrete, Asphalt and Paving Services</w:t>
            </w:r>
          </w:p>
        </w:tc>
        <w:tc>
          <w:tcPr>
            <w:tcW w:w="0" w:type="dxa"/>
            <w:vAlign w:val="bottom"/>
          </w:tcPr>
          <w:p>
            <w:pPr>
              <w:spacing w:after="0"/>
              <w:rPr>
                <w:sz w:val="1"/>
                <w:szCs w:val="1"/>
                <w:color w:val="auto"/>
              </w:rPr>
            </w:pPr>
          </w:p>
        </w:tc>
      </w:tr>
      <w:tr>
        <w:trPr>
          <w:trHeight w:val="445"/>
        </w:trPr>
        <w:tc>
          <w:tcPr>
            <w:tcW w:w="2160" w:type="dxa"/>
            <w:vAlign w:val="bottom"/>
          </w:tcPr>
          <w:p>
            <w:pPr>
              <w:jc w:val="center"/>
              <w:spacing w:after="0"/>
              <w:rPr>
                <w:sz w:val="20"/>
                <w:szCs w:val="20"/>
                <w:color w:val="auto"/>
              </w:rPr>
            </w:pPr>
            <w:r>
              <w:rPr>
                <w:rFonts w:ascii="Calibri" w:cs="Calibri" w:eastAsia="Calibri" w:hAnsi="Calibri"/>
                <w:sz w:val="20"/>
                <w:szCs w:val="20"/>
                <w:color w:val="auto"/>
                <w:w w:val="99"/>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Quarries, Cement Plant, Asphalt Plants, Ready Mixed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Concrete Plants and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0" w:type="dxa"/>
            <w:vAlign w:val="bottom"/>
          </w:tcPr>
          <w:p>
            <w:pPr>
              <w:spacing w:after="0"/>
              <w:rPr>
                <w:sz w:val="1"/>
                <w:szCs w:val="1"/>
                <w:color w:val="auto"/>
              </w:rPr>
            </w:pPr>
          </w:p>
        </w:tc>
      </w:tr>
      <w:tr>
        <w:trPr>
          <w:trHeight w:val="459"/>
        </w:trPr>
        <w:tc>
          <w:tcPr>
            <w:tcW w:w="2160" w:type="dxa"/>
            <w:vAlign w:val="bottom"/>
          </w:tcPr>
          <w:p>
            <w:pPr>
              <w:ind w:left="100"/>
              <w:spacing w:after="0"/>
              <w:rPr>
                <w:sz w:val="20"/>
                <w:szCs w:val="20"/>
                <w:color w:val="auto"/>
              </w:rPr>
            </w:pPr>
            <w:r>
              <w:rPr>
                <w:rFonts w:ascii="Calibri" w:cs="Calibri" w:eastAsia="Calibri" w:hAnsi="Calibri"/>
                <w:sz w:val="20"/>
                <w:szCs w:val="20"/>
                <w:color w:val="auto"/>
              </w:rPr>
              <w:t>Modes of Transportaton</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Truck, Railcar, Ship and Barge</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w w:val="99"/>
              </w:rPr>
              <w:t>Truck and Railcar</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Building Materials business is signifcantly afected by weather paterns, seasonal changes and other climate-related conditons. Producton and shipment levels for aggregates, cement, ready mixed concrete and asphalt materials correlate with general constructon actvity levels, most of which occur in the spring, summer and fall. Thus, producton and shipment levels vary by quarter. Excessive rainfall, drought, wildfre and extreme hot and cold temperatures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CRITICAL ACCOUNTING POLICIES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outlined its critcal accountng policies in its Annual Report on Form 10-K for the year ended December 31, 2023. There were no changes to the Company’s critcal accountng policies during the six months ended June 30, 2024.</w:t>
      </w:r>
    </w:p>
    <w:p>
      <w:pPr>
        <w:jc w:val="center"/>
        <w:spacing w:after="0"/>
        <w:rPr>
          <w:sz w:val="20"/>
          <w:szCs w:val="20"/>
          <w:color w:val="auto"/>
        </w:rPr>
      </w:pPr>
      <w:r>
        <w:rPr>
          <w:rFonts w:ascii="Calibri" w:cs="Calibri" w:eastAsia="Calibri" w:hAnsi="Calibri"/>
          <w:sz w:val="20"/>
          <w:szCs w:val="20"/>
          <w:color w:val="auto"/>
        </w:rPr>
        <w:t>Page 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color w:val="auto"/>
        </w:rPr>
        <w:t>RESULTS OF OPERATIONS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Earnings from contnuing operatons before interest; income taxes; depreciaton, depleton and amortzaton; earnings/loss from nonconsolidated equity afliates; acquisiton, divestture and integraton expenses; the impact of selling acquired inventory afer its markup to fair value as part of acquisiton accountng (the Inventory Markup); nonrecurring gain on divestture; and noncash asset and portolio ratonalizaton charge, or Adjusted EBITDA, is an indicator used by the Company and investors to evaluate the Company’s operatng performance from period to period. Efectve January 1, 2024, the Company has elected to add back, for purposes of its Adjusted EBITDA calculaton, acquisiton, divestture and integraton expenses and the Inventory Markup only for transactons with consideraton of $2.0 billion or more and expected acquisiton, divestture and integraton expenses of at least $15 million. For 2024, this includes the acquisiton of 20 actve aggregates operatons from afliates of Blue Water Industries LLC (BWI Southeast) and the divestture of the South Texas cement plant and related concrete operatons (the Divestture).</w:t>
      </w:r>
    </w:p>
    <w:p>
      <w:pPr>
        <w:spacing w:after="0" w:line="1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Adjusted EBITDA is not defned by accountng principles generally accepted in the United States (GAAP) and, as such, should not be construed as an alternatve to net earnings atributable to Martn Marieta, earnings from operatons or operatng cash fow. Since Adjusted EBITDA excludes some, but not all, items that afect net earnings and may vary among companies, Adjusted EBITDA as presented by the Company may not be comparable with similarly ttled measures of other companies.</w:t>
      </w:r>
    </w:p>
    <w:p>
      <w:pPr>
        <w:spacing w:after="0" w:line="120"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 following table presents a reconciliaton of net earnings from contnuing operatons atributable to Martn Marieta to Adjusted EBITDA: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Pr>
          <w:p>
            <w:pPr>
              <w:spacing w:after="0"/>
              <w:rPr>
                <w:sz w:val="21"/>
                <w:szCs w:val="21"/>
                <w:color w:val="auto"/>
              </w:rPr>
            </w:pPr>
          </w:p>
        </w:tc>
        <w:tc>
          <w:tcPr>
            <w:tcW w:w="2720" w:type="dxa"/>
            <w:vAlign w:val="bottom"/>
            <w:gridSpan w:val="5"/>
          </w:tcPr>
          <w:p>
            <w:pPr>
              <w:jc w:val="right"/>
              <w:ind w:right="40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ind w:left="340"/>
              <w:spacing w:after="0"/>
              <w:rPr>
                <w:sz w:val="20"/>
                <w:szCs w:val="20"/>
                <w:color w:val="auto"/>
              </w:rPr>
            </w:pPr>
            <w:r>
              <w:rPr>
                <w:rFonts w:ascii="Calibri" w:cs="Calibri" w:eastAsia="Calibri" w:hAnsi="Calibri"/>
                <w:sz w:val="20"/>
                <w:szCs w:val="20"/>
                <w:color w:val="auto"/>
              </w:rPr>
              <w:t>Six Months Ended</w:t>
            </w:r>
          </w:p>
        </w:tc>
      </w:tr>
      <w:tr>
        <w:trPr>
          <w:trHeight w:val="270"/>
        </w:trPr>
        <w:tc>
          <w:tcPr>
            <w:tcW w:w="5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gridSpan w:val="3"/>
          </w:tcPr>
          <w:p>
            <w:pPr>
              <w:jc w:val="right"/>
              <w:ind w:right="1"/>
              <w:spacing w:after="0"/>
              <w:rPr>
                <w:sz w:val="20"/>
                <w:szCs w:val="20"/>
                <w:color w:val="auto"/>
              </w:rPr>
            </w:pPr>
            <w:r>
              <w:rPr>
                <w:rFonts w:ascii="Calibri" w:cs="Calibri" w:eastAsia="Calibri" w:hAnsi="Calibri"/>
                <w:sz w:val="20"/>
                <w:szCs w:val="20"/>
                <w:color w:val="auto"/>
              </w:rPr>
              <w:t>June 30,</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ind w:right="1"/>
              <w:spacing w:after="0"/>
              <w:rPr>
                <w:sz w:val="20"/>
                <w:szCs w:val="20"/>
                <w:color w:val="auto"/>
              </w:rPr>
            </w:pPr>
            <w:r>
              <w:rPr>
                <w:rFonts w:ascii="Calibri" w:cs="Calibri" w:eastAsia="Calibri" w:hAnsi="Calibri"/>
                <w:sz w:val="20"/>
                <w:szCs w:val="20"/>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6"/>
        </w:trPr>
        <w:tc>
          <w:tcPr>
            <w:tcW w:w="54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8"/>
        </w:trPr>
        <w:tc>
          <w:tcPr>
            <w:tcW w:w="546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01"/>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0" w:type="dxa"/>
            <w:vAlign w:val="bottom"/>
            <w:gridSpan w:val="4"/>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8"/>
        </w:trPr>
        <w:tc>
          <w:tcPr>
            <w:tcW w:w="5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spacing w:after="0" w:line="217" w:lineRule="exact"/>
              <w:rPr>
                <w:sz w:val="20"/>
                <w:szCs w:val="20"/>
                <w:color w:val="auto"/>
              </w:rPr>
            </w:pPr>
            <w:r>
              <w:rPr>
                <w:rFonts w:ascii="Calibri" w:cs="Calibri" w:eastAsia="Calibri" w:hAnsi="Calibri"/>
                <w:sz w:val="20"/>
                <w:szCs w:val="20"/>
                <w:i w:val="1"/>
                <w:iCs w:val="1"/>
                <w:color w:val="auto"/>
              </w:rPr>
              <w:t>in</w:t>
            </w:r>
          </w:p>
        </w:tc>
        <w:tc>
          <w:tcPr>
            <w:tcW w:w="12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Net earnings from contnuing operatons atributable to Martn</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54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Marieta</w:t>
            </w:r>
          </w:p>
        </w:tc>
        <w:tc>
          <w:tcPr>
            <w:tcW w:w="880" w:type="dxa"/>
            <w:vAlign w:val="bottom"/>
            <w:tcBorders>
              <w:bottom w:val="single" w:sz="8" w:color="CFF0FC"/>
            </w:tcBorders>
            <w:shd w:val="clear" w:color="auto" w:fill="CFF0FC"/>
          </w:tcPr>
          <w:p>
            <w:pPr>
              <w:jc w:val="right"/>
              <w:ind w:right="661"/>
              <w:spacing w:after="0" w:line="234" w:lineRule="exact"/>
              <w:rPr>
                <w:sz w:val="20"/>
                <w:szCs w:val="20"/>
                <w:color w:val="auto"/>
              </w:rPr>
            </w:pPr>
            <w:r>
              <w:rPr>
                <w:rFonts w:ascii="Calibri" w:cs="Calibri" w:eastAsia="Calibri" w:hAnsi="Calibri"/>
                <w:sz w:val="20"/>
                <w:szCs w:val="20"/>
                <w:color w:val="auto"/>
                <w:w w:val="98"/>
              </w:rPr>
              <w:t>$</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294</w:t>
            </w:r>
          </w:p>
        </w:tc>
        <w:tc>
          <w:tcPr>
            <w:tcW w:w="540" w:type="dxa"/>
            <w:vAlign w:val="bottom"/>
            <w:tcBorders>
              <w:bottom w:val="single" w:sz="8" w:color="CFF0FC"/>
            </w:tcBorders>
            <w:gridSpan w:val="2"/>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rPr>
              <w:t>$</w:t>
            </w: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347</w:t>
            </w:r>
          </w:p>
        </w:tc>
        <w:tc>
          <w:tcPr>
            <w:tcW w:w="52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1,339</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98"/>
              </w:rPr>
              <w:t>$</w:t>
            </w: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5460" w:type="dxa"/>
            <w:vAlign w:val="bottom"/>
          </w:tcPr>
          <w:p>
            <w:pPr>
              <w:ind w:left="20"/>
              <w:spacing w:after="0" w:line="234" w:lineRule="exact"/>
              <w:rPr>
                <w:sz w:val="20"/>
                <w:szCs w:val="20"/>
                <w:color w:val="auto"/>
              </w:rPr>
            </w:pPr>
            <w:r>
              <w:rPr>
                <w:rFonts w:ascii="Calibri" w:cs="Calibri" w:eastAsia="Calibri" w:hAnsi="Calibri"/>
                <w:sz w:val="20"/>
                <w:szCs w:val="20"/>
                <w:color w:val="auto"/>
              </w:rPr>
              <w:t>Add back (Deduct):</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5460" w:type="dxa"/>
            <w:vAlign w:val="bottom"/>
            <w:tcBorders>
              <w:bottom w:val="single" w:sz="8" w:color="CFF0FC"/>
            </w:tcBorders>
            <w:shd w:val="clear" w:color="auto" w:fill="CFF0FC"/>
          </w:tcPr>
          <w:p>
            <w:pPr>
              <w:ind w:left="200"/>
              <w:spacing w:after="0" w:line="234" w:lineRule="exact"/>
              <w:rPr>
                <w:sz w:val="20"/>
                <w:szCs w:val="20"/>
                <w:color w:val="auto"/>
              </w:rPr>
            </w:pPr>
            <w:r>
              <w:rPr>
                <w:rFonts w:ascii="Calibri" w:cs="Calibri" w:eastAsia="Calibri" w:hAnsi="Calibri"/>
                <w:sz w:val="20"/>
                <w:szCs w:val="20"/>
                <w:color w:val="auto"/>
              </w:rPr>
              <w:t>Interest expense, net of interest income</w:t>
            </w:r>
          </w:p>
        </w:tc>
        <w:tc>
          <w:tcPr>
            <w:tcW w:w="8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Income tax expense for controlling interests</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78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92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445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128</w:t>
            </w: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0"/>
              <w:spacing w:after="0" w:line="232" w:lineRule="exact"/>
              <w:rPr>
                <w:sz w:val="20"/>
                <w:szCs w:val="20"/>
                <w:color w:val="auto"/>
              </w:rPr>
            </w:pPr>
            <w:r>
              <w:rPr>
                <w:rFonts w:ascii="Calibri" w:cs="Calibri" w:eastAsia="Calibri" w:hAnsi="Calibri"/>
                <w:sz w:val="20"/>
                <w:szCs w:val="20"/>
                <w:color w:val="auto"/>
              </w:rPr>
              <w:t>Depreciaton, depleton and amortzaton expense</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5460" w:type="dxa"/>
            <w:vAlign w:val="bottom"/>
            <w:tcBorders>
              <w:bottom w:val="single" w:sz="8" w:color="CFF0FC"/>
            </w:tcBorders>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and earnings/loss from nonconsolidated equity afliates</w:t>
            </w:r>
          </w:p>
        </w:tc>
        <w:tc>
          <w:tcPr>
            <w:tcW w:w="8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127</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268</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Acquisiton, divestture and integraton expenses</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37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100" w:type="dxa"/>
            <w:vAlign w:val="bottom"/>
          </w:tcPr>
          <w:p>
            <w:pPr>
              <w:spacing w:after="0"/>
              <w:rPr>
                <w:sz w:val="20"/>
                <w:szCs w:val="20"/>
                <w:color w:val="auto"/>
              </w:rPr>
            </w:pP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5460" w:type="dxa"/>
            <w:vAlign w:val="bottom"/>
            <w:shd w:val="clear" w:color="auto" w:fill="CFF0FC"/>
          </w:tcPr>
          <w:p>
            <w:pPr>
              <w:ind w:left="200"/>
              <w:spacing w:after="0" w:line="232" w:lineRule="exact"/>
              <w:rPr>
                <w:sz w:val="20"/>
                <w:szCs w:val="20"/>
                <w:color w:val="auto"/>
              </w:rPr>
            </w:pPr>
            <w:r>
              <w:rPr>
                <w:rFonts w:ascii="Calibri" w:cs="Calibri" w:eastAsia="Calibri" w:hAnsi="Calibri"/>
                <w:sz w:val="20"/>
                <w:szCs w:val="20"/>
                <w:color w:val="auto"/>
              </w:rPr>
              <w:t>Impact of selling acquired inventory afer markup to</w:t>
            </w: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1"/>
        </w:trPr>
        <w:tc>
          <w:tcPr>
            <w:tcW w:w="5460" w:type="dxa"/>
            <w:vAlign w:val="bottom"/>
            <w:tcBorders>
              <w:bottom w:val="single" w:sz="8" w:color="CFF0FC"/>
            </w:tcBorders>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fair value as part of acquisiton accountng</w:t>
            </w:r>
          </w:p>
        </w:tc>
        <w:tc>
          <w:tcPr>
            <w:tcW w:w="8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34"/>
        </w:trPr>
        <w:tc>
          <w:tcPr>
            <w:tcW w:w="5460" w:type="dxa"/>
            <w:vAlign w:val="bottom"/>
          </w:tcPr>
          <w:p>
            <w:pPr>
              <w:ind w:left="200"/>
              <w:spacing w:after="0" w:line="234" w:lineRule="exact"/>
              <w:rPr>
                <w:sz w:val="20"/>
                <w:szCs w:val="20"/>
                <w:color w:val="auto"/>
              </w:rPr>
            </w:pPr>
            <w:r>
              <w:rPr>
                <w:rFonts w:ascii="Calibri" w:cs="Calibri" w:eastAsia="Calibri" w:hAnsi="Calibri"/>
                <w:sz w:val="20"/>
                <w:szCs w:val="20"/>
                <w:color w:val="auto"/>
              </w:rPr>
              <w:t>Nonrecurring gain on divestture</w:t>
            </w:r>
          </w:p>
        </w:tc>
        <w:tc>
          <w:tcPr>
            <w:tcW w:w="88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(1,331 )</w:t>
            </w:r>
          </w:p>
        </w:tc>
        <w:tc>
          <w:tcPr>
            <w:tcW w:w="320" w:type="dxa"/>
            <w:vAlign w:val="bottom"/>
          </w:tcPr>
          <w:p>
            <w:pPr>
              <w:spacing w:after="0"/>
              <w:rPr>
                <w:sz w:val="20"/>
                <w:szCs w:val="20"/>
                <w:color w:val="auto"/>
              </w:rPr>
            </w:pPr>
          </w:p>
        </w:tc>
        <w:tc>
          <w:tcPr>
            <w:tcW w:w="102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36"/>
        </w:trPr>
        <w:tc>
          <w:tcPr>
            <w:tcW w:w="5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5"/>
        </w:trPr>
        <w:tc>
          <w:tcPr>
            <w:tcW w:w="5460" w:type="dxa"/>
            <w:vAlign w:val="bottom"/>
            <w:tcBorders>
              <w:bottom w:val="single" w:sz="8" w:color="CFF0FC"/>
            </w:tcBorders>
            <w:shd w:val="clear" w:color="auto" w:fill="CFF0FC"/>
          </w:tcPr>
          <w:p>
            <w:pPr>
              <w:ind w:left="200"/>
              <w:spacing w:after="0" w:line="236" w:lineRule="exact"/>
              <w:rPr>
                <w:sz w:val="20"/>
                <w:szCs w:val="20"/>
                <w:color w:val="auto"/>
              </w:rPr>
            </w:pPr>
            <w:r>
              <w:rPr>
                <w:rFonts w:ascii="Calibri" w:cs="Calibri" w:eastAsia="Calibri" w:hAnsi="Calibri"/>
                <w:sz w:val="20"/>
                <w:szCs w:val="20"/>
                <w:color w:val="auto"/>
              </w:rPr>
              <w:t>Noncash asset and portolio ratonalizaton charge</w:t>
            </w:r>
          </w:p>
        </w:tc>
        <w:tc>
          <w:tcPr>
            <w:tcW w:w="8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2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28"/>
        </w:trPr>
        <w:tc>
          <w:tcPr>
            <w:tcW w:w="546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Adjusted EBITDA</w:t>
            </w:r>
          </w:p>
        </w:tc>
        <w:tc>
          <w:tcPr>
            <w:tcW w:w="880" w:type="dxa"/>
            <w:vAlign w:val="bottom"/>
            <w:tcBorders>
              <w:top w:val="single" w:sz="8" w:color="auto"/>
            </w:tcBorders>
          </w:tcPr>
          <w:p>
            <w:pPr>
              <w:jc w:val="right"/>
              <w:ind w:right="661"/>
              <w:spacing w:after="0" w:line="228" w:lineRule="exact"/>
              <w:rPr>
                <w:sz w:val="20"/>
                <w:szCs w:val="20"/>
                <w:color w:val="auto"/>
              </w:rPr>
            </w:pPr>
            <w:r>
              <w:rPr>
                <w:rFonts w:ascii="Calibri" w:cs="Calibri" w:eastAsia="Calibri" w:hAnsi="Calibri"/>
                <w:sz w:val="20"/>
                <w:szCs w:val="20"/>
                <w:color w:val="auto"/>
                <w:w w:val="98"/>
              </w:rPr>
              <w:t>$</w:t>
            </w:r>
          </w:p>
        </w:tc>
        <w:tc>
          <w:tcPr>
            <w:tcW w:w="3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584</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jc w:val="right"/>
              <w:ind w:right="81"/>
              <w:spacing w:after="0" w:line="228" w:lineRule="exact"/>
              <w:rPr>
                <w:sz w:val="20"/>
                <w:szCs w:val="20"/>
                <w:color w:val="auto"/>
              </w:rPr>
            </w:pPr>
            <w:r>
              <w:rPr>
                <w:rFonts w:ascii="Calibri" w:cs="Calibri" w:eastAsia="Calibri" w:hAnsi="Calibri"/>
                <w:sz w:val="20"/>
                <w:szCs w:val="20"/>
                <w:color w:val="auto"/>
                <w:w w:val="98"/>
              </w:rPr>
              <w:t>$</w:t>
            </w:r>
          </w:p>
        </w:tc>
        <w:tc>
          <w:tcPr>
            <w:tcW w:w="9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596</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w:t>
            </w:r>
          </w:p>
        </w:tc>
        <w:tc>
          <w:tcPr>
            <w:tcW w:w="9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875</w:t>
            </w: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jc w:val="right"/>
              <w:ind w:right="101"/>
              <w:spacing w:after="0" w:line="228" w:lineRule="exact"/>
              <w:rPr>
                <w:sz w:val="20"/>
                <w:szCs w:val="20"/>
                <w:color w:val="auto"/>
              </w:rPr>
            </w:pPr>
            <w:r>
              <w:rPr>
                <w:rFonts w:ascii="Calibri" w:cs="Calibri" w:eastAsia="Calibri" w:hAnsi="Calibri"/>
                <w:sz w:val="20"/>
                <w:szCs w:val="20"/>
                <w:color w:val="auto"/>
                <w:w w:val="98"/>
              </w:rPr>
              <w:t>$</w:t>
            </w:r>
          </w:p>
        </w:tc>
        <w:tc>
          <w:tcPr>
            <w:tcW w:w="9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920</w:t>
            </w:r>
          </w:p>
        </w:tc>
        <w:tc>
          <w:tcPr>
            <w:tcW w:w="100" w:type="dxa"/>
            <w:vAlign w:val="bottom"/>
            <w:tcBorders>
              <w:top w:val="single" w:sz="8" w:color="CFF0FC"/>
            </w:tcBorders>
          </w:tcPr>
          <w:p>
            <w:pPr>
              <w:spacing w:after="0"/>
              <w:rPr>
                <w:sz w:val="19"/>
                <w:szCs w:val="19"/>
                <w:color w:val="auto"/>
              </w:rPr>
            </w:pPr>
          </w:p>
        </w:tc>
      </w:tr>
      <w:tr>
        <w:trPr>
          <w:trHeight w:val="36"/>
        </w:trPr>
        <w:tc>
          <w:tcPr>
            <w:tcW w:w="54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-205105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-205105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-205105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Mix-adjusted average selling price (mix-adjusted ASP) is a non-GAAP measure that excludes the impacts of period-over-period product, geographic and other mix on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w:t>
      </w:r>
    </w:p>
    <w:p>
      <w:pPr>
        <w:spacing w:after="0" w:line="178"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reconciles reported average selling price to organic mix-adjusted ASP and corresponding variances: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4"/>
          </w:tcPr>
          <w:p>
            <w:pPr>
              <w:jc w:val="right"/>
              <w:ind w:right="40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ind w:left="340"/>
              <w:spacing w:after="0"/>
              <w:rPr>
                <w:sz w:val="20"/>
                <w:szCs w:val="20"/>
                <w:color w:val="auto"/>
              </w:rPr>
            </w:pPr>
            <w:r>
              <w:rPr>
                <w:rFonts w:ascii="Calibri" w:cs="Calibri" w:eastAsia="Calibri" w:hAnsi="Calibri"/>
                <w:sz w:val="20"/>
                <w:szCs w:val="20"/>
                <w:color w:val="auto"/>
              </w:rPr>
              <w:t>Six Months Ended</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right"/>
              <w:ind w:right="1"/>
              <w:spacing w:after="0"/>
              <w:rPr>
                <w:sz w:val="20"/>
                <w:szCs w:val="20"/>
                <w:color w:val="auto"/>
              </w:rPr>
            </w:pPr>
            <w:r>
              <w:rPr>
                <w:rFonts w:ascii="Calibri" w:cs="Calibri" w:eastAsia="Calibri" w:hAnsi="Calibri"/>
                <w:sz w:val="20"/>
                <w:szCs w:val="20"/>
                <w:color w:val="auto"/>
              </w:rPr>
              <w:t>June 30,</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ind w:right="1"/>
              <w:spacing w:after="0"/>
              <w:rPr>
                <w:sz w:val="20"/>
                <w:szCs w:val="20"/>
                <w:color w:val="auto"/>
              </w:rPr>
            </w:pPr>
            <w:r>
              <w:rPr>
                <w:rFonts w:ascii="Calibri" w:cs="Calibri" w:eastAsia="Calibri" w:hAnsi="Calibri"/>
                <w:sz w:val="20"/>
                <w:szCs w:val="20"/>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01"/>
              <w:spacing w:after="0" w:line="228" w:lineRule="exact"/>
              <w:rPr>
                <w:sz w:val="20"/>
                <w:szCs w:val="20"/>
                <w:color w:val="auto"/>
              </w:rPr>
            </w:pPr>
            <w:r>
              <w:rPr>
                <w:rFonts w:ascii="Calibri" w:cs="Calibri" w:eastAsia="Calibri" w:hAnsi="Calibri"/>
                <w:sz w:val="20"/>
                <w:szCs w:val="20"/>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21"/>
              <w:spacing w:after="0" w:line="228" w:lineRule="exact"/>
              <w:rPr>
                <w:sz w:val="20"/>
                <w:szCs w:val="20"/>
                <w:color w:val="auto"/>
              </w:rPr>
            </w:pPr>
            <w:r>
              <w:rPr>
                <w:rFonts w:ascii="Calibri" w:cs="Calibri" w:eastAsia="Calibri" w:hAnsi="Calibri"/>
                <w:sz w:val="20"/>
                <w:szCs w:val="20"/>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Aggregates: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21.61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w w:val="98"/>
              </w:rPr>
              <w:t>$</w:t>
            </w: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19.37</w:t>
            </w:r>
          </w:p>
        </w:tc>
        <w:tc>
          <w:tcPr>
            <w:tcW w:w="520" w:type="dxa"/>
            <w:vAlign w:val="bottom"/>
            <w:tcBorders>
              <w:bottom w:val="single" w:sz="8" w:color="CFF0FC"/>
            </w:tcBorders>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21.87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98"/>
              </w:rPr>
              <w:t>$</w:t>
            </w:r>
          </w:p>
        </w:tc>
        <w:tc>
          <w:tcPr>
            <w:tcW w:w="9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line="236" w:lineRule="exact"/>
              <w:rPr>
                <w:sz w:val="20"/>
                <w:szCs w:val="20"/>
                <w:color w:val="auto"/>
              </w:rPr>
            </w:pPr>
            <w:r>
              <w:rPr>
                <w:rFonts w:ascii="Calibri" w:cs="Calibri" w:eastAsia="Calibri" w:hAnsi="Calibri"/>
                <w:sz w:val="20"/>
                <w:szCs w:val="20"/>
                <w:color w:val="auto"/>
              </w:rPr>
              <w:t>Adjustment for impact of acquisitons</w:t>
            </w:r>
          </w:p>
        </w:tc>
        <w:tc>
          <w:tcPr>
            <w:tcW w:w="280" w:type="dxa"/>
            <w:vAlign w:val="bottom"/>
          </w:tcPr>
          <w:p>
            <w:pPr>
              <w:spacing w:after="0"/>
              <w:rPr>
                <w:sz w:val="20"/>
                <w:szCs w:val="20"/>
                <w:color w:val="auto"/>
              </w:rPr>
            </w:pP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0.39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line="234" w:lineRule="exact"/>
              <w:rPr>
                <w:sz w:val="20"/>
                <w:szCs w:val="20"/>
                <w:color w:val="auto"/>
              </w:rPr>
            </w:pPr>
            <w:r>
              <w:rPr>
                <w:rFonts w:ascii="Calibri" w:cs="Calibri" w:eastAsia="Calibri" w:hAnsi="Calibri"/>
                <w:sz w:val="20"/>
                <w:szCs w:val="20"/>
                <w:color w:val="auto"/>
              </w:rPr>
              <w:t>0.26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20"/>
                <w:szCs w:val="20"/>
                <w:color w:val="auto"/>
              </w:rPr>
              <w:t>Organic average selling price</w:t>
            </w:r>
          </w:p>
        </w:tc>
        <w:tc>
          <w:tcPr>
            <w:tcW w:w="280" w:type="dxa"/>
            <w:vAlign w:val="bottom"/>
            <w:tcBorders>
              <w:bottom w:val="single" w:sz="8" w:color="CFF0FC"/>
            </w:tcBorders>
            <w:shd w:val="clear" w:color="auto" w:fill="CFF0FC"/>
          </w:tcPr>
          <w:p>
            <w:pPr>
              <w:jc w:val="right"/>
              <w:ind w:right="61"/>
              <w:spacing w:after="0"/>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20"/>
                <w:szCs w:val="20"/>
                <w:color w:val="auto"/>
              </w:rPr>
              <w:t>22.00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w w:val="98"/>
              </w:rPr>
              <w:t>$</w:t>
            </w:r>
          </w:p>
        </w:tc>
        <w:tc>
          <w:tcPr>
            <w:tcW w:w="9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19.37</w:t>
            </w:r>
          </w:p>
        </w:tc>
        <w:tc>
          <w:tcPr>
            <w:tcW w:w="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20"/>
                <w:szCs w:val="20"/>
                <w:color w:val="auto"/>
              </w:rPr>
              <w:t>22.13</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w w:val="98"/>
              </w:rPr>
              <w:t>$</w:t>
            </w:r>
          </w:p>
        </w:tc>
        <w:tc>
          <w:tcPr>
            <w:tcW w:w="920" w:type="dxa"/>
            <w:vAlign w:val="bottom"/>
            <w:tcBorders>
              <w:bottom w:val="single" w:sz="8" w:color="auto"/>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19.57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line="215" w:lineRule="exact"/>
              <w:rPr>
                <w:sz w:val="20"/>
                <w:szCs w:val="20"/>
                <w:color w:val="auto"/>
              </w:rPr>
            </w:pPr>
            <w:r>
              <w:rPr>
                <w:rFonts w:ascii="Calibri" w:cs="Calibri" w:eastAsia="Calibri" w:hAnsi="Calibri"/>
                <w:sz w:val="20"/>
                <w:szCs w:val="20"/>
                <w:color w:val="auto"/>
              </w:rPr>
              <w:t>Adjustment for impact of product, geographic</w:t>
            </w:r>
          </w:p>
        </w:tc>
        <w:tc>
          <w:tcPr>
            <w:tcW w:w="28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Calibri" w:cs="Calibri" w:eastAsia="Calibri" w:hAnsi="Calibri"/>
                <w:sz w:val="20"/>
                <w:szCs w:val="20"/>
                <w:color w:val="auto"/>
              </w:rPr>
              <w:t>(0.31 )</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Calibri" w:cs="Calibri" w:eastAsia="Calibri" w:hAnsi="Calibri"/>
                <w:sz w:val="20"/>
                <w:szCs w:val="20"/>
                <w:color w:val="auto"/>
              </w:rPr>
              <w:t>(0.11 )</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Organic mix-adjusted ASP</w:t>
            </w:r>
          </w:p>
        </w:tc>
        <w:tc>
          <w:tcPr>
            <w:tcW w:w="2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w w:val="98"/>
              </w:rPr>
              <w:t>$</w:t>
            </w:r>
          </w:p>
        </w:tc>
        <w:tc>
          <w:tcPr>
            <w:tcW w:w="9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21.69</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22.02</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46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300" w:type="dxa"/>
            <w:vAlign w:val="bottom"/>
            <w:tcBorders>
              <w:top w:val="single" w:sz="8" w:color="CFF0FC"/>
            </w:tcBorders>
          </w:tcPr>
          <w:p>
            <w:pPr>
              <w:spacing w:after="0"/>
              <w:rPr>
                <w:sz w:val="22"/>
                <w:szCs w:val="22"/>
                <w:color w:val="auto"/>
              </w:rPr>
            </w:pPr>
          </w:p>
        </w:tc>
        <w:tc>
          <w:tcPr>
            <w:tcW w:w="920" w:type="dxa"/>
            <w:vAlign w:val="bottom"/>
            <w:tcBorders>
              <w:top w:val="single" w:sz="8" w:color="CFF0FC"/>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320" w:type="dxa"/>
            <w:vAlign w:val="bottom"/>
            <w:tcBorders>
              <w:top w:val="single" w:sz="8" w:color="CFF0FC"/>
            </w:tcBorders>
          </w:tcPr>
          <w:p>
            <w:pPr>
              <w:spacing w:after="0"/>
              <w:rPr>
                <w:sz w:val="22"/>
                <w:szCs w:val="22"/>
                <w:color w:val="auto"/>
              </w:rPr>
            </w:pPr>
          </w:p>
        </w:tc>
        <w:tc>
          <w:tcPr>
            <w:tcW w:w="92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11.6 %</w:t>
            </w: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11.8 %</w:t>
            </w:r>
          </w:p>
        </w:tc>
        <w:tc>
          <w:tcPr>
            <w:tcW w:w="32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Pr>
          <w:p>
            <w:pPr>
              <w:ind w:left="20"/>
              <w:spacing w:after="0"/>
              <w:rPr>
                <w:sz w:val="20"/>
                <w:szCs w:val="20"/>
                <w:color w:val="auto"/>
              </w:rPr>
            </w:pPr>
            <w:r>
              <w:rPr>
                <w:rFonts w:ascii="Calibri" w:cs="Calibri" w:eastAsia="Calibri" w:hAnsi="Calibri"/>
                <w:sz w:val="20"/>
                <w:szCs w:val="20"/>
                <w:color w:val="auto"/>
              </w:rPr>
              <w:t>Organic average selling price variance</w:t>
            </w:r>
          </w:p>
        </w:tc>
        <w:tc>
          <w:tcPr>
            <w:tcW w:w="280" w:type="dxa"/>
            <w:vAlign w:val="bottom"/>
          </w:tcPr>
          <w:p>
            <w:pPr>
              <w:spacing w:after="0"/>
              <w:rPr>
                <w:sz w:val="21"/>
                <w:szCs w:val="21"/>
                <w:color w:val="auto"/>
              </w:rPr>
            </w:pPr>
          </w:p>
        </w:tc>
        <w:tc>
          <w:tcPr>
            <w:tcW w:w="122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13.6 %</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13.1 %</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Organic mix-adjusted ASP variance</w:t>
            </w:r>
          </w:p>
        </w:tc>
        <w:tc>
          <w:tcPr>
            <w:tcW w:w="28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12.0 %</w:t>
            </w:r>
          </w:p>
        </w:tc>
        <w:tc>
          <w:tcPr>
            <w:tcW w:w="3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12.5 %</w:t>
            </w:r>
          </w:p>
        </w:tc>
        <w:tc>
          <w:tcPr>
            <w:tcW w:w="32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-1310640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-1293495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-788035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-770890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-788035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-770890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-419100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-401955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-419100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-401955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 w:name="page29"/>
    <w:bookmarkEnd w:id="2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Quarter Ended June 30, 2024</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revenues and gross proft (loss) for the Company and its reportable segments by product line for contnuing operatons for the three months ended June 30, 2024 and 2023. Gross proft (loss) is stated as a percentage of revenues of the Company, the relevant segment or the product line, as the case may be.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5"/>
          </w:tcPr>
          <w:p>
            <w:pPr>
              <w:jc w:val="right"/>
              <w:ind w:right="480"/>
              <w:spacing w:after="0"/>
              <w:rPr>
                <w:sz w:val="20"/>
                <w:szCs w:val="20"/>
                <w:color w:val="auto"/>
              </w:rPr>
            </w:pPr>
            <w:r>
              <w:rPr>
                <w:rFonts w:ascii="Calibri" w:cs="Calibri" w:eastAsia="Calibri" w:hAnsi="Calibri"/>
                <w:sz w:val="20"/>
                <w:szCs w:val="20"/>
                <w:color w:val="auto"/>
              </w:rPr>
              <w:t>Three Months Ended June 30,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w w:val="98"/>
              </w:rPr>
              <w:t>2024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line="228" w:lineRule="exact"/>
              <w:rPr>
                <w:sz w:val="20"/>
                <w:szCs w:val="20"/>
                <w:color w:val="auto"/>
              </w:rPr>
            </w:pPr>
            <w:r>
              <w:rPr>
                <w:rFonts w:ascii="Calibri" w:cs="Calibri" w:eastAsia="Calibri" w:hAnsi="Calibri"/>
                <w:sz w:val="20"/>
                <w:szCs w:val="20"/>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41"/>
              <w:spacing w:after="0" w:line="228" w:lineRule="exact"/>
              <w:rPr>
                <w:sz w:val="20"/>
                <w:szCs w:val="20"/>
                <w:color w:val="auto"/>
              </w:rPr>
            </w:pPr>
            <w:r>
              <w:rPr>
                <w:rFonts w:ascii="Calibri" w:cs="Calibri" w:eastAsia="Calibri" w:hAnsi="Calibri"/>
                <w:sz w:val="20"/>
                <w:szCs w:val="20"/>
                <w:color w:val="auto"/>
              </w:rPr>
              <w:t>Amount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121"/>
              <w:spacing w:after="0" w:line="228" w:lineRule="exact"/>
              <w:rPr>
                <w:sz w:val="20"/>
                <w:szCs w:val="20"/>
                <w:color w:val="auto"/>
              </w:rPr>
            </w:pPr>
            <w:r>
              <w:rPr>
                <w:rFonts w:ascii="Calibri" w:cs="Calibri" w:eastAsia="Calibri" w:hAnsi="Calibri"/>
                <w:sz w:val="20"/>
                <w:szCs w:val="20"/>
                <w:color w:val="auto"/>
              </w:rPr>
              <w:t>Amount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940" w:type="dxa"/>
            <w:vAlign w:val="bottom"/>
            <w:gridSpan w:val="4"/>
            <w:vMerge w:val="restart"/>
          </w:tcPr>
          <w:p>
            <w:pPr>
              <w:jc w:val="center"/>
              <w:ind w:left="101"/>
              <w:spacing w:after="0"/>
              <w:rPr>
                <w:sz w:val="20"/>
                <w:szCs w:val="20"/>
                <w:color w:val="auto"/>
              </w:rPr>
            </w:pPr>
            <w:r>
              <w:rPr>
                <w:rFonts w:ascii="Calibri" w:cs="Calibri" w:eastAsia="Calibri" w:hAnsi="Calibri"/>
                <w:sz w:val="20"/>
                <w:szCs w:val="20"/>
                <w:i w:val="1"/>
                <w:iCs w:val="1"/>
                <w:color w:val="auto"/>
              </w:rPr>
              <w:t>(Dollars in Millions)</w:t>
            </w: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East Group</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785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688</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46</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55</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480" w:type="dxa"/>
            <w:vAlign w:val="bottom"/>
            <w:gridSpan w:val="2"/>
          </w:tcPr>
          <w:p>
            <w:pPr>
              <w:jc w:val="right"/>
              <w:ind w:right="161"/>
              <w:spacing w:after="0" w:line="234" w:lineRule="exact"/>
              <w:rPr>
                <w:sz w:val="20"/>
                <w:szCs w:val="20"/>
                <w:color w:val="auto"/>
              </w:rPr>
            </w:pPr>
            <w:r>
              <w:rPr>
                <w:rFonts w:ascii="Calibri" w:cs="Calibri" w:eastAsia="Calibri" w:hAnsi="Calibri"/>
                <w:sz w:val="20"/>
                <w:szCs w:val="20"/>
                <w:color w:val="auto"/>
              </w:rPr>
              <w:t>(8 )</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(8 )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East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823</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735</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300"/>
              <w:spacing w:after="0" w:line="228" w:lineRule="exact"/>
              <w:rPr>
                <w:sz w:val="20"/>
                <w:szCs w:val="20"/>
                <w:color w:val="auto"/>
              </w:rPr>
            </w:pPr>
            <w:r>
              <w:rPr>
                <w:rFonts w:ascii="Calibri" w:cs="Calibri" w:eastAsia="Calibri" w:hAnsi="Calibri"/>
                <w:sz w:val="20"/>
                <w:szCs w:val="20"/>
                <w:color w:val="auto"/>
              </w:rPr>
              <w:t>West Group</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457</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463</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261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413</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199</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186</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20"/>
                <w:szCs w:val="20"/>
                <w:color w:val="auto"/>
              </w:rPr>
            </w:pPr>
          </w:p>
        </w:tc>
        <w:tc>
          <w:tcPr>
            <w:tcW w:w="1480" w:type="dxa"/>
            <w:vAlign w:val="bottom"/>
            <w:gridSpan w:val="2"/>
          </w:tcPr>
          <w:p>
            <w:pPr>
              <w:jc w:val="right"/>
              <w:ind w:right="161"/>
              <w:spacing w:after="0" w:line="234" w:lineRule="exact"/>
              <w:rPr>
                <w:sz w:val="20"/>
                <w:szCs w:val="20"/>
                <w:color w:val="auto"/>
              </w:rPr>
            </w:pPr>
            <w:r>
              <w:rPr>
                <w:rFonts w:ascii="Calibri" w:cs="Calibri" w:eastAsia="Calibri" w:hAnsi="Calibri"/>
                <w:sz w:val="20"/>
                <w:szCs w:val="20"/>
                <w:color w:val="auto"/>
              </w:rPr>
              <w:t>(57 )</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(57 )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0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West Group Total</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860</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1,005</w:t>
            </w:r>
          </w:p>
        </w:tc>
        <w:tc>
          <w:tcPr>
            <w:tcW w:w="24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1,683</w:t>
            </w: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1,740</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 Magnesia Specialtes</w:t>
            </w:r>
          </w:p>
        </w:tc>
        <w:tc>
          <w:tcPr>
            <w:tcW w:w="2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3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240" w:type="dxa"/>
            <w:vAlign w:val="bottom"/>
            <w:tcBorders>
              <w:bottom w:val="single" w:sz="8" w:color="CFF0FC"/>
            </w:tcBorders>
            <w:shd w:val="clear" w:color="auto" w:fill="CFF0FC"/>
          </w:tcPr>
          <w:p>
            <w:pPr>
              <w:spacing w:after="0"/>
              <w:rPr>
                <w:sz w:val="23"/>
                <w:szCs w:val="23"/>
                <w:color w:val="auto"/>
              </w:rPr>
            </w:pP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90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1,764</w:t>
            </w:r>
          </w:p>
        </w:tc>
        <w:tc>
          <w:tcPr>
            <w:tcW w:w="3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1,821</w:t>
            </w:r>
          </w:p>
        </w:tc>
        <w:tc>
          <w:tcPr>
            <w:tcW w:w="24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5"/>
          </w:tcPr>
          <w:p>
            <w:pPr>
              <w:jc w:val="right"/>
              <w:ind w:right="480"/>
              <w:spacing w:after="0"/>
              <w:rPr>
                <w:sz w:val="20"/>
                <w:szCs w:val="20"/>
                <w:color w:val="auto"/>
              </w:rPr>
            </w:pPr>
            <w:r>
              <w:rPr>
                <w:rFonts w:ascii="Calibri" w:cs="Calibri" w:eastAsia="Calibri" w:hAnsi="Calibri"/>
                <w:sz w:val="20"/>
                <w:szCs w:val="20"/>
                <w:color w:val="auto"/>
              </w:rPr>
              <w:t>Three Months Ended June 30,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right"/>
              <w:ind w:right="40"/>
              <w:spacing w:after="0" w:line="228" w:lineRule="exact"/>
              <w:rPr>
                <w:sz w:val="20"/>
                <w:szCs w:val="20"/>
                <w:color w:val="auto"/>
              </w:rPr>
            </w:pPr>
            <w:r>
              <w:rPr>
                <w:rFonts w:ascii="Calibri" w:cs="Calibri" w:eastAsia="Calibri" w:hAnsi="Calibri"/>
                <w:sz w:val="20"/>
                <w:szCs w:val="20"/>
                <w:color w:val="auto"/>
              </w:rPr>
              <w:t>2024</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3"/>
          </w:tcPr>
          <w:p>
            <w:pPr>
              <w:jc w:val="right"/>
              <w:ind w:right="1221"/>
              <w:spacing w:after="0" w:line="228" w:lineRule="exact"/>
              <w:rPr>
                <w:sz w:val="20"/>
                <w:szCs w:val="20"/>
                <w:color w:val="auto"/>
              </w:rPr>
            </w:pPr>
            <w:r>
              <w:rPr>
                <w:rFonts w:ascii="Calibri" w:cs="Calibri" w:eastAsia="Calibri" w:hAnsi="Calibri"/>
                <w:sz w:val="20"/>
                <w:szCs w:val="20"/>
                <w:color w:val="auto"/>
              </w:rPr>
              <w:t>2023</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3"/>
          </w:tcPr>
          <w:p>
            <w:pPr>
              <w:jc w:val="center"/>
              <w:ind w:right="700"/>
              <w:spacing w:after="0" w:line="228" w:lineRule="exact"/>
              <w:rPr>
                <w:sz w:val="20"/>
                <w:szCs w:val="20"/>
                <w:color w:val="auto"/>
              </w:rPr>
            </w:pPr>
            <w:r>
              <w:rPr>
                <w:rFonts w:ascii="Calibri" w:cs="Calibri" w:eastAsia="Calibri" w:hAnsi="Calibri"/>
                <w:sz w:val="20"/>
                <w:szCs w:val="20"/>
                <w:color w:val="auto"/>
              </w:rPr>
              <w:t>Amount</w:t>
            </w:r>
          </w:p>
        </w:tc>
        <w:tc>
          <w:tcPr>
            <w:tcW w:w="1340" w:type="dxa"/>
            <w:vAlign w:val="bottom"/>
            <w:tcBorders>
              <w:top w:val="single" w:sz="8" w:color="auto"/>
            </w:tcBorders>
          </w:tcPr>
          <w:p>
            <w:pPr>
              <w:jc w:val="center"/>
              <w:ind w:right="1"/>
              <w:spacing w:after="0" w:line="228" w:lineRule="exact"/>
              <w:rPr>
                <w:sz w:val="20"/>
                <w:szCs w:val="20"/>
                <w:color w:val="auto"/>
              </w:rPr>
            </w:pPr>
            <w:r>
              <w:rPr>
                <w:rFonts w:ascii="Calibri" w:cs="Calibri" w:eastAsia="Calibri" w:hAnsi="Calibri"/>
                <w:sz w:val="20"/>
                <w:szCs w:val="20"/>
                <w:color w:val="auto"/>
              </w:rPr>
              <w:t>% of Revenues</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460"/>
              <w:spacing w:after="0" w:line="228" w:lineRule="exact"/>
              <w:rPr>
                <w:sz w:val="20"/>
                <w:szCs w:val="20"/>
                <w:color w:val="auto"/>
              </w:rPr>
            </w:pPr>
            <w:r>
              <w:rPr>
                <w:rFonts w:ascii="Calibri" w:cs="Calibri" w:eastAsia="Calibri" w:hAnsi="Calibri"/>
                <w:sz w:val="20"/>
                <w:szCs w:val="20"/>
                <w:color w:val="auto"/>
              </w:rPr>
              <w:t>Amount</w:t>
            </w:r>
          </w:p>
        </w:tc>
        <w:tc>
          <w:tcPr>
            <w:tcW w:w="1460" w:type="dxa"/>
            <w:vAlign w:val="bottom"/>
            <w:tcBorders>
              <w:top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 of Revenues</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gridSpan w:val="5"/>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ind w:left="560"/>
              <w:spacing w:after="0" w:line="228" w:lineRule="exact"/>
              <w:rPr>
                <w:sz w:val="20"/>
                <w:szCs w:val="20"/>
                <w:color w:val="auto"/>
              </w:rPr>
            </w:pPr>
            <w:r>
              <w:rPr>
                <w:rFonts w:ascii="Calibri" w:cs="Calibri" w:eastAsia="Calibri" w:hAnsi="Calibri"/>
                <w:sz w:val="20"/>
                <w:szCs w:val="20"/>
                <w:i w:val="1"/>
                <w:iCs w:val="1"/>
                <w:color w:val="auto"/>
                <w:w w:val="92"/>
              </w:rPr>
              <w:t>(Dollars in</w:t>
            </w:r>
          </w:p>
        </w:tc>
        <w:tc>
          <w:tcPr>
            <w:tcW w:w="140" w:type="dxa"/>
            <w:vAlign w:val="bottom"/>
          </w:tcPr>
          <w:p>
            <w:pPr>
              <w:spacing w:after="0"/>
              <w:rPr>
                <w:sz w:val="19"/>
                <w:szCs w:val="19"/>
                <w:color w:val="auto"/>
              </w:rPr>
            </w:pPr>
          </w:p>
        </w:tc>
        <w:tc>
          <w:tcPr>
            <w:tcW w:w="134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900" w:type="dxa"/>
            <w:vAlign w:val="bottom"/>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392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
              <w:spacing w:after="0" w:line="234" w:lineRule="exact"/>
              <w:rPr>
                <w:sz w:val="20"/>
                <w:szCs w:val="20"/>
                <w:color w:val="auto"/>
              </w:rPr>
            </w:pPr>
            <w:r>
              <w:rPr>
                <w:rFonts w:ascii="Calibri" w:cs="Calibri" w:eastAsia="Calibri" w:hAnsi="Calibri"/>
                <w:sz w:val="20"/>
                <w:szCs w:val="20"/>
                <w:color w:val="auto"/>
              </w:rPr>
              <w:t>32%</w:t>
            </w:r>
          </w:p>
        </w:tc>
        <w:tc>
          <w:tcPr>
            <w:tcW w:w="140" w:type="dxa"/>
            <w:vAlign w:val="bottom"/>
          </w:tcPr>
          <w:p>
            <w:pPr>
              <w:spacing w:after="0"/>
              <w:rPr>
                <w:sz w:val="20"/>
                <w:szCs w:val="20"/>
                <w:color w:val="auto"/>
              </w:rPr>
            </w:pPr>
          </w:p>
        </w:tc>
        <w:tc>
          <w:tcPr>
            <w:tcW w:w="22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371</w:t>
            </w:r>
          </w:p>
        </w:tc>
        <w:tc>
          <w:tcPr>
            <w:tcW w:w="240" w:type="dxa"/>
            <w:vAlign w:val="bottom"/>
          </w:tcPr>
          <w:p>
            <w:pPr>
              <w:spacing w:after="0"/>
              <w:rPr>
                <w:sz w:val="20"/>
                <w:szCs w:val="20"/>
                <w:color w:val="auto"/>
              </w:rPr>
            </w:pPr>
          </w:p>
        </w:tc>
        <w:tc>
          <w:tcPr>
            <w:tcW w:w="14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32%</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72</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center"/>
              <w:ind w:right="1"/>
              <w:spacing w:after="0" w:line="234" w:lineRule="exact"/>
              <w:rPr>
                <w:sz w:val="20"/>
                <w:szCs w:val="20"/>
                <w:color w:val="auto"/>
              </w:rPr>
            </w:pPr>
            <w:r>
              <w:rPr>
                <w:rFonts w:ascii="Calibri" w:cs="Calibri" w:eastAsia="Calibri" w:hAnsi="Calibri"/>
                <w:sz w:val="20"/>
                <w:szCs w:val="20"/>
                <w:color w:val="auto"/>
              </w:rPr>
              <w:t>28%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129</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31%</w:t>
            </w:r>
          </w:p>
        </w:tc>
        <w:tc>
          <w:tcPr>
            <w:tcW w:w="0" w:type="dxa"/>
            <w:vAlign w:val="bottom"/>
          </w:tcPr>
          <w:p>
            <w:pPr>
              <w:spacing w:after="0"/>
              <w:rPr>
                <w:sz w:val="1"/>
                <w:szCs w:val="1"/>
                <w:color w:val="auto"/>
              </w:rPr>
            </w:pPr>
          </w:p>
        </w:tc>
      </w:tr>
      <w:tr>
        <w:trPr>
          <w:trHeight w:val="237"/>
        </w:trPr>
        <w:tc>
          <w:tcPr>
            <w:tcW w:w="4900" w:type="dxa"/>
            <w:vAlign w:val="bottom"/>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37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
              <w:spacing w:after="0" w:line="236" w:lineRule="exact"/>
              <w:rPr>
                <w:sz w:val="20"/>
                <w:szCs w:val="20"/>
                <w:color w:val="auto"/>
              </w:rPr>
            </w:pPr>
            <w:r>
              <w:rPr>
                <w:rFonts w:ascii="Calibri" w:cs="Calibri" w:eastAsia="Calibri" w:hAnsi="Calibri"/>
                <w:sz w:val="20"/>
                <w:szCs w:val="20"/>
                <w:color w:val="auto"/>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36</w:t>
            </w:r>
          </w:p>
        </w:tc>
        <w:tc>
          <w:tcPr>
            <w:tcW w:w="240" w:type="dxa"/>
            <w:vAlign w:val="bottom"/>
          </w:tcPr>
          <w:p>
            <w:pPr>
              <w:spacing w:after="0"/>
              <w:rPr>
                <w:sz w:val="20"/>
                <w:szCs w:val="20"/>
                <w:color w:val="auto"/>
              </w:rPr>
            </w:pPr>
          </w:p>
        </w:tc>
        <w:tc>
          <w:tcPr>
            <w:tcW w:w="146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15%</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501</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center"/>
              <w:ind w:right="1"/>
              <w:spacing w:after="0" w:line="228" w:lineRule="exact"/>
              <w:rPr>
                <w:sz w:val="20"/>
                <w:szCs w:val="20"/>
                <w:color w:val="auto"/>
              </w:rPr>
            </w:pPr>
            <w:r>
              <w:rPr>
                <w:rFonts w:ascii="Calibri" w:cs="Calibri" w:eastAsia="Calibri" w:hAnsi="Calibri"/>
                <w:sz w:val="20"/>
                <w:szCs w:val="20"/>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536</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center"/>
              <w:spacing w:after="0" w:line="228" w:lineRule="exact"/>
              <w:rPr>
                <w:sz w:val="20"/>
                <w:szCs w:val="20"/>
                <w:color w:val="auto"/>
              </w:rPr>
            </w:pPr>
            <w:r>
              <w:rPr>
                <w:rFonts w:ascii="Calibri" w:cs="Calibri" w:eastAsia="Calibri" w:hAnsi="Calibri"/>
                <w:sz w:val="20"/>
                <w:szCs w:val="20"/>
                <w:color w:val="auto"/>
                <w:w w:val="98"/>
              </w:rPr>
              <w:t>31%</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
              <w:spacing w:after="0" w:line="234" w:lineRule="exact"/>
              <w:rPr>
                <w:sz w:val="20"/>
                <w:szCs w:val="20"/>
                <w:color w:val="auto"/>
              </w:rPr>
            </w:pPr>
            <w:r>
              <w:rPr>
                <w:rFonts w:ascii="Calibri" w:cs="Calibri" w:eastAsia="Calibri" w:hAnsi="Calibri"/>
                <w:sz w:val="20"/>
                <w:szCs w:val="20"/>
                <w:color w:val="auto"/>
              </w:rPr>
              <w:t>34%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28</w:t>
            </w:r>
          </w:p>
        </w:tc>
        <w:tc>
          <w:tcPr>
            <w:tcW w:w="240" w:type="dxa"/>
            <w:vAlign w:val="bottom"/>
          </w:tcPr>
          <w:p>
            <w:pPr>
              <w:spacing w:after="0"/>
              <w:rPr>
                <w:sz w:val="20"/>
                <w:szCs w:val="20"/>
                <w:color w:val="auto"/>
              </w:rPr>
            </w:pPr>
          </w:p>
        </w:tc>
        <w:tc>
          <w:tcPr>
            <w:tcW w:w="14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34%</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9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2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gridSpan w:val="2"/>
            <w:shd w:val="clear" w:color="auto" w:fill="CFF0FC"/>
          </w:tcPr>
          <w:p>
            <w:pPr>
              <w:jc w:val="right"/>
              <w:ind w:right="161"/>
              <w:spacing w:after="0" w:line="234" w:lineRule="exact"/>
              <w:rPr>
                <w:sz w:val="20"/>
                <w:szCs w:val="20"/>
                <w:color w:val="auto"/>
              </w:rPr>
            </w:pPr>
            <w:r>
              <w:rPr>
                <w:rFonts w:ascii="Calibri" w:cs="Calibri" w:eastAsia="Calibri" w:hAnsi="Calibri"/>
                <w:sz w:val="20"/>
                <w:szCs w:val="20"/>
                <w:color w:val="auto"/>
              </w:rPr>
              <w:t>(11 )</w:t>
            </w: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(4 )</w:t>
            </w:r>
          </w:p>
        </w:tc>
        <w:tc>
          <w:tcPr>
            <w:tcW w:w="14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00" w:type="dxa"/>
            <w:vAlign w:val="bottom"/>
            <w:tcBorders>
              <w:top w:val="single" w:sz="8" w:color="CFF0FC"/>
            </w:tcBorders>
          </w:tcPr>
          <w:p>
            <w:pPr>
              <w:ind w:left="20"/>
              <w:spacing w:after="0" w:line="234" w:lineRule="exact"/>
              <w:rPr>
                <w:sz w:val="20"/>
                <w:szCs w:val="20"/>
                <w:color w:val="auto"/>
              </w:rPr>
            </w:pPr>
            <w:r>
              <w:rPr>
                <w:rFonts w:ascii="Calibri" w:cs="Calibri" w:eastAsia="Calibri" w:hAnsi="Calibri"/>
                <w:sz w:val="20"/>
                <w:szCs w:val="20"/>
                <w:color w:val="auto"/>
              </w:rPr>
              <w:t>Total</w:t>
            </w:r>
          </w:p>
        </w:tc>
        <w:tc>
          <w:tcPr>
            <w:tcW w:w="220" w:type="dxa"/>
            <w:vAlign w:val="bottom"/>
            <w:tcBorders>
              <w:top w:val="single" w:sz="8" w:color="auto"/>
              <w:bottom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517</w:t>
            </w:r>
          </w:p>
        </w:tc>
        <w:tc>
          <w:tcPr>
            <w:tcW w:w="34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340" w:type="dxa"/>
            <w:vAlign w:val="bottom"/>
            <w:tcBorders>
              <w:top w:val="single" w:sz="8" w:color="CFF0FC"/>
            </w:tcBorders>
          </w:tcPr>
          <w:p>
            <w:pPr>
              <w:jc w:val="center"/>
              <w:ind w:right="1"/>
              <w:spacing w:after="0"/>
              <w:rPr>
                <w:sz w:val="20"/>
                <w:szCs w:val="20"/>
                <w:color w:val="auto"/>
              </w:rPr>
            </w:pPr>
            <w:r>
              <w:rPr>
                <w:rFonts w:ascii="Calibri" w:cs="Calibri" w:eastAsia="Calibri" w:hAnsi="Calibri"/>
                <w:sz w:val="20"/>
                <w:szCs w:val="20"/>
                <w:color w:val="auto"/>
              </w:rPr>
              <w:t>29%</w:t>
            </w:r>
          </w:p>
        </w:tc>
        <w:tc>
          <w:tcPr>
            <w:tcW w:w="140" w:type="dxa"/>
            <w:vAlign w:val="bottom"/>
            <w:tcBorders>
              <w:top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560</w:t>
            </w:r>
          </w:p>
        </w:tc>
        <w:tc>
          <w:tcPr>
            <w:tcW w:w="240" w:type="dxa"/>
            <w:vAlign w:val="bottom"/>
            <w:tcBorders>
              <w:top w:val="single" w:sz="8" w:color="CFF0FC"/>
            </w:tcBorders>
          </w:tcPr>
          <w:p>
            <w:pPr>
              <w:spacing w:after="0"/>
              <w:rPr>
                <w:sz w:val="22"/>
                <w:szCs w:val="22"/>
                <w:color w:val="auto"/>
              </w:rPr>
            </w:pPr>
          </w:p>
        </w:tc>
        <w:tc>
          <w:tcPr>
            <w:tcW w:w="1460" w:type="dxa"/>
            <w:vAlign w:val="bottom"/>
            <w:tcBorders>
              <w:top w:val="single" w:sz="8" w:color="CFF0FC"/>
            </w:tcBorders>
          </w:tcPr>
          <w:p>
            <w:pPr>
              <w:jc w:val="center"/>
              <w:spacing w:after="0"/>
              <w:rPr>
                <w:sz w:val="20"/>
                <w:szCs w:val="20"/>
                <w:color w:val="auto"/>
              </w:rPr>
            </w:pPr>
            <w:r>
              <w:rPr>
                <w:rFonts w:ascii="Calibri" w:cs="Calibri" w:eastAsia="Calibri" w:hAnsi="Calibri"/>
                <w:sz w:val="20"/>
                <w:szCs w:val="20"/>
                <w:color w:val="auto"/>
                <w:w w:val="98"/>
              </w:rPr>
              <w:t>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-4071620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-4071620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-3025140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-3025140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-2673985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-2673985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-205105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29" w:name="page30"/>
    <w:bookmarkEnd w:id="2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ind w:right="-19"/>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9"/>
        <w:spacing w:after="0" w:line="238" w:lineRule="auto"/>
        <w:rPr>
          <w:sz w:val="20"/>
          <w:szCs w:val="20"/>
          <w:color w:val="auto"/>
        </w:rPr>
      </w:pPr>
      <w:r>
        <w:rPr>
          <w:rFonts w:ascii="Calibri" w:cs="Calibri" w:eastAsia="Calibri" w:hAnsi="Calibri"/>
          <w:sz w:val="20"/>
          <w:szCs w:val="20"/>
          <w:color w:val="auto"/>
        </w:rPr>
        <w:t>RESULTS OF OPERATIONS</w:t>
      </w:r>
    </w:p>
    <w:tbl>
      <w:tblPr>
        <w:tblLayout w:type="fixed"/>
        <w:tblInd w:w="0" w:type="dxa"/>
        <w:tblCellMar>
          <w:top w:w="0" w:type="dxa"/>
          <w:left w:w="0" w:type="dxa"/>
          <w:bottom w:w="0" w:type="dxa"/>
          <w:right w:w="0" w:type="dxa"/>
        </w:tblCellMar>
      </w:tblPr>
      <w:tr>
        <w:trPr>
          <w:trHeight w:val="244"/>
        </w:trPr>
        <w:tc>
          <w:tcPr>
            <w:tcW w:w="80" w:type="dxa"/>
            <w:vAlign w:val="bottom"/>
          </w:tcPr>
          <w:p>
            <w:pPr>
              <w:spacing w:after="0"/>
              <w:rPr>
                <w:sz w:val="21"/>
                <w:szCs w:val="21"/>
                <w:color w:val="auto"/>
              </w:rPr>
            </w:pPr>
          </w:p>
        </w:tc>
        <w:tc>
          <w:tcPr>
            <w:tcW w:w="7500" w:type="dxa"/>
            <w:vAlign w:val="bottom"/>
            <w:gridSpan w:val="2"/>
          </w:tcPr>
          <w:p>
            <w:pPr>
              <w:ind w:left="5080"/>
              <w:spacing w:after="0"/>
              <w:rPr>
                <w:sz w:val="20"/>
                <w:szCs w:val="20"/>
                <w:color w:val="auto"/>
              </w:rPr>
            </w:pPr>
            <w:r>
              <w:rPr>
                <w:rFonts w:ascii="Calibri" w:cs="Calibri" w:eastAsia="Calibri" w:hAnsi="Calibri"/>
                <w:sz w:val="20"/>
                <w:szCs w:val="20"/>
                <w:color w:val="auto"/>
              </w:rPr>
              <w:t>(Contnued)</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634"/>
        </w:trPr>
        <w:tc>
          <w:tcPr>
            <w:tcW w:w="7580" w:type="dxa"/>
            <w:vAlign w:val="bottom"/>
            <w:gridSpan w:val="3"/>
          </w:tcPr>
          <w:p>
            <w:pPr>
              <w:spacing w:after="0"/>
              <w:rPr>
                <w:sz w:val="20"/>
                <w:szCs w:val="20"/>
                <w:color w:val="auto"/>
              </w:rPr>
            </w:pPr>
            <w:r>
              <w:rPr>
                <w:rFonts w:ascii="Calibri" w:cs="Calibri" w:eastAsia="Calibri" w:hAnsi="Calibri"/>
                <w:sz w:val="20"/>
                <w:szCs w:val="20"/>
                <w:i w:val="1"/>
                <w:iCs w:val="1"/>
                <w:color w:val="auto"/>
              </w:rPr>
              <w:t>Building Materials Business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7580" w:type="dxa"/>
            <w:vAlign w:val="bottom"/>
            <w:gridSpan w:val="3"/>
          </w:tcPr>
          <w:p>
            <w:pPr>
              <w:spacing w:after="0"/>
              <w:rPr>
                <w:sz w:val="20"/>
                <w:szCs w:val="20"/>
                <w:color w:val="auto"/>
              </w:rPr>
            </w:pPr>
            <w:r>
              <w:rPr>
                <w:rFonts w:ascii="Calibri" w:cs="Calibri" w:eastAsia="Calibri" w:hAnsi="Calibri"/>
                <w:sz w:val="20"/>
                <w:szCs w:val="20"/>
                <w:color w:val="auto"/>
              </w:rPr>
              <w:t>The following table presents shipment data for the Building Materials business: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gridSpan w:val="6"/>
          </w:tcPr>
          <w:p>
            <w:pPr>
              <w:jc w:val="right"/>
              <w:ind w:right="881"/>
              <w:spacing w:after="0"/>
              <w:rPr>
                <w:sz w:val="20"/>
                <w:szCs w:val="20"/>
                <w:color w:val="auto"/>
              </w:rPr>
            </w:pPr>
            <w:r>
              <w:rPr>
                <w:rFonts w:ascii="Calibri" w:cs="Calibri" w:eastAsia="Calibri" w:hAnsi="Calibri"/>
                <w:sz w:val="20"/>
                <w:szCs w:val="20"/>
                <w:color w:val="auto"/>
              </w:rPr>
              <w:t>Three Months Ended June 30,</w:t>
            </w:r>
          </w:p>
        </w:tc>
      </w:tr>
      <w:tr>
        <w:trPr>
          <w:trHeight w:val="270"/>
        </w:trPr>
        <w:tc>
          <w:tcPr>
            <w:tcW w:w="7580" w:type="dxa"/>
            <w:vAlign w:val="bottom"/>
            <w:gridSpan w:val="3"/>
          </w:tcPr>
          <w:p>
            <w:pPr>
              <w:jc w:val="right"/>
              <w:ind w:right="20"/>
              <w:spacing w:after="0"/>
              <w:rPr>
                <w:sz w:val="20"/>
                <w:szCs w:val="20"/>
                <w:color w:val="auto"/>
              </w:rPr>
            </w:pPr>
            <w:r>
              <w:rPr>
                <w:rFonts w:ascii="Calibri" w:cs="Calibri" w:eastAsia="Calibri" w:hAnsi="Calibri"/>
                <w:sz w:val="20"/>
                <w:szCs w:val="20"/>
                <w:color w:val="auto"/>
              </w:rPr>
              <w:t>2024</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281"/>
              <w:spacing w:after="0"/>
              <w:rPr>
                <w:sz w:val="20"/>
                <w:szCs w:val="20"/>
                <w:color w:val="auto"/>
              </w:rPr>
            </w:pPr>
            <w:r>
              <w:rPr>
                <w:rFonts w:ascii="Calibri" w:cs="Calibri" w:eastAsia="Calibri" w:hAnsi="Calibri"/>
                <w:sz w:val="20"/>
                <w:szCs w:val="20"/>
                <w:color w:val="auto"/>
              </w:rPr>
              <w:t>2023</w:t>
            </w:r>
          </w:p>
        </w:tc>
        <w:tc>
          <w:tcPr>
            <w:tcW w:w="320" w:type="dxa"/>
            <w:vAlign w:val="bottom"/>
          </w:tcPr>
          <w:p>
            <w:pPr>
              <w:spacing w:after="0"/>
              <w:rPr>
                <w:sz w:val="23"/>
                <w:szCs w:val="23"/>
                <w:color w:val="auto"/>
              </w:rPr>
            </w:pPr>
          </w:p>
        </w:tc>
        <w:tc>
          <w:tcPr>
            <w:tcW w:w="1480" w:type="dxa"/>
            <w:vAlign w:val="bottom"/>
          </w:tcPr>
          <w:p>
            <w:pPr>
              <w:jc w:val="right"/>
              <w:ind w:right="241"/>
              <w:spacing w:after="0"/>
              <w:rPr>
                <w:sz w:val="20"/>
                <w:szCs w:val="20"/>
                <w:color w:val="auto"/>
              </w:rPr>
            </w:pPr>
            <w:r>
              <w:rPr>
                <w:rFonts w:ascii="Calibri" w:cs="Calibri" w:eastAsia="Calibri" w:hAnsi="Calibri"/>
                <w:sz w:val="20"/>
                <w:szCs w:val="20"/>
                <w:color w:val="auto"/>
              </w:rPr>
              <w:t>% Change</w:t>
            </w:r>
          </w:p>
        </w:tc>
      </w:tr>
      <w:tr>
        <w:trPr>
          <w:trHeight w:val="46"/>
        </w:trPr>
        <w:tc>
          <w:tcPr>
            <w:tcW w:w="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28"/>
        </w:trPr>
        <w:tc>
          <w:tcPr>
            <w:tcW w:w="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ind w:right="61"/>
              <w:spacing w:after="0" w:line="228" w:lineRule="exact"/>
              <w:rPr>
                <w:sz w:val="20"/>
                <w:szCs w:val="20"/>
                <w:color w:val="auto"/>
              </w:rPr>
            </w:pPr>
            <w:r>
              <w:rPr>
                <w:rFonts w:ascii="Calibri" w:cs="Calibri" w:eastAsia="Calibri" w:hAnsi="Calibri"/>
                <w:sz w:val="20"/>
                <w:szCs w:val="20"/>
                <w:i w:val="1"/>
                <w:iCs w:val="1"/>
                <w:color w:val="auto"/>
                <w:w w:val="93"/>
              </w:rPr>
              <w:t>(In</w:t>
            </w:r>
          </w:p>
        </w:tc>
        <w:tc>
          <w:tcPr>
            <w:tcW w:w="60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w w:val="83"/>
              </w:rPr>
              <w:t>Millions)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6"/>
        </w:trPr>
        <w:tc>
          <w:tcPr>
            <w:tcW w:w="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0" w:type="dxa"/>
            <w:vAlign w:val="bottom"/>
          </w:tcPr>
          <w:p>
            <w:pPr>
              <w:spacing w:after="0"/>
              <w:rPr>
                <w:sz w:val="21"/>
                <w:szCs w:val="21"/>
                <w:color w:val="auto"/>
              </w:rPr>
            </w:pPr>
          </w:p>
        </w:tc>
        <w:tc>
          <w:tcPr>
            <w:tcW w:w="750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Aggregates tons</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5"/>
              </w:rPr>
              <w:t>53.0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54.5</w:t>
            </w:r>
          </w:p>
        </w:tc>
        <w:tc>
          <w:tcPr>
            <w:tcW w:w="18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(2.8 )%</w:t>
            </w:r>
          </w:p>
        </w:tc>
      </w:tr>
      <w:tr>
        <w:trPr>
          <w:trHeight w:val="234"/>
        </w:trPr>
        <w:tc>
          <w:tcPr>
            <w:tcW w:w="80" w:type="dxa"/>
            <w:vAlign w:val="bottom"/>
          </w:tcPr>
          <w:p>
            <w:pPr>
              <w:spacing w:after="0"/>
              <w:rPr>
                <w:sz w:val="20"/>
                <w:szCs w:val="20"/>
                <w:color w:val="auto"/>
              </w:rPr>
            </w:pPr>
          </w:p>
        </w:tc>
        <w:tc>
          <w:tcPr>
            <w:tcW w:w="7500" w:type="dxa"/>
            <w:vAlign w:val="bottom"/>
            <w:gridSpan w:val="2"/>
          </w:tcPr>
          <w:p>
            <w:pPr>
              <w:spacing w:after="0" w:line="234" w:lineRule="exact"/>
              <w:rPr>
                <w:sz w:val="20"/>
                <w:szCs w:val="20"/>
                <w:color w:val="auto"/>
              </w:rPr>
            </w:pPr>
            <w:r>
              <w:rPr>
                <w:rFonts w:ascii="Calibri" w:cs="Calibri" w:eastAsia="Calibri" w:hAnsi="Calibri"/>
                <w:sz w:val="20"/>
                <w:szCs w:val="20"/>
                <w:color w:val="auto"/>
              </w:rPr>
              <w:t>Cement tons</w:t>
            </w: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0.5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1.1</w:t>
            </w:r>
          </w:p>
        </w:tc>
        <w:tc>
          <w:tcPr>
            <w:tcW w:w="18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(51.9 )%</w:t>
            </w:r>
          </w:p>
        </w:tc>
      </w:tr>
      <w:tr>
        <w:trPr>
          <w:trHeight w:val="36"/>
        </w:trPr>
        <w:tc>
          <w:tcPr>
            <w:tcW w:w="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0" w:type="dxa"/>
            <w:vAlign w:val="bottom"/>
          </w:tcPr>
          <w:p>
            <w:pPr>
              <w:spacing w:after="0"/>
              <w:rPr>
                <w:sz w:val="21"/>
                <w:szCs w:val="21"/>
                <w:color w:val="auto"/>
              </w:rPr>
            </w:pPr>
          </w:p>
        </w:tc>
        <w:tc>
          <w:tcPr>
            <w:tcW w:w="7500" w:type="dxa"/>
            <w:vAlign w:val="bottom"/>
            <w:tcBorders>
              <w:bottom w:val="single" w:sz="8" w:color="CFF0FC"/>
            </w:tcBorders>
            <w:gridSpan w:val="2"/>
            <w:shd w:val="clear" w:color="auto" w:fill="CFF0FC"/>
          </w:tcPr>
          <w:p>
            <w:pPr>
              <w:spacing w:after="0" w:line="234" w:lineRule="exact"/>
              <w:rPr>
                <w:sz w:val="20"/>
                <w:szCs w:val="20"/>
                <w:color w:val="auto"/>
              </w:rPr>
            </w:pPr>
            <w:r>
              <w:rPr>
                <w:rFonts w:ascii="Calibri" w:cs="Calibri" w:eastAsia="Calibri" w:hAnsi="Calibri"/>
                <w:sz w:val="20"/>
                <w:szCs w:val="20"/>
                <w:color w:val="auto"/>
              </w:rPr>
              <w:t>Ready Mixed Concrete cubic yards</w:t>
            </w: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w:t>
            </w:r>
          </w:p>
        </w:tc>
        <w:tc>
          <w:tcPr>
            <w:tcW w:w="18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(32.2 )%</w:t>
            </w:r>
          </w:p>
        </w:tc>
      </w:tr>
      <w:tr>
        <w:trPr>
          <w:trHeight w:val="234"/>
        </w:trPr>
        <w:tc>
          <w:tcPr>
            <w:tcW w:w="80" w:type="dxa"/>
            <w:vAlign w:val="bottom"/>
          </w:tcPr>
          <w:p>
            <w:pPr>
              <w:spacing w:after="0"/>
              <w:rPr>
                <w:sz w:val="20"/>
                <w:szCs w:val="20"/>
                <w:color w:val="auto"/>
              </w:rPr>
            </w:pPr>
          </w:p>
        </w:tc>
        <w:tc>
          <w:tcPr>
            <w:tcW w:w="7500" w:type="dxa"/>
            <w:vAlign w:val="bottom"/>
            <w:gridSpan w:val="2"/>
          </w:tcPr>
          <w:p>
            <w:pPr>
              <w:spacing w:after="0" w:line="234" w:lineRule="exact"/>
              <w:rPr>
                <w:sz w:val="20"/>
                <w:szCs w:val="20"/>
                <w:color w:val="auto"/>
              </w:rPr>
            </w:pPr>
            <w:r>
              <w:rPr>
                <w:rFonts w:ascii="Calibri" w:cs="Calibri" w:eastAsia="Calibri" w:hAnsi="Calibri"/>
                <w:sz w:val="20"/>
                <w:szCs w:val="20"/>
                <w:color w:val="auto"/>
              </w:rPr>
              <w:t>Asphalt tons</w:t>
            </w: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2.6</w:t>
            </w:r>
          </w:p>
        </w:tc>
        <w:tc>
          <w:tcPr>
            <w:tcW w:w="18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(4.2 )%</w:t>
            </w:r>
          </w:p>
        </w:tc>
      </w:tr>
    </w:tbl>
    <w:p>
      <w:pPr>
        <w:spacing w:after="0" w:line="20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Second-quarter aggregates shipments decreased 2.8% from the prior-year quarter, as shipments from acquired operatons were ofset by inclement weather in Texas and the Company's Central Division, as well as sofening demand in warehouse, ofce and retail constructon. Aggregates average selling price of $21.61 increased 11.6%, or 12.0% on an organic mix-adjusted basis, over the prior-year quarter, due to strong realizaton of mid-year 2023 and January 1, 2024 pricing actons. Aggregates gross proft improved 6% to $392 million, despite the $20 million Inventory Markup charge associated with the BWI Southeast acquisiton, as pricing growth, contributons from acquired acquisitons and lower organic energy and contract services costs more than ofset lower shipments.</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Cement and ready mixed concrete revenues decreased 37% to $261 million and gross proft decreased 44% to $72 million, compared with the prior-year quarter, primarily atributable to the Divestture, as well as extremely wet weather in Texas.</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Asphalt and paving revenues increased 2% from the prior-year quarter to $245 million and gross proft was in line with prior year at $37 million.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84" w:lineRule="exact"/>
        <w:rPr>
          <w:sz w:val="20"/>
          <w:szCs w:val="20"/>
          <w:color w:val="auto"/>
        </w:rPr>
      </w:pPr>
    </w:p>
    <w:p>
      <w:pPr>
        <w:jc w:val="both"/>
        <w:ind w:right="20"/>
        <w:spacing w:after="0"/>
        <w:rPr>
          <w:sz w:val="20"/>
          <w:szCs w:val="20"/>
          <w:color w:val="auto"/>
        </w:rPr>
      </w:pPr>
      <w:r>
        <w:rPr>
          <w:rFonts w:ascii="Calibri" w:cs="Calibri" w:eastAsia="Calibri" w:hAnsi="Calibri"/>
          <w:sz w:val="20"/>
          <w:szCs w:val="20"/>
          <w:color w:val="auto"/>
        </w:rPr>
        <w:t>Aggregates shipments to the infrastructure market decreased 2% quarter-over-quarter, as contributons from acquired operatons were more than ofset by weather-driven project delays. The infrastructure market accounted for 36% of second-quarter aggregates shipments.</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Aggregates shipments to the nonresidental market decreased 4%, driven by inclement weather in many of the Company's markets and declining warehouse constructon, partally ofset by shipments at acquired operatons. The nonresidental market represented 35% of second-quarter aggregates shipments.</w:t>
      </w:r>
    </w:p>
    <w:p>
      <w:pPr>
        <w:spacing w:after="0" w:line="19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Aggregates shipments to the residental market decreased 2%, resultng from inclement weather and general sofening in single-family housing resultng from afordability concerns. The residental market accounted for 24% of second-quarter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ChemRock/Rail market accounted for the remaining 5% of second-quarter aggregates shipments. Volumes to this end use market decreased 6% quarter-over-quarter due to inclement weather and project tming.</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Magnesia Specialtes second-quarter revenues of $81 million were in line with the prior-year quarter as lower chemical and lime shipments were ofset by higher chemical and lime pricing. Gross proft decreased 2% to $27 million due to higher maintenance costs.</w:t>
      </w:r>
    </w:p>
    <w:p>
      <w:pPr>
        <w:jc w:val="center"/>
        <w:ind w:right="-19"/>
        <w:spacing w:after="0"/>
        <w:rPr>
          <w:sz w:val="20"/>
          <w:szCs w:val="20"/>
          <w:color w:val="auto"/>
        </w:rPr>
      </w:pPr>
      <w:r>
        <w:rPr>
          <w:rFonts w:ascii="Calibri" w:cs="Calibri" w:eastAsia="Calibri" w:hAnsi="Calibri"/>
          <w:sz w:val="20"/>
          <w:szCs w:val="20"/>
          <w:color w:val="auto"/>
        </w:rPr>
        <w:t>Page 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 w:name="page31"/>
    <w:bookmarkEnd w:id="3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Consolidated SG&amp;A for the second quarter of 2024 was 6.7% of revenues compared with 6.1% in the prior-year quarter, refectng increased costs from acquired operatons and lower revenues.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Net earnings from contnuing operatons atributable to Martn Marieta were $294 million, or $4.76 per diluted share, in 2024 compared with $347 million, or $5.60 per diluted share, in 2023. 2024 included an afer-tax charge of $15 million, or $0.24 per diluted share, for the Inventory Markup and an afer-tax charge of $16 million, or $0.26 per diluted share, for acquisiton and integraton expenses related to the BWI Southeast transacton.</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Six Months Ended June 30, 2024</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revenues and gross proft (loss) for the Company and its reportable segments by product line for contnuing operatons for the six months ended June 30, 2024 and 2023. Gross proft (loss) is stated as a percentage of revenues of the Company or the relevant segment or product line, as the case may be.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20" w:type="dxa"/>
            <w:vAlign w:val="bottom"/>
            <w:gridSpan w:val="4"/>
          </w:tcPr>
          <w:p>
            <w:pPr>
              <w:jc w:val="right"/>
              <w:ind w:right="2160"/>
              <w:spacing w:after="0"/>
              <w:rPr>
                <w:sz w:val="20"/>
                <w:szCs w:val="20"/>
                <w:color w:val="auto"/>
              </w:rPr>
            </w:pPr>
            <w:r>
              <w:rPr>
                <w:rFonts w:ascii="Calibri" w:cs="Calibri" w:eastAsia="Calibri" w:hAnsi="Calibri"/>
                <w:sz w:val="20"/>
                <w:szCs w:val="20"/>
                <w:color w:val="auto"/>
              </w:rPr>
              <w:t>Six Months Ended June 30,</w:t>
            </w:r>
          </w:p>
        </w:tc>
      </w:tr>
      <w:tr>
        <w:trPr>
          <w:trHeight w:val="46"/>
        </w:trPr>
        <w:tc>
          <w:tcPr>
            <w:tcW w:w="47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28"/>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rPr>
              <w:t>2024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401"/>
              <w:spacing w:after="0" w:line="228" w:lineRule="exact"/>
              <w:rPr>
                <w:sz w:val="20"/>
                <w:szCs w:val="20"/>
                <w:color w:val="auto"/>
              </w:rPr>
            </w:pPr>
            <w:r>
              <w:rPr>
                <w:rFonts w:ascii="Calibri" w:cs="Calibri" w:eastAsia="Calibri" w:hAnsi="Calibri"/>
                <w:sz w:val="20"/>
                <w:szCs w:val="20"/>
                <w:color w:val="auto"/>
              </w:rPr>
              <w:t>2023</w:t>
            </w:r>
          </w:p>
        </w:tc>
        <w:tc>
          <w:tcPr>
            <w:tcW w:w="1760" w:type="dxa"/>
            <w:vAlign w:val="bottom"/>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28"/>
        </w:trPr>
        <w:tc>
          <w:tcPr>
            <w:tcW w:w="4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81"/>
              <w:spacing w:after="0" w:line="228"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81"/>
              <w:spacing w:after="0" w:line="228" w:lineRule="exact"/>
              <w:rPr>
                <w:sz w:val="20"/>
                <w:szCs w:val="20"/>
                <w:color w:val="auto"/>
              </w:rPr>
            </w:pPr>
            <w:r>
              <w:rPr>
                <w:rFonts w:ascii="Calibri" w:cs="Calibri" w:eastAsia="Calibri" w:hAnsi="Calibri"/>
                <w:sz w:val="20"/>
                <w:szCs w:val="20"/>
                <w:color w:val="auto"/>
              </w:rPr>
              <w:t>Amount</w:t>
            </w:r>
          </w:p>
        </w:tc>
        <w:tc>
          <w:tcPr>
            <w:tcW w:w="1760" w:type="dxa"/>
            <w:vAlign w:val="bottom"/>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17"/>
        </w:trPr>
        <w:tc>
          <w:tcPr>
            <w:tcW w:w="4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20"/>
              <w:spacing w:after="0" w:line="217" w:lineRule="exact"/>
              <w:rPr>
                <w:sz w:val="20"/>
                <w:szCs w:val="20"/>
                <w:color w:val="auto"/>
              </w:rPr>
            </w:pPr>
            <w:r>
              <w:rPr>
                <w:rFonts w:ascii="Calibri" w:cs="Calibri" w:eastAsia="Calibri" w:hAnsi="Calibri"/>
                <w:sz w:val="20"/>
                <w:szCs w:val="20"/>
                <w:i w:val="1"/>
                <w:iCs w:val="1"/>
                <w:color w:val="auto"/>
              </w:rPr>
              <w:t>(Dollars in Millions)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47"/>
        </w:trPr>
        <w:tc>
          <w:tcPr>
            <w:tcW w:w="4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b w:val="1"/>
                <w:bCs w:val="1"/>
                <w:color w:val="auto"/>
              </w:rPr>
              <w:t>Revenues: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300"/>
              <w:spacing w:after="0" w:line="234" w:lineRule="exact"/>
              <w:rPr>
                <w:sz w:val="20"/>
                <w:szCs w:val="20"/>
                <w:color w:val="auto"/>
              </w:rPr>
            </w:pPr>
            <w:r>
              <w:rPr>
                <w:rFonts w:ascii="Calibri" w:cs="Calibri" w:eastAsia="Calibri" w:hAnsi="Calibri"/>
                <w:sz w:val="20"/>
                <w:szCs w:val="20"/>
                <w:color w:val="auto"/>
              </w:rPr>
              <w:t>East Group</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1,312</w:t>
            </w:r>
          </w:p>
        </w:tc>
        <w:tc>
          <w:tcPr>
            <w:tcW w:w="180" w:type="dxa"/>
            <w:vAlign w:val="bottom"/>
          </w:tcPr>
          <w:p>
            <w:pPr>
              <w:spacing w:after="0"/>
              <w:rPr>
                <w:sz w:val="20"/>
                <w:szCs w:val="20"/>
                <w:color w:val="auto"/>
              </w:rPr>
            </w:pPr>
          </w:p>
        </w:tc>
        <w:tc>
          <w:tcPr>
            <w:tcW w:w="200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1,218</w:t>
            </w: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45</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55</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40" w:type="dxa"/>
            <w:vAlign w:val="bottom"/>
          </w:tcPr>
          <w:p>
            <w:pPr>
              <w:spacing w:after="0"/>
              <w:rPr>
                <w:sz w:val="20"/>
                <w:szCs w:val="20"/>
                <w:color w:val="auto"/>
              </w:rPr>
            </w:pPr>
          </w:p>
        </w:tc>
        <w:tc>
          <w:tcPr>
            <w:tcW w:w="136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(8 )</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2"/>
          </w:tcPr>
          <w:p>
            <w:pPr>
              <w:jc w:val="right"/>
              <w:ind w:right="1700"/>
              <w:spacing w:after="0" w:line="234" w:lineRule="exact"/>
              <w:rPr>
                <w:sz w:val="20"/>
                <w:szCs w:val="20"/>
                <w:color w:val="auto"/>
              </w:rPr>
            </w:pPr>
            <w:r>
              <w:rPr>
                <w:rFonts w:ascii="Calibri" w:cs="Calibri" w:eastAsia="Calibri" w:hAnsi="Calibri"/>
                <w:sz w:val="20"/>
                <w:szCs w:val="20"/>
                <w:color w:val="auto"/>
              </w:rPr>
              <w:t>(8 )</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69"/>
        </w:trPr>
        <w:tc>
          <w:tcPr>
            <w:tcW w:w="472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East Group Total</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1,349</w:t>
            </w:r>
          </w:p>
        </w:tc>
        <w:tc>
          <w:tcPr>
            <w:tcW w:w="18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1,265</w:t>
            </w:r>
          </w:p>
        </w:tc>
        <w:tc>
          <w:tcPr>
            <w:tcW w:w="1760" w:type="dxa"/>
            <w:vAlign w:val="bottom"/>
            <w:tcBorders>
              <w:bottom w:val="single" w:sz="8" w:color="CFF0FC"/>
            </w:tcBorders>
            <w:shd w:val="clear" w:color="auto" w:fill="CFF0FC"/>
          </w:tcPr>
          <w:p>
            <w:pPr>
              <w:spacing w:after="0"/>
              <w:rPr>
                <w:sz w:val="22"/>
                <w:szCs w:val="22"/>
                <w:color w:val="auto"/>
              </w:rPr>
            </w:pPr>
          </w:p>
        </w:tc>
      </w:tr>
      <w:tr>
        <w:trPr>
          <w:trHeight w:val="228"/>
        </w:trPr>
        <w:tc>
          <w:tcPr>
            <w:tcW w:w="4720" w:type="dxa"/>
            <w:vAlign w:val="bottom"/>
            <w:tcBorders>
              <w:top w:val="single" w:sz="8" w:color="CFF0FC"/>
            </w:tcBorders>
          </w:tcPr>
          <w:p>
            <w:pPr>
              <w:ind w:left="300"/>
              <w:spacing w:after="0" w:line="228" w:lineRule="exact"/>
              <w:rPr>
                <w:sz w:val="20"/>
                <w:szCs w:val="20"/>
                <w:color w:val="auto"/>
              </w:rPr>
            </w:pPr>
            <w:r>
              <w:rPr>
                <w:rFonts w:ascii="Calibri" w:cs="Calibri" w:eastAsia="Calibri" w:hAnsi="Calibri"/>
                <w:sz w:val="20"/>
                <w:szCs w:val="20"/>
                <w:color w:val="auto"/>
              </w:rPr>
              <w:t>West Group</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815</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845</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2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526</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753</w:t>
            </w:r>
          </w:p>
        </w:tc>
        <w:tc>
          <w:tcPr>
            <w:tcW w:w="1760" w:type="dxa"/>
            <w:vAlign w:val="bottom"/>
          </w:tcPr>
          <w:p>
            <w:pPr>
              <w:spacing w:after="0"/>
              <w:rPr>
                <w:sz w:val="20"/>
                <w:szCs w:val="20"/>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258</w:t>
            </w:r>
          </w:p>
        </w:tc>
        <w:tc>
          <w:tcPr>
            <w:tcW w:w="1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244</w:t>
            </w:r>
          </w:p>
        </w:tc>
        <w:tc>
          <w:tcPr>
            <w:tcW w:w="1760" w:type="dxa"/>
            <w:vAlign w:val="bottom"/>
            <w:tcBorders>
              <w:bottom w:val="single" w:sz="8" w:color="CFF0FC"/>
            </w:tcBorders>
            <w:shd w:val="clear" w:color="auto" w:fill="CFF0FC"/>
          </w:tcPr>
          <w:p>
            <w:pPr>
              <w:spacing w:after="0"/>
              <w:rPr>
                <w:sz w:val="21"/>
                <w:szCs w:val="2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Less: Interproduct revenues</w:t>
            </w:r>
          </w:p>
        </w:tc>
        <w:tc>
          <w:tcPr>
            <w:tcW w:w="240" w:type="dxa"/>
            <w:vAlign w:val="bottom"/>
          </w:tcPr>
          <w:p>
            <w:pPr>
              <w:spacing w:after="0"/>
              <w:rPr>
                <w:sz w:val="20"/>
                <w:szCs w:val="20"/>
                <w:color w:val="auto"/>
              </w:rPr>
            </w:pPr>
          </w:p>
        </w:tc>
        <w:tc>
          <w:tcPr>
            <w:tcW w:w="136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(94 )</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2"/>
          </w:tcPr>
          <w:p>
            <w:pPr>
              <w:jc w:val="right"/>
              <w:ind w:right="1700"/>
              <w:spacing w:after="0" w:line="234" w:lineRule="exact"/>
              <w:rPr>
                <w:sz w:val="20"/>
                <w:szCs w:val="20"/>
                <w:color w:val="auto"/>
              </w:rPr>
            </w:pPr>
            <w:r>
              <w:rPr>
                <w:rFonts w:ascii="Calibri" w:cs="Calibri" w:eastAsia="Calibri" w:hAnsi="Calibri"/>
                <w:sz w:val="20"/>
                <w:szCs w:val="20"/>
                <w:color w:val="auto"/>
              </w:rPr>
              <w:t>(96 )</w:t>
            </w: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68"/>
        </w:trPr>
        <w:tc>
          <w:tcPr>
            <w:tcW w:w="4720" w:type="dxa"/>
            <w:vAlign w:val="bottom"/>
            <w:tcBorders>
              <w:bottom w:val="single" w:sz="8" w:color="CFF0FC"/>
            </w:tcBorders>
            <w:shd w:val="clear" w:color="auto" w:fill="CFF0FC"/>
          </w:tcPr>
          <w:p>
            <w:pPr>
              <w:ind w:left="300"/>
              <w:spacing w:after="0" w:line="228" w:lineRule="exact"/>
              <w:rPr>
                <w:sz w:val="20"/>
                <w:szCs w:val="20"/>
                <w:color w:val="auto"/>
              </w:rPr>
            </w:pPr>
            <w:r>
              <w:rPr>
                <w:rFonts w:ascii="Calibri" w:cs="Calibri" w:eastAsia="Calibri" w:hAnsi="Calibri"/>
                <w:sz w:val="20"/>
                <w:szCs w:val="20"/>
                <w:color w:val="auto"/>
              </w:rPr>
              <w:t>West Group Total</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1,505</w:t>
            </w:r>
          </w:p>
        </w:tc>
        <w:tc>
          <w:tcPr>
            <w:tcW w:w="18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1,746</w:t>
            </w:r>
          </w:p>
        </w:tc>
        <w:tc>
          <w:tcPr>
            <w:tcW w:w="1760" w:type="dxa"/>
            <w:vAlign w:val="bottom"/>
            <w:tcBorders>
              <w:bottom w:val="single" w:sz="8" w:color="CFF0FC"/>
            </w:tcBorders>
            <w:shd w:val="clear" w:color="auto" w:fill="CFF0FC"/>
          </w:tcPr>
          <w:p>
            <w:pPr>
              <w:spacing w:after="0"/>
              <w:rPr>
                <w:sz w:val="22"/>
                <w:szCs w:val="22"/>
                <w:color w:val="auto"/>
              </w:rPr>
            </w:pPr>
          </w:p>
        </w:tc>
      </w:tr>
      <w:tr>
        <w:trPr>
          <w:trHeight w:val="228"/>
        </w:trPr>
        <w:tc>
          <w:tcPr>
            <w:tcW w:w="47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2,854</w:t>
            </w: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3,011</w:t>
            </w: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5"/>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Total Magnesia Specialtes</w:t>
            </w:r>
          </w:p>
        </w:tc>
        <w:tc>
          <w:tcPr>
            <w:tcW w:w="2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161</w:t>
            </w:r>
          </w:p>
        </w:tc>
        <w:tc>
          <w:tcPr>
            <w:tcW w:w="18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164</w:t>
            </w:r>
          </w:p>
        </w:tc>
        <w:tc>
          <w:tcPr>
            <w:tcW w:w="1760" w:type="dxa"/>
            <w:vAlign w:val="bottom"/>
            <w:tcBorders>
              <w:bottom w:val="single" w:sz="8" w:color="CFF0FC"/>
            </w:tcBorders>
            <w:shd w:val="clear" w:color="auto" w:fill="CFF0FC"/>
          </w:tcPr>
          <w:p>
            <w:pPr>
              <w:spacing w:after="0"/>
              <w:rPr>
                <w:sz w:val="23"/>
                <w:szCs w:val="23"/>
                <w:color w:val="auto"/>
              </w:rPr>
            </w:pPr>
          </w:p>
        </w:tc>
      </w:tr>
      <w:tr>
        <w:trPr>
          <w:trHeight w:val="228"/>
        </w:trPr>
        <w:tc>
          <w:tcPr>
            <w:tcW w:w="4720" w:type="dxa"/>
            <w:vAlign w:val="bottom"/>
            <w:tcBorders>
              <w:top w:val="single" w:sz="8" w:color="CFF0FC"/>
            </w:tcBorders>
          </w:tcPr>
          <w:p>
            <w:pPr>
              <w:ind w:left="20"/>
              <w:spacing w:after="0" w:line="228" w:lineRule="exact"/>
              <w:rPr>
                <w:sz w:val="20"/>
                <w:szCs w:val="20"/>
                <w:color w:val="auto"/>
              </w:rPr>
            </w:pPr>
            <w:r>
              <w:rPr>
                <w:rFonts w:ascii="Calibri" w:cs="Calibri" w:eastAsia="Calibri" w:hAnsi="Calibri"/>
                <w:sz w:val="20"/>
                <w:szCs w:val="20"/>
                <w:color w:val="auto"/>
              </w:rPr>
              <w:t>Total</w:t>
            </w:r>
          </w:p>
        </w:tc>
        <w:tc>
          <w:tcPr>
            <w:tcW w:w="24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98"/>
              </w:rPr>
              <w:t>$</w:t>
            </w:r>
          </w:p>
        </w:tc>
        <w:tc>
          <w:tcPr>
            <w:tcW w:w="1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3,015</w:t>
            </w: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98"/>
              </w:rPr>
              <w:t>$</w:t>
            </w:r>
          </w:p>
        </w:tc>
        <w:tc>
          <w:tcPr>
            <w:tcW w:w="1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3,175</w:t>
            </w:r>
          </w:p>
        </w:tc>
        <w:tc>
          <w:tcPr>
            <w:tcW w:w="1760" w:type="dxa"/>
            <w:vAlign w:val="bottom"/>
            <w:tcBorders>
              <w:top w:val="single" w:sz="8" w:color="CFF0FC"/>
            </w:tcBorders>
          </w:tcPr>
          <w:p>
            <w:pPr>
              <w:spacing w:after="0"/>
              <w:rPr>
                <w:sz w:val="19"/>
                <w:szCs w:val="19"/>
                <w:color w:val="auto"/>
              </w:rPr>
            </w:pPr>
          </w:p>
        </w:tc>
      </w:tr>
      <w:tr>
        <w:trPr>
          <w:trHeight w:val="36"/>
        </w:trPr>
        <w:tc>
          <w:tcPr>
            <w:tcW w:w="4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76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-1602105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-1602105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-556895</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-556895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-205105</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-205105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 w:name="page32"/>
    <w:bookmarkEnd w:id="31"/>
    <w:p>
      <w:pPr>
        <w:jc w:val="center"/>
        <w:ind w:right="1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140"/>
        <w:spacing w:after="0" w:line="238" w:lineRule="auto"/>
        <w:rPr>
          <w:sz w:val="20"/>
          <w:szCs w:val="20"/>
          <w:color w:val="auto"/>
        </w:rPr>
      </w:pPr>
      <w:r>
        <w:rPr>
          <w:rFonts w:ascii="Calibri" w:cs="Calibri" w:eastAsia="Calibri" w:hAnsi="Calibri"/>
          <w:sz w:val="20"/>
          <w:szCs w:val="20"/>
          <w:color w:val="auto"/>
        </w:rPr>
        <w:t>FORM 10-Q</w:t>
      </w:r>
    </w:p>
    <w:p>
      <w:pPr>
        <w:jc w:val="center"/>
        <w:ind w:right="100"/>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00"/>
        <w:spacing w:after="0" w:line="238" w:lineRule="auto"/>
        <w:rPr>
          <w:sz w:val="20"/>
          <w:szCs w:val="20"/>
          <w:color w:val="auto"/>
        </w:rPr>
      </w:pPr>
      <w:r>
        <w:rPr>
          <w:rFonts w:ascii="Calibri" w:cs="Calibri" w:eastAsia="Calibri" w:hAnsi="Calibri"/>
          <w:sz w:val="20"/>
          <w:szCs w:val="20"/>
          <w:color w:val="auto"/>
        </w:rPr>
        <w:t>RESULTS OF OPERATIONS</w:t>
      </w:r>
    </w:p>
    <w:tbl>
      <w:tblPr>
        <w:tblLayout w:type="fixed"/>
        <w:tblInd w:w="0" w:type="dxa"/>
        <w:tblCellMar>
          <w:top w:w="0" w:type="dxa"/>
          <w:left w:w="0" w:type="dxa"/>
          <w:bottom w:w="0" w:type="dxa"/>
          <w:right w:w="0" w:type="dxa"/>
        </w:tblCellMar>
      </w:tblPr>
      <w:tr>
        <w:trPr>
          <w:trHeight w:val="244"/>
        </w:trPr>
        <w:tc>
          <w:tcPr>
            <w:tcW w:w="4720" w:type="dxa"/>
            <w:vAlign w:val="bottom"/>
          </w:tcPr>
          <w:p>
            <w:pPr>
              <w:spacing w:after="0"/>
              <w:rPr>
                <w:sz w:val="21"/>
                <w:szCs w:val="21"/>
                <w:color w:val="auto"/>
              </w:rPr>
            </w:pPr>
          </w:p>
        </w:tc>
        <w:tc>
          <w:tcPr>
            <w:tcW w:w="1840" w:type="dxa"/>
            <w:vAlign w:val="bottom"/>
            <w:gridSpan w:val="4"/>
          </w:tcPr>
          <w:p>
            <w:pPr>
              <w:jc w:val="right"/>
              <w:ind w:right="420"/>
              <w:spacing w:after="0"/>
              <w:rPr>
                <w:sz w:val="20"/>
                <w:szCs w:val="20"/>
                <w:color w:val="auto"/>
              </w:rPr>
            </w:pPr>
            <w:r>
              <w:rPr>
                <w:rFonts w:ascii="Calibri" w:cs="Calibri" w:eastAsia="Calibri" w:hAnsi="Calibri"/>
                <w:sz w:val="20"/>
                <w:szCs w:val="20"/>
                <w:color w:val="auto"/>
              </w:rPr>
              <w:t>(Contnued)</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7"/>
          </w:tcPr>
          <w:p>
            <w:pPr>
              <w:jc w:val="center"/>
              <w:ind w:left="181"/>
              <w:spacing w:after="0"/>
              <w:rPr>
                <w:sz w:val="20"/>
                <w:szCs w:val="20"/>
                <w:color w:val="auto"/>
              </w:rPr>
            </w:pPr>
            <w:r>
              <w:rPr>
                <w:rFonts w:ascii="Calibri" w:cs="Calibri" w:eastAsia="Calibri" w:hAnsi="Calibri"/>
                <w:sz w:val="20"/>
                <w:szCs w:val="20"/>
                <w:color w:val="auto"/>
              </w:rPr>
              <w:t>Six Months Ended June 30,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7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3"/>
          </w:tcPr>
          <w:p>
            <w:pPr>
              <w:jc w:val="right"/>
              <w:ind w:right="40"/>
              <w:spacing w:after="0" w:line="228" w:lineRule="exact"/>
              <w:rPr>
                <w:sz w:val="20"/>
                <w:szCs w:val="20"/>
                <w:color w:val="auto"/>
              </w:rPr>
            </w:pPr>
            <w:r>
              <w:rPr>
                <w:rFonts w:ascii="Calibri" w:cs="Calibri" w:eastAsia="Calibri" w:hAnsi="Calibri"/>
                <w:sz w:val="20"/>
                <w:szCs w:val="20"/>
                <w:color w:val="auto"/>
              </w:rPr>
              <w:t>2024</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gridSpan w:val="4"/>
          </w:tcPr>
          <w:p>
            <w:pPr>
              <w:jc w:val="right"/>
              <w:ind w:right="20"/>
              <w:spacing w:after="0" w:line="228" w:lineRule="exact"/>
              <w:rPr>
                <w:sz w:val="20"/>
                <w:szCs w:val="20"/>
                <w:color w:val="auto"/>
              </w:rPr>
            </w:pPr>
            <w:r>
              <w:rPr>
                <w:rFonts w:ascii="Calibri" w:cs="Calibri" w:eastAsia="Calibri" w:hAnsi="Calibri"/>
                <w:sz w:val="20"/>
                <w:szCs w:val="20"/>
                <w:color w:val="auto"/>
              </w:rPr>
              <w:t>2023</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19"/>
                <w:szCs w:val="19"/>
                <w:color w:val="auto"/>
              </w:rPr>
            </w:pPr>
          </w:p>
        </w:tc>
        <w:tc>
          <w:tcPr>
            <w:tcW w:w="10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Amount</w:t>
            </w:r>
          </w:p>
        </w:tc>
        <w:tc>
          <w:tcPr>
            <w:tcW w:w="3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rPr>
              <w:t>% of Revenues</w:t>
            </w: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200"/>
              <w:spacing w:after="0" w:line="228" w:lineRule="exact"/>
              <w:rPr>
                <w:sz w:val="20"/>
                <w:szCs w:val="20"/>
                <w:color w:val="auto"/>
              </w:rPr>
            </w:pPr>
            <w:r>
              <w:rPr>
                <w:rFonts w:ascii="Calibri" w:cs="Calibri" w:eastAsia="Calibri" w:hAnsi="Calibri"/>
                <w:sz w:val="20"/>
                <w:szCs w:val="20"/>
                <w:color w:val="auto"/>
              </w:rPr>
              <w:t>Amount</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spacing w:after="0" w:line="228" w:lineRule="exact"/>
              <w:rPr>
                <w:sz w:val="20"/>
                <w:szCs w:val="20"/>
                <w:color w:val="auto"/>
              </w:rPr>
            </w:pPr>
            <w:r>
              <w:rPr>
                <w:rFonts w:ascii="Calibri" w:cs="Calibri" w:eastAsia="Calibri" w:hAnsi="Calibri"/>
                <w:sz w:val="20"/>
                <w:szCs w:val="20"/>
                <w:color w:val="auto"/>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gridSpan w:val="6"/>
          </w:tcPr>
          <w:p>
            <w:pPr>
              <w:jc w:val="center"/>
              <w:ind w:right="18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20" w:type="dxa"/>
            <w:vAlign w:val="bottom"/>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4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Building Materials business:</w:t>
            </w:r>
          </w:p>
        </w:tc>
        <w:tc>
          <w:tcPr>
            <w:tcW w:w="10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Aggregates</w:t>
            </w:r>
          </w:p>
        </w:tc>
        <w:tc>
          <w:tcPr>
            <w:tcW w:w="1060" w:type="dxa"/>
            <w:vAlign w:val="bottom"/>
          </w:tcPr>
          <w:p>
            <w:pPr>
              <w:jc w:val="right"/>
              <w:ind w:right="841"/>
              <w:spacing w:after="0" w:line="234" w:lineRule="exact"/>
              <w:rPr>
                <w:sz w:val="20"/>
                <w:szCs w:val="20"/>
                <w:color w:val="auto"/>
              </w:rPr>
            </w:pPr>
            <w:r>
              <w:rPr>
                <w:rFonts w:ascii="Calibri" w:cs="Calibri" w:eastAsia="Calibri" w:hAnsi="Calibri"/>
                <w:sz w:val="20"/>
                <w:szCs w:val="20"/>
                <w:color w:val="auto"/>
                <w:w w:val="98"/>
              </w:rPr>
              <w:t>$</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632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8"/>
              </w:rPr>
              <w:t>30%</w:t>
            </w:r>
          </w:p>
        </w:tc>
        <w:tc>
          <w:tcPr>
            <w:tcW w:w="38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609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FF0FC"/>
            </w:tcBorders>
            <w:shd w:val="clear" w:color="auto" w:fill="CFF0FC"/>
          </w:tcPr>
          <w:p>
            <w:pPr>
              <w:ind w:left="480"/>
              <w:spacing w:after="0" w:line="234" w:lineRule="exact"/>
              <w:rPr>
                <w:sz w:val="20"/>
                <w:szCs w:val="20"/>
                <w:color w:val="auto"/>
              </w:rPr>
            </w:pPr>
            <w:r>
              <w:rPr>
                <w:rFonts w:ascii="Calibri" w:cs="Calibri" w:eastAsia="Calibri" w:hAnsi="Calibri"/>
                <w:sz w:val="20"/>
                <w:szCs w:val="20"/>
                <w:color w:val="auto"/>
              </w:rPr>
              <w:t>Cement and ready mixed concrete</w:t>
            </w:r>
          </w:p>
        </w:tc>
        <w:tc>
          <w:tcPr>
            <w:tcW w:w="10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20%</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187</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80"/>
              <w:spacing w:after="0" w:line="234" w:lineRule="exact"/>
              <w:rPr>
                <w:sz w:val="20"/>
                <w:szCs w:val="20"/>
                <w:color w:val="auto"/>
              </w:rPr>
            </w:pPr>
            <w:r>
              <w:rPr>
                <w:rFonts w:ascii="Calibri" w:cs="Calibri" w:eastAsia="Calibri" w:hAnsi="Calibri"/>
                <w:sz w:val="20"/>
                <w:szCs w:val="20"/>
                <w:color w:val="auto"/>
              </w:rPr>
              <w:t>Asphalt and paving services</w:t>
            </w:r>
          </w:p>
        </w:tc>
        <w:tc>
          <w:tcPr>
            <w:tcW w:w="106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7"/>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16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7"/>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720" w:type="dxa"/>
            <w:vAlign w:val="bottom"/>
            <w:tcBorders>
              <w:bottom w:val="single" w:sz="8" w:color="CFF0FC"/>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460" w:type="dxa"/>
            <w:vAlign w:val="bottom"/>
            <w:tcBorders>
              <w:bottom w:val="single" w:sz="8" w:color="CFF0FC"/>
            </w:tcBorders>
          </w:tcPr>
          <w:p>
            <w:pPr>
              <w:spacing w:after="0"/>
              <w:rPr>
                <w:sz w:val="3"/>
                <w:szCs w:val="3"/>
                <w:color w:val="auto"/>
              </w:rPr>
            </w:pPr>
          </w:p>
        </w:tc>
        <w:tc>
          <w:tcPr>
            <w:tcW w:w="84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4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120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20"/>
              <w:spacing w:after="0" w:line="214" w:lineRule="exact"/>
              <w:rPr>
                <w:sz w:val="20"/>
                <w:szCs w:val="20"/>
                <w:color w:val="auto"/>
              </w:rPr>
            </w:pPr>
            <w:r>
              <w:rPr>
                <w:rFonts w:ascii="Calibri" w:cs="Calibri" w:eastAsia="Calibri" w:hAnsi="Calibri"/>
                <w:sz w:val="20"/>
                <w:szCs w:val="20"/>
                <w:color w:val="auto"/>
              </w:rPr>
              <w:t>Total Building Materials business</w:t>
            </w:r>
          </w:p>
        </w:tc>
        <w:tc>
          <w:tcPr>
            <w:tcW w:w="10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750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gridSpan w:val="2"/>
            <w:shd w:val="clear" w:color="auto" w:fill="CFF0FC"/>
          </w:tcPr>
          <w:p>
            <w:pPr>
              <w:jc w:val="center"/>
              <w:spacing w:after="0" w:line="217" w:lineRule="exact"/>
              <w:rPr>
                <w:sz w:val="20"/>
                <w:szCs w:val="20"/>
                <w:color w:val="auto"/>
              </w:rPr>
            </w:pPr>
            <w:r>
              <w:rPr>
                <w:rFonts w:ascii="Calibri" w:cs="Calibri" w:eastAsia="Calibri" w:hAnsi="Calibri"/>
                <w:sz w:val="20"/>
                <w:szCs w:val="20"/>
                <w:color w:val="auto"/>
                <w:w w:val="98"/>
              </w:rPr>
              <w:t>26%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812</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center"/>
              <w:spacing w:after="0" w:line="217" w:lineRule="exact"/>
              <w:rPr>
                <w:sz w:val="20"/>
                <w:szCs w:val="20"/>
                <w:color w:val="auto"/>
              </w:rPr>
            </w:pPr>
            <w:r>
              <w:rPr>
                <w:rFonts w:ascii="Calibri" w:cs="Calibri" w:eastAsia="Calibri" w:hAnsi="Calibri"/>
                <w:sz w:val="20"/>
                <w:szCs w:val="20"/>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line="234" w:lineRule="exact"/>
              <w:rPr>
                <w:sz w:val="20"/>
                <w:szCs w:val="20"/>
                <w:color w:val="auto"/>
              </w:rPr>
            </w:pPr>
            <w:r>
              <w:rPr>
                <w:rFonts w:ascii="Calibri" w:cs="Calibri" w:eastAsia="Calibri" w:hAnsi="Calibri"/>
                <w:sz w:val="20"/>
                <w:szCs w:val="20"/>
                <w:color w:val="auto"/>
              </w:rPr>
              <w:t>Magnesia Specialtes</w:t>
            </w:r>
          </w:p>
        </w:tc>
        <w:tc>
          <w:tcPr>
            <w:tcW w:w="106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56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8"/>
              </w:rPr>
              <w:t>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53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7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Corporate</w:t>
            </w:r>
          </w:p>
        </w:tc>
        <w:tc>
          <w:tcPr>
            <w:tcW w:w="10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gridSpan w:val="2"/>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(16 )</w:t>
            </w:r>
          </w:p>
        </w:tc>
        <w:tc>
          <w:tcPr>
            <w:tcW w:w="14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gridSpan w:val="2"/>
            <w:shd w:val="clear" w:color="auto" w:fill="CFF0FC"/>
          </w:tcPr>
          <w:p>
            <w:pPr>
              <w:jc w:val="right"/>
              <w:ind w:right="140"/>
              <w:spacing w:after="0" w:line="234" w:lineRule="exact"/>
              <w:rPr>
                <w:sz w:val="20"/>
                <w:szCs w:val="20"/>
                <w:color w:val="auto"/>
              </w:rPr>
            </w:pPr>
            <w:r>
              <w:rPr>
                <w:rFonts w:ascii="Calibri" w:cs="Calibri" w:eastAsia="Calibri" w:hAnsi="Calibri"/>
                <w:sz w:val="20"/>
                <w:szCs w:val="20"/>
                <w:color w:val="auto"/>
              </w:rPr>
              <w:t>(2 )</w:t>
            </w:r>
          </w:p>
        </w:tc>
        <w:tc>
          <w:tcPr>
            <w:tcW w:w="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720" w:type="dxa"/>
            <w:vAlign w:val="bottom"/>
            <w:tcBorders>
              <w:top w:val="single" w:sz="8" w:color="CFF0FC"/>
            </w:tcBorders>
          </w:tcPr>
          <w:p>
            <w:pPr>
              <w:ind w:left="20"/>
              <w:spacing w:after="0" w:line="234" w:lineRule="exact"/>
              <w:rPr>
                <w:sz w:val="20"/>
                <w:szCs w:val="20"/>
                <w:color w:val="auto"/>
              </w:rPr>
            </w:pPr>
            <w:r>
              <w:rPr>
                <w:rFonts w:ascii="Calibri" w:cs="Calibri" w:eastAsia="Calibri" w:hAnsi="Calibri"/>
                <w:sz w:val="20"/>
                <w:szCs w:val="20"/>
                <w:color w:val="auto"/>
              </w:rPr>
              <w:t>Total</w:t>
            </w:r>
          </w:p>
        </w:tc>
        <w:tc>
          <w:tcPr>
            <w:tcW w:w="1060" w:type="dxa"/>
            <w:vAlign w:val="bottom"/>
            <w:tcBorders>
              <w:top w:val="single" w:sz="8" w:color="auto"/>
              <w:bottom w:val="single" w:sz="8" w:color="auto"/>
            </w:tcBorders>
          </w:tcPr>
          <w:p>
            <w:pPr>
              <w:jc w:val="right"/>
              <w:ind w:right="841"/>
              <w:spacing w:after="0" w:line="234" w:lineRule="exact"/>
              <w:rPr>
                <w:sz w:val="20"/>
                <w:szCs w:val="20"/>
                <w:color w:val="auto"/>
              </w:rPr>
            </w:pPr>
            <w:r>
              <w:rPr>
                <w:rFonts w:ascii="Calibri" w:cs="Calibri" w:eastAsia="Calibri" w:hAnsi="Calibri"/>
                <w:sz w:val="20"/>
                <w:szCs w:val="20"/>
                <w:color w:val="auto"/>
                <w:w w:val="98"/>
              </w:rPr>
              <w:t>$</w:t>
            </w:r>
          </w:p>
        </w:tc>
        <w:tc>
          <w:tcPr>
            <w:tcW w:w="3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790</w:t>
            </w:r>
          </w:p>
        </w:tc>
        <w:tc>
          <w:tcPr>
            <w:tcW w:w="28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300" w:type="dxa"/>
            <w:vAlign w:val="bottom"/>
            <w:tcBorders>
              <w:top w:val="single" w:sz="8" w:color="CFF0FC"/>
            </w:tcBorders>
            <w:gridSpan w:val="2"/>
          </w:tcPr>
          <w:p>
            <w:pPr>
              <w:jc w:val="center"/>
              <w:spacing w:after="0"/>
              <w:rPr>
                <w:sz w:val="20"/>
                <w:szCs w:val="20"/>
                <w:color w:val="auto"/>
              </w:rPr>
            </w:pPr>
            <w:r>
              <w:rPr>
                <w:rFonts w:ascii="Calibri" w:cs="Calibri" w:eastAsia="Calibri" w:hAnsi="Calibri"/>
                <w:sz w:val="20"/>
                <w:szCs w:val="20"/>
                <w:color w:val="auto"/>
                <w:w w:val="98"/>
              </w:rPr>
              <w:t>26%</w:t>
            </w:r>
          </w:p>
        </w:tc>
        <w:tc>
          <w:tcPr>
            <w:tcW w:w="220" w:type="dxa"/>
            <w:vAlign w:val="bottom"/>
            <w:tcBorders>
              <w:top w:val="single" w:sz="8" w:color="CFF0FC"/>
            </w:tcBorders>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863</w:t>
            </w:r>
          </w:p>
        </w:tc>
        <w:tc>
          <w:tcPr>
            <w:tcW w:w="200" w:type="dxa"/>
            <w:vAlign w:val="bottom"/>
            <w:tcBorders>
              <w:top w:val="single" w:sz="8" w:color="CFF0FC"/>
            </w:tcBorders>
          </w:tcPr>
          <w:p>
            <w:pPr>
              <w:spacing w:after="0"/>
              <w:rPr>
                <w:sz w:val="22"/>
                <w:szCs w:val="22"/>
                <w:color w:val="auto"/>
              </w:rPr>
            </w:pPr>
          </w:p>
        </w:tc>
        <w:tc>
          <w:tcPr>
            <w:tcW w:w="40" w:type="dxa"/>
            <w:vAlign w:val="bottom"/>
            <w:tcBorders>
              <w:top w:val="single" w:sz="8" w:color="CFF0FC"/>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260" w:type="dxa"/>
            <w:vAlign w:val="bottom"/>
            <w:tcBorders>
              <w:top w:val="single" w:sz="8" w:color="CFF0FC"/>
            </w:tcBorders>
            <w:gridSpan w:val="2"/>
          </w:tcPr>
          <w:p>
            <w:pPr>
              <w:jc w:val="center"/>
              <w:spacing w:after="0"/>
              <w:rPr>
                <w:sz w:val="20"/>
                <w:szCs w:val="20"/>
                <w:color w:val="auto"/>
              </w:rPr>
            </w:pPr>
            <w:r>
              <w:rPr>
                <w:rFonts w:ascii="Calibri" w:cs="Calibri" w:eastAsia="Calibri" w:hAnsi="Calibri"/>
                <w:sz w:val="20"/>
                <w:szCs w:val="20"/>
                <w:color w:val="auto"/>
              </w:rPr>
              <w:t>27%</w:t>
            </w:r>
          </w:p>
        </w:tc>
        <w:tc>
          <w:tcPr>
            <w:tcW w:w="100" w:type="dxa"/>
            <w:vAlign w:val="bottom"/>
            <w:tcBorders>
              <w:top w:val="single" w:sz="8" w:color="CFF0F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Calibri" w:cs="Calibri" w:eastAsia="Calibri" w:hAnsi="Calibri"/>
                <w:sz w:val="20"/>
                <w:szCs w:val="20"/>
                <w:i w:val="1"/>
                <w:iCs w:val="1"/>
                <w:color w:val="auto"/>
              </w:rPr>
              <w:t>Building Materials Business</w:t>
            </w: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60" w:type="dxa"/>
            <w:vAlign w:val="bottom"/>
            <w:gridSpan w:val="7"/>
          </w:tcPr>
          <w:p>
            <w:pPr>
              <w:spacing w:after="0"/>
              <w:rPr>
                <w:sz w:val="20"/>
                <w:szCs w:val="20"/>
                <w:color w:val="auto"/>
              </w:rPr>
            </w:pPr>
            <w:r>
              <w:rPr>
                <w:rFonts w:ascii="Calibri" w:cs="Calibri" w:eastAsia="Calibri" w:hAnsi="Calibri"/>
                <w:sz w:val="20"/>
                <w:szCs w:val="20"/>
                <w:color w:val="auto"/>
              </w:rPr>
              <w:t>The following table presents shipments data by product line for the Building Materials business: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12"/>
          </w:tcPr>
          <w:p>
            <w:pPr>
              <w:jc w:val="right"/>
              <w:ind w:right="1160"/>
              <w:spacing w:after="0"/>
              <w:rPr>
                <w:sz w:val="20"/>
                <w:szCs w:val="20"/>
                <w:color w:val="auto"/>
              </w:rPr>
            </w:pPr>
            <w:r>
              <w:rPr>
                <w:rFonts w:ascii="Calibri" w:cs="Calibri" w:eastAsia="Calibri" w:hAnsi="Calibri"/>
                <w:sz w:val="20"/>
                <w:szCs w:val="20"/>
                <w:color w:val="auto"/>
              </w:rPr>
              <w:t>Six Months Ended June 30,</w:t>
            </w:r>
          </w:p>
        </w:tc>
        <w:tc>
          <w:tcPr>
            <w:tcW w:w="0" w:type="dxa"/>
            <w:vAlign w:val="bottom"/>
          </w:tcPr>
          <w:p>
            <w:pPr>
              <w:spacing w:after="0"/>
              <w:rPr>
                <w:sz w:val="1"/>
                <w:szCs w:val="1"/>
                <w:color w:val="auto"/>
              </w:rPr>
            </w:pPr>
          </w:p>
        </w:tc>
      </w:tr>
      <w:tr>
        <w:trPr>
          <w:trHeight w:val="47"/>
        </w:trPr>
        <w:tc>
          <w:tcPr>
            <w:tcW w:w="4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38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2024</w:t>
            </w:r>
          </w:p>
        </w:tc>
        <w:tc>
          <w:tcPr>
            <w:tcW w:w="1620" w:type="dxa"/>
            <w:vAlign w:val="bottom"/>
            <w:tcBorders>
              <w:top w:val="single" w:sz="8" w:color="auto"/>
            </w:tcBorders>
            <w:gridSpan w:val="6"/>
          </w:tcPr>
          <w:p>
            <w:pPr>
              <w:jc w:val="right"/>
              <w:ind w:right="81"/>
              <w:spacing w:after="0" w:line="228" w:lineRule="exact"/>
              <w:rPr>
                <w:sz w:val="20"/>
                <w:szCs w:val="20"/>
                <w:color w:val="auto"/>
              </w:rPr>
            </w:pPr>
            <w:r>
              <w:rPr>
                <w:rFonts w:ascii="Calibri" w:cs="Calibri" w:eastAsia="Calibri" w:hAnsi="Calibri"/>
                <w:sz w:val="20"/>
                <w:szCs w:val="20"/>
                <w:color w:val="auto"/>
              </w:rPr>
              <w:t>2023</w:t>
            </w: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01"/>
              <w:spacing w:after="0" w:line="228" w:lineRule="exact"/>
              <w:rPr>
                <w:sz w:val="20"/>
                <w:szCs w:val="20"/>
                <w:color w:val="auto"/>
              </w:rPr>
            </w:pPr>
            <w:r>
              <w:rPr>
                <w:rFonts w:ascii="Calibri" w:cs="Calibri" w:eastAsia="Calibri" w:hAnsi="Calibri"/>
                <w:sz w:val="20"/>
                <w:szCs w:val="20"/>
                <w:color w:val="auto"/>
              </w:rPr>
              <w:t>% Change</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3"/>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center"/>
              <w:ind w:right="41"/>
              <w:spacing w:after="0" w:line="228" w:lineRule="exact"/>
              <w:rPr>
                <w:sz w:val="20"/>
                <w:szCs w:val="20"/>
                <w:color w:val="auto"/>
              </w:rPr>
            </w:pPr>
            <w:r>
              <w:rPr>
                <w:rFonts w:ascii="Calibri" w:cs="Calibri" w:eastAsia="Calibri" w:hAnsi="Calibri"/>
                <w:sz w:val="20"/>
                <w:szCs w:val="20"/>
                <w:i w:val="1"/>
                <w:iCs w:val="1"/>
                <w:color w:val="auto"/>
                <w:w w:val="93"/>
              </w:rPr>
              <w:t>(In</w:t>
            </w:r>
          </w:p>
        </w:tc>
        <w:tc>
          <w:tcPr>
            <w:tcW w:w="880" w:type="dxa"/>
            <w:vAlign w:val="bottom"/>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20" w:type="dxa"/>
            <w:vAlign w:val="bottom"/>
          </w:tcPr>
          <w:p>
            <w:pPr>
              <w:ind w:left="20"/>
              <w:spacing w:after="0"/>
              <w:rPr>
                <w:sz w:val="20"/>
                <w:szCs w:val="20"/>
                <w:color w:val="auto"/>
              </w:rPr>
            </w:pPr>
            <w:r>
              <w:rPr>
                <w:rFonts w:ascii="Calibri" w:cs="Calibri" w:eastAsia="Calibri" w:hAnsi="Calibri"/>
                <w:sz w:val="20"/>
                <w:szCs w:val="20"/>
                <w:color w:val="auto"/>
              </w:rPr>
              <w:t>Aggregates tons</w:t>
            </w: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auto"/>
                <w:w w:val="95"/>
              </w:rPr>
              <w:t>89.6</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Calibri" w:cs="Calibri" w:eastAsia="Calibri" w:hAnsi="Calibri"/>
                <w:sz w:val="20"/>
                <w:szCs w:val="20"/>
                <w:color w:val="auto"/>
              </w:rPr>
              <w:t>96.3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4"/>
          </w:tcPr>
          <w:p>
            <w:pPr>
              <w:jc w:val="right"/>
              <w:spacing w:after="0"/>
              <w:rPr>
                <w:sz w:val="20"/>
                <w:szCs w:val="20"/>
                <w:color w:val="auto"/>
              </w:rPr>
            </w:pPr>
            <w:r>
              <w:rPr>
                <w:rFonts w:ascii="Calibri" w:cs="Calibri" w:eastAsia="Calibri" w:hAnsi="Calibri"/>
                <w:sz w:val="20"/>
                <w:szCs w:val="20"/>
                <w:color w:val="auto"/>
              </w:rPr>
              <w:t>(6.9 )%</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rPr>
                <w:sz w:val="20"/>
                <w:szCs w:val="20"/>
                <w:color w:val="auto"/>
              </w:rPr>
            </w:pPr>
            <w:r>
              <w:rPr>
                <w:rFonts w:ascii="Calibri" w:cs="Calibri" w:eastAsia="Calibri" w:hAnsi="Calibri"/>
                <w:sz w:val="20"/>
                <w:szCs w:val="20"/>
                <w:color w:val="auto"/>
              </w:rPr>
              <w:t>Cement tons</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auto"/>
              </w:rPr>
              <w:t>1.1</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Calibri" w:cs="Calibri" w:eastAsia="Calibri" w:hAnsi="Calibri"/>
                <w:sz w:val="20"/>
                <w:szCs w:val="20"/>
                <w:color w:val="auto"/>
              </w:rPr>
              <w:t>2.1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4"/>
          </w:tcPr>
          <w:p>
            <w:pPr>
              <w:jc w:val="right"/>
              <w:spacing w:after="0"/>
              <w:rPr>
                <w:sz w:val="20"/>
                <w:szCs w:val="20"/>
                <w:color w:val="auto"/>
              </w:rPr>
            </w:pPr>
            <w:r>
              <w:rPr>
                <w:rFonts w:ascii="Calibri" w:cs="Calibri" w:eastAsia="Calibri" w:hAnsi="Calibri"/>
                <w:sz w:val="20"/>
                <w:szCs w:val="20"/>
                <w:color w:val="auto"/>
              </w:rPr>
              <w:t>(45.1 )%</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rPr>
                <w:sz w:val="20"/>
                <w:szCs w:val="20"/>
                <w:color w:val="auto"/>
              </w:rPr>
            </w:pPr>
            <w:r>
              <w:rPr>
                <w:rFonts w:ascii="Calibri" w:cs="Calibri" w:eastAsia="Calibri" w:hAnsi="Calibri"/>
                <w:sz w:val="20"/>
                <w:szCs w:val="20"/>
                <w:color w:val="auto"/>
              </w:rPr>
              <w:t>Ready Mixed Concrete cubic yards</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auto"/>
              </w:rPr>
              <w:t>2.4</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Calibri" w:cs="Calibri" w:eastAsia="Calibri" w:hAnsi="Calibri"/>
                <w:sz w:val="20"/>
                <w:szCs w:val="20"/>
                <w:color w:val="auto"/>
              </w:rPr>
              <w:t>3.3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4"/>
          </w:tcPr>
          <w:p>
            <w:pPr>
              <w:jc w:val="right"/>
              <w:spacing w:after="0"/>
              <w:rPr>
                <w:sz w:val="20"/>
                <w:szCs w:val="20"/>
                <w:color w:val="auto"/>
              </w:rPr>
            </w:pPr>
            <w:r>
              <w:rPr>
                <w:rFonts w:ascii="Calibri" w:cs="Calibri" w:eastAsia="Calibri" w:hAnsi="Calibri"/>
                <w:sz w:val="20"/>
                <w:szCs w:val="20"/>
                <w:color w:val="auto"/>
              </w:rPr>
              <w:t>(27.2 )%</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rPr>
                <w:sz w:val="20"/>
                <w:szCs w:val="20"/>
                <w:color w:val="auto"/>
              </w:rPr>
            </w:pPr>
            <w:r>
              <w:rPr>
                <w:rFonts w:ascii="Calibri" w:cs="Calibri" w:eastAsia="Calibri" w:hAnsi="Calibri"/>
                <w:sz w:val="20"/>
                <w:szCs w:val="20"/>
                <w:color w:val="auto"/>
              </w:rPr>
              <w:t>Asphalt tons</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auto"/>
              </w:rPr>
              <w:t>3.0</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Calibri" w:cs="Calibri" w:eastAsia="Calibri" w:hAnsi="Calibri"/>
                <w:sz w:val="20"/>
                <w:szCs w:val="20"/>
                <w:color w:val="auto"/>
              </w:rPr>
              <w:t>3.1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4"/>
          </w:tcPr>
          <w:p>
            <w:pPr>
              <w:jc w:val="right"/>
              <w:spacing w:after="0"/>
              <w:rPr>
                <w:sz w:val="20"/>
                <w:szCs w:val="20"/>
                <w:color w:val="auto"/>
              </w:rPr>
            </w:pPr>
            <w:r>
              <w:rPr>
                <w:rFonts w:ascii="Calibri" w:cs="Calibri" w:eastAsia="Calibri" w:hAnsi="Calibri"/>
                <w:sz w:val="20"/>
                <w:szCs w:val="20"/>
                <w:color w:val="auto"/>
              </w:rPr>
              <w:t>(3.5 )%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-2567305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-2567305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-2044065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-2044065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-655320</wp:posOffset>
            </wp:positionV>
            <wp:extent cx="7132320"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1" w:lineRule="exact"/>
        <w:rPr>
          <w:sz w:val="20"/>
          <w:szCs w:val="20"/>
          <w:color w:val="auto"/>
        </w:rPr>
      </w:pPr>
    </w:p>
    <w:p>
      <w:pPr>
        <w:jc w:val="both"/>
        <w:ind w:right="100"/>
        <w:spacing w:after="0" w:line="237" w:lineRule="auto"/>
        <w:rPr>
          <w:sz w:val="20"/>
          <w:szCs w:val="20"/>
          <w:color w:val="auto"/>
        </w:rPr>
      </w:pPr>
      <w:r>
        <w:rPr>
          <w:rFonts w:ascii="Calibri" w:cs="Calibri" w:eastAsia="Calibri" w:hAnsi="Calibri"/>
          <w:sz w:val="20"/>
          <w:szCs w:val="20"/>
          <w:color w:val="auto"/>
        </w:rPr>
        <w:t>Year-to-date aggregates shipments decreased 6.9%, due largely to a more weather-impacted frst half of the year in Texas and the Company's East and Central Divisions, as well as sofening demand in warehouse, ofce and retail constructon, which were partally ofset by shipments from acquired operatons. Aggregates average selling price of $21.87 increased 11.8%, or 12.5% on an organic mix-adjusted basis, due to strong realizaton of mid-year 2023 and January 1, 2024 pricing actons. Aggregates gross proft improved 4% to $632 million, as pricing growth more than ofset lower shipments and the $20 million Inventory Markup charge associated with the BWI Southeast acquisiton.</w:t>
      </w:r>
    </w:p>
    <w:p>
      <w:pPr>
        <w:spacing w:after="0" w:line="120" w:lineRule="exact"/>
        <w:rPr>
          <w:sz w:val="20"/>
          <w:szCs w:val="20"/>
          <w:color w:val="auto"/>
        </w:rPr>
      </w:pPr>
    </w:p>
    <w:p>
      <w:pPr>
        <w:jc w:val="both"/>
        <w:ind w:right="120"/>
        <w:spacing w:after="0" w:line="234" w:lineRule="auto"/>
        <w:rPr>
          <w:sz w:val="20"/>
          <w:szCs w:val="20"/>
          <w:color w:val="auto"/>
        </w:rPr>
      </w:pPr>
      <w:r>
        <w:rPr>
          <w:rFonts w:ascii="Calibri" w:cs="Calibri" w:eastAsia="Calibri" w:hAnsi="Calibri"/>
          <w:sz w:val="20"/>
          <w:szCs w:val="20"/>
          <w:color w:val="auto"/>
        </w:rPr>
        <w:t>Cement and ready mixed concrete revenues decreased 30% to $526 million and gross proft decreased 45% to $103 million, compared with the prior-year period, primarily atributable to the Divestture, as well as extremely wet weather in Texas.</w:t>
      </w:r>
    </w:p>
    <w:p>
      <w:pPr>
        <w:spacing w:after="0" w:line="118" w:lineRule="exact"/>
        <w:rPr>
          <w:sz w:val="20"/>
          <w:szCs w:val="20"/>
          <w:color w:val="auto"/>
        </w:rPr>
      </w:pPr>
    </w:p>
    <w:p>
      <w:pPr>
        <w:jc w:val="both"/>
        <w:ind w:right="120"/>
        <w:spacing w:after="0" w:line="234" w:lineRule="auto"/>
        <w:rPr>
          <w:sz w:val="20"/>
          <w:szCs w:val="20"/>
          <w:color w:val="auto"/>
        </w:rPr>
      </w:pPr>
      <w:r>
        <w:rPr>
          <w:rFonts w:ascii="Calibri" w:cs="Calibri" w:eastAsia="Calibri" w:hAnsi="Calibri"/>
          <w:sz w:val="20"/>
          <w:szCs w:val="20"/>
          <w:color w:val="auto"/>
        </w:rPr>
        <w:t>Asphalt and paving revenues increased 2% to $303 million while gross proft decreased 4% to $15 million, compared with the prior-year period, as lower asphalt shipments and higher repair costs more than ofset pricing growth.</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84" w:lineRule="exact"/>
        <w:rPr>
          <w:sz w:val="20"/>
          <w:szCs w:val="20"/>
          <w:color w:val="auto"/>
        </w:rPr>
      </w:pPr>
    </w:p>
    <w:p>
      <w:pPr>
        <w:jc w:val="both"/>
        <w:ind w:right="100"/>
        <w:spacing w:after="0" w:line="236" w:lineRule="auto"/>
        <w:rPr>
          <w:sz w:val="20"/>
          <w:szCs w:val="20"/>
          <w:color w:val="auto"/>
        </w:rPr>
      </w:pPr>
      <w:r>
        <w:rPr>
          <w:rFonts w:ascii="Calibri" w:cs="Calibri" w:eastAsia="Calibri" w:hAnsi="Calibri"/>
          <w:sz w:val="20"/>
          <w:szCs w:val="20"/>
          <w:color w:val="auto"/>
        </w:rPr>
        <w:t>While aggregates shipments to the infrastructure market decreased 4%, due largely to inclement weather, the Company expects public constructon actvity to grow, supported by federal and state funding increases. The infrastructure market accounted for 35% of year-to-date aggregates shipments.</w:t>
      </w:r>
    </w:p>
    <w:p>
      <w:pPr>
        <w:jc w:val="center"/>
        <w:ind w:right="100"/>
        <w:spacing w:after="0"/>
        <w:rPr>
          <w:sz w:val="20"/>
          <w:szCs w:val="20"/>
          <w:color w:val="auto"/>
        </w:rPr>
      </w:pPr>
      <w:r>
        <w:rPr>
          <w:rFonts w:ascii="Calibri" w:cs="Calibri" w:eastAsia="Calibri" w:hAnsi="Calibri"/>
          <w:sz w:val="20"/>
          <w:szCs w:val="20"/>
          <w:color w:val="auto"/>
        </w:rPr>
        <w:t>Page 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53" w:right="239" w:bottom="1440" w:gutter="0" w:footer="0" w:header="0"/>
        </w:sectPr>
      </w:pPr>
    </w:p>
    <w:bookmarkStart w:id="32" w:name="page33"/>
    <w:bookmarkEnd w:id="3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Aggregates shipments to the nonresidental market decreased 9%, driven by inclement weather in many of the Company's markets and declining warehouse constructon. The nonresidental market represented 36% of year-to-date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Aggregates shipments to the residental market decreased 9%, resultng from inclement weather and general sofening in single-family housing resultng from afordability concerns. The residental market accounted for 24% of year-to-date aggregates shipments.</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ChemRock/Rail market accounted for the remaining 5% of year-to-date aggregates shipments. Volumes to this end use market decreased 3% from the prior-year period.</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Magnesia Specialtes revenues decreased 2% to $161 million for the six months ended June 30, 2024, due to contnued headwinds in chemicals end markets. However, gross proft increased 6% to $56 million, as higher pricing combined with lower energy costs more than ofset shipment declines.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Consolidated SG&amp;A for the six months ended June 30 of 2024 was 7.8% of revenues compared with 6.8% in the prior-year period refectng lower revenues.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six months ended June 30, consolidated other operatng income, net, was $1.3 billion in 2024 and $13 million in 2023. The 2024 amount included a $1.3 billion pretax gain on the Divestture, which was partally ofset by a $50 million pretax, noncash asset and portolio ratonalizaton charge (the Ratonalizaton Charge; see Note 13 to the consolidated fnancial statements).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Earnings from operatons for the six months ended June 30 were $1.8 billion in 2024 compared with $659 million in 2023. The 2024 amount included a $1.3 billion pretax gain on the Divestture.</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For the six months ended June 30, other nonoperatng income, net, was $46 million and $35 million in 2024 and 2023, respectvely, with the increase resultng from higher interest income.</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the six months ended June 30, 2024 and 2023, the efectve income tax rates for contnuing operatons were 25.0% and 20.9%, respectvely. The higher 2024 efectve income tax rate versus 2023 was driven by the Divestture, which refected the write-of of certain nondeductble goodwill and was treated as a discrete tax event.</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Net earnings from contnuing operatons atributable to Martn Marieta were $1.3 billion, or $21.66 per diluted share, in 2024 compared with $481 million, or $7.76 per diluted share, in 2023. 2024 included an afer-tax gain of $976 million, or $15.79 per diluted share, on the Divestture, an afer-tax loss of $37 million, or $0.61 per diluted share, for the Ratonalizaton Charge, an afer-tax charge of $15 million, or $0.24 per diluted share, for the Inventory Markup and afer-tax acquisiton, divestture and integraton expenses of $29 million, or $0.47 per diluted share, related to the Blue Water Industries LLC acquisiton and the Divestture.</w:t>
      </w: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color w:val="auto"/>
        </w:rPr>
        <w:t>LIQUIDITY AND CAPITAL RESOURCES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Cash provided by operatng actvites for the six months ended June 30, 2024 and 2023 was $173 million and $519 million, respectvely, with the year-over-year decrease driven largely by signifcantly higher income tax payments in 2024 resultng from the Divestture. Operatng cash fow is substantally derived from consolidated net earnings before deductng depreciaton, depleton and amortzaton, and changes in working capital requirements.</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 w:name="page34"/>
    <w:bookmarkEnd w:id="3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seasonal nature of constructon actvity impacts the Company’s interim operatng cash fow when compared with the full year. Full-year 2023 net cash provided by operatng actvites was $1.5 billion.</w:t>
      </w:r>
    </w:p>
    <w:p>
      <w:pPr>
        <w:spacing w:after="0" w:line="11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During the six months ended June 30, 2024 and 2023, the Company paid $339 million and $293 million, respectvely, for additons to property, plant and equipment.</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During the frst quarter of 2024, the Company received pretax cash proceeds of $2.1 billion from the Divestture. On April 5, 2024, the Company used $2.05 billion of cash on hand to fund the acquisiton of 20 actve aggregates operatons in Alabama, South Carolina, South Florida, Tennessee, and Virginia from afliates of Blue Water Industries LLC.</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During the frst six months of 2024, the Company repurchased 785,758 shares of common stock at an average price of $572.70 and an aggregate cost of $450 million. At June 30, 2024, 11.9 million shares of common stock remain under the Company’s repurchase authorizaton.</w:t>
      </w:r>
    </w:p>
    <w:p>
      <w:pPr>
        <w:spacing w:after="0" w:line="12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19, 2024. The Trade Receivable Facility contains a cross-default provision to the Company’s other debt agreements.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has an $800 million fve-year senior unsecured revolving facility (the Revolving Facility), which matures in December 2028. The Revolving Facility requires the Company’s rato of consolidated net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or the Trade Receivable Facility, consolidated debt, including debt for which the Company is a guarantor, shall be reduced in an amount equal to the lesser of $500 million or the sum of the Company’s unrestricted cash and temporary investments, for purposes of the covenant calculaton. The Company was in compliance with the Rato at June 30, 2024.</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at June 30, 2024.</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for payment of dividends for the foreseeable future and allow the repurchase of shares of the Company’s common stock. At June 30, 2024, the Company had $1.20 billion of unused borrowing capacity under its Revolving Facility and Trade Receivable Facility, subject to complying with the related leverage covenant. Historically, the Company has successfully extended the maturity dates of these credit facilites. On July 2, 2024, the Company used available liquidity to repay the $400 million of 4.250% Senior Notes that matured by their own terms.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color w:val="auto"/>
        </w:rPr>
        <w:t>TRENDS AND RISKS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outlined the risks associated with its business in its Annual Report on Form 10-K for the year ended December 31, 2023.</w:t>
      </w:r>
    </w:p>
    <w:p>
      <w:pPr>
        <w:spacing w:after="0" w:line="238" w:lineRule="auto"/>
        <w:rPr>
          <w:sz w:val="20"/>
          <w:szCs w:val="20"/>
          <w:color w:val="auto"/>
        </w:rPr>
      </w:pPr>
      <w:r>
        <w:rPr>
          <w:rFonts w:ascii="Calibri" w:cs="Calibri" w:eastAsia="Calibri" w:hAnsi="Calibri"/>
          <w:sz w:val="20"/>
          <w:szCs w:val="20"/>
          <w:color w:val="auto"/>
        </w:rPr>
        <w:t>Management contnues to evaluate its exposure to all operatng risks on an ongoing basis.</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4" w:name="page35"/>
    <w:bookmarkEnd w:id="3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282" w:lineRule="exact"/>
        <w:rPr>
          <w:sz w:val="20"/>
          <w:szCs w:val="20"/>
          <w:color w:val="auto"/>
        </w:rPr>
      </w:pPr>
    </w:p>
    <w:p>
      <w:pPr>
        <w:spacing w:after="0"/>
        <w:rPr>
          <w:sz w:val="20"/>
          <w:szCs w:val="20"/>
          <w:color w:val="auto"/>
        </w:rPr>
      </w:pPr>
      <w:r>
        <w:rPr>
          <w:rFonts w:ascii="Calibri" w:cs="Calibri" w:eastAsia="Calibri" w:hAnsi="Calibri"/>
          <w:sz w:val="20"/>
          <w:szCs w:val="20"/>
          <w:color w:val="auto"/>
        </w:rPr>
        <w:t>OTHER MATTERS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herein and in other publicatons may turn out to be wrong.</w:t>
      </w:r>
    </w:p>
    <w:p>
      <w:pPr>
        <w:spacing w:after="0" w:line="12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Company’s outlook is subject to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w:t>
      </w:r>
    </w:p>
    <w:p>
      <w:pPr>
        <w:spacing w:after="0" w:line="130" w:lineRule="exact"/>
        <w:rPr>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the Company to face challenges, including shipment declines resultng from economic and weather events beyond the Company's control;</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widespread decline in aggregates pricing, including a decline in aggregates shipment volume negatvely afectng aggregates price;</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history of both cement and ready mixed concrete being subject to signifcant changes in supply, demand and price fuctuatons;</w:t>
      </w:r>
    </w:p>
    <w:p>
      <w:pPr>
        <w:spacing w:after="0" w:line="23"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terminaton, capping and/or reducton or suspension of the federal and/or state fuel tax(es) or other revenue related to public constructon;</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impact of the U.S. electons on the amount available under and tming of federal and state infrastructure spending;</w:t>
      </w:r>
    </w:p>
    <w:p>
      <w:pPr>
        <w:spacing w:after="0" w:line="22"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level and tming of federal, state or local transportaton or infrastructure or public projects funding, most partcularly in Texas, North Carolina, Colorado, California, Georgia, Minnesota, Arizona, Iowa, Florida and Indiana;</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United States Congress’ inability to reach agreement among themselves or with the Executve Branch on policy issues that impact the federal budget;</w:t>
      </w:r>
    </w:p>
    <w:p>
      <w:pPr>
        <w:spacing w:after="0" w:line="2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ability of states and/or other enttes to fnance approved projects either with tax revenues or alternatve fnancing structures;</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levels of constructon spending in the markets the Company serves;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reducton in defense spending and the subsequent impact on constructon actvity on or near military bases;</w:t>
      </w:r>
    </w:p>
    <w:p>
      <w:pPr>
        <w:spacing w:after="0" w:line="22"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decline in energy-related constructon actvity resultng from a sustained period of low global oil prices or changes in oil producton paterns or capital spending in response to such a decline, partcularly in Texas and West Virginia;</w:t>
      </w:r>
    </w:p>
    <w:p>
      <w:pPr>
        <w:spacing w:after="0" w:line="23"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sustained high mortgage interest rates and other factors that have resulted in a slowdown in private constructon in some geographies;</w:t>
      </w:r>
    </w:p>
    <w:p>
      <w:pPr>
        <w:jc w:val="center"/>
        <w:spacing w:after="0"/>
        <w:rPr>
          <w:sz w:val="20"/>
          <w:szCs w:val="20"/>
          <w:color w:val="auto"/>
        </w:rPr>
      </w:pPr>
      <w:r>
        <w:rPr>
          <w:rFonts w:ascii="Calibri" w:cs="Calibri" w:eastAsia="Calibri" w:hAnsi="Calibri"/>
          <w:sz w:val="20"/>
          <w:szCs w:val="20"/>
          <w:color w:val="auto"/>
        </w:rPr>
        <w:t>Page 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5" w:name="page36"/>
    <w:bookmarkEnd w:id="35"/>
    <w:p>
      <w:pPr>
        <w:jc w:val="center"/>
        <w:ind w:right="557"/>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557"/>
        <w:spacing w:after="0" w:line="238" w:lineRule="auto"/>
        <w:rPr>
          <w:sz w:val="20"/>
          <w:szCs w:val="20"/>
          <w:color w:val="auto"/>
        </w:rPr>
      </w:pPr>
      <w:r>
        <w:rPr>
          <w:rFonts w:ascii="Calibri" w:cs="Calibri" w:eastAsia="Calibri" w:hAnsi="Calibri"/>
          <w:sz w:val="20"/>
          <w:szCs w:val="20"/>
          <w:color w:val="auto"/>
        </w:rPr>
        <w:t>FORM 10-Q</w:t>
      </w:r>
    </w:p>
    <w:p>
      <w:pPr>
        <w:jc w:val="center"/>
        <w:ind w:right="517"/>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ind w:right="517"/>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517"/>
        <w:spacing w:after="0" w:line="238" w:lineRule="auto"/>
        <w:rPr>
          <w:sz w:val="20"/>
          <w:szCs w:val="20"/>
          <w:color w:val="auto"/>
        </w:rPr>
      </w:pPr>
      <w:r>
        <w:rPr>
          <w:rFonts w:ascii="Calibri" w:cs="Calibri" w:eastAsia="Calibri" w:hAnsi="Calibri"/>
          <w:sz w:val="20"/>
          <w:szCs w:val="20"/>
          <w:color w:val="auto"/>
        </w:rPr>
        <w:t>RESULTS OF OPERATIONS</w:t>
      </w:r>
    </w:p>
    <w:p>
      <w:pPr>
        <w:jc w:val="center"/>
        <w:ind w:right="457"/>
        <w:spacing w:after="0"/>
        <w:rPr>
          <w:sz w:val="20"/>
          <w:szCs w:val="20"/>
          <w:color w:val="auto"/>
        </w:rPr>
      </w:pPr>
      <w:r>
        <w:rPr>
          <w:rFonts w:ascii="Calibri" w:cs="Calibri" w:eastAsia="Calibri" w:hAnsi="Calibri"/>
          <w:sz w:val="20"/>
          <w:szCs w:val="20"/>
          <w:color w:val="auto"/>
        </w:rPr>
        <w:t>(Contnued)</w:t>
      </w:r>
    </w:p>
    <w:p>
      <w:pPr>
        <w:spacing w:after="0" w:line="197" w:lineRule="exact"/>
        <w:rPr>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unfavorable weather conditons, partcularly Atlantc Ocean, Pacifc Ocean and Gulf of Mexico storm and hurricane actvity, wildfres, the late start to spring or the early onset of winter and the impact of a drought, excessive rainfall or extreme temperatures in the markets served by the Company, any of which can signifcantly afect producton schedules, volumes, product and/or geographic mix and proftability;</w:t>
      </w:r>
    </w:p>
    <w:p>
      <w:pPr>
        <w:spacing w:after="0" w:line="25"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volatlity of fuel and energy costs,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contnued increases in the cost of other repair and supply parts;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constructon labor shortages and/or supply chain challenges;</w:t>
      </w:r>
    </w:p>
    <w:p>
      <w:pPr>
        <w:spacing w:after="0" w:line="22"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unexpected equipment failures, unscheduled maintenance, industrial accident or other prolonged and/or signifcant disrupton to producton facilites;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resiliency and potental declines of the Company's various constructon end-use markets;</w:t>
      </w:r>
    </w:p>
    <w:p>
      <w:pPr>
        <w:spacing w:after="0" w:line="22"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potental negatve impacts of new waves of COVID-19 or its variants, or any other outbreak of diseases, epidemic or pandemic, or similar public health threat, or fear of such event and its related economic or societal response, including any impact on the Company's suppliers, customers, or other business partners as well as on its employees;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performance of the United States economy;</w:t>
      </w:r>
    </w:p>
    <w:p>
      <w:pPr>
        <w:spacing w:after="0" w:line="22"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increasing governmental regulaton, including environmental laws and climate change regulatons at the federal and state levels;</w:t>
      </w:r>
    </w:p>
    <w:p>
      <w:pPr>
        <w:spacing w:after="0" w:line="23"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w:t>
      </w:r>
    </w:p>
    <w:p>
      <w:pPr>
        <w:spacing w:after="0" w:line="25"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of trucks and licensed drivers for transport of the Company’s materials;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availability and cost of constructon equipment in the United States;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weakening in the steel industry markets served by the Company’s dolomitc lime products;</w:t>
      </w:r>
    </w:p>
    <w:p>
      <w:pPr>
        <w:spacing w:after="0" w:line="22" w:lineRule="exact"/>
        <w:rPr>
          <w:rFonts w:ascii="Times New Roman" w:cs="Times New Roman" w:eastAsia="Times New Roman" w:hAnsi="Times New Roman"/>
          <w:sz w:val="20"/>
          <w:szCs w:val="20"/>
          <w:color w:val="auto"/>
        </w:rPr>
      </w:pPr>
    </w:p>
    <w:p>
      <w:pPr>
        <w:jc w:val="both"/>
        <w:ind w:left="503" w:hanging="503"/>
        <w:spacing w:after="0" w:line="236"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potental impact on costs, supply chain, oil and gas prices, or other maters relatng to geopolitcal conficts, including the war between Russia and Ukraine, the war in Israel and related confict in the Middle East and the confict between China and Taiwan;</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trade disputes with one or more natons impactng the U.S. economy, including the impact of tarifs on the steel industry;</w:t>
      </w:r>
    </w:p>
    <w:p>
      <w:pPr>
        <w:spacing w:after="0" w:line="22" w:lineRule="exact"/>
        <w:rPr>
          <w:rFonts w:ascii="Times New Roman" w:cs="Times New Roman" w:eastAsia="Times New Roman" w:hAnsi="Times New Roman"/>
          <w:sz w:val="20"/>
          <w:szCs w:val="20"/>
          <w:color w:val="auto"/>
        </w:rPr>
      </w:pPr>
    </w:p>
    <w:p>
      <w:pPr>
        <w:ind w:left="503" w:hanging="503"/>
        <w:spacing w:after="0" w:line="234" w:lineRule="auto"/>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unplanned changes in costs or realignment of customers that introduce volatlity to earnings, including that of the Magnesia Specialtes business;</w:t>
      </w:r>
    </w:p>
    <w:p>
      <w:pPr>
        <w:spacing w:after="0" w:line="13"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proper functoning of informaton technology and automated operatng systems to manage or support operatons;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infaton and its efect on both producton and interest costs;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concentraton of customers in constructon markets and the increased risk of potental losses on customer receivables;</w:t>
      </w:r>
    </w:p>
    <w:p>
      <w:pPr>
        <w:spacing w:after="0" w:line="12" w:lineRule="exact"/>
        <w:rPr>
          <w:rFonts w:ascii="Times New Roman" w:cs="Times New Roman" w:eastAsia="Times New Roman" w:hAnsi="Times New Roman"/>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impact of the level of demand in the Company’s end-use markets, producton levels and management of producton</w:t>
      </w:r>
    </w:p>
    <w:p>
      <w:pPr>
        <w:spacing w:after="0" w:line="12" w:lineRule="exact"/>
        <w:rPr>
          <w:sz w:val="20"/>
          <w:szCs w:val="20"/>
          <w:color w:val="auto"/>
        </w:rPr>
      </w:pPr>
    </w:p>
    <w:p>
      <w:pPr>
        <w:ind w:left="4543" w:right="4060" w:hanging="4043"/>
        <w:spacing w:after="0" w:line="232" w:lineRule="auto"/>
        <w:rPr>
          <w:sz w:val="20"/>
          <w:szCs w:val="20"/>
          <w:color w:val="auto"/>
        </w:rPr>
      </w:pPr>
      <w:r>
        <w:rPr>
          <w:rFonts w:ascii="Calibri" w:cs="Calibri" w:eastAsia="Calibri" w:hAnsi="Calibri"/>
          <w:sz w:val="20"/>
          <w:szCs w:val="20"/>
          <w:color w:val="auto"/>
        </w:rPr>
        <w:t>costs on the operatng leverage and therefore proftability of the Company; Page 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489585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53" w:right="339" w:bottom="1440" w:gutter="0" w:footer="0" w:header="0"/>
        </w:sectPr>
      </w:pPr>
    </w:p>
    <w:bookmarkStart w:id="36" w:name="page37"/>
    <w:bookmarkEnd w:id="3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59"/>
        <w:spacing w:after="0"/>
        <w:rPr>
          <w:sz w:val="20"/>
          <w:szCs w:val="20"/>
          <w:color w:val="auto"/>
        </w:rPr>
      </w:pPr>
      <w:r>
        <w:rPr>
          <w:rFonts w:ascii="Calibri" w:cs="Calibri" w:eastAsia="Calibri" w:hAnsi="Calibri"/>
          <w:sz w:val="20"/>
          <w:szCs w:val="20"/>
          <w:color w:val="auto"/>
        </w:rPr>
        <w:t>(Contnued)</w:t>
      </w:r>
    </w:p>
    <w:p>
      <w:pPr>
        <w:spacing w:after="0" w:line="197" w:lineRule="exact"/>
        <w:rPr>
          <w:sz w:val="20"/>
          <w:szCs w:val="20"/>
          <w:color w:val="auto"/>
        </w:rPr>
      </w:pPr>
    </w:p>
    <w:p>
      <w:pPr>
        <w:jc w:val="both"/>
        <w:ind w:left="1020" w:hanging="503"/>
        <w:spacing w:after="0" w:line="236" w:lineRule="auto"/>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22" w:lineRule="exact"/>
        <w:rPr>
          <w:rFonts w:ascii="Times New Roman" w:cs="Times New Roman" w:eastAsia="Times New Roman" w:hAnsi="Times New Roman"/>
          <w:sz w:val="20"/>
          <w:szCs w:val="20"/>
          <w:color w:val="auto"/>
        </w:rPr>
      </w:pPr>
    </w:p>
    <w:p>
      <w:pPr>
        <w:ind w:left="1020" w:right="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strategic benefts, outlook, performance and opportunites expected as a result of acquisitons and portolio optmizaton;</w:t>
      </w:r>
    </w:p>
    <w:p>
      <w:pPr>
        <w:spacing w:after="0" w:line="255"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changes in tax laws, the interpretaton of such laws and/or administratve practces, including acquisitons or divesttures, that would increase the Company’s tax rate;</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cybersecurity risks;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violaton of the Company’s debt covenant if price and/or volumes return to previous levels of instability;</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downward pressure on the Company’s common stock price and its impact on goodwill impairment evaluatons;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possibility of a reducton of the Company’s credit ratng to non-investment grade; and</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color w:val="auto"/>
        </w:rPr>
        <w:t>other risk factors listed from tme to tme found in the Company’s flings with the SEC.</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should consider these forward-looking statements in light of risk factors discussed in the Company’s Annual Report on Form 10-K for the year ended December 31, 2023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ACCESS TO COMPANY FILINGS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Shareholders may obtain, without charge, a copy of Martn Marieta’s Annual Report on Form 10-K, as fled with the Securites and</w:t>
      </w:r>
    </w:p>
    <w:p>
      <w:pPr>
        <w:spacing w:after="0" w:line="238" w:lineRule="auto"/>
        <w:rPr>
          <w:sz w:val="20"/>
          <w:szCs w:val="20"/>
          <w:color w:val="auto"/>
        </w:rPr>
      </w:pPr>
      <w:r>
        <w:rPr>
          <w:rFonts w:ascii="Calibri" w:cs="Calibri" w:eastAsia="Calibri" w:hAnsi="Calibri"/>
          <w:sz w:val="20"/>
          <w:szCs w:val="20"/>
          <w:color w:val="auto"/>
        </w:rPr>
        <w:t>Exchange Commission for the fscal year ended December 31, 2023, by writng to:</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Martn Marieta</w:t>
      </w:r>
    </w:p>
    <w:p>
      <w:pPr>
        <w:ind w:left="260"/>
        <w:spacing w:after="0" w:line="238" w:lineRule="auto"/>
        <w:rPr>
          <w:sz w:val="20"/>
          <w:szCs w:val="20"/>
          <w:color w:val="auto"/>
        </w:rPr>
      </w:pPr>
      <w:r>
        <w:rPr>
          <w:rFonts w:ascii="Calibri" w:cs="Calibri" w:eastAsia="Calibri" w:hAnsi="Calibri"/>
          <w:sz w:val="20"/>
          <w:szCs w:val="20"/>
          <w:color w:val="auto"/>
        </w:rPr>
        <w:t>Atn: Corporate Secretary</w:t>
      </w:r>
    </w:p>
    <w:p>
      <w:pPr>
        <w:ind w:left="260"/>
        <w:spacing w:after="0"/>
        <w:rPr>
          <w:sz w:val="20"/>
          <w:szCs w:val="20"/>
          <w:color w:val="auto"/>
        </w:rPr>
      </w:pPr>
      <w:r>
        <w:rPr>
          <w:rFonts w:ascii="Calibri" w:cs="Calibri" w:eastAsia="Calibri" w:hAnsi="Calibri"/>
          <w:sz w:val="20"/>
          <w:szCs w:val="20"/>
          <w:color w:val="auto"/>
        </w:rPr>
        <w:t>4123 Parklake Avenue</w:t>
      </w:r>
    </w:p>
    <w:p>
      <w:pPr>
        <w:ind w:left="260"/>
        <w:spacing w:after="0" w:line="238" w:lineRule="auto"/>
        <w:rPr>
          <w:sz w:val="20"/>
          <w:szCs w:val="20"/>
          <w:color w:val="auto"/>
        </w:rPr>
      </w:pPr>
      <w:r>
        <w:rPr>
          <w:rFonts w:ascii="Calibri" w:cs="Calibri" w:eastAsia="Calibri" w:hAnsi="Calibri"/>
          <w:sz w:val="20"/>
          <w:szCs w:val="20"/>
          <w:color w:val="auto"/>
        </w:rPr>
        <w:t>Raleigh, North Carolina 27612</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Telephone: (919) 510-4736</w:t>
      </w:r>
    </w:p>
    <w:p>
      <w:pPr>
        <w:ind w:left="260"/>
        <w:spacing w:after="0" w:line="238" w:lineRule="auto"/>
        <w:rPr>
          <w:sz w:val="20"/>
          <w:szCs w:val="20"/>
          <w:color w:val="auto"/>
        </w:rPr>
      </w:pPr>
      <w:r>
        <w:rPr>
          <w:rFonts w:ascii="Calibri" w:cs="Calibri" w:eastAsia="Calibri" w:hAnsi="Calibri"/>
          <w:sz w:val="20"/>
          <w:szCs w:val="20"/>
          <w:color w:val="auto"/>
        </w:rPr>
        <w:t>Website address: www.martnmarieta.com</w:t>
      </w:r>
    </w:p>
    <w:p>
      <w:pPr>
        <w:spacing w:after="0" w:line="117" w:lineRule="exact"/>
        <w:rPr>
          <w:sz w:val="20"/>
          <w:szCs w:val="20"/>
          <w:color w:val="auto"/>
        </w:rPr>
      </w:pPr>
    </w:p>
    <w:p>
      <w:pPr>
        <w:ind w:left="5060" w:right="1800" w:hanging="5061"/>
        <w:spacing w:after="0" w:line="234" w:lineRule="auto"/>
        <w:rPr>
          <w:sz w:val="20"/>
          <w:szCs w:val="20"/>
          <w:color w:val="auto"/>
        </w:rPr>
      </w:pPr>
      <w:r>
        <w:rPr>
          <w:rFonts w:ascii="Calibri" w:cs="Calibri" w:eastAsia="Calibri" w:hAnsi="Calibri"/>
          <w:sz w:val="20"/>
          <w:szCs w:val="20"/>
          <w:color w:val="auto"/>
        </w:rPr>
        <w:t>Informaton included on the Company’s website is not incorporated into, or otherwise creates a part of, this report. Page 37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7" w:name="page38"/>
    <w:bookmarkEnd w:id="3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Item 3. Quanttatve and Qualitatve Disclosures About Market Risk.</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Company’s operatons are highly dependent upon the interest rate-sensitve constructon and steelmaking industries. Consequently, these marketplaces could experience lower levels of economic actvity in an environment of rising interest rates or escalatng costs.</w:t>
      </w:r>
    </w:p>
    <w:p>
      <w:pPr>
        <w:spacing w:after="0" w:line="11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Demand in the nonresidental and residental constructon markets, which combined accounted for 60% of aggregates shipments for the six months ended June 30, 2024, is afected by interest rates. While unchanged since December 31, 2023, the target federal funds rate remains above historical levels.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Aside from these inherent risks from within its operatons, the Company’s earnings are also afected by changes in short-term interest rates and changes in enacted tax laws.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Variable-Rate Borrowing Facilites. </w:t>
      </w:r>
      <w:r>
        <w:rPr>
          <w:rFonts w:ascii="Calibri" w:cs="Calibri" w:eastAsia="Calibri" w:hAnsi="Calibri"/>
          <w:sz w:val="20"/>
          <w:szCs w:val="20"/>
          <w:color w:val="auto"/>
        </w:rPr>
        <w:t>At June 30, 2024, the Company had an $800 million Revolving Facility and a $400 million Trade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Receivable Facility. Borrowings under these facilites bear interest at a variable interest rate. There were no borrowings outstanding on either facility at June 30, 2024. However, any future borrowings under the credit facilites or outstanding variable-rate debt are exposed to interest rate risk.</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Pension Expense. </w:t>
      </w:r>
      <w:r>
        <w:rPr>
          <w:rFonts w:ascii="Calibri" w:cs="Calibri" w:eastAsia="Calibri" w:hAnsi="Calibri"/>
          <w:sz w:val="20"/>
          <w:szCs w:val="20"/>
          <w:color w:val="auto"/>
        </w:rPr>
        <w:t>The Company’s results of operatons are afected by its pension expense. Assumptons that afect pension expense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2023.</w:t>
      </w:r>
    </w:p>
    <w:p>
      <w:pPr>
        <w:spacing w:after="0" w:line="34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Income Tax. </w:t>
      </w:r>
      <w:r>
        <w:rPr>
          <w:rFonts w:ascii="Calibri" w:cs="Calibri" w:eastAsia="Calibri" w:hAnsi="Calibri"/>
          <w:sz w:val="20"/>
          <w:szCs w:val="20"/>
          <w:color w:val="auto"/>
        </w:rPr>
        <w:t>Any changes in enacted tax laws, rules or regulatory or judicial interpretatons, or any change in the pronouncements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relatng to accountng for income taxes could materially impact the Company’s efectve tax rate, tax payments, cash fow, fnancial conditon and results of operatons.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Energy Costs</w:t>
      </w:r>
      <w:r>
        <w:rPr>
          <w:rFonts w:ascii="Calibri" w:cs="Calibri" w:eastAsia="Calibri" w:hAnsi="Calibri"/>
          <w:sz w:val="20"/>
          <w:szCs w:val="20"/>
          <w:color w:val="auto"/>
        </w:rPr>
        <w:t>. Energy costs, including diesel fuel, natural gas, electricity, coal and petroleum coke, represent signifcant producton costs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of the Company. The Company may be unable to pass along increases in the costs of energy to customers in the form of price increases for the Company’s products. The cement product line and Magnesia Specialtes business each have varying fxed-price agreements for a porton of their 2024 energy requirements. Organic energy expense for the six months ended June 30, 2024 decreased 13% compared with the prior-year period, refectng a $0.24-per-gallon decrease in organic diesel costs and a 40% decrease in organic natural gas costs. A hypothetcal 10% change in the Company’s organic energy prices in 2024 as compared with 2023, assuming comparable volumes, would change 2024 energy expense by $36 million.</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color w:val="auto"/>
        </w:rPr>
        <w:t>Item 4. Controls and Procedures.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Evaluaton of Disclosure Controls and Procedures. </w:t>
      </w:r>
      <w:r>
        <w:rPr>
          <w:rFonts w:ascii="Calibri" w:cs="Calibri" w:eastAsia="Calibri" w:hAnsi="Calibri"/>
          <w:sz w:val="20"/>
          <w:szCs w:val="20"/>
          <w:color w:val="auto"/>
        </w:rPr>
        <w:t>As of June 30, 2024, an evaluaton was performed under the supervision and with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June 30, 2024.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8" w:name="page39"/>
    <w:bookmarkEnd w:id="3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 Legal Proceedings.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See </w:t>
      </w:r>
      <w:r>
        <w:rPr>
          <w:rFonts w:ascii="Calibri" w:cs="Calibri" w:eastAsia="Calibri" w:hAnsi="Calibri"/>
          <w:sz w:val="20"/>
          <w:szCs w:val="20"/>
          <w:u w:val="single" w:color="auto"/>
          <w:color w:val="0000FF"/>
        </w:rPr>
        <w:t>Note 9 Commitments and Contngencies, Legal and Administratve Proceedings</w:t>
      </w:r>
      <w:r>
        <w:rPr>
          <w:rFonts w:ascii="Calibri" w:cs="Calibri" w:eastAsia="Calibri" w:hAnsi="Calibri"/>
          <w:sz w:val="20"/>
          <w:szCs w:val="20"/>
          <w:color w:val="auto"/>
        </w:rPr>
        <w:t xml:space="preserve"> of this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1A. Risk Factors.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 xml:space="preserve">Reference is made to </w:t>
      </w:r>
      <w:r>
        <w:rPr>
          <w:rFonts w:ascii="Calibri" w:cs="Calibri" w:eastAsia="Calibri" w:hAnsi="Calibri"/>
          <w:sz w:val="20"/>
          <w:szCs w:val="20"/>
          <w:i w:val="1"/>
          <w:iCs w:val="1"/>
          <w:color w:val="auto"/>
        </w:rPr>
        <w:t>Part I. Item 1A. Risk Factors and Forward-Looking Statements</w:t>
      </w:r>
      <w:r>
        <w:rPr>
          <w:rFonts w:ascii="Calibri" w:cs="Calibri" w:eastAsia="Calibri" w:hAnsi="Calibri"/>
          <w:sz w:val="20"/>
          <w:szCs w:val="20"/>
          <w:color w:val="auto"/>
        </w:rPr>
        <w:t xml:space="preserve"> of the Martn Marieta Annual Report on Form 10-K for the year ended December 31,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2. Unregistered Sales of Equity Securites and Use of Proceeds.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ISSUER PURCHASES OF EQUITY SECURITIES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5"/>
              </w:rPr>
              <w:t>Total Number of Shares</w:t>
            </w:r>
          </w:p>
        </w:tc>
        <w:tc>
          <w:tcPr>
            <w:tcW w:w="2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7"/>
              </w:rPr>
              <w:t>Maximum Number of</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7"/>
              </w:rPr>
              <w:t>Purchased as Part of</w:t>
            </w:r>
          </w:p>
        </w:tc>
        <w:tc>
          <w:tcPr>
            <w:tcW w:w="220" w:type="dxa"/>
            <w:vAlign w:val="bottom"/>
          </w:tcPr>
          <w:p>
            <w:pPr>
              <w:spacing w:after="0"/>
              <w:rPr>
                <w:sz w:val="21"/>
                <w:szCs w:val="21"/>
                <w:color w:val="auto"/>
              </w:rPr>
            </w:pPr>
          </w:p>
        </w:tc>
        <w:tc>
          <w:tcPr>
            <w:tcW w:w="182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6"/>
              </w:rPr>
              <w:t>Shares that May Yet</w:t>
            </w:r>
          </w:p>
        </w:tc>
      </w:tr>
      <w:tr>
        <w:trPr>
          <w:trHeight w:val="243"/>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Calibri" w:cs="Calibri" w:eastAsia="Calibri" w:hAnsi="Calibri"/>
                <w:sz w:val="18"/>
                <w:szCs w:val="18"/>
                <w:color w:val="auto"/>
              </w:rPr>
              <w:t>Total Number of</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Calibri" w:cs="Calibri" w:eastAsia="Calibri" w:hAnsi="Calibri"/>
                <w:sz w:val="18"/>
                <w:szCs w:val="18"/>
                <w:color w:val="auto"/>
                <w:w w:val="93"/>
              </w:rPr>
              <w:t>Average Price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Publicly Announced</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be Purchased Under</w:t>
            </w:r>
          </w:p>
        </w:tc>
      </w:tr>
      <w:tr>
        <w:trPr>
          <w:trHeight w:val="243"/>
        </w:trPr>
        <w:tc>
          <w:tcPr>
            <w:tcW w:w="4160" w:type="dxa"/>
            <w:vAlign w:val="bottom"/>
          </w:tcPr>
          <w:p>
            <w:pPr>
              <w:ind w:left="1860"/>
              <w:spacing w:after="0"/>
              <w:rPr>
                <w:sz w:val="20"/>
                <w:szCs w:val="20"/>
                <w:color w:val="auto"/>
              </w:rPr>
            </w:pPr>
            <w:r>
              <w:rPr>
                <w:rFonts w:ascii="Calibri" w:cs="Calibri" w:eastAsia="Calibri" w:hAnsi="Calibri"/>
                <w:sz w:val="18"/>
                <w:szCs w:val="18"/>
                <w:color w:val="auto"/>
              </w:rPr>
              <w:t>Period</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Calibri" w:cs="Calibri" w:eastAsia="Calibri" w:hAnsi="Calibri"/>
                <w:sz w:val="18"/>
                <w:szCs w:val="18"/>
                <w:color w:val="auto"/>
              </w:rPr>
              <w:t>Shares Purchased</w:t>
            </w: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Calibri" w:cs="Calibri" w:eastAsia="Calibri" w:hAnsi="Calibri"/>
                <w:sz w:val="18"/>
                <w:szCs w:val="18"/>
                <w:color w:val="auto"/>
              </w:rPr>
              <w:t>Paid per Share</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Calibri" w:cs="Calibri" w:eastAsia="Calibri" w:hAnsi="Calibri"/>
                <w:sz w:val="18"/>
                <w:szCs w:val="18"/>
                <w:color w:val="auto"/>
                <w:w w:val="98"/>
              </w:rPr>
              <w:t>Plans or Programs</w:t>
            </w:r>
          </w:p>
        </w:tc>
        <w:tc>
          <w:tcPr>
            <w:tcW w:w="2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Calibri" w:cs="Calibri" w:eastAsia="Calibri" w:hAnsi="Calibri"/>
                <w:sz w:val="18"/>
                <w:szCs w:val="18"/>
                <w:color w:val="auto"/>
                <w:w w:val="96"/>
              </w:rPr>
              <w:t>the Plans or Programs</w:t>
            </w:r>
          </w:p>
        </w:tc>
      </w:tr>
      <w:tr>
        <w:trPr>
          <w:trHeight w:val="37"/>
        </w:trPr>
        <w:tc>
          <w:tcPr>
            <w:tcW w:w="4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41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April 1, 2024 - April 30, 2024</w:t>
            </w: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12,465,495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May 1, 2024 - May 31, 2024</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250,158</w:t>
            </w:r>
          </w:p>
        </w:tc>
        <w:tc>
          <w:tcPr>
            <w:tcW w:w="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599.62</w:t>
            </w:r>
          </w:p>
        </w:tc>
        <w:tc>
          <w:tcPr>
            <w:tcW w:w="1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250,158</w:t>
            </w:r>
          </w:p>
        </w:tc>
        <w:tc>
          <w:tcPr>
            <w:tcW w:w="19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12,215,337</w:t>
            </w:r>
          </w:p>
        </w:tc>
        <w:tc>
          <w:tcPr>
            <w:tcW w:w="100" w:type="dxa"/>
            <w:vAlign w:val="bottom"/>
          </w:tcPr>
          <w:p>
            <w:pPr>
              <w:spacing w:after="0"/>
              <w:rPr>
                <w:sz w:val="18"/>
                <w:szCs w:val="18"/>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June 1, 2024 - June 30, 2024</w:t>
            </w:r>
          </w:p>
        </w:tc>
        <w:tc>
          <w:tcPr>
            <w:tcW w:w="17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279,999</w:t>
            </w:r>
          </w:p>
        </w:tc>
        <w:tc>
          <w:tcPr>
            <w:tcW w:w="3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535.72</w:t>
            </w:r>
          </w:p>
        </w:tc>
        <w:tc>
          <w:tcPr>
            <w:tcW w:w="1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279,999</w:t>
            </w:r>
          </w:p>
        </w:tc>
        <w:tc>
          <w:tcPr>
            <w:tcW w:w="19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11,935,338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60" w:type="dxa"/>
            <w:vAlign w:val="bottom"/>
          </w:tcPr>
          <w:p>
            <w:pPr>
              <w:ind w:left="20"/>
              <w:spacing w:after="0"/>
              <w:rPr>
                <w:sz w:val="20"/>
                <w:szCs w:val="20"/>
                <w:color w:val="auto"/>
              </w:rPr>
            </w:pPr>
            <w:r>
              <w:rPr>
                <w:rFonts w:ascii="Calibri" w:cs="Calibri" w:eastAsia="Calibri" w:hAnsi="Calibri"/>
                <w:sz w:val="18"/>
                <w:szCs w:val="18"/>
                <w:color w:val="auto"/>
              </w:rPr>
              <w:t>Total</w:t>
            </w:r>
          </w:p>
        </w:tc>
        <w:tc>
          <w:tcPr>
            <w:tcW w:w="12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530,157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530,157</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4. Mine Safety Disclosures.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5. Other Informaton</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During the three months ended June 30, 2024,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9" w:name="page40"/>
    <w:bookmarkEnd w:id="3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June 30, 2024</w:t>
      </w:r>
    </w:p>
    <w:p>
      <w:pPr>
        <w:jc w:val="center"/>
        <w:spacing w:after="0" w:line="238" w:lineRule="auto"/>
        <w:rPr>
          <w:sz w:val="20"/>
          <w:szCs w:val="20"/>
          <w:color w:val="auto"/>
        </w:rPr>
      </w:pPr>
      <w:r>
        <w:rPr>
          <w:rFonts w:ascii="Calibri" w:cs="Calibri" w:eastAsia="Calibri" w:hAnsi="Calibri"/>
          <w:sz w:val="20"/>
          <w:szCs w:val="20"/>
          <w:color w:val="auto"/>
        </w:rPr>
        <w:t>PART II. OTHER INFORMATION</w:t>
      </w:r>
    </w:p>
    <w:p>
      <w:pPr>
        <w:jc w:val="center"/>
        <w:spacing w:after="0"/>
        <w:rPr>
          <w:sz w:val="20"/>
          <w:szCs w:val="20"/>
          <w:color w:val="auto"/>
        </w:rPr>
      </w:pPr>
      <w:r>
        <w:rPr>
          <w:rFonts w:ascii="Calibri" w:cs="Calibri" w:eastAsia="Calibri" w:hAnsi="Calibri"/>
          <w:sz w:val="20"/>
          <w:szCs w:val="20"/>
          <w:color w:val="auto"/>
        </w:rPr>
        <w:t>(Contnued)</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6. 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1280" w:type="dxa"/>
            <w:vAlign w:val="bottom"/>
            <w:gridSpan w:val="2"/>
          </w:tcPr>
          <w:p>
            <w:pPr>
              <w:ind w:left="180"/>
              <w:spacing w:after="0"/>
              <w:rPr>
                <w:sz w:val="20"/>
                <w:szCs w:val="20"/>
                <w:color w:val="auto"/>
              </w:rPr>
            </w:pPr>
            <w:r>
              <w:rPr>
                <w:rFonts w:ascii="Calibri" w:cs="Calibri" w:eastAsia="Calibri" w:hAnsi="Calibri"/>
                <w:sz w:val="20"/>
                <w:szCs w:val="20"/>
                <w:color w:val="auto"/>
              </w:rPr>
              <w:t>Exhibit No.</w:t>
            </w:r>
          </w:p>
        </w:tc>
        <w:tc>
          <w:tcPr>
            <w:tcW w:w="100" w:type="dxa"/>
            <w:vAlign w:val="bottom"/>
          </w:tcPr>
          <w:p>
            <w:pPr>
              <w:spacing w:after="0"/>
              <w:rPr>
                <w:sz w:val="23"/>
                <w:szCs w:val="23"/>
                <w:color w:val="auto"/>
              </w:rPr>
            </w:pPr>
          </w:p>
        </w:tc>
        <w:tc>
          <w:tcPr>
            <w:tcW w:w="9840" w:type="dxa"/>
            <w:vAlign w:val="bottom"/>
          </w:tcPr>
          <w:p>
            <w:pPr>
              <w:ind w:left="4500"/>
              <w:spacing w:after="0"/>
              <w:rPr>
                <w:sz w:val="20"/>
                <w:szCs w:val="20"/>
                <w:color w:val="auto"/>
              </w:rPr>
            </w:pPr>
            <w:r>
              <w:rPr>
                <w:rFonts w:ascii="Calibri" w:cs="Calibri" w:eastAsia="Calibri" w:hAnsi="Calibri"/>
                <w:sz w:val="20"/>
                <w:szCs w:val="20"/>
                <w:color w:val="auto"/>
              </w:rPr>
              <w:t>Document</w:t>
            </w:r>
          </w:p>
        </w:tc>
      </w:tr>
      <w:tr>
        <w:trPr>
          <w:trHeight w:val="46"/>
        </w:trPr>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r>
      <w:tr>
        <w:trPr>
          <w:trHeight w:val="466"/>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August 8, 2024 of Chief Executve Ofcer pursuant to Securites and Exchange Act of 1934 Rule 13a-</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14 as adopted pursuant to Secton 302 of the Sarbanes-Oxley Act of 2002</w:t>
            </w:r>
          </w:p>
        </w:tc>
      </w:tr>
      <w:tr>
        <w:trPr>
          <w:trHeight w:val="478"/>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August 8, 2024 of Chief Financial Ofcer pursuant to Securites and Exchange Act of 1934 Rule 13a-</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14 as adopted pursuant to Secton 302 of the Sarbanes-Oxley Act of 2002</w:t>
            </w:r>
          </w:p>
        </w:tc>
      </w:tr>
      <w:tr>
        <w:trPr>
          <w:trHeight w:val="370"/>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August 8, 2024 of Chief Executve Ofcer required by 18 U.S.C. 1350, as adopted pursuant to</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Secton 906 of the Sarbanes-Oxley Act of 2002</w:t>
            </w:r>
          </w:p>
        </w:tc>
      </w:tr>
      <w:tr>
        <w:trPr>
          <w:trHeight w:val="370"/>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August 8, 2024 of Chief Financial Ofcer required by 18 U.S.C. 1350, as adopted pursuant to</w:t>
            </w:r>
          </w:p>
        </w:tc>
      </w:tr>
      <w:tr>
        <w:trPr>
          <w:trHeight w:val="258"/>
        </w:trPr>
        <w:tc>
          <w:tcPr>
            <w:tcW w:w="2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Secton 906 of the Sarbanes-Oxley Act of 2002</w:t>
            </w:r>
          </w:p>
        </w:tc>
      </w:tr>
    </w:tbl>
    <w:p>
      <w:pPr>
        <w:spacing w:after="0" w:line="161" w:lineRule="exact"/>
        <w:rPr>
          <w:sz w:val="20"/>
          <w:szCs w:val="20"/>
          <w:color w:val="auto"/>
        </w:rPr>
      </w:pPr>
    </w:p>
    <w:p>
      <w:pPr>
        <w:ind w:left="1420" w:hanging="1399"/>
        <w:spacing w:after="0"/>
        <w:tabs>
          <w:tab w:leader="none" w:pos="1420" w:val="left"/>
        </w:tabs>
        <w:numPr>
          <w:ilvl w:val="0"/>
          <w:numId w:val="15"/>
        </w:numPr>
        <w:rPr>
          <w:rFonts w:ascii="Calibri" w:cs="Calibri" w:eastAsia="Calibri" w:hAnsi="Calibri"/>
          <w:sz w:val="20"/>
          <w:szCs w:val="20"/>
          <w:u w:val="single" w:color="auto"/>
          <w:color w:val="0000FF"/>
        </w:rPr>
      </w:pPr>
      <w:r>
        <w:rPr>
          <w:rFonts w:ascii="Calibri" w:cs="Calibri" w:eastAsia="Calibri" w:hAnsi="Calibri"/>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1301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Calibri" w:cs="Calibri" w:eastAsia="Calibri" w:hAnsi="Calibri"/>
                <w:sz w:val="20"/>
                <w:szCs w:val="20"/>
                <w:color w:val="auto"/>
              </w:rPr>
              <w:t>101.INS</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Instance Document – The instance document does not appear in the Interactve Data File because its XBRL</w:t>
            </w:r>
          </w:p>
        </w:tc>
      </w:tr>
      <w:tr>
        <w:trPr>
          <w:trHeight w:val="243"/>
        </w:trPr>
        <w:tc>
          <w:tcPr>
            <w:tcW w:w="1040" w:type="dxa"/>
            <w:vAlign w:val="bottom"/>
          </w:tcPr>
          <w:p>
            <w:pPr>
              <w:spacing w:after="0"/>
              <w:rPr>
                <w:sz w:val="21"/>
                <w:szCs w:val="21"/>
                <w:color w:val="auto"/>
              </w:rPr>
            </w:pPr>
          </w:p>
        </w:tc>
        <w:tc>
          <w:tcPr>
            <w:tcW w:w="10160" w:type="dxa"/>
            <w:vAlign w:val="bottom"/>
          </w:tcPr>
          <w:p>
            <w:pPr>
              <w:ind w:left="360"/>
              <w:spacing w:after="0" w:line="243" w:lineRule="exact"/>
              <w:rPr>
                <w:sz w:val="20"/>
                <w:szCs w:val="20"/>
                <w:color w:val="auto"/>
              </w:rPr>
            </w:pPr>
            <w:r>
              <w:rPr>
                <w:rFonts w:ascii="Calibri" w:cs="Calibri" w:eastAsia="Calibri" w:hAnsi="Calibri"/>
                <w:sz w:val="20"/>
                <w:szCs w:val="20"/>
                <w:color w:val="auto"/>
              </w:rPr>
              <w:t>tags are embedded within the Inline XBRL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101.SCH</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Schema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101.CAL</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Calculaton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101.LAB</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Label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101.PRE</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Presentaton Linkbase Document</w:t>
            </w:r>
          </w:p>
        </w:tc>
      </w:tr>
      <w:tr>
        <w:trPr>
          <w:trHeight w:val="405"/>
        </w:trPr>
        <w:tc>
          <w:tcPr>
            <w:tcW w:w="1040" w:type="dxa"/>
            <w:vAlign w:val="bottom"/>
          </w:tcPr>
          <w:p>
            <w:pPr>
              <w:spacing w:after="0"/>
              <w:rPr>
                <w:sz w:val="20"/>
                <w:szCs w:val="20"/>
                <w:color w:val="auto"/>
              </w:rPr>
            </w:pPr>
            <w:r>
              <w:rPr>
                <w:rFonts w:ascii="Calibri" w:cs="Calibri" w:eastAsia="Calibri" w:hAnsi="Calibri"/>
                <w:sz w:val="20"/>
                <w:szCs w:val="20"/>
                <w:color w:val="auto"/>
              </w:rPr>
              <w:t>101.DEF</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Defniton Linkbase</w:t>
            </w:r>
          </w:p>
        </w:tc>
      </w:tr>
    </w:tbl>
    <w:p>
      <w:pPr>
        <w:spacing w:after="0" w:line="161" w:lineRule="exact"/>
        <w:rPr>
          <w:sz w:val="20"/>
          <w:szCs w:val="20"/>
          <w:color w:val="auto"/>
        </w:rPr>
      </w:pPr>
    </w:p>
    <w:p>
      <w:pPr>
        <w:ind w:left="1420" w:hanging="1399"/>
        <w:spacing w:after="0"/>
        <w:tabs>
          <w:tab w:leader="none" w:pos="1420"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Cover Page Interactve Data File (formated as inline XBRL and contained in Exhibit 101)</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32" w:lineRule="exact"/>
        <w:rPr>
          <w:rFonts w:ascii="Calibri" w:cs="Calibri" w:eastAsia="Calibri" w:hAnsi="Calibri"/>
          <w:sz w:val="20"/>
          <w:szCs w:val="20"/>
          <w:color w:val="auto"/>
        </w:rPr>
      </w:pPr>
    </w:p>
    <w:p>
      <w:pPr>
        <w:ind w:left="5060"/>
        <w:spacing w:after="0"/>
        <w:rPr>
          <w:rFonts w:ascii="Calibri" w:cs="Calibri" w:eastAsia="Calibri" w:hAnsi="Calibri"/>
          <w:sz w:val="20"/>
          <w:szCs w:val="20"/>
          <w:color w:val="auto"/>
        </w:rPr>
      </w:pPr>
      <w:r>
        <w:rPr>
          <w:rFonts w:ascii="Calibri" w:cs="Calibri" w:eastAsia="Calibri" w:hAnsi="Calibri"/>
          <w:sz w:val="20"/>
          <w:szCs w:val="20"/>
          <w:color w:val="auto"/>
        </w:rPr>
        <w:t>Page 40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20"/>
          <w:szCs w:val="20"/>
          <w:color w:val="auto"/>
        </w:rPr>
        <w:t>SIGNATURES</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Calibri" w:cs="Calibri" w:eastAsia="Calibri" w:hAnsi="Calibri"/>
                <w:sz w:val="20"/>
                <w:szCs w:val="20"/>
                <w:color w:val="auto"/>
              </w:rPr>
              <w:t>MARTIN MARIETTA MATERIALS, INC.</w:t>
            </w:r>
          </w:p>
        </w:tc>
      </w:tr>
      <w:tr>
        <w:trPr>
          <w:trHeight w:val="257"/>
        </w:trPr>
        <w:tc>
          <w:tcPr>
            <w:tcW w:w="34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4120" w:type="dxa"/>
            <w:vAlign w:val="bottom"/>
          </w:tcPr>
          <w:p>
            <w:pPr>
              <w:ind w:left="560"/>
              <w:spacing w:after="0"/>
              <w:rPr>
                <w:sz w:val="20"/>
                <w:szCs w:val="20"/>
                <w:color w:val="auto"/>
              </w:rPr>
            </w:pPr>
            <w:r>
              <w:rPr>
                <w:rFonts w:ascii="Calibri" w:cs="Calibri" w:eastAsia="Calibri" w:hAnsi="Calibri"/>
                <w:sz w:val="20"/>
                <w:szCs w:val="20"/>
                <w:color w:val="auto"/>
              </w:rPr>
              <w:t>(Registrant)</w:t>
            </w:r>
          </w:p>
        </w:tc>
      </w:tr>
      <w:tr>
        <w:trPr>
          <w:trHeight w:val="513"/>
        </w:trPr>
        <w:tc>
          <w:tcPr>
            <w:tcW w:w="3400" w:type="dxa"/>
            <w:vAlign w:val="bottom"/>
          </w:tcPr>
          <w:p>
            <w:pPr>
              <w:ind w:left="20"/>
              <w:spacing w:after="0"/>
              <w:rPr>
                <w:sz w:val="20"/>
                <w:szCs w:val="20"/>
                <w:color w:val="auto"/>
              </w:rPr>
            </w:pPr>
            <w:r>
              <w:rPr>
                <w:rFonts w:ascii="Calibri" w:cs="Calibri" w:eastAsia="Calibri" w:hAnsi="Calibri"/>
                <w:sz w:val="20"/>
                <w:szCs w:val="20"/>
                <w:color w:val="auto"/>
              </w:rPr>
              <w:t>Date: August 8, 2024</w:t>
            </w:r>
          </w:p>
        </w:tc>
        <w:tc>
          <w:tcPr>
            <w:tcW w:w="3720" w:type="dxa"/>
            <w:vAlign w:val="bottom"/>
          </w:tcPr>
          <w:p>
            <w:pPr>
              <w:ind w:left="3140"/>
              <w:spacing w:after="0"/>
              <w:rPr>
                <w:sz w:val="20"/>
                <w:szCs w:val="20"/>
                <w:color w:val="auto"/>
              </w:rPr>
            </w:pPr>
            <w:r>
              <w:rPr>
                <w:rFonts w:ascii="Calibri" w:cs="Calibri" w:eastAsia="Calibri" w:hAnsi="Calibri"/>
                <w:sz w:val="20"/>
                <w:szCs w:val="20"/>
                <w:color w:val="auto"/>
              </w:rPr>
              <w:t>By:</w:t>
            </w:r>
          </w:p>
        </w:tc>
        <w:tc>
          <w:tcPr>
            <w:tcW w:w="4120" w:type="dxa"/>
            <w:vAlign w:val="bottom"/>
          </w:tcPr>
          <w:p>
            <w:pPr>
              <w:ind w:left="20"/>
              <w:spacing w:after="0"/>
              <w:rPr>
                <w:sz w:val="20"/>
                <w:szCs w:val="20"/>
                <w:color w:val="auto"/>
              </w:rPr>
            </w:pPr>
            <w:r>
              <w:rPr>
                <w:rFonts w:ascii="Calibri" w:cs="Calibri" w:eastAsia="Calibri" w:hAnsi="Calibri"/>
                <w:sz w:val="20"/>
                <w:szCs w:val="20"/>
                <w:color w:val="auto"/>
              </w:rPr>
              <w:t>/s/ James A. J. Nickolas</w:t>
            </w:r>
          </w:p>
        </w:tc>
      </w:tr>
      <w:tr>
        <w:trPr>
          <w:trHeight w:val="46"/>
        </w:trPr>
        <w:tc>
          <w:tcPr>
            <w:tcW w:w="3400" w:type="dxa"/>
            <w:vAlign w:val="bottom"/>
          </w:tcPr>
          <w:p>
            <w:pPr>
              <w:spacing w:after="0"/>
              <w:rPr>
                <w:sz w:val="4"/>
                <w:szCs w:val="4"/>
                <w:color w:val="auto"/>
              </w:rPr>
            </w:pPr>
          </w:p>
        </w:tc>
        <w:tc>
          <w:tcPr>
            <w:tcW w:w="372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226"/>
        </w:trPr>
        <w:tc>
          <w:tcPr>
            <w:tcW w:w="3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120" w:type="dxa"/>
            <w:vAlign w:val="bottom"/>
          </w:tcPr>
          <w:p>
            <w:pPr>
              <w:ind w:left="20"/>
              <w:spacing w:after="0" w:line="225" w:lineRule="exact"/>
              <w:rPr>
                <w:sz w:val="20"/>
                <w:szCs w:val="20"/>
                <w:color w:val="auto"/>
              </w:rPr>
            </w:pPr>
            <w:r>
              <w:rPr>
                <w:rFonts w:ascii="Calibri" w:cs="Calibri" w:eastAsia="Calibri" w:hAnsi="Calibri"/>
                <w:sz w:val="20"/>
                <w:szCs w:val="20"/>
                <w:color w:val="auto"/>
              </w:rPr>
              <w:t>James A. J. Nickolas</w:t>
            </w:r>
          </w:p>
        </w:tc>
      </w:tr>
      <w:tr>
        <w:trPr>
          <w:trHeight w:val="234"/>
        </w:trPr>
        <w:tc>
          <w:tcPr>
            <w:tcW w:w="3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20" w:type="dxa"/>
            <w:vAlign w:val="bottom"/>
          </w:tcPr>
          <w:p>
            <w:pPr>
              <w:ind w:left="20"/>
              <w:spacing w:after="0" w:line="234" w:lineRule="exact"/>
              <w:rPr>
                <w:sz w:val="20"/>
                <w:szCs w:val="20"/>
                <w:color w:val="auto"/>
              </w:rPr>
            </w:pPr>
            <w:r>
              <w:rPr>
                <w:rFonts w:ascii="Calibri" w:cs="Calibri" w:eastAsia="Calibri" w:hAnsi="Calibri"/>
                <w:sz w:val="20"/>
                <w:szCs w:val="20"/>
                <w:color w:val="auto"/>
              </w:rPr>
              <w:t>Executve Vice President and</w:t>
            </w:r>
          </w:p>
        </w:tc>
      </w:tr>
      <w:tr>
        <w:trPr>
          <w:trHeight w:val="257"/>
        </w:trPr>
        <w:tc>
          <w:tcPr>
            <w:tcW w:w="34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4120" w:type="dxa"/>
            <w:vAlign w:val="bottom"/>
          </w:tcPr>
          <w:p>
            <w:pPr>
              <w:ind w:left="160"/>
              <w:spacing w:after="0"/>
              <w:rPr>
                <w:sz w:val="20"/>
                <w:szCs w:val="20"/>
                <w:color w:val="auto"/>
              </w:rPr>
            </w:pPr>
            <w:r>
              <w:rPr>
                <w:rFonts w:ascii="Calibri" w:cs="Calibri" w:eastAsia="Calibri" w:hAnsi="Calibri"/>
                <w:sz w:val="20"/>
                <w:szCs w:val="20"/>
                <w:color w:val="auto"/>
              </w:rPr>
              <w:t>Chief Financial Ofcer</w:t>
            </w:r>
          </w:p>
        </w:tc>
      </w:tr>
      <w:tr>
        <w:trPr>
          <w:trHeight w:val="715"/>
        </w:trPr>
        <w:tc>
          <w:tcPr>
            <w:tcW w:w="3400" w:type="dxa"/>
            <w:vAlign w:val="bottom"/>
          </w:tcPr>
          <w:p>
            <w:pPr>
              <w:spacing w:after="0"/>
              <w:rPr>
                <w:sz w:val="24"/>
                <w:szCs w:val="24"/>
                <w:color w:val="auto"/>
              </w:rPr>
            </w:pPr>
          </w:p>
        </w:tc>
        <w:tc>
          <w:tcPr>
            <w:tcW w:w="3720" w:type="dxa"/>
            <w:vAlign w:val="bottom"/>
          </w:tcPr>
          <w:p>
            <w:pPr>
              <w:ind w:left="1660"/>
              <w:spacing w:after="0"/>
              <w:rPr>
                <w:sz w:val="20"/>
                <w:szCs w:val="20"/>
                <w:color w:val="auto"/>
              </w:rPr>
            </w:pPr>
            <w:r>
              <w:rPr>
                <w:rFonts w:ascii="Calibri" w:cs="Calibri" w:eastAsia="Calibri" w:hAnsi="Calibri"/>
                <w:sz w:val="20"/>
                <w:szCs w:val="20"/>
                <w:color w:val="auto"/>
              </w:rPr>
              <w:t>Page 41 of 41</w:t>
            </w:r>
          </w:p>
        </w:tc>
        <w:tc>
          <w:tcPr>
            <w:tcW w:w="4120" w:type="dxa"/>
            <w:vAlign w:val="bottom"/>
          </w:tcPr>
          <w:p>
            <w:pPr>
              <w:spacing w:after="0"/>
              <w:rPr>
                <w:sz w:val="24"/>
                <w:szCs w:val="24"/>
                <w:color w:val="auto"/>
              </w:rPr>
            </w:pPr>
          </w:p>
        </w:tc>
      </w:tr>
      <w:tr>
        <w:trPr>
          <w:trHeight w:val="796"/>
        </w:trPr>
        <w:tc>
          <w:tcPr>
            <w:tcW w:w="34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1" w:name="page42"/>
    <w:bookmarkEnd w:id="41"/>
    <w:p>
      <w:pPr>
        <w:spacing w:after="0" w:line="29"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31.01</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42" w:lineRule="exact"/>
        <w:rPr>
          <w:sz w:val="20"/>
          <w:szCs w:val="20"/>
          <w:color w:val="auto"/>
        </w:rPr>
      </w:pPr>
    </w:p>
    <w:p>
      <w:pPr>
        <w:ind w:left="1140" w:hanging="383"/>
        <w:spacing w:after="0"/>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120" w:hanging="383"/>
        <w:spacing w:after="0" w:line="236" w:lineRule="auto"/>
        <w:tabs>
          <w:tab w:leader="none" w:pos="112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24"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August 8,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3" w:name="page44"/>
    <w:bookmarkEnd w:id="43"/>
    <w:p>
      <w:pPr>
        <w:spacing w:after="0" w:line="43" w:lineRule="exact"/>
        <w:rPr>
          <w:sz w:val="20"/>
          <w:szCs w:val="20"/>
          <w:color w:val="auto"/>
        </w:rPr>
      </w:pPr>
    </w:p>
    <w:p>
      <w:pPr>
        <w:ind w:left="10080"/>
        <w:spacing w:after="0"/>
        <w:rPr>
          <w:sz w:val="20"/>
          <w:szCs w:val="20"/>
          <w:color w:val="auto"/>
        </w:rPr>
      </w:pPr>
      <w:r>
        <w:rPr>
          <w:rFonts w:ascii="Calibri" w:cs="Calibri" w:eastAsia="Calibri" w:hAnsi="Calibri"/>
          <w:sz w:val="20"/>
          <w:szCs w:val="20"/>
          <w:b w:val="1"/>
          <w:bCs w:val="1"/>
          <w:color w:val="auto"/>
        </w:rPr>
        <w:t>EXHIBIT 31.02</w:t>
      </w:r>
    </w:p>
    <w:p>
      <w:pPr>
        <w:spacing w:after="0" w:line="200" w:lineRule="exact"/>
        <w:rPr>
          <w:sz w:val="20"/>
          <w:szCs w:val="20"/>
          <w:color w:val="auto"/>
        </w:rPr>
      </w:pPr>
    </w:p>
    <w:p>
      <w:pPr>
        <w:spacing w:after="0" w:line="29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42" w:lineRule="exact"/>
        <w:rPr>
          <w:sz w:val="20"/>
          <w:szCs w:val="20"/>
          <w:color w:val="auto"/>
        </w:rPr>
      </w:pPr>
    </w:p>
    <w:p>
      <w:pPr>
        <w:ind w:left="1140" w:hanging="383"/>
        <w:spacing w:after="0"/>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5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54"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5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120" w:hanging="383"/>
        <w:spacing w:after="0" w:line="236" w:lineRule="auto"/>
        <w:tabs>
          <w:tab w:leader="none" w:pos="112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51" w:lineRule="exact"/>
        <w:rPr>
          <w:rFonts w:ascii="Calibri" w:cs="Calibri" w:eastAsia="Calibri" w:hAnsi="Calibri"/>
          <w:sz w:val="20"/>
          <w:szCs w:val="20"/>
          <w:color w:val="auto"/>
        </w:rPr>
      </w:pPr>
    </w:p>
    <w:p>
      <w:pPr>
        <w:jc w:val="both"/>
        <w:ind w:left="1860" w:hanging="375"/>
        <w:spacing w:after="0" w:line="236" w:lineRule="auto"/>
        <w:tabs>
          <w:tab w:leader="none" w:pos="18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51" w:lineRule="exact"/>
        <w:rPr>
          <w:rFonts w:ascii="Calibri" w:cs="Calibri" w:eastAsia="Calibri" w:hAnsi="Calibri"/>
          <w:sz w:val="20"/>
          <w:szCs w:val="20"/>
          <w:color w:val="auto"/>
        </w:rPr>
      </w:pPr>
    </w:p>
    <w:p>
      <w:pPr>
        <w:ind w:left="1860" w:hanging="375"/>
        <w:spacing w:after="0" w:line="234" w:lineRule="auto"/>
        <w:tabs>
          <w:tab w:leader="none" w:pos="18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spacing w:after="0"/>
        <w:tabs>
          <w:tab w:leader="none" w:pos="6620" w:val="left"/>
          <w:tab w:leader="none" w:pos="7180" w:val="left"/>
        </w:tabs>
        <w:rPr>
          <w:sz w:val="20"/>
          <w:szCs w:val="20"/>
          <w:color w:val="auto"/>
        </w:rPr>
      </w:pPr>
      <w:r>
        <w:rPr>
          <w:rFonts w:ascii="Calibri" w:cs="Calibri" w:eastAsia="Calibri" w:hAnsi="Calibri"/>
          <w:sz w:val="20"/>
          <w:szCs w:val="20"/>
          <w:color w:val="auto"/>
        </w:rPr>
        <w:t>Date: August 8,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29210</wp:posOffset>
            </wp:positionV>
            <wp:extent cx="25628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720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7340"/>
        <w:spacing w:after="0"/>
        <w:rPr>
          <w:sz w:val="20"/>
          <w:szCs w:val="20"/>
          <w:color w:val="auto"/>
        </w:rPr>
      </w:pPr>
      <w:r>
        <w:rPr>
          <w:rFonts w:ascii="Calibri" w:cs="Calibri" w:eastAsia="Calibri" w:hAnsi="Calibri"/>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788035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June 30, 2024 (the “Report”) of Martn Marieta Materials, Inc. (the “Registrant”), as fled with the Securites and Exchange Commission on the date hereof, I, C. Howard Nye, the Chief Executve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Chair,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Executve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August 8,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20"/>
          <w:szCs w:val="20"/>
          <w:b w:val="1"/>
          <w:bCs w:val="1"/>
          <w:color w:val="auto"/>
        </w:rPr>
        <w:t>EXHIBIT 32.02</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52"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June 30, 2024 (the “Report”) of Martn Marieta Materials, Inc. (the “Registrant”), as fled with the Securites and Exchange Commission on the date hereof, I, James A. J. Nickolas, the Chief Financial Ofcer of the Registrant, certfy, to the best of my knowledge, that:</w:t>
      </w:r>
    </w:p>
    <w:p>
      <w:pPr>
        <w:spacing w:after="0" w:line="252" w:lineRule="exact"/>
        <w:rPr>
          <w:sz w:val="20"/>
          <w:szCs w:val="20"/>
          <w:color w:val="auto"/>
        </w:rPr>
      </w:pPr>
    </w:p>
    <w:p>
      <w:pPr>
        <w:ind w:left="1500" w:right="20" w:hanging="743"/>
        <w:spacing w:after="0" w:line="234"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52" w:lineRule="exact"/>
        <w:rPr>
          <w:rFonts w:ascii="Calibri" w:cs="Calibri" w:eastAsia="Calibri" w:hAnsi="Calibri"/>
          <w:sz w:val="20"/>
          <w:szCs w:val="20"/>
          <w:color w:val="auto"/>
        </w:rPr>
      </w:pPr>
    </w:p>
    <w:p>
      <w:pPr>
        <w:ind w:left="1500" w:hanging="743"/>
        <w:spacing w:after="0" w:line="234"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300"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Executve Vice President and</w:t>
      </w:r>
    </w:p>
    <w:p>
      <w:pPr>
        <w:spacing w:after="0" w:line="26" w:lineRule="exact"/>
        <w:rPr>
          <w:sz w:val="20"/>
          <w:szCs w:val="20"/>
          <w:color w:val="auto"/>
        </w:rPr>
      </w:pPr>
    </w:p>
    <w:p>
      <w:pPr>
        <w:ind w:left="6900"/>
        <w:spacing w:after="0"/>
        <w:rPr>
          <w:sz w:val="20"/>
          <w:szCs w:val="20"/>
          <w:color w:val="auto"/>
        </w:rPr>
      </w:pPr>
      <w:r>
        <w:rPr>
          <w:rFonts w:ascii="Calibri" w:cs="Calibri" w:eastAsia="Calibri" w:hAnsi="Calibri"/>
          <w:sz w:val="20"/>
          <w:szCs w:val="20"/>
          <w:color w:val="auto"/>
        </w:rPr>
        <w:t>Chief Financial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Dated: August 8, 2024</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1191895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47" w:name="page48"/>
    <w:bookmarkEnd w:id="47"/>
    <w:p>
      <w:pPr>
        <w:ind w:left="10320"/>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04" w:lineRule="exact"/>
        <w:rPr>
          <w:sz w:val="20"/>
          <w:szCs w:val="20"/>
          <w:color w:val="auto"/>
        </w:rPr>
      </w:pPr>
    </w:p>
    <w:p>
      <w:pPr>
        <w:ind w:left="10320"/>
        <w:spacing w:after="0"/>
        <w:rPr>
          <w:sz w:val="20"/>
          <w:szCs w:val="20"/>
          <w:color w:val="auto"/>
        </w:rPr>
      </w:pPr>
      <w:r>
        <w:rPr>
          <w:rFonts w:ascii="Calibri" w:cs="Calibri" w:eastAsia="Calibri" w:hAnsi="Calibri"/>
          <w:sz w:val="20"/>
          <w:szCs w:val="20"/>
          <w:b w:val="1"/>
          <w:bCs w:val="1"/>
          <w:color w:val="auto"/>
        </w:rPr>
        <w:t>EXHIBIT 95</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MINE SAFETY DISCLOSURES</w:t>
      </w:r>
    </w:p>
    <w:p>
      <w:pPr>
        <w:spacing w:after="0" w:line="252"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200" w:lineRule="exact"/>
        <w:rPr>
          <w:sz w:val="20"/>
          <w:szCs w:val="20"/>
          <w:color w:val="auto"/>
        </w:rPr>
      </w:pPr>
    </w:p>
    <w:p>
      <w:pPr>
        <w:spacing w:after="0" w:line="28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00" w:lineRule="exact"/>
        <w:rPr>
          <w:sz w:val="20"/>
          <w:szCs w:val="20"/>
          <w:color w:val="auto"/>
        </w:rPr>
      </w:pPr>
    </w:p>
    <w:p>
      <w:pPr>
        <w:spacing w:after="0" w:line="27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52" w:lineRule="exact"/>
        <w:rPr>
          <w:sz w:val="20"/>
          <w:szCs w:val="20"/>
          <w:color w:val="auto"/>
        </w:rPr>
      </w:pPr>
    </w:p>
    <w:p>
      <w:pPr>
        <w:jc w:val="both"/>
        <w:ind w:right="20"/>
        <w:spacing w:after="0"/>
        <w:rPr>
          <w:sz w:val="20"/>
          <w:szCs w:val="20"/>
          <w:color w:val="auto"/>
        </w:rPr>
      </w:pPr>
      <w:r>
        <w:rPr>
          <w:rFonts w:ascii="Calibri" w:cs="Calibri" w:eastAsia="Calibri" w:hAnsi="Calibri"/>
          <w:sz w:val="20"/>
          <w:szCs w:val="20"/>
          <w:color w:val="auto"/>
        </w:rPr>
        <w:t>The Company presents the following items regarding certain mining safety and health maters for the three months ended June 30, 2024:</w:t>
      </w:r>
    </w:p>
    <w:p>
      <w:pPr>
        <w:spacing w:after="0" w:line="200" w:lineRule="exact"/>
        <w:rPr>
          <w:sz w:val="20"/>
          <w:szCs w:val="20"/>
          <w:color w:val="auto"/>
        </w:rPr>
      </w:pPr>
    </w:p>
    <w:p>
      <w:pPr>
        <w:spacing w:after="0" w:line="298" w:lineRule="exact"/>
        <w:rPr>
          <w:sz w:val="20"/>
          <w:szCs w:val="20"/>
          <w:color w:val="auto"/>
        </w:rPr>
      </w:pPr>
    </w:p>
    <w:p>
      <w:pPr>
        <w:jc w:val="both"/>
        <w:ind w:left="380" w:hanging="372"/>
        <w:spacing w:after="0" w:line="237"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ind w:left="380"/>
        <w:spacing w:after="0" w:line="234" w:lineRule="auto"/>
        <w:rPr>
          <w:sz w:val="20"/>
          <w:szCs w:val="20"/>
          <w:color w:val="auto"/>
        </w:rPr>
      </w:pPr>
      <w:r>
        <w:rPr>
          <w:rFonts w:ascii="Calibri" w:cs="Calibri" w:eastAsia="Calibri" w:hAnsi="Calibri"/>
          <w:sz w:val="20"/>
          <w:szCs w:val="20"/>
          <w:color w:val="auto"/>
        </w:rPr>
        <w:t>or health hazard, but the conditons do not cause imminent danger, and the MSHA inspector fnds that the violaton is caused by an unwarranted failure of the operator to comply with the health and safety standards.</w:t>
      </w:r>
    </w:p>
    <w:p>
      <w:pPr>
        <w:spacing w:after="0" w:line="266" w:lineRule="exact"/>
        <w:rPr>
          <w:sz w:val="20"/>
          <w:szCs w:val="20"/>
          <w:color w:val="auto"/>
        </w:rPr>
      </w:pPr>
    </w:p>
    <w:p>
      <w:pPr>
        <w:jc w:val="both"/>
        <w:ind w:left="380" w:hanging="372"/>
        <w:spacing w:after="0" w:line="237"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6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68" w:lineRule="exact"/>
        <w:rPr>
          <w:rFonts w:ascii="Times New Roman" w:cs="Times New Roman" w:eastAsia="Times New Roman" w:hAnsi="Times New Roman"/>
          <w:sz w:val="20"/>
          <w:szCs w:val="20"/>
          <w:b w:val="1"/>
          <w:bCs w:val="1"/>
          <w:color w:val="auto"/>
        </w:rPr>
      </w:pPr>
    </w:p>
    <w:p>
      <w:pPr>
        <w:jc w:val="both"/>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200" w:lineRule="exact"/>
        <w:rPr>
          <w:rFonts w:ascii="Times New Roman" w:cs="Times New Roman" w:eastAsia="Times New Roman" w:hAnsi="Times New Roman"/>
          <w:sz w:val="20"/>
          <w:szCs w:val="20"/>
          <w:b w:val="1"/>
          <w:bCs w:val="1"/>
          <w:color w:val="auto"/>
        </w:rPr>
      </w:pPr>
    </w:p>
    <w:p>
      <w:pPr>
        <w:spacing w:after="0" w:line="296"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5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pending as of the last day of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initated during period.</w:t>
      </w:r>
    </w:p>
    <w:p>
      <w:pPr>
        <w:spacing w:after="0" w:line="2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resolved during period.</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20"/>
          <w:szCs w:val="20"/>
          <w:color w:val="auto"/>
        </w:rPr>
        <w:t>Appendix 1</w:t>
      </w:r>
    </w:p>
    <w:p>
      <w:pPr>
        <w:spacing w:after="0" w:line="200" w:lineRule="exact"/>
        <w:rPr>
          <w:sz w:val="20"/>
          <w:szCs w:val="20"/>
          <w:color w:val="auto"/>
        </w:rPr>
      </w:pPr>
    </w:p>
    <w:p>
      <w:pPr>
        <w:spacing w:after="0" w:line="214"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penaltes they have received from MSHA, or complaints of discriminaton by miners under Secton 105 of the Mine Act. Appendix 1 shows, for each of the Company’s quarries and mines identfed, as of June 30, 2024, the number of legal actons pending before the Commission, along with the number of legal actons initated before the Commission during the quarter as well as resolved during the quarter.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Calibri" w:cs="Calibri" w:eastAsia="Calibri" w:hAnsi="Calibri"/>
                <w:sz w:val="20"/>
                <w:szCs w:val="20"/>
                <w:color w:val="auto"/>
                <w:w w:val="98"/>
              </w:rPr>
              <w:t>Appendix 1</w:t>
            </w:r>
          </w:p>
        </w:tc>
      </w:tr>
      <w:tr>
        <w:trPr>
          <w:trHeight w:val="257"/>
        </w:trPr>
        <w:tc>
          <w:tcPr>
            <w:tcW w:w="2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ind w:left="100"/>
              <w:spacing w:after="0"/>
              <w:rPr>
                <w:sz w:val="20"/>
                <w:szCs w:val="20"/>
                <w:color w:val="auto"/>
              </w:rPr>
            </w:pPr>
            <w:r>
              <w:rPr>
                <w:rFonts w:ascii="Calibri" w:cs="Calibri" w:eastAsia="Calibri" w:hAnsi="Calibri"/>
                <w:sz w:val="20"/>
                <w:szCs w:val="20"/>
                <w:b w:val="1"/>
                <w:bCs w:val="1"/>
                <w:color w:val="auto"/>
              </w:rPr>
              <w:t>Total</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Num</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Receive</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8"/>
              </w:rPr>
              <w:t>Total</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ber</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 Notce Received</w:t>
            </w: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9"/>
              </w:rPr>
              <w:t>Dollar</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of</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Notce of</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Legal</w:t>
            </w:r>
          </w:p>
        </w:tc>
        <w:tc>
          <w:tcPr>
            <w:tcW w:w="680" w:type="dxa"/>
            <w:vAlign w:val="bottom"/>
          </w:tcPr>
          <w:p>
            <w:pPr>
              <w:spacing w:after="0"/>
              <w:rPr>
                <w:sz w:val="21"/>
                <w:szCs w:val="21"/>
                <w:color w:val="auto"/>
              </w:rPr>
            </w:pP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6"/>
              </w:rPr>
              <w:t>Value</w:t>
            </w:r>
          </w:p>
        </w:tc>
        <w:tc>
          <w:tcPr>
            <w:tcW w:w="132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Minin Patern</w:t>
            </w:r>
          </w:p>
        </w:tc>
        <w:tc>
          <w:tcPr>
            <w:tcW w:w="156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Potental Actons</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Secton</w:t>
            </w: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center"/>
              <w:ind w:right="121"/>
              <w:spacing w:after="0" w:line="243" w:lineRule="exact"/>
              <w:rPr>
                <w:sz w:val="20"/>
                <w:szCs w:val="20"/>
                <w:color w:val="auto"/>
              </w:rPr>
            </w:pPr>
            <w:r>
              <w:rPr>
                <w:rFonts w:ascii="Calibri" w:cs="Calibri" w:eastAsia="Calibri" w:hAnsi="Calibri"/>
                <w:sz w:val="20"/>
                <w:szCs w:val="20"/>
                <w:b w:val="1"/>
                <w:bCs w:val="1"/>
                <w:color w:val="auto"/>
              </w:rPr>
              <w:t>of</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g</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to have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Pending</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Actons</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20" w:type="dxa"/>
            <w:vAlign w:val="bottom"/>
          </w:tcPr>
          <w:p>
            <w:pPr>
              <w:spacing w:after="0"/>
              <w:rPr>
                <w:sz w:val="21"/>
                <w:szCs w:val="21"/>
                <w:color w:val="auto"/>
              </w:rPr>
            </w:pPr>
          </w:p>
        </w:tc>
        <w:tc>
          <w:tcPr>
            <w:tcW w:w="138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104(d) Secton</w:t>
            </w:r>
          </w:p>
        </w:tc>
        <w:tc>
          <w:tcPr>
            <w:tcW w:w="700" w:type="dxa"/>
            <w:vAlign w:val="bottom"/>
          </w:tcPr>
          <w:p>
            <w:pPr>
              <w:spacing w:after="0"/>
              <w:rPr>
                <w:sz w:val="21"/>
                <w:szCs w:val="21"/>
                <w:color w:val="auto"/>
              </w:rPr>
            </w:pP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MSHA</w:t>
            </w:r>
          </w:p>
        </w:tc>
        <w:tc>
          <w:tcPr>
            <w:tcW w:w="1320" w:type="dxa"/>
            <w:vAlign w:val="bottom"/>
            <w:gridSpan w:val="2"/>
          </w:tcPr>
          <w:p>
            <w:pPr>
              <w:ind w:left="100"/>
              <w:spacing w:after="0" w:line="243" w:lineRule="exact"/>
              <w:rPr>
                <w:sz w:val="20"/>
                <w:szCs w:val="20"/>
                <w:color w:val="auto"/>
              </w:rPr>
            </w:pPr>
            <w:r>
              <w:rPr>
                <w:rFonts w:ascii="Calibri" w:cs="Calibri" w:eastAsia="Calibri" w:hAnsi="Calibri"/>
                <w:sz w:val="20"/>
                <w:szCs w:val="20"/>
                <w:b w:val="1"/>
                <w:bCs w:val="1"/>
                <w:color w:val="auto"/>
              </w:rPr>
              <w:t>Relat Violato</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Patern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as of</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Insttu</w:t>
            </w:r>
          </w:p>
        </w:tc>
        <w:tc>
          <w:tcPr>
            <w:tcW w:w="68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Resolv</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Citato</w:t>
            </w:r>
          </w:p>
        </w:tc>
        <w:tc>
          <w:tcPr>
            <w:tcW w:w="138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110(b) Secton</w:t>
            </w:r>
          </w:p>
        </w:tc>
        <w:tc>
          <w:tcPr>
            <w:tcW w:w="74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Assess</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 Under</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under</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Last Day</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ted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5"/>
              </w:rPr>
              <w:t>ed</w:t>
            </w:r>
          </w:p>
        </w:tc>
      </w:tr>
      <w:tr>
        <w:trPr>
          <w:trHeight w:val="243"/>
        </w:trPr>
        <w:tc>
          <w:tcPr>
            <w:tcW w:w="2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6"/>
              </w:rPr>
              <w:t>S&amp;S</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104(b)</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ns and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(2)</w:t>
            </w:r>
          </w:p>
        </w:tc>
        <w:tc>
          <w:tcPr>
            <w:tcW w:w="700" w:type="dxa"/>
            <w:vAlign w:val="bottom"/>
          </w:tcPr>
          <w:p>
            <w:pPr>
              <w:ind w:left="80"/>
              <w:spacing w:after="0" w:line="243" w:lineRule="exact"/>
              <w:rPr>
                <w:sz w:val="20"/>
                <w:szCs w:val="20"/>
                <w:color w:val="auto"/>
              </w:rPr>
            </w:pPr>
            <w:r>
              <w:rPr>
                <w:rFonts w:ascii="Calibri" w:cs="Calibri" w:eastAsia="Calibri" w:hAnsi="Calibri"/>
                <w:sz w:val="20"/>
                <w:szCs w:val="20"/>
                <w:b w:val="1"/>
                <w:bCs w:val="1"/>
                <w:color w:val="auto"/>
              </w:rPr>
              <w:t>107(a)</w:t>
            </w:r>
          </w:p>
        </w:tc>
        <w:tc>
          <w:tcPr>
            <w:tcW w:w="740" w:type="dxa"/>
            <w:vAlign w:val="bottom"/>
            <w:gridSpan w:val="2"/>
          </w:tcPr>
          <w:p>
            <w:pPr>
              <w:ind w:left="60"/>
              <w:spacing w:after="0" w:line="243" w:lineRule="exact"/>
              <w:rPr>
                <w:sz w:val="20"/>
                <w:szCs w:val="20"/>
                <w:color w:val="auto"/>
              </w:rPr>
            </w:pPr>
            <w:r>
              <w:rPr>
                <w:rFonts w:ascii="Calibri" w:cs="Calibri" w:eastAsia="Calibri" w:hAnsi="Calibri"/>
                <w:sz w:val="20"/>
                <w:szCs w:val="20"/>
                <w:b w:val="1"/>
                <w:bCs w:val="1"/>
                <w:color w:val="auto"/>
              </w:rPr>
              <w:t>ment/</w:t>
            </w:r>
          </w:p>
        </w:tc>
        <w:tc>
          <w:tcPr>
            <w:tcW w:w="132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Fatali Secton</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132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During During</w:t>
            </w:r>
          </w:p>
        </w:tc>
      </w:tr>
      <w:tr>
        <w:trPr>
          <w:trHeight w:val="243"/>
        </w:trPr>
        <w:tc>
          <w:tcPr>
            <w:tcW w:w="2060" w:type="dxa"/>
            <w:vAlign w:val="bottom"/>
          </w:tcPr>
          <w:p>
            <w:pPr>
              <w:spacing w:after="0"/>
              <w:rPr>
                <w:sz w:val="21"/>
                <w:szCs w:val="21"/>
                <w:color w:val="auto"/>
              </w:rPr>
            </w:pPr>
          </w:p>
        </w:tc>
        <w:tc>
          <w:tcPr>
            <w:tcW w:w="2160" w:type="dxa"/>
            <w:vAlign w:val="bottom"/>
            <w:gridSpan w:val="3"/>
          </w:tcPr>
          <w:p>
            <w:pPr>
              <w:ind w:left="160"/>
              <w:spacing w:after="0" w:line="243" w:lineRule="exact"/>
              <w:rPr>
                <w:sz w:val="20"/>
                <w:szCs w:val="20"/>
                <w:color w:val="auto"/>
              </w:rPr>
            </w:pPr>
            <w:r>
              <w:rPr>
                <w:rFonts w:ascii="Calibri" w:cs="Calibri" w:eastAsia="Calibri" w:hAnsi="Calibri"/>
                <w:sz w:val="20"/>
                <w:szCs w:val="20"/>
                <w:b w:val="1"/>
                <w:bCs w:val="1"/>
                <w:color w:val="auto"/>
              </w:rPr>
              <w:t>MSHA Citaton Orders</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Violat</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Orders</w:t>
            </w:r>
          </w:p>
        </w:tc>
        <w:tc>
          <w:tcPr>
            <w:tcW w:w="14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w w:val="99"/>
              </w:rPr>
              <w:t>Propo</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tes</w:t>
            </w:r>
          </w:p>
        </w:tc>
        <w:tc>
          <w:tcPr>
            <w:tcW w:w="7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104(e)</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104(e)</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Period</w:t>
            </w:r>
          </w:p>
        </w:tc>
      </w:tr>
      <w:tr>
        <w:trPr>
          <w:trHeight w:val="243"/>
        </w:trPr>
        <w:tc>
          <w:tcPr>
            <w:tcW w:w="2060" w:type="dxa"/>
            <w:vAlign w:val="bottom"/>
          </w:tcPr>
          <w:p>
            <w:pPr>
              <w:ind w:left="740"/>
              <w:spacing w:after="0" w:line="243" w:lineRule="exact"/>
              <w:rPr>
                <w:sz w:val="20"/>
                <w:szCs w:val="20"/>
                <w:color w:val="auto"/>
              </w:rPr>
            </w:pPr>
            <w:r>
              <w:rPr>
                <w:rFonts w:ascii="Calibri" w:cs="Calibri" w:eastAsia="Calibri" w:hAnsi="Calibri"/>
                <w:sz w:val="20"/>
                <w:szCs w:val="20"/>
                <w:b w:val="1"/>
                <w:bCs w:val="1"/>
                <w:color w:val="auto"/>
              </w:rPr>
              <w:t>Locaton</w:t>
            </w:r>
          </w:p>
        </w:tc>
        <w:tc>
          <w:tcPr>
            <w:tcW w:w="720" w:type="dxa"/>
            <w:vAlign w:val="bottom"/>
          </w:tcPr>
          <w:p>
            <w:pPr>
              <w:ind w:left="340"/>
              <w:spacing w:after="0" w:line="243" w:lineRule="exact"/>
              <w:rPr>
                <w:sz w:val="20"/>
                <w:szCs w:val="20"/>
                <w:color w:val="auto"/>
              </w:rPr>
            </w:pPr>
            <w:r>
              <w:rPr>
                <w:rFonts w:ascii="Calibri" w:cs="Calibri" w:eastAsia="Calibri" w:hAnsi="Calibri"/>
                <w:sz w:val="20"/>
                <w:szCs w:val="20"/>
                <w:b w:val="1"/>
                <w:bCs w:val="1"/>
                <w:color w:val="auto"/>
              </w:rPr>
              <w:t>ID</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s (#)</w:t>
            </w:r>
          </w:p>
        </w:tc>
        <w:tc>
          <w:tcPr>
            <w:tcW w:w="7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ons (#)</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40" w:type="dxa"/>
            <w:vAlign w:val="bottom"/>
          </w:tcPr>
          <w:p>
            <w:pPr>
              <w:spacing w:after="0"/>
              <w:rPr>
                <w:sz w:val="21"/>
                <w:szCs w:val="21"/>
                <w:color w:val="auto"/>
              </w:rPr>
            </w:pPr>
          </w:p>
        </w:tc>
        <w:tc>
          <w:tcPr>
            <w:tcW w:w="600" w:type="dxa"/>
            <w:vAlign w:val="bottom"/>
          </w:tcPr>
          <w:p>
            <w:pPr>
              <w:jc w:val="center"/>
              <w:ind w:right="81"/>
              <w:spacing w:after="0" w:line="243" w:lineRule="exact"/>
              <w:rPr>
                <w:sz w:val="20"/>
                <w:szCs w:val="20"/>
                <w:color w:val="auto"/>
              </w:rPr>
            </w:pPr>
            <w:r>
              <w:rPr>
                <w:rFonts w:ascii="Calibri" w:cs="Calibri" w:eastAsia="Calibri" w:hAnsi="Calibri"/>
                <w:sz w:val="20"/>
                <w:szCs w:val="20"/>
                <w:b w:val="1"/>
                <w:bCs w:val="1"/>
                <w:color w:val="auto"/>
              </w:rPr>
              <w:t>sed</w:t>
            </w:r>
          </w:p>
        </w:tc>
        <w:tc>
          <w:tcPr>
            <w:tcW w:w="5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58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(yes/no) (yes/no)</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w:t>
            </w:r>
          </w:p>
        </w:tc>
        <w:tc>
          <w:tcPr>
            <w:tcW w:w="6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44000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**Abingdon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03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31016</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Alexander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01020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**Allsboro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14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44073</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Amelia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31001</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American Stone</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89</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44029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Anderson Creek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09010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Appling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83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204</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Arrowood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Asheboro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01000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Auburn Al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09004</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Auburn GA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36</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Augusta GA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441</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Bakers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71</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09009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Ball Ground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55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Belgrade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64</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Benson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79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147</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38000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Berkeley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72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31011</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Bessemer City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05</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31019</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Bonds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18000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Boonesboro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24</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7"/>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Burlington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42</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31018</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Caldwell Quarry</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69</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40033</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Calhoun Quarry</w:t>
            </w:r>
          </w:p>
        </w:tc>
        <w:tc>
          <w:tcPr>
            <w:tcW w:w="72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95</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147</w:t>
            </w:r>
          </w:p>
        </w:tc>
        <w:tc>
          <w:tcPr>
            <w:tcW w:w="5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2060" w:type="dxa"/>
            <w:vAlign w:val="bottom"/>
          </w:tcPr>
          <w:p>
            <w:pPr>
              <w:spacing w:after="0"/>
              <w:rPr>
                <w:sz w:val="20"/>
                <w:szCs w:val="20"/>
                <w:color w:val="auto"/>
              </w:rPr>
            </w:pPr>
          </w:p>
        </w:tc>
        <w:tc>
          <w:tcPr>
            <w:tcW w:w="720" w:type="dxa"/>
            <w:vAlign w:val="bottom"/>
          </w:tcPr>
          <w:p>
            <w:pPr>
              <w:ind w:left="140"/>
              <w:spacing w:after="0" w:line="232" w:lineRule="exact"/>
              <w:rPr>
                <w:sz w:val="20"/>
                <w:szCs w:val="20"/>
                <w:color w:val="auto"/>
              </w:rPr>
            </w:pPr>
            <w:r>
              <w:rPr>
                <w:rFonts w:ascii="Calibri" w:cs="Calibri" w:eastAsia="Calibri" w:hAnsi="Calibri"/>
                <w:sz w:val="20"/>
                <w:szCs w:val="20"/>
                <w:color w:val="auto"/>
              </w:rPr>
              <w:t>38007</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Calhoun Sand</w:t>
            </w:r>
          </w:p>
        </w:tc>
        <w:tc>
          <w:tcPr>
            <w:tcW w:w="720" w:type="dxa"/>
            <w:vAlign w:val="bottom"/>
          </w:tcPr>
          <w:p>
            <w:pPr>
              <w:ind w:left="140"/>
              <w:spacing w:after="0" w:line="234" w:lineRule="exact"/>
              <w:rPr>
                <w:sz w:val="20"/>
                <w:szCs w:val="20"/>
                <w:color w:val="auto"/>
              </w:rPr>
            </w:pPr>
            <w:r>
              <w:rPr>
                <w:rFonts w:ascii="Calibri" w:cs="Calibri" w:eastAsia="Calibri" w:hAnsi="Calibri"/>
                <w:sz w:val="20"/>
                <w:szCs w:val="20"/>
                <w:color w:val="auto"/>
              </w:rPr>
              <w:t>16</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72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31000</w:t>
            </w:r>
          </w:p>
        </w:tc>
        <w:tc>
          <w:tcPr>
            <w:tcW w:w="7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34"/>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Castle Hayne Quarry</w:t>
            </w:r>
          </w:p>
        </w:tc>
        <w:tc>
          <w:tcPr>
            <w:tcW w:w="720" w:type="dxa"/>
            <w:vAlign w:val="bottom"/>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63</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4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b w:val="1"/>
                <w:bCs w:val="1"/>
                <w:color w:val="auto"/>
                <w:w w:val="78"/>
              </w:rPr>
              <w:t>$</w:t>
            </w:r>
          </w:p>
        </w:tc>
        <w:tc>
          <w:tcPr>
            <w:tcW w:w="6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46"/>
        </w:trPr>
        <w:tc>
          <w:tcPr>
            <w:tcW w:w="206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82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r>
    </w:tbl>
    <w:p>
      <w:pPr>
        <w:sectPr>
          <w:pgSz w:w="11900" w:h="16838" w:orient="portrait"/>
          <w:cols w:equalWidth="0" w:num="1">
            <w:col w:w="11240"/>
          </w:cols>
          <w:pgMar w:left="320" w:top="753" w:right="3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ind w:left="20"/>
              <w:spacing w:after="0"/>
              <w:rPr>
                <w:sz w:val="20"/>
                <w:szCs w:val="20"/>
                <w:color w:val="auto"/>
              </w:rPr>
            </w:pPr>
            <w:r>
              <w:rPr>
                <w:rFonts w:ascii="Calibri" w:cs="Calibri" w:eastAsia="Calibri" w:hAnsi="Calibri"/>
                <w:sz w:val="20"/>
                <w:szCs w:val="20"/>
                <w:color w:val="auto"/>
              </w:rPr>
              <w:t>Cayce</w:t>
            </w:r>
          </w:p>
        </w:tc>
        <w:tc>
          <w:tcPr>
            <w:tcW w:w="980" w:type="dxa"/>
            <w:vAlign w:val="bottom"/>
          </w:tcPr>
          <w:p>
            <w:pPr>
              <w:ind w:left="260"/>
              <w:spacing w:after="0"/>
              <w:rPr>
                <w:sz w:val="20"/>
                <w:szCs w:val="20"/>
                <w:color w:val="auto"/>
              </w:rPr>
            </w:pPr>
            <w:r>
              <w:rPr>
                <w:rFonts w:ascii="Calibri" w:cs="Calibri" w:eastAsia="Calibri" w:hAnsi="Calibri"/>
                <w:sz w:val="20"/>
                <w:szCs w:val="20"/>
                <w:color w:val="auto"/>
              </w:rPr>
              <w:t>38000</w:t>
            </w:r>
          </w:p>
        </w:tc>
        <w:tc>
          <w:tcPr>
            <w:tcW w:w="6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34"/>
        </w:trPr>
        <w:tc>
          <w:tcPr>
            <w:tcW w:w="1940" w:type="dxa"/>
            <w:vAlign w:val="bottom"/>
          </w:tcPr>
          <w:p>
            <w:pPr>
              <w:spacing w:after="0"/>
              <w:rPr>
                <w:sz w:val="20"/>
                <w:szCs w:val="20"/>
                <w:color w:val="auto"/>
              </w:rPr>
            </w:pPr>
          </w:p>
        </w:tc>
        <w:tc>
          <w:tcPr>
            <w:tcW w:w="980" w:type="dxa"/>
            <w:vAlign w:val="bottom"/>
          </w:tcPr>
          <w:p>
            <w:pPr>
              <w:ind w:left="26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6"/>
        </w:trPr>
        <w:tc>
          <w:tcPr>
            <w:tcW w:w="1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940" w:type="dxa"/>
            <w:vAlign w:val="bottom"/>
            <w:shd w:val="clear" w:color="auto" w:fill="CFF0FC"/>
          </w:tcPr>
          <w:p>
            <w:pPr>
              <w:spacing w:after="0"/>
              <w:rPr>
                <w:sz w:val="20"/>
                <w:szCs w:val="20"/>
                <w:color w:val="auto"/>
              </w:rPr>
            </w:pPr>
          </w:p>
        </w:tc>
        <w:tc>
          <w:tcPr>
            <w:tcW w:w="980" w:type="dxa"/>
            <w:vAlign w:val="bottom"/>
            <w:shd w:val="clear" w:color="auto" w:fill="CFF0FC"/>
          </w:tcPr>
          <w:p>
            <w:pPr>
              <w:ind w:left="26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9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Central Rock Quarry</w:t>
            </w:r>
          </w:p>
        </w:tc>
        <w:tc>
          <w:tcPr>
            <w:tcW w:w="98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50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940" w:type="dxa"/>
            <w:vAlign w:val="bottom"/>
          </w:tcPr>
          <w:p>
            <w:pPr>
              <w:spacing w:after="0"/>
              <w:rPr>
                <w:sz w:val="20"/>
                <w:szCs w:val="20"/>
                <w:color w:val="auto"/>
              </w:rPr>
            </w:pPr>
          </w:p>
        </w:tc>
        <w:tc>
          <w:tcPr>
            <w:tcW w:w="980" w:type="dxa"/>
            <w:vAlign w:val="bottom"/>
          </w:tcPr>
          <w:p>
            <w:pPr>
              <w:ind w:left="260"/>
              <w:spacing w:after="0" w:line="232" w:lineRule="exact"/>
              <w:rPr>
                <w:sz w:val="20"/>
                <w:szCs w:val="20"/>
                <w:color w:val="auto"/>
              </w:rPr>
            </w:pPr>
            <w:r>
              <w:rPr>
                <w:rFonts w:ascii="Calibri" w:cs="Calibri" w:eastAsia="Calibri" w:hAnsi="Calibri"/>
                <w:sz w:val="20"/>
                <w:szCs w:val="20"/>
                <w:color w:val="auto"/>
              </w:rPr>
              <w:t>31023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Charlote Portable Plant 1 41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1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2" w:name="page53"/>
    <w:bookmarkEnd w:id="5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Charlote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57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40031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Chatanooga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Churchville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Clarks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40024</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**Coy Stone Plant</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09004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Cumming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Denver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Doswell Quarry VA</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45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Douglasville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East Alamance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Edgefeld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38006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Edmund Sand</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906</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40030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**Elizabethton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ind w:left="20"/>
              <w:spacing w:after="0" w:line="232" w:lineRule="exact"/>
              <w:rPr>
                <w:sz w:val="20"/>
                <w:szCs w:val="20"/>
                <w:color w:val="auto"/>
              </w:rPr>
            </w:pPr>
            <w:r>
              <w:rPr>
                <w:rFonts w:ascii="Calibri" w:cs="Calibri" w:eastAsia="Calibri" w:hAnsi="Calibri"/>
                <w:sz w:val="20"/>
                <w:szCs w:val="20"/>
                <w:color w:val="auto"/>
              </w:rPr>
              <w:t>**Forks of The River</w:t>
            </w: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40016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Fountain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Franklin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Frederick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13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Fuquay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Garner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38005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Georgetown II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40031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**Grasselli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40024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**Greenback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88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31023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Greensboro Portable Plt</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Hickory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09009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Homer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01026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**Huntsville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40012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**I-75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Jamestown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51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Jeferson Quarry</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09010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Juncton City Quarry</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0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Kannapolis Quarry</w:t>
            </w:r>
          </w:p>
        </w:tc>
        <w:tc>
          <w:tcPr>
            <w:tcW w:w="820" w:type="dxa"/>
            <w:vAlign w:val="bottom"/>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280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3" w:name="page54"/>
    <w:bookmarkEnd w:id="53"/>
    <w:p>
      <w:pPr>
        <w:ind w:left="2200"/>
        <w:spacing w:after="0"/>
        <w:rPr>
          <w:sz w:val="20"/>
          <w:szCs w:val="20"/>
          <w:color w:val="auto"/>
        </w:rPr>
      </w:pPr>
      <w:r>
        <w:rPr>
          <w:rFonts w:ascii="Calibri" w:cs="Calibri" w:eastAsia="Calibri" w:hAnsi="Calibri"/>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840" w:type="dxa"/>
            <w:vAlign w:val="bottom"/>
          </w:tcPr>
          <w:p>
            <w:pPr>
              <w:ind w:left="120"/>
              <w:spacing w:after="0"/>
              <w:rPr>
                <w:sz w:val="20"/>
                <w:szCs w:val="20"/>
                <w:color w:val="auto"/>
              </w:rPr>
            </w:pPr>
            <w:r>
              <w:rPr>
                <w:rFonts w:ascii="Calibri" w:cs="Calibri" w:eastAsia="Calibri" w:hAnsi="Calibri"/>
                <w:sz w:val="20"/>
                <w:szCs w:val="20"/>
                <w:color w:val="auto"/>
              </w:rPr>
              <w:t>18007</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080" w:type="dxa"/>
            <w:vAlign w:val="bottom"/>
          </w:tcPr>
          <w:p>
            <w:pPr>
              <w:ind w:left="20"/>
              <w:spacing w:after="0" w:line="243" w:lineRule="exact"/>
              <w:rPr>
                <w:sz w:val="20"/>
                <w:szCs w:val="20"/>
                <w:color w:val="auto"/>
              </w:rPr>
            </w:pPr>
            <w:r>
              <w:rPr>
                <w:rFonts w:ascii="Calibri" w:cs="Calibri" w:eastAsia="Calibri" w:hAnsi="Calibri"/>
                <w:sz w:val="20"/>
                <w:szCs w:val="20"/>
                <w:color w:val="auto"/>
              </w:rPr>
              <w:t>Kent Sand &amp; Gravel</w:t>
            </w:r>
          </w:p>
        </w:tc>
        <w:tc>
          <w:tcPr>
            <w:tcW w:w="840" w:type="dxa"/>
            <w:vAlign w:val="bottom"/>
          </w:tcPr>
          <w:p>
            <w:pPr>
              <w:ind w:left="120"/>
              <w:spacing w:after="0" w:line="243" w:lineRule="exact"/>
              <w:rPr>
                <w:sz w:val="20"/>
                <w:szCs w:val="20"/>
                <w:color w:val="auto"/>
              </w:rPr>
            </w:pPr>
            <w:r>
              <w:rPr>
                <w:rFonts w:ascii="Calibri" w:cs="Calibri" w:eastAsia="Calibri" w:hAnsi="Calibri"/>
                <w:sz w:val="20"/>
                <w:szCs w:val="20"/>
                <w:color w:val="auto"/>
              </w:rPr>
              <w:t>45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Kings Mountain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31011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Lemon Springs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Lithonia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Loamy Sand Gravel</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**Locust Mount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4" w:name="page55"/>
    <w:bookmarkEnd w:id="5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31021</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Maiden Quarry</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Mallard Creek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Mathews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01006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Maylene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Medford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44037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**Midway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00B86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Misc Greensboro District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**Monterey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Morgan County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Newton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38001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Columbia</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18004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North East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01030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O'Neal Plant  Co 19</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Old Charleston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Onslow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ind w:left="20"/>
              <w:spacing w:after="0" w:line="232" w:lineRule="exact"/>
              <w:rPr>
                <w:sz w:val="20"/>
                <w:szCs w:val="20"/>
                <w:color w:val="auto"/>
              </w:rPr>
            </w:pPr>
            <w:r>
              <w:rPr>
                <w:rFonts w:ascii="Calibri" w:cs="Calibri" w:eastAsia="Calibri" w:hAnsi="Calibri"/>
                <w:sz w:val="20"/>
                <w:szCs w:val="20"/>
                <w:color w:val="auto"/>
              </w:rPr>
              <w:t>**Palmeto Sand</w:t>
            </w: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Company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351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Paulding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08010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Perry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Pinesburg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Pomona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221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Raleigh Durham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44000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Red Hill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Red Oak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Reidsville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40032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Riverbend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38000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Rock Hill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31019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Rocky Point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Ruby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38007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**Salem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Salem Stone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31020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5" w:name="page56"/>
    <w:bookmarkEnd w:id="55"/>
    <w:p>
      <w:pPr>
        <w:ind w:left="2200"/>
        <w:spacing w:after="0"/>
        <w:rPr>
          <w:sz w:val="20"/>
          <w:szCs w:val="20"/>
          <w:color w:val="auto"/>
        </w:rPr>
      </w:pPr>
      <w:r>
        <w:rPr>
          <w:rFonts w:ascii="Calibri" w:cs="Calibri" w:eastAsia="Calibri" w:hAnsi="Calibri"/>
          <w:sz w:val="20"/>
          <w:szCs w:val="20"/>
          <w:color w:val="auto"/>
        </w:rPr>
        <w:t>38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shd w:val="clear" w:color="auto" w:fill="CFF0FC"/>
          </w:tcPr>
          <w:p>
            <w:pPr>
              <w:spacing w:after="0"/>
              <w:rPr>
                <w:sz w:val="21"/>
                <w:szCs w:val="21"/>
                <w:color w:val="auto"/>
              </w:rPr>
            </w:pPr>
          </w:p>
        </w:tc>
        <w:tc>
          <w:tcPr>
            <w:tcW w:w="800" w:type="dxa"/>
            <w:vAlign w:val="bottom"/>
            <w:shd w:val="clear" w:color="auto" w:fill="CFF0FC"/>
          </w:tcPr>
          <w:p>
            <w:pPr>
              <w:ind w:left="80"/>
              <w:spacing w:after="0"/>
              <w:rPr>
                <w:sz w:val="20"/>
                <w:szCs w:val="20"/>
                <w:color w:val="auto"/>
              </w:rPr>
            </w:pPr>
            <w:r>
              <w:rPr>
                <w:rFonts w:ascii="Calibri" w:cs="Calibri" w:eastAsia="Calibri" w:hAnsi="Calibri"/>
                <w:sz w:val="20"/>
                <w:szCs w:val="20"/>
                <w:color w:val="auto"/>
              </w:rPr>
              <w:t>08013</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**SDI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Six Mile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09011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 Marys Sand Company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Statesville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368</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Texas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645</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31014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Thomasville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2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6" w:name="page57"/>
    <w:bookmarkEnd w:id="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**Tri Cites Airport</w:t>
            </w: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57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09003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Tyrone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**Unicoi</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75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01030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Vance Quarry  Co 19</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36001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Warfordsburg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68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09005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Warrenton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80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40001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**Watauga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31013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Wilmington Sand</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31022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Wilson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31000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Woodleaf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(45) North Indianapolis</w:t>
            </w: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SURFACE</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827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13020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Alden Portable Plant #2</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33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Alden Portable Sand</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13002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Alden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28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Ames Mine</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33016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Apple Grove S G</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Belmont Sand</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5</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2,412</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ind w:left="20"/>
              <w:spacing w:after="0" w:line="232" w:lineRule="exact"/>
              <w:rPr>
                <w:sz w:val="20"/>
                <w:szCs w:val="20"/>
                <w:color w:val="auto"/>
              </w:rPr>
            </w:pPr>
            <w:r>
              <w:rPr>
                <w:rFonts w:ascii="Calibri" w:cs="Calibri" w:eastAsia="Calibri" w:hAnsi="Calibri"/>
                <w:sz w:val="20"/>
                <w:szCs w:val="20"/>
                <w:color w:val="auto"/>
              </w:rPr>
              <w:t>Bowling Green North</w:t>
            </w: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65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Bowling Green South</w:t>
            </w: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46088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Burning Springs Mine</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Carmel Sand</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1,362</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Cedar Rapids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33040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Cedarville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12017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Cloverdale Quarry</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Cumberland Quarry</w:t>
            </w: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(Kentucky)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Des Moines Portable</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50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Des Moines Portable #2</w:t>
            </w: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13009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Primary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ind w:left="20"/>
              <w:spacing w:after="0" w:line="232" w:lineRule="exact"/>
              <w:rPr>
                <w:sz w:val="20"/>
                <w:szCs w:val="20"/>
                <w:color w:val="auto"/>
              </w:rPr>
            </w:pPr>
            <w:r>
              <w:rPr>
                <w:rFonts w:ascii="Calibri" w:cs="Calibri" w:eastAsia="Calibri" w:hAnsi="Calibri"/>
                <w:sz w:val="20"/>
                <w:szCs w:val="20"/>
                <w:color w:val="auto"/>
              </w:rPr>
              <w:t>DES MOINES PORTABLE</w:t>
            </w: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13025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SAND</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080" w:type="dxa"/>
            <w:vAlign w:val="bottom"/>
            <w:shd w:val="clear" w:color="auto" w:fill="CFF0FC"/>
          </w:tcPr>
          <w:p>
            <w:pPr>
              <w:spacing w:after="0"/>
              <w:rPr>
                <w:sz w:val="20"/>
                <w:szCs w:val="20"/>
                <w:color w:val="auto"/>
              </w:rPr>
            </w:pPr>
          </w:p>
        </w:tc>
        <w:tc>
          <w:tcPr>
            <w:tcW w:w="840" w:type="dxa"/>
            <w:vAlign w:val="bottom"/>
            <w:shd w:val="clear" w:color="auto" w:fill="CFF0FC"/>
          </w:tcPr>
          <w:p>
            <w:pPr>
              <w:ind w:left="120"/>
              <w:spacing w:after="0" w:line="232" w:lineRule="exact"/>
              <w:rPr>
                <w:sz w:val="20"/>
                <w:szCs w:val="20"/>
                <w:color w:val="auto"/>
              </w:rPr>
            </w:pPr>
            <w:r>
              <w:rPr>
                <w:rFonts w:ascii="Calibri" w:cs="Calibri" w:eastAsia="Calibri" w:hAnsi="Calibri"/>
                <w:sz w:val="20"/>
                <w:szCs w:val="20"/>
                <w:color w:val="auto"/>
              </w:rPr>
              <w:t>25010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0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Dubois Quarry</w:t>
            </w:r>
          </w:p>
        </w:tc>
        <w:tc>
          <w:tcPr>
            <w:tcW w:w="84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80" w:type="dxa"/>
            <w:vAlign w:val="bottom"/>
          </w:tcPr>
          <w:p>
            <w:pPr>
              <w:spacing w:after="0"/>
              <w:rPr>
                <w:sz w:val="20"/>
                <w:szCs w:val="20"/>
                <w:color w:val="auto"/>
              </w:rPr>
            </w:pPr>
          </w:p>
        </w:tc>
        <w:tc>
          <w:tcPr>
            <w:tcW w:w="840" w:type="dxa"/>
            <w:vAlign w:val="bottom"/>
          </w:tcPr>
          <w:p>
            <w:pPr>
              <w:ind w:left="120"/>
              <w:spacing w:after="0" w:line="232" w:lineRule="exact"/>
              <w:rPr>
                <w:sz w:val="20"/>
                <w:szCs w:val="20"/>
                <w:color w:val="auto"/>
              </w:rPr>
            </w:pPr>
            <w:r>
              <w:rPr>
                <w:rFonts w:ascii="Calibri" w:cs="Calibri" w:eastAsia="Calibri" w:hAnsi="Calibri"/>
                <w:sz w:val="20"/>
                <w:szCs w:val="20"/>
                <w:color w:val="auto"/>
              </w:rPr>
              <w:t>13012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Durham Mine</w:t>
            </w:r>
          </w:p>
        </w:tc>
        <w:tc>
          <w:tcPr>
            <w:tcW w:w="840" w:type="dxa"/>
            <w:vAlign w:val="bottom"/>
          </w:tcPr>
          <w:p>
            <w:pPr>
              <w:ind w:left="120"/>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08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 Town Sand Gravel</w:t>
            </w:r>
          </w:p>
        </w:tc>
        <w:tc>
          <w:tcPr>
            <w:tcW w:w="84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33042</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0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57" w:name="page58"/>
    <w:bookmarkEnd w:id="57"/>
    <w:p>
      <w:pPr>
        <w:ind w:left="2200"/>
        <w:spacing w:after="0"/>
        <w:rPr>
          <w:sz w:val="20"/>
          <w:szCs w:val="20"/>
          <w:color w:val="auto"/>
        </w:rPr>
      </w:pPr>
      <w:r>
        <w:rPr>
          <w:rFonts w:ascii="Calibri" w:cs="Calibri" w:eastAsia="Calibri" w:hAnsi="Calibri"/>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Calibri" w:cs="Calibri" w:eastAsia="Calibri" w:hAnsi="Calibri"/>
                <w:sz w:val="20"/>
                <w:szCs w:val="20"/>
                <w:color w:val="auto"/>
              </w:rPr>
              <w:t>13021</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2040" w:type="dxa"/>
            <w:vAlign w:val="bottom"/>
          </w:tcPr>
          <w:p>
            <w:pPr>
              <w:ind w:left="20"/>
              <w:spacing w:after="0" w:line="243" w:lineRule="exact"/>
              <w:rPr>
                <w:sz w:val="20"/>
                <w:szCs w:val="20"/>
                <w:color w:val="auto"/>
              </w:rPr>
            </w:pPr>
            <w:r>
              <w:rPr>
                <w:rFonts w:ascii="Calibri" w:cs="Calibri" w:eastAsia="Calibri" w:hAnsi="Calibri"/>
                <w:sz w:val="20"/>
                <w:szCs w:val="20"/>
                <w:color w:val="auto"/>
              </w:rPr>
              <w:t>Earlham Quarry</w:t>
            </w:r>
          </w:p>
        </w:tc>
        <w:tc>
          <w:tcPr>
            <w:tcW w:w="880" w:type="dxa"/>
            <w:vAlign w:val="bottom"/>
          </w:tcPr>
          <w:p>
            <w:pPr>
              <w:ind w:left="160"/>
              <w:spacing w:after="0" w:line="243" w:lineRule="exact"/>
              <w:rPr>
                <w:sz w:val="20"/>
                <w:szCs w:val="20"/>
                <w:color w:val="auto"/>
              </w:rPr>
            </w:pPr>
            <w:r>
              <w:rPr>
                <w:rFonts w:ascii="Calibri" w:cs="Calibri" w:eastAsia="Calibri" w:hAnsi="Calibri"/>
                <w:sz w:val="20"/>
                <w:szCs w:val="20"/>
                <w:color w:val="auto"/>
              </w:rPr>
              <w:t>23</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294</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21012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Elk River Wash Plant</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40" w:type="dxa"/>
            <w:vAlign w:val="bottom"/>
          </w:tcPr>
          <w:p>
            <w:pPr>
              <w:spacing w:after="0"/>
              <w:rPr>
                <w:sz w:val="20"/>
                <w:szCs w:val="20"/>
                <w:color w:val="auto"/>
              </w:rPr>
            </w:pPr>
          </w:p>
        </w:tc>
        <w:tc>
          <w:tcPr>
            <w:tcW w:w="880" w:type="dxa"/>
            <w:vAlign w:val="bottom"/>
          </w:tcPr>
          <w:p>
            <w:pPr>
              <w:ind w:left="16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40" w:type="dxa"/>
            <w:vAlign w:val="bottom"/>
          </w:tcPr>
          <w:p>
            <w:pPr>
              <w:ind w:left="20"/>
              <w:spacing w:after="0" w:line="234" w:lineRule="exact"/>
              <w:rPr>
                <w:sz w:val="20"/>
                <w:szCs w:val="20"/>
                <w:color w:val="auto"/>
              </w:rPr>
            </w:pPr>
            <w:r>
              <w:rPr>
                <w:rFonts w:ascii="Calibri" w:cs="Calibri" w:eastAsia="Calibri" w:hAnsi="Calibri"/>
                <w:sz w:val="20"/>
                <w:szCs w:val="20"/>
                <w:color w:val="auto"/>
              </w:rPr>
              <w:t>Fairfeld Sand &amp; Gravel</w:t>
            </w:r>
          </w:p>
        </w:tc>
        <w:tc>
          <w:tcPr>
            <w:tcW w:w="880" w:type="dxa"/>
            <w:vAlign w:val="bottom"/>
          </w:tcPr>
          <w:p>
            <w:pPr>
              <w:ind w:left="160"/>
              <w:spacing w:after="0" w:line="234" w:lineRule="exact"/>
              <w:rPr>
                <w:sz w:val="20"/>
                <w:szCs w:val="20"/>
                <w:color w:val="auto"/>
              </w:rPr>
            </w:pPr>
            <w:r>
              <w:rPr>
                <w:rFonts w:ascii="Calibri" w:cs="Calibri" w:eastAsia="Calibri" w:hAnsi="Calibri"/>
                <w:sz w:val="20"/>
                <w:szCs w:val="20"/>
                <w:color w:val="auto"/>
              </w:rPr>
              <w:t>96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Ferguson Quarry</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40" w:type="dxa"/>
            <w:vAlign w:val="bottom"/>
          </w:tcPr>
          <w:p>
            <w:pPr>
              <w:spacing w:after="0"/>
              <w:rPr>
                <w:sz w:val="20"/>
                <w:szCs w:val="20"/>
                <w:color w:val="auto"/>
              </w:rPr>
            </w:pPr>
          </w:p>
        </w:tc>
        <w:tc>
          <w:tcPr>
            <w:tcW w:w="880" w:type="dxa"/>
            <w:vAlign w:val="bottom"/>
          </w:tcPr>
          <w:p>
            <w:pPr>
              <w:ind w:left="16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40" w:type="dxa"/>
            <w:vAlign w:val="bottom"/>
          </w:tcPr>
          <w:p>
            <w:pPr>
              <w:ind w:left="20"/>
              <w:spacing w:after="0" w:line="234" w:lineRule="exact"/>
              <w:rPr>
                <w:sz w:val="20"/>
                <w:szCs w:val="20"/>
                <w:color w:val="auto"/>
              </w:rPr>
            </w:pPr>
            <w:r>
              <w:rPr>
                <w:rFonts w:ascii="Calibri" w:cs="Calibri" w:eastAsia="Calibri" w:hAnsi="Calibri"/>
                <w:sz w:val="20"/>
                <w:szCs w:val="20"/>
                <w:color w:val="auto"/>
              </w:rPr>
              <w:t>Fort Calhoun Mine UG</w:t>
            </w:r>
          </w:p>
        </w:tc>
        <w:tc>
          <w:tcPr>
            <w:tcW w:w="880" w:type="dxa"/>
            <w:vAlign w:val="bottom"/>
          </w:tcPr>
          <w:p>
            <w:pPr>
              <w:ind w:left="160"/>
              <w:spacing w:after="0" w:line="234" w:lineRule="exact"/>
              <w:rPr>
                <w:sz w:val="20"/>
                <w:szCs w:val="20"/>
                <w:color w:val="auto"/>
              </w:rPr>
            </w:pPr>
            <w:r>
              <w:rPr>
                <w:rFonts w:ascii="Calibri" w:cs="Calibri" w:eastAsia="Calibri" w:hAnsi="Calibri"/>
                <w:sz w:val="20"/>
                <w:szCs w:val="20"/>
                <w:color w:val="auto"/>
              </w:rPr>
              <w:t>00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ind w:left="16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Fort Dodge Mine</w:t>
            </w:r>
          </w:p>
        </w:tc>
        <w:tc>
          <w:tcPr>
            <w:tcW w:w="880" w:type="dxa"/>
            <w:vAlign w:val="bottom"/>
            <w:tcBorders>
              <w:bottom w:val="single" w:sz="8" w:color="CFF0FC"/>
            </w:tcBorders>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58" w:name="page59"/>
    <w:bookmarkEnd w:id="58"/>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6"/>
        </w:trPr>
        <w:tc>
          <w:tcPr>
            <w:tcW w:w="216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Calibri" w:cs="Calibri" w:eastAsia="Calibri" w:hAnsi="Calibri"/>
                <w:sz w:val="20"/>
                <w:szCs w:val="20"/>
                <w:color w:val="auto"/>
              </w:rPr>
              <w:t>23001</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60" w:type="dxa"/>
            <w:vAlign w:val="bottom"/>
          </w:tcPr>
          <w:p>
            <w:pPr>
              <w:ind w:left="20"/>
              <w:spacing w:after="0" w:line="243" w:lineRule="exact"/>
              <w:rPr>
                <w:sz w:val="20"/>
                <w:szCs w:val="20"/>
                <w:color w:val="auto"/>
              </w:rPr>
            </w:pPr>
            <w:r>
              <w:rPr>
                <w:rFonts w:ascii="Calibri" w:cs="Calibri" w:eastAsia="Calibri" w:hAnsi="Calibri"/>
                <w:sz w:val="20"/>
                <w:szCs w:val="20"/>
                <w:color w:val="auto"/>
              </w:rPr>
              <w:t>Greenwood Quarry  New</w:t>
            </w:r>
          </w:p>
        </w:tc>
        <w:tc>
          <w:tcPr>
            <w:tcW w:w="760" w:type="dxa"/>
            <w:vAlign w:val="bottom"/>
          </w:tcPr>
          <w:p>
            <w:pPr>
              <w:ind w:left="40"/>
              <w:spacing w:after="0" w:line="243" w:lineRule="exact"/>
              <w:rPr>
                <w:sz w:val="20"/>
                <w:szCs w:val="20"/>
                <w:color w:val="auto"/>
              </w:rPr>
            </w:pPr>
            <w:r>
              <w:rPr>
                <w:rFonts w:ascii="Calibri" w:cs="Calibri" w:eastAsia="Calibri" w:hAnsi="Calibri"/>
                <w:sz w:val="20"/>
                <w:szCs w:val="20"/>
                <w:color w:val="auto"/>
              </w:rPr>
              <w:t>41</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Harlan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15000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Hartord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Iowa Grading Plant 854</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Iowa Grading 2</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Johnson County Sand &amp;</w:t>
            </w: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12017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Kentucky Ave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Kokomo Mine UG</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935</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Kokomo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03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12001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Kokomo Stone (Surface)</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588</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**Lebanon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Linn County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13001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Malcom Mine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00A23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Midwest Division OH</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54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1</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2</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3</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4</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87</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21011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5</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6</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Portable # 7</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21018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MN Portable # 8</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43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21036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MN Reclamaton</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Moore Quarry</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88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40000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**Murfreesboro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53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Noblesville Sand</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679</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12021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Noblesville Stone</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76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12019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920" w:type="dxa"/>
            <w:vAlign w:val="bottom"/>
            <w:tcBorders>
              <w:bottom w:val="single" w:sz="8" w:color="CFF0FC"/>
            </w:tcBorders>
            <w:gridSpan w:val="2"/>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North Indianapolis Quarry 93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1,399</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60" w:type="dxa"/>
            <w:vAlign w:val="bottom"/>
          </w:tcPr>
          <w:p>
            <w:pPr>
              <w:spacing w:after="0"/>
              <w:rPr>
                <w:sz w:val="20"/>
                <w:szCs w:val="20"/>
                <w:color w:val="auto"/>
              </w:rPr>
            </w:pPr>
          </w:p>
        </w:tc>
        <w:tc>
          <w:tcPr>
            <w:tcW w:w="760" w:type="dxa"/>
            <w:vAlign w:val="bottom"/>
          </w:tcPr>
          <w:p>
            <w:pPr>
              <w:ind w:left="4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North Valley Sand</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60" w:type="dxa"/>
            <w:vAlign w:val="bottom"/>
            <w:shd w:val="clear" w:color="auto" w:fill="CFF0FC"/>
          </w:tcPr>
          <w:p>
            <w:pPr>
              <w:spacing w:after="0"/>
              <w:rPr>
                <w:sz w:val="20"/>
                <w:szCs w:val="20"/>
                <w:color w:val="auto"/>
              </w:rPr>
            </w:pPr>
          </w:p>
        </w:tc>
        <w:tc>
          <w:tcPr>
            <w:tcW w:w="760" w:type="dxa"/>
            <w:vAlign w:val="bottom"/>
            <w:shd w:val="clear" w:color="auto" w:fill="CFF0FC"/>
          </w:tcPr>
          <w:p>
            <w:pPr>
              <w:ind w:left="40"/>
              <w:spacing w:after="0" w:line="232" w:lineRule="exact"/>
              <w:rPr>
                <w:sz w:val="20"/>
                <w:szCs w:val="20"/>
                <w:color w:val="auto"/>
              </w:rPr>
            </w:pPr>
            <w:r>
              <w:rPr>
                <w:rFonts w:ascii="Calibri" w:cs="Calibri" w:eastAsia="Calibri" w:hAnsi="Calibri"/>
                <w:sz w:val="20"/>
                <w:szCs w:val="20"/>
                <w:color w:val="auto"/>
              </w:rPr>
              <w:t>14015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Otawa Quarry New</w:t>
            </w:r>
          </w:p>
        </w:tc>
        <w:tc>
          <w:tcPr>
            <w:tcW w:w="760" w:type="dxa"/>
            <w:vAlign w:val="bottom"/>
            <w:tcBorders>
              <w:bottom w:val="single" w:sz="8" w:color="CFF0FC"/>
            </w:tcBorders>
            <w:shd w:val="clear" w:color="auto" w:fill="CFF0FC"/>
          </w:tcPr>
          <w:p>
            <w:pPr>
              <w:ind w:left="4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60" w:type="dxa"/>
            <w:vAlign w:val="bottom"/>
          </w:tcPr>
          <w:p>
            <w:pPr>
              <w:ind w:left="20"/>
              <w:spacing w:after="0" w:line="234" w:lineRule="exact"/>
              <w:rPr>
                <w:sz w:val="20"/>
                <w:szCs w:val="20"/>
                <w:color w:val="auto"/>
              </w:rPr>
            </w:pPr>
            <w:r>
              <w:rPr>
                <w:rFonts w:ascii="Calibri" w:cs="Calibri" w:eastAsia="Calibri" w:hAnsi="Calibri"/>
                <w:sz w:val="20"/>
                <w:szCs w:val="20"/>
                <w:color w:val="auto"/>
              </w:rPr>
              <w:t>Pedersen Quarry</w:t>
            </w:r>
          </w:p>
        </w:tc>
        <w:tc>
          <w:tcPr>
            <w:tcW w:w="760" w:type="dxa"/>
            <w:vAlign w:val="bottom"/>
          </w:tcPr>
          <w:p>
            <w:pPr>
              <w:ind w:left="40"/>
              <w:spacing w:after="0" w:line="234" w:lineRule="exact"/>
              <w:rPr>
                <w:sz w:val="20"/>
                <w:szCs w:val="20"/>
                <w:color w:val="auto"/>
              </w:rPr>
            </w:pPr>
            <w:r>
              <w:rPr>
                <w:rFonts w:ascii="Calibri" w:cs="Calibri" w:eastAsia="Calibri" w:hAnsi="Calibri"/>
                <w:sz w:val="20"/>
                <w:szCs w:val="20"/>
                <w:color w:val="auto"/>
              </w:rPr>
              <w:t>13021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59" w:name="page60"/>
    <w:bookmarkEnd w:id="59"/>
    <w:p>
      <w:pPr>
        <w:ind w:left="2200"/>
        <w:spacing w:after="0"/>
        <w:rPr>
          <w:sz w:val="20"/>
          <w:szCs w:val="20"/>
          <w:color w:val="auto"/>
        </w:rPr>
      </w:pPr>
      <w:r>
        <w:rPr>
          <w:rFonts w:ascii="Calibri" w:cs="Calibri" w:eastAsia="Calibri" w:hAnsi="Calibri"/>
          <w:sz w:val="20"/>
          <w:szCs w:val="20"/>
          <w:color w:val="auto"/>
        </w:rPr>
        <w:t>92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shd w:val="clear" w:color="auto" w:fill="CFF0FC"/>
          </w:tcPr>
          <w:p>
            <w:pPr>
              <w:spacing w:after="0"/>
              <w:rPr>
                <w:sz w:val="21"/>
                <w:szCs w:val="21"/>
                <w:color w:val="auto"/>
              </w:rPr>
            </w:pPr>
          </w:p>
        </w:tc>
        <w:tc>
          <w:tcPr>
            <w:tcW w:w="860" w:type="dxa"/>
            <w:vAlign w:val="bottom"/>
            <w:shd w:val="clear" w:color="auto" w:fill="CFF0FC"/>
          </w:tcPr>
          <w:p>
            <w:pPr>
              <w:ind w:left="140"/>
              <w:spacing w:after="0"/>
              <w:rPr>
                <w:sz w:val="20"/>
                <w:szCs w:val="20"/>
                <w:color w:val="auto"/>
              </w:rPr>
            </w:pPr>
            <w:r>
              <w:rPr>
                <w:rFonts w:ascii="Calibri" w:cs="Calibri" w:eastAsia="Calibri" w:hAnsi="Calibri"/>
                <w:sz w:val="20"/>
                <w:szCs w:val="20"/>
                <w:color w:val="auto"/>
              </w:rPr>
              <w:t>15168</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Petersburg Ky Gravel</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33000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Phillipsburg Quarry</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Portland Quarry (Alden</w:t>
            </w: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Wash)</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060" w:type="dxa"/>
            <w:vAlign w:val="bottom"/>
          </w:tcPr>
          <w:p>
            <w:pPr>
              <w:spacing w:after="0"/>
              <w:rPr>
                <w:sz w:val="20"/>
                <w:szCs w:val="20"/>
                <w:color w:val="auto"/>
              </w:rPr>
            </w:pPr>
          </w:p>
        </w:tc>
        <w:tc>
          <w:tcPr>
            <w:tcW w:w="860" w:type="dxa"/>
            <w:vAlign w:val="bottom"/>
          </w:tcPr>
          <w:p>
            <w:pPr>
              <w:ind w:left="140"/>
              <w:spacing w:after="0" w:line="232" w:lineRule="exact"/>
              <w:rPr>
                <w:sz w:val="20"/>
                <w:szCs w:val="20"/>
                <w:color w:val="auto"/>
              </w:rPr>
            </w:pPr>
            <w:r>
              <w:rPr>
                <w:rFonts w:ascii="Calibri" w:cs="Calibri" w:eastAsia="Calibri" w:hAnsi="Calibri"/>
                <w:sz w:val="20"/>
                <w:szCs w:val="20"/>
                <w:color w:val="auto"/>
              </w:rPr>
              <w:t>12022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Putnam Quarry</w:t>
            </w:r>
          </w:p>
        </w:tc>
        <w:tc>
          <w:tcPr>
            <w:tcW w:w="860" w:type="dxa"/>
            <w:vAlign w:val="bottom"/>
          </w:tcPr>
          <w:p>
            <w:pPr>
              <w:ind w:left="140"/>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ind w:left="140"/>
              <w:spacing w:after="0" w:line="232" w:lineRule="exact"/>
              <w:rPr>
                <w:sz w:val="20"/>
                <w:szCs w:val="20"/>
                <w:color w:val="auto"/>
              </w:rPr>
            </w:pPr>
            <w:r>
              <w:rPr>
                <w:rFonts w:ascii="Calibri" w:cs="Calibri" w:eastAsia="Calibri" w:hAnsi="Calibri"/>
                <w:sz w:val="20"/>
                <w:szCs w:val="20"/>
                <w:color w:val="auto"/>
              </w:rPr>
              <w:t>13023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06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Raccoon River Sand</w:t>
            </w:r>
          </w:p>
        </w:tc>
        <w:tc>
          <w:tcPr>
            <w:tcW w:w="8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46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b w:val="1"/>
                <w:bCs w:val="1"/>
                <w:color w:val="auto"/>
              </w:rPr>
              <w:t>$</w:t>
            </w:r>
          </w:p>
        </w:tc>
        <w:tc>
          <w:tcPr>
            <w:tcW w:w="5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2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0" w:name="page61"/>
    <w:bookmarkEnd w:id="60"/>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7"/>
        </w:trPr>
        <w:tc>
          <w:tcPr>
            <w:tcW w:w="212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Calibri" w:cs="Calibri" w:eastAsia="Calibri" w:hAnsi="Calibri"/>
                <w:sz w:val="20"/>
                <w:szCs w:val="20"/>
                <w:color w:val="auto"/>
              </w:rPr>
              <w:t>23023</w:t>
            </w: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20" w:type="dxa"/>
            <w:vAlign w:val="bottom"/>
          </w:tcPr>
          <w:p>
            <w:pPr>
              <w:ind w:left="20"/>
              <w:spacing w:after="0" w:line="243" w:lineRule="exact"/>
              <w:rPr>
                <w:sz w:val="20"/>
                <w:szCs w:val="20"/>
                <w:color w:val="auto"/>
              </w:rPr>
            </w:pPr>
            <w:r>
              <w:rPr>
                <w:rFonts w:ascii="Calibri" w:cs="Calibri" w:eastAsia="Calibri" w:hAnsi="Calibri"/>
                <w:sz w:val="20"/>
                <w:szCs w:val="20"/>
                <w:color w:val="auto"/>
              </w:rPr>
              <w:t>Randolph Mine</w:t>
            </w:r>
          </w:p>
        </w:tc>
        <w:tc>
          <w:tcPr>
            <w:tcW w:w="800" w:type="dxa"/>
            <w:vAlign w:val="bottom"/>
          </w:tcPr>
          <w:p>
            <w:pPr>
              <w:ind w:left="80"/>
              <w:spacing w:after="0" w:line="243" w:lineRule="exact"/>
              <w:rPr>
                <w:sz w:val="20"/>
                <w:szCs w:val="20"/>
                <w:color w:val="auto"/>
              </w:rPr>
            </w:pPr>
            <w:r>
              <w:rPr>
                <w:rFonts w:ascii="Calibri" w:cs="Calibri" w:eastAsia="Calibri" w:hAnsi="Calibri"/>
                <w:sz w:val="20"/>
                <w:szCs w:val="20"/>
                <w:color w:val="auto"/>
              </w:rPr>
              <w:t>08</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3</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861</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Reasnor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13022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Saylorville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33040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Shamrock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40029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**Smyrna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40</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Spring Valley Cook Rd SG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21000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 Cloud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23022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Stamper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2</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40034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**Stones River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Sully Mine</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14015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Sunfower Qy  Co 61</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33016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Troy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25013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Walterloo Sand</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12020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Waverly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25009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Weeping Water Mine</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8</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9,789</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25012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West Center Sand</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576</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33013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Xenia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21000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Yellow Medicine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05009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Bennet Sand &amp;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02025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Clarkdale Sand &amp;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04001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Clayton</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2,456</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02031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Coolidge Plant 65</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73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04047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Eagle Valley Plant</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Granite Canyon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Greeley 35th Sand Gravel 13</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48000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Guernsey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04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441</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Hassayampa</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79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05009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Hatchery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04017</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Hughson AGG &amp; HMA</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69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04018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Irwindale Plant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38</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Lakeside Vigilante Plant</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04026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55" w:orient="portrait"/>
          <w:cols w:equalWidth="0" w:num="1">
            <w:col w:w="11240"/>
          </w:cols>
          <w:pgMar w:left="320" w:top="753" w:right="339" w:bottom="0" w:gutter="0" w:footer="0" w:header="0"/>
        </w:sectPr>
      </w:pPr>
    </w:p>
    <w:bookmarkStart w:id="61" w:name="page62"/>
    <w:bookmarkEnd w:id="61"/>
    <w:p>
      <w:pPr>
        <w:ind w:left="2200"/>
        <w:spacing w:after="0"/>
        <w:rPr>
          <w:sz w:val="20"/>
          <w:szCs w:val="20"/>
          <w:color w:val="auto"/>
        </w:rPr>
      </w:pPr>
      <w:r>
        <w:rPr>
          <w:rFonts w:ascii="Calibri" w:cs="Calibri" w:eastAsia="Calibri" w:hAnsi="Calibri"/>
          <w:sz w:val="20"/>
          <w:szCs w:val="20"/>
          <w:color w:val="auto"/>
        </w:rPr>
        <w:t>85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00" w:type="dxa"/>
            <w:vAlign w:val="bottom"/>
            <w:shd w:val="clear" w:color="auto" w:fill="CFF0FC"/>
          </w:tcPr>
          <w:p>
            <w:pPr>
              <w:spacing w:after="0"/>
              <w:rPr>
                <w:sz w:val="21"/>
                <w:szCs w:val="21"/>
                <w:color w:val="auto"/>
              </w:rPr>
            </w:pPr>
          </w:p>
        </w:tc>
        <w:tc>
          <w:tcPr>
            <w:tcW w:w="820" w:type="dxa"/>
            <w:vAlign w:val="bottom"/>
            <w:shd w:val="clear" w:color="auto" w:fill="CFF0FC"/>
          </w:tcPr>
          <w:p>
            <w:pPr>
              <w:ind w:left="100"/>
              <w:spacing w:after="0"/>
              <w:rPr>
                <w:sz w:val="20"/>
                <w:szCs w:val="20"/>
                <w:color w:val="auto"/>
              </w:rPr>
            </w:pPr>
            <w:r>
              <w:rPr>
                <w:rFonts w:ascii="Calibri" w:cs="Calibri" w:eastAsia="Calibri" w:hAnsi="Calibri"/>
                <w:sz w:val="20"/>
                <w:szCs w:val="20"/>
                <w:color w:val="auto"/>
              </w:rPr>
              <w:t>04028</w:t>
            </w:r>
          </w:p>
        </w:tc>
        <w:tc>
          <w:tcPr>
            <w:tcW w:w="6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Merced AGG &amp; HMA</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42021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Milford Quarry  Utah</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77</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00" w:type="dxa"/>
            <w:vAlign w:val="bottom"/>
            <w:shd w:val="clear" w:color="auto" w:fill="CFF0FC"/>
          </w:tcPr>
          <w:p>
            <w:pPr>
              <w:spacing w:after="0"/>
              <w:rPr>
                <w:sz w:val="20"/>
                <w:szCs w:val="20"/>
                <w:color w:val="auto"/>
              </w:rPr>
            </w:pP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04029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Miramar Recycle Plant</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ind w:left="20"/>
              <w:spacing w:after="0" w:line="232" w:lineRule="exact"/>
              <w:rPr>
                <w:sz w:val="20"/>
                <w:szCs w:val="20"/>
                <w:color w:val="auto"/>
              </w:rPr>
            </w:pPr>
            <w:r>
              <w:rPr>
                <w:rFonts w:ascii="Calibri" w:cs="Calibri" w:eastAsia="Calibri" w:hAnsi="Calibri"/>
                <w:sz w:val="20"/>
                <w:szCs w:val="20"/>
                <w:color w:val="auto"/>
              </w:rPr>
              <w:t>Northern Portable</w:t>
            </w: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100" w:type="dxa"/>
            <w:vAlign w:val="bottom"/>
          </w:tcPr>
          <w:p>
            <w:pPr>
              <w:ind w:left="20"/>
              <w:spacing w:after="0" w:line="234" w:lineRule="exact"/>
              <w:rPr>
                <w:sz w:val="20"/>
                <w:szCs w:val="20"/>
                <w:color w:val="auto"/>
              </w:rPr>
            </w:pPr>
            <w:r>
              <w:rPr>
                <w:rFonts w:ascii="Calibri" w:cs="Calibri" w:eastAsia="Calibri" w:hAnsi="Calibri"/>
                <w:sz w:val="20"/>
                <w:szCs w:val="20"/>
                <w:color w:val="auto"/>
              </w:rPr>
              <w:t>Crushing #10</w:t>
            </w:r>
          </w:p>
        </w:tc>
        <w:tc>
          <w:tcPr>
            <w:tcW w:w="820" w:type="dxa"/>
            <w:vAlign w:val="bottom"/>
          </w:tcPr>
          <w:p>
            <w:pPr>
              <w:ind w:left="100"/>
              <w:spacing w:after="0" w:line="234" w:lineRule="exact"/>
              <w:rPr>
                <w:sz w:val="20"/>
                <w:szCs w:val="20"/>
                <w:color w:val="auto"/>
              </w:rPr>
            </w:pPr>
            <w:r>
              <w:rPr>
                <w:rFonts w:ascii="Calibri" w:cs="Calibri" w:eastAsia="Calibri" w:hAnsi="Calibri"/>
                <w:sz w:val="20"/>
                <w:szCs w:val="20"/>
                <w:color w:val="auto"/>
              </w:rPr>
              <w:t>31</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210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Northern Portable Plant</w:t>
            </w:r>
          </w:p>
        </w:tc>
        <w:tc>
          <w:tcPr>
            <w:tcW w:w="820" w:type="dxa"/>
            <w:vAlign w:val="bottom"/>
            <w:shd w:val="clear" w:color="auto" w:fill="CFF0FC"/>
          </w:tcPr>
          <w:p>
            <w:pPr>
              <w:ind w:left="100"/>
              <w:spacing w:after="0" w:line="232" w:lineRule="exact"/>
              <w:rPr>
                <w:sz w:val="20"/>
                <w:szCs w:val="20"/>
                <w:color w:val="auto"/>
              </w:rPr>
            </w:pPr>
            <w:r>
              <w:rPr>
                <w:rFonts w:ascii="Calibri" w:cs="Calibri" w:eastAsia="Calibri" w:hAnsi="Calibri"/>
                <w:sz w:val="20"/>
                <w:szCs w:val="20"/>
                <w:color w:val="auto"/>
              </w:rPr>
              <w:t>05047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210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17</w:t>
            </w:r>
          </w:p>
        </w:tc>
        <w:tc>
          <w:tcPr>
            <w:tcW w:w="820" w:type="dxa"/>
            <w:vAlign w:val="bottom"/>
            <w:tcBorders>
              <w:bottom w:val="single" w:sz="8" w:color="CFF0FC"/>
            </w:tcBorders>
            <w:shd w:val="clear" w:color="auto" w:fill="CFF0FC"/>
          </w:tcPr>
          <w:p>
            <w:pPr>
              <w:ind w:left="10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00" w:type="dxa"/>
            <w:vAlign w:val="bottom"/>
          </w:tcPr>
          <w:p>
            <w:pPr>
              <w:spacing w:after="0"/>
              <w:rPr>
                <w:sz w:val="20"/>
                <w:szCs w:val="20"/>
                <w:color w:val="auto"/>
              </w:rPr>
            </w:pPr>
          </w:p>
        </w:tc>
        <w:tc>
          <w:tcPr>
            <w:tcW w:w="820" w:type="dxa"/>
            <w:vAlign w:val="bottom"/>
          </w:tcPr>
          <w:p>
            <w:pPr>
              <w:ind w:left="100"/>
              <w:spacing w:after="0" w:line="232" w:lineRule="exact"/>
              <w:rPr>
                <w:sz w:val="20"/>
                <w:szCs w:val="20"/>
                <w:color w:val="auto"/>
              </w:rPr>
            </w:pPr>
            <w:r>
              <w:rPr>
                <w:rFonts w:ascii="Calibri" w:cs="Calibri" w:eastAsia="Calibri" w:hAnsi="Calibri"/>
                <w:sz w:val="20"/>
                <w:szCs w:val="20"/>
                <w:color w:val="auto"/>
              </w:rPr>
              <w:t>48015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29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Northern Portable Plant 4 65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95"/>
        </w:trPr>
        <w:tc>
          <w:tcPr>
            <w:tcW w:w="2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2" w:name="page63"/>
    <w:bookmarkEnd w:id="6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3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45008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Pacifc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Parkdale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Parsons Sand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Penrose Sand and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Pier 92 Marine</w:t>
            </w: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04052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05044</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Plate Sand and Gravel</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05043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Plant 1</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 Plant 11</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84</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Portable Plant 21</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Red Canyon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2,651</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05041</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Rich Sand &amp;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02026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River Ranch AGG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05048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Riverbend Sand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1</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04005</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San Andreas AGG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04057</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Sanger AGG</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ind w:left="20"/>
              <w:spacing w:after="0" w:line="232" w:lineRule="exact"/>
              <w:rPr>
                <w:sz w:val="20"/>
                <w:szCs w:val="20"/>
                <w:color w:val="auto"/>
              </w:rPr>
            </w:pPr>
            <w:r>
              <w:rPr>
                <w:rFonts w:ascii="Calibri" w:cs="Calibri" w:eastAsia="Calibri" w:hAnsi="Calibri"/>
                <w:sz w:val="20"/>
                <w:szCs w:val="20"/>
                <w:color w:val="auto"/>
              </w:rPr>
              <w:t>Santa Margarita</w:t>
            </w: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04016</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04055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Santee Plant</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294</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04019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Sisquoc Aggregates</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05008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Spec Agg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60</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04018</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Sunol Plant</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05045</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Taf Sand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ind w:left="20"/>
              <w:spacing w:after="0" w:line="232" w:lineRule="exact"/>
              <w:rPr>
                <w:sz w:val="20"/>
                <w:szCs w:val="20"/>
                <w:color w:val="auto"/>
              </w:rPr>
            </w:pPr>
            <w:r>
              <w:rPr>
                <w:rFonts w:ascii="Calibri" w:cs="Calibri" w:eastAsia="Calibri" w:hAnsi="Calibri"/>
                <w:sz w:val="20"/>
                <w:szCs w:val="20"/>
                <w:color w:val="auto"/>
              </w:rPr>
              <w:t>Tidewater Oakland</w:t>
            </w: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04030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Marine Agg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02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05039</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Walstrum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02012</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Yavapai AGG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41053</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51 Sand &amp;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41013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Beckmann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976</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41032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Bedrock Sand Gravel</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83</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41040</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Bells Savoy SG</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19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20" w:type="dxa"/>
            <w:vAlign w:val="bottom"/>
            <w:shd w:val="clear" w:color="auto" w:fill="CFF0FC"/>
          </w:tcPr>
          <w:p>
            <w:pPr>
              <w:spacing w:after="0"/>
              <w:rPr>
                <w:sz w:val="20"/>
                <w:szCs w:val="20"/>
                <w:color w:val="auto"/>
              </w:rPr>
            </w:pPr>
          </w:p>
        </w:tc>
        <w:tc>
          <w:tcPr>
            <w:tcW w:w="800" w:type="dxa"/>
            <w:vAlign w:val="bottom"/>
            <w:shd w:val="clear" w:color="auto" w:fill="CFF0FC"/>
          </w:tcPr>
          <w:p>
            <w:pPr>
              <w:ind w:left="80"/>
              <w:spacing w:after="0" w:line="232" w:lineRule="exact"/>
              <w:rPr>
                <w:sz w:val="20"/>
                <w:szCs w:val="20"/>
                <w:color w:val="auto"/>
              </w:rPr>
            </w:pPr>
            <w:r>
              <w:rPr>
                <w:rFonts w:ascii="Calibri" w:cs="Calibri" w:eastAsia="Calibri" w:hAnsi="Calibri"/>
                <w:sz w:val="20"/>
                <w:szCs w:val="20"/>
                <w:color w:val="auto"/>
              </w:rPr>
              <w:t>03000</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2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Black Rock Quarry</w:t>
            </w:r>
          </w:p>
        </w:tc>
        <w:tc>
          <w:tcPr>
            <w:tcW w:w="800" w:type="dxa"/>
            <w:vAlign w:val="bottom"/>
            <w:tcBorders>
              <w:bottom w:val="single" w:sz="8" w:color="CFF0FC"/>
            </w:tcBorders>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11</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20" w:type="dxa"/>
            <w:vAlign w:val="bottom"/>
          </w:tcPr>
          <w:p>
            <w:pPr>
              <w:spacing w:after="0"/>
              <w:rPr>
                <w:sz w:val="20"/>
                <w:szCs w:val="20"/>
                <w:color w:val="auto"/>
              </w:rPr>
            </w:pPr>
          </w:p>
        </w:tc>
        <w:tc>
          <w:tcPr>
            <w:tcW w:w="800" w:type="dxa"/>
            <w:vAlign w:val="bottom"/>
          </w:tcPr>
          <w:p>
            <w:pPr>
              <w:ind w:left="80"/>
              <w:spacing w:after="0" w:line="232" w:lineRule="exact"/>
              <w:rPr>
                <w:sz w:val="20"/>
                <w:szCs w:val="20"/>
                <w:color w:val="auto"/>
              </w:rPr>
            </w:pPr>
            <w:r>
              <w:rPr>
                <w:rFonts w:ascii="Calibri" w:cs="Calibri" w:eastAsia="Calibri" w:hAnsi="Calibri"/>
                <w:sz w:val="20"/>
                <w:szCs w:val="20"/>
                <w:color w:val="auto"/>
              </w:rPr>
              <w:t>41041</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20" w:type="dxa"/>
            <w:vAlign w:val="bottom"/>
          </w:tcPr>
          <w:p>
            <w:pPr>
              <w:ind w:left="20"/>
              <w:spacing w:after="0" w:line="234" w:lineRule="exact"/>
              <w:rPr>
                <w:sz w:val="20"/>
                <w:szCs w:val="20"/>
                <w:color w:val="auto"/>
              </w:rPr>
            </w:pPr>
            <w:r>
              <w:rPr>
                <w:rFonts w:ascii="Calibri" w:cs="Calibri" w:eastAsia="Calibri" w:hAnsi="Calibri"/>
                <w:sz w:val="20"/>
                <w:szCs w:val="20"/>
                <w:color w:val="auto"/>
              </w:rPr>
              <w:t>Black Spur Quarry</w:t>
            </w:r>
          </w:p>
        </w:tc>
        <w:tc>
          <w:tcPr>
            <w:tcW w:w="800" w:type="dxa"/>
            <w:vAlign w:val="bottom"/>
          </w:tcPr>
          <w:p>
            <w:pPr>
              <w:ind w:left="80"/>
              <w:spacing w:after="0" w:line="234" w:lineRule="exact"/>
              <w:rPr>
                <w:sz w:val="20"/>
                <w:szCs w:val="20"/>
                <w:color w:val="auto"/>
              </w:rPr>
            </w:pPr>
            <w:r>
              <w:rPr>
                <w:rFonts w:ascii="Calibri" w:cs="Calibri" w:eastAsia="Calibri" w:hAnsi="Calibri"/>
                <w:sz w:val="20"/>
                <w:szCs w:val="20"/>
                <w:color w:val="auto"/>
              </w:rPr>
              <w:t>59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4"/>
        </w:trPr>
        <w:tc>
          <w:tcPr>
            <w:tcW w:w="212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Bridgeport Stone</w:t>
            </w:r>
          </w:p>
        </w:tc>
        <w:tc>
          <w:tcPr>
            <w:tcW w:w="800" w:type="dxa"/>
            <w:vAlign w:val="bottom"/>
            <w:shd w:val="clear" w:color="auto" w:fill="CFF0FC"/>
          </w:tcPr>
          <w:p>
            <w:pPr>
              <w:ind w:left="80"/>
              <w:spacing w:after="0" w:line="234" w:lineRule="exact"/>
              <w:rPr>
                <w:sz w:val="20"/>
                <w:szCs w:val="20"/>
                <w:color w:val="auto"/>
              </w:rPr>
            </w:pPr>
            <w:r>
              <w:rPr>
                <w:rFonts w:ascii="Calibri" w:cs="Calibri" w:eastAsia="Calibri" w:hAnsi="Calibri"/>
                <w:sz w:val="20"/>
                <w:szCs w:val="20"/>
                <w:color w:val="auto"/>
              </w:rPr>
              <w:t>41000</w:t>
            </w:r>
          </w:p>
        </w:tc>
        <w:tc>
          <w:tcPr>
            <w:tcW w:w="60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4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5"/>
        </w:trPr>
        <w:tc>
          <w:tcPr>
            <w:tcW w:w="21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ectPr>
          <w:pgSz w:w="11900" w:h="16900" w:orient="portrait"/>
          <w:cols w:equalWidth="0" w:num="1">
            <w:col w:w="11240"/>
          </w:cols>
          <w:pgMar w:left="320" w:top="753" w:right="339" w:bottom="0" w:gutter="0" w:footer="0" w:header="0"/>
        </w:sectPr>
      </w:pPr>
    </w:p>
    <w:bookmarkStart w:id="63" w:name="page64"/>
    <w:bookmarkEnd w:id="63"/>
    <w:p>
      <w:pPr>
        <w:ind w:left="2200"/>
        <w:spacing w:after="0"/>
        <w:rPr>
          <w:sz w:val="20"/>
          <w:szCs w:val="20"/>
          <w:color w:val="auto"/>
        </w:rPr>
      </w:pPr>
      <w:r>
        <w:rPr>
          <w:rFonts w:ascii="Calibri" w:cs="Calibri" w:eastAsia="Calibri" w:hAnsi="Calibri"/>
          <w:sz w:val="20"/>
          <w:szCs w:val="20"/>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8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Calibri" w:cs="Calibri" w:eastAsia="Calibri" w:hAnsi="Calibri"/>
                <w:sz w:val="20"/>
                <w:szCs w:val="20"/>
                <w:color w:val="auto"/>
              </w:rPr>
              <w:t>34004</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1780" w:type="dxa"/>
            <w:vAlign w:val="bottom"/>
          </w:tcPr>
          <w:p>
            <w:pPr>
              <w:ind w:left="20"/>
              <w:spacing w:after="0" w:line="243" w:lineRule="exact"/>
              <w:rPr>
                <w:sz w:val="20"/>
                <w:szCs w:val="20"/>
                <w:color w:val="auto"/>
              </w:rPr>
            </w:pPr>
            <w:r>
              <w:rPr>
                <w:rFonts w:ascii="Calibri" w:cs="Calibri" w:eastAsia="Calibri" w:hAnsi="Calibri"/>
                <w:sz w:val="20"/>
                <w:szCs w:val="20"/>
                <w:color w:val="auto"/>
              </w:rPr>
              <w:t>Broken Bow SG</w:t>
            </w:r>
          </w:p>
        </w:tc>
        <w:tc>
          <w:tcPr>
            <w:tcW w:w="1140" w:type="dxa"/>
            <w:vAlign w:val="bottom"/>
          </w:tcPr>
          <w:p>
            <w:pPr>
              <w:ind w:left="420"/>
              <w:spacing w:after="0" w:line="243" w:lineRule="exact"/>
              <w:rPr>
                <w:sz w:val="20"/>
                <w:szCs w:val="20"/>
                <w:color w:val="auto"/>
              </w:rPr>
            </w:pPr>
            <w:r>
              <w:rPr>
                <w:rFonts w:ascii="Calibri" w:cs="Calibri" w:eastAsia="Calibri" w:hAnsi="Calibri"/>
                <w:sz w:val="20"/>
                <w:szCs w:val="20"/>
                <w:color w:val="auto"/>
              </w:rPr>
              <w:t>60</w:t>
            </w:r>
          </w:p>
        </w:tc>
        <w:tc>
          <w:tcPr>
            <w:tcW w:w="6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43"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34012</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Davis Quarry</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99</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239</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780" w:type="dxa"/>
            <w:vAlign w:val="bottom"/>
          </w:tcPr>
          <w:p>
            <w:pPr>
              <w:spacing w:after="0"/>
              <w:rPr>
                <w:sz w:val="20"/>
                <w:szCs w:val="20"/>
                <w:color w:val="auto"/>
              </w:rPr>
            </w:pPr>
          </w:p>
        </w:tc>
        <w:tc>
          <w:tcPr>
            <w:tcW w:w="1140" w:type="dxa"/>
            <w:vAlign w:val="bottom"/>
          </w:tcPr>
          <w:p>
            <w:pPr>
              <w:ind w:left="420"/>
              <w:spacing w:after="0" w:line="232" w:lineRule="exact"/>
              <w:rPr>
                <w:sz w:val="20"/>
                <w:szCs w:val="20"/>
                <w:color w:val="auto"/>
              </w:rPr>
            </w:pPr>
            <w:r>
              <w:rPr>
                <w:rFonts w:ascii="Calibri" w:cs="Calibri" w:eastAsia="Calibri" w:hAnsi="Calibri"/>
                <w:sz w:val="20"/>
                <w:szCs w:val="20"/>
                <w:color w:val="auto"/>
              </w:rPr>
              <w:t>41039</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780" w:type="dxa"/>
            <w:vAlign w:val="bottom"/>
          </w:tcPr>
          <w:p>
            <w:pPr>
              <w:ind w:left="20"/>
              <w:spacing w:after="0" w:line="234" w:lineRule="exact"/>
              <w:rPr>
                <w:sz w:val="20"/>
                <w:szCs w:val="20"/>
                <w:color w:val="auto"/>
              </w:rPr>
            </w:pPr>
            <w:r>
              <w:rPr>
                <w:rFonts w:ascii="Calibri" w:cs="Calibri" w:eastAsia="Calibri" w:hAnsi="Calibri"/>
                <w:sz w:val="20"/>
                <w:szCs w:val="20"/>
                <w:color w:val="auto"/>
              </w:rPr>
              <w:t>Garfeld SG</w:t>
            </w:r>
          </w:p>
        </w:tc>
        <w:tc>
          <w:tcPr>
            <w:tcW w:w="1140" w:type="dxa"/>
            <w:vAlign w:val="bottom"/>
          </w:tcPr>
          <w:p>
            <w:pPr>
              <w:ind w:left="420"/>
              <w:spacing w:after="0" w:line="234" w:lineRule="exact"/>
              <w:rPr>
                <w:sz w:val="20"/>
                <w:szCs w:val="20"/>
                <w:color w:val="auto"/>
              </w:rPr>
            </w:pPr>
            <w:r>
              <w:rPr>
                <w:rFonts w:ascii="Calibri" w:cs="Calibri" w:eastAsia="Calibri" w:hAnsi="Calibri"/>
                <w:sz w:val="20"/>
                <w:szCs w:val="20"/>
                <w:color w:val="auto"/>
              </w:rPr>
              <w:t>09</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147</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41028</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Garwood Gravel</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86</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1780" w:type="dxa"/>
            <w:vAlign w:val="bottom"/>
          </w:tcPr>
          <w:p>
            <w:pPr>
              <w:spacing w:after="0"/>
              <w:rPr>
                <w:sz w:val="20"/>
                <w:szCs w:val="20"/>
                <w:color w:val="auto"/>
              </w:rPr>
            </w:pPr>
          </w:p>
        </w:tc>
        <w:tc>
          <w:tcPr>
            <w:tcW w:w="1140" w:type="dxa"/>
            <w:vAlign w:val="bottom"/>
          </w:tcPr>
          <w:p>
            <w:pPr>
              <w:ind w:left="420"/>
              <w:spacing w:after="0" w:line="232" w:lineRule="exact"/>
              <w:rPr>
                <w:sz w:val="20"/>
                <w:szCs w:val="20"/>
                <w:color w:val="auto"/>
              </w:rPr>
            </w:pPr>
            <w:r>
              <w:rPr>
                <w:rFonts w:ascii="Calibri" w:cs="Calibri" w:eastAsia="Calibri" w:hAnsi="Calibri"/>
                <w:sz w:val="20"/>
                <w:szCs w:val="20"/>
                <w:color w:val="auto"/>
              </w:rPr>
              <w:t>000C3</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1780" w:type="dxa"/>
            <w:vAlign w:val="bottom"/>
          </w:tcPr>
          <w:p>
            <w:pPr>
              <w:ind w:left="20"/>
              <w:spacing w:after="0" w:line="234" w:lineRule="exact"/>
              <w:rPr>
                <w:sz w:val="20"/>
                <w:szCs w:val="20"/>
                <w:color w:val="auto"/>
              </w:rPr>
            </w:pPr>
            <w:r>
              <w:rPr>
                <w:rFonts w:ascii="Calibri" w:cs="Calibri" w:eastAsia="Calibri" w:hAnsi="Calibri"/>
                <w:sz w:val="20"/>
                <w:szCs w:val="20"/>
                <w:color w:val="auto"/>
              </w:rPr>
              <w:t>GMS</w:t>
            </w:r>
          </w:p>
        </w:tc>
        <w:tc>
          <w:tcPr>
            <w:tcW w:w="1140" w:type="dxa"/>
            <w:vAlign w:val="bottom"/>
          </w:tcPr>
          <w:p>
            <w:pPr>
              <w:ind w:left="420"/>
              <w:spacing w:after="0" w:line="234" w:lineRule="exact"/>
              <w:rPr>
                <w:sz w:val="20"/>
                <w:szCs w:val="20"/>
                <w:color w:val="auto"/>
              </w:rPr>
            </w:pPr>
            <w:r>
              <w:rPr>
                <w:rFonts w:ascii="Calibri" w:cs="Calibri" w:eastAsia="Calibri" w:hAnsi="Calibri"/>
                <w:sz w:val="20"/>
                <w:szCs w:val="20"/>
                <w:color w:val="auto"/>
              </w:rPr>
              <w:t>35</w:t>
            </w:r>
          </w:p>
        </w:tc>
        <w:tc>
          <w:tcPr>
            <w:tcW w:w="6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2"/>
        </w:trPr>
        <w:tc>
          <w:tcPr>
            <w:tcW w:w="1780" w:type="dxa"/>
            <w:vAlign w:val="bottom"/>
            <w:shd w:val="clear" w:color="auto" w:fill="CFF0FC"/>
          </w:tcPr>
          <w:p>
            <w:pPr>
              <w:spacing w:after="0"/>
              <w:rPr>
                <w:sz w:val="20"/>
                <w:szCs w:val="20"/>
                <w:color w:val="auto"/>
              </w:rPr>
            </w:pPr>
          </w:p>
        </w:tc>
        <w:tc>
          <w:tcPr>
            <w:tcW w:w="1140" w:type="dxa"/>
            <w:vAlign w:val="bottom"/>
            <w:shd w:val="clear" w:color="auto" w:fill="CFF0FC"/>
          </w:tcPr>
          <w:p>
            <w:pPr>
              <w:ind w:left="420"/>
              <w:spacing w:after="0" w:line="232" w:lineRule="exact"/>
              <w:rPr>
                <w:sz w:val="20"/>
                <w:szCs w:val="20"/>
                <w:color w:val="auto"/>
              </w:rPr>
            </w:pPr>
            <w:r>
              <w:rPr>
                <w:rFonts w:ascii="Calibri" w:cs="Calibri" w:eastAsia="Calibri" w:hAnsi="Calibri"/>
                <w:sz w:val="20"/>
                <w:szCs w:val="20"/>
                <w:color w:val="auto"/>
              </w:rPr>
              <w:t>03016</w:t>
            </w:r>
          </w:p>
        </w:tc>
        <w:tc>
          <w:tcPr>
            <w:tcW w:w="6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61"/>
        </w:trPr>
        <w:tc>
          <w:tcPr>
            <w:tcW w:w="178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Haton Quarry</w:t>
            </w:r>
          </w:p>
        </w:tc>
        <w:tc>
          <w:tcPr>
            <w:tcW w:w="1140" w:type="dxa"/>
            <w:vAlign w:val="bottom"/>
            <w:tcBorders>
              <w:bottom w:val="single" w:sz="8" w:color="CFF0FC"/>
            </w:tcBorders>
            <w:shd w:val="clear" w:color="auto" w:fill="CFF0FC"/>
          </w:tcPr>
          <w:p>
            <w:pPr>
              <w:ind w:left="420"/>
              <w:spacing w:after="0" w:line="234" w:lineRule="exact"/>
              <w:rPr>
                <w:sz w:val="20"/>
                <w:szCs w:val="20"/>
                <w:color w:val="auto"/>
              </w:rPr>
            </w:pPr>
            <w:r>
              <w:rPr>
                <w:rFonts w:ascii="Calibri" w:cs="Calibri" w:eastAsia="Calibri" w:hAnsi="Calibri"/>
                <w:sz w:val="20"/>
                <w:szCs w:val="20"/>
                <w:color w:val="auto"/>
              </w:rPr>
              <w:t>14</w:t>
            </w:r>
          </w:p>
        </w:tc>
        <w:tc>
          <w:tcPr>
            <w:tcW w:w="6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2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60" w:type="dxa"/>
            <w:vAlign w:val="bottom"/>
            <w:tcBorders>
              <w:bottom w:val="single" w:sz="8" w:color="CFF0FC"/>
            </w:tcBorders>
            <w:shd w:val="clear" w:color="auto" w:fill="CFF0FC"/>
          </w:tcPr>
          <w:p>
            <w:pPr>
              <w:jc w:val="right"/>
              <w:ind w:right="1"/>
              <w:spacing w:after="0" w:line="234" w:lineRule="exact"/>
              <w:rPr>
                <w:sz w:val="20"/>
                <w:szCs w:val="20"/>
                <w:color w:val="auto"/>
              </w:rPr>
            </w:pPr>
            <w:r>
              <w:rPr>
                <w:rFonts w:ascii="Calibri" w:cs="Calibri" w:eastAsia="Calibri" w:hAnsi="Calibri"/>
                <w:sz w:val="20"/>
                <w:szCs w:val="20"/>
                <w:b w:val="1"/>
                <w:bCs w:val="1"/>
                <w:color w:val="auto"/>
              </w:rPr>
              <w:t>$</w:t>
            </w:r>
          </w:p>
        </w:tc>
        <w:tc>
          <w:tcPr>
            <w:tcW w:w="60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4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8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1249"/>
        </w:trPr>
        <w:tc>
          <w:tcPr>
            <w:tcW w:w="1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64" w:name="page65"/>
    <w:bookmarkEnd w:id="64"/>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57"/>
        </w:trPr>
        <w:tc>
          <w:tcPr>
            <w:tcW w:w="214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Calibri" w:cs="Calibri" w:eastAsia="Calibri" w:hAnsi="Calibri"/>
                <w:sz w:val="20"/>
                <w:szCs w:val="20"/>
                <w:color w:val="auto"/>
              </w:rPr>
              <w:t>41031</w:t>
            </w: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2140" w:type="dxa"/>
            <w:vAlign w:val="bottom"/>
          </w:tcPr>
          <w:p>
            <w:pPr>
              <w:ind w:left="20"/>
              <w:spacing w:after="0" w:line="243" w:lineRule="exact"/>
              <w:rPr>
                <w:sz w:val="20"/>
                <w:szCs w:val="20"/>
                <w:color w:val="auto"/>
              </w:rPr>
            </w:pPr>
            <w:r>
              <w:rPr>
                <w:rFonts w:ascii="Calibri" w:cs="Calibri" w:eastAsia="Calibri" w:hAnsi="Calibri"/>
                <w:sz w:val="20"/>
                <w:szCs w:val="20"/>
                <w:color w:val="auto"/>
              </w:rPr>
              <w:t>Helotes</w:t>
            </w:r>
          </w:p>
        </w:tc>
        <w:tc>
          <w:tcPr>
            <w:tcW w:w="740" w:type="dxa"/>
            <w:vAlign w:val="bottom"/>
          </w:tcPr>
          <w:p>
            <w:pPr>
              <w:ind w:left="60"/>
              <w:spacing w:after="0" w:line="243" w:lineRule="exact"/>
              <w:rPr>
                <w:sz w:val="20"/>
                <w:szCs w:val="20"/>
                <w:color w:val="auto"/>
              </w:rPr>
            </w:pPr>
            <w:r>
              <w:rPr>
                <w:rFonts w:ascii="Calibri" w:cs="Calibri" w:eastAsia="Calibri" w:hAnsi="Calibri"/>
                <w:sz w:val="20"/>
                <w:szCs w:val="20"/>
                <w:color w:val="auto"/>
              </w:rPr>
              <w:t>37</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43"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43"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43"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43"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43"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43"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43"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43"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41038</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Highway 211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29</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41047</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Hondo</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Hugo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41052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Hunter Stone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30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34005</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Idabel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07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03015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Jones Mill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86</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41052</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Liberty Ranch Sand</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68</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4</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41051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Medina Rock Rail</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70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41000</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Midlothian Cement</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71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2</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Mill Creek Limestone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59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34012</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Mill Creek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85</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41043</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North Austn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80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ind w:left="20"/>
              <w:spacing w:after="0" w:line="232" w:lineRule="exact"/>
              <w:rPr>
                <w:sz w:val="20"/>
                <w:szCs w:val="20"/>
                <w:color w:val="auto"/>
              </w:rPr>
            </w:pPr>
            <w:r>
              <w:rPr>
                <w:rFonts w:ascii="Calibri" w:cs="Calibri" w:eastAsia="Calibri" w:hAnsi="Calibri"/>
                <w:sz w:val="20"/>
                <w:szCs w:val="20"/>
                <w:color w:val="auto"/>
              </w:rPr>
              <w:t>North Bridgeport Quarry</w:t>
            </w: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41033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(Chico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60</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16014</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Perryville Aggregates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17</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41013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Poteet Sand</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42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41035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Rio Medina</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94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41013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San Pedro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37</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ind w:left="20"/>
              <w:spacing w:after="0" w:line="232" w:lineRule="exact"/>
              <w:rPr>
                <w:sz w:val="20"/>
                <w:szCs w:val="20"/>
                <w:color w:val="auto"/>
              </w:rPr>
            </w:pPr>
            <w:r>
              <w:rPr>
                <w:rFonts w:ascii="Calibri" w:cs="Calibri" w:eastAsia="Calibri" w:hAnsi="Calibri"/>
                <w:sz w:val="20"/>
                <w:szCs w:val="20"/>
                <w:color w:val="auto"/>
              </w:rPr>
              <w:t>Sawyer East Quarry</w:t>
            </w: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34018</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Portable</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Sawyer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34</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Smithson Valley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08</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34016</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Snyder Quarry</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51</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1,375</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ind w:left="20"/>
              <w:spacing w:after="0" w:line="232" w:lineRule="exact"/>
              <w:rPr>
                <w:sz w:val="20"/>
                <w:szCs w:val="20"/>
                <w:color w:val="auto"/>
              </w:rPr>
            </w:pPr>
            <w:r>
              <w:rPr>
                <w:rFonts w:ascii="Calibri" w:cs="Calibri" w:eastAsia="Calibri" w:hAnsi="Calibri"/>
                <w:sz w:val="20"/>
                <w:szCs w:val="20"/>
                <w:color w:val="auto"/>
              </w:rPr>
              <w:t>South Texas Port #2 (Gulf</w:t>
            </w: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41042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Coast Portable #2 )</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04</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41028</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Tin Top SG</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52</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34020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Washita Quarry</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49</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7"/>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41043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Webberville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16010</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Woodworth Aggregates</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70</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33001</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Woodville - Stone</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56</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1</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1</w:t>
            </w:r>
          </w:p>
        </w:tc>
      </w:tr>
      <w:tr>
        <w:trPr>
          <w:trHeight w:val="232"/>
        </w:trPr>
        <w:tc>
          <w:tcPr>
            <w:tcW w:w="2140" w:type="dxa"/>
            <w:vAlign w:val="bottom"/>
          </w:tcPr>
          <w:p>
            <w:pPr>
              <w:spacing w:after="0"/>
              <w:rPr>
                <w:sz w:val="20"/>
                <w:szCs w:val="20"/>
                <w:color w:val="auto"/>
              </w:rPr>
            </w:pPr>
          </w:p>
        </w:tc>
        <w:tc>
          <w:tcPr>
            <w:tcW w:w="740" w:type="dxa"/>
            <w:vAlign w:val="bottom"/>
          </w:tcPr>
          <w:p>
            <w:pPr>
              <w:ind w:left="60"/>
              <w:spacing w:after="0" w:line="232" w:lineRule="exact"/>
              <w:rPr>
                <w:sz w:val="20"/>
                <w:szCs w:val="20"/>
                <w:color w:val="auto"/>
              </w:rPr>
            </w:pPr>
            <w:r>
              <w:rPr>
                <w:rFonts w:ascii="Calibri" w:cs="Calibri" w:eastAsia="Calibri" w:hAnsi="Calibri"/>
                <w:sz w:val="20"/>
                <w:szCs w:val="20"/>
                <w:color w:val="auto"/>
              </w:rPr>
              <w:t>00B71</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color w:val="auto"/>
              </w:rPr>
              <w:t>Geology and Exploraton</w:t>
            </w:r>
          </w:p>
        </w:tc>
        <w:tc>
          <w:tcPr>
            <w:tcW w:w="740" w:type="dxa"/>
            <w:vAlign w:val="bottom"/>
          </w:tcPr>
          <w:p>
            <w:pPr>
              <w:ind w:left="60"/>
              <w:spacing w:after="0" w:line="234" w:lineRule="exact"/>
              <w:rPr>
                <w:sz w:val="20"/>
                <w:szCs w:val="20"/>
                <w:color w:val="auto"/>
              </w:rPr>
            </w:pPr>
            <w:r>
              <w:rPr>
                <w:rFonts w:ascii="Calibri" w:cs="Calibri" w:eastAsia="Calibri" w:hAnsi="Calibri"/>
                <w:sz w:val="20"/>
                <w:szCs w:val="20"/>
                <w:color w:val="auto"/>
              </w:rPr>
              <w:t>27</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46"/>
        </w:trPr>
        <w:tc>
          <w:tcPr>
            <w:tcW w:w="2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2"/>
        </w:trPr>
        <w:tc>
          <w:tcPr>
            <w:tcW w:w="2140" w:type="dxa"/>
            <w:vAlign w:val="bottom"/>
            <w:shd w:val="clear" w:color="auto" w:fill="CFF0FC"/>
          </w:tcPr>
          <w:p>
            <w:pPr>
              <w:spacing w:after="0"/>
              <w:rPr>
                <w:sz w:val="20"/>
                <w:szCs w:val="20"/>
                <w:color w:val="auto"/>
              </w:rPr>
            </w:pPr>
          </w:p>
        </w:tc>
        <w:tc>
          <w:tcPr>
            <w:tcW w:w="740" w:type="dxa"/>
            <w:vAlign w:val="bottom"/>
            <w:shd w:val="clear" w:color="auto" w:fill="CFF0FC"/>
          </w:tcPr>
          <w:p>
            <w:pPr>
              <w:ind w:left="60"/>
              <w:spacing w:after="0" w:line="232" w:lineRule="exact"/>
              <w:rPr>
                <w:sz w:val="20"/>
                <w:szCs w:val="20"/>
                <w:color w:val="auto"/>
              </w:rPr>
            </w:pPr>
            <w:r>
              <w:rPr>
                <w:rFonts w:ascii="Calibri" w:cs="Calibri" w:eastAsia="Calibri" w:hAnsi="Calibri"/>
                <w:sz w:val="20"/>
                <w:szCs w:val="20"/>
                <w:color w:val="auto"/>
              </w:rPr>
              <w:t>00B93</w:t>
            </w:r>
          </w:p>
        </w:tc>
        <w:tc>
          <w:tcPr>
            <w:tcW w:w="6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61"/>
        </w:trPr>
        <w:tc>
          <w:tcPr>
            <w:tcW w:w="2140" w:type="dxa"/>
            <w:vAlign w:val="bottom"/>
            <w:tcBorders>
              <w:bottom w:val="single" w:sz="8" w:color="CFF0FC"/>
            </w:tcBorders>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Salisbury Shop</w:t>
            </w:r>
          </w:p>
        </w:tc>
        <w:tc>
          <w:tcPr>
            <w:tcW w:w="740" w:type="dxa"/>
            <w:vAlign w:val="bottom"/>
            <w:tcBorders>
              <w:bottom w:val="single" w:sz="8" w:color="CFF0FC"/>
            </w:tcBorders>
            <w:shd w:val="clear" w:color="auto" w:fill="CFF0FC"/>
          </w:tcPr>
          <w:p>
            <w:pPr>
              <w:ind w:left="60"/>
              <w:spacing w:after="0" w:line="234" w:lineRule="exact"/>
              <w:rPr>
                <w:sz w:val="20"/>
                <w:szCs w:val="20"/>
                <w:color w:val="auto"/>
              </w:rPr>
            </w:pPr>
            <w:r>
              <w:rPr>
                <w:rFonts w:ascii="Calibri" w:cs="Calibri" w:eastAsia="Calibri" w:hAnsi="Calibri"/>
                <w:sz w:val="20"/>
                <w:szCs w:val="20"/>
                <w:color w:val="auto"/>
              </w:rPr>
              <w:t>38</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Borders>
              <w:bottom w:val="single" w:sz="8" w:color="CFF0FC"/>
            </w:tcBorders>
            <w:shd w:val="clear" w:color="auto" w:fill="CFF0FC"/>
          </w:tcPr>
          <w:p>
            <w:pPr>
              <w:jc w:val="right"/>
              <w:ind w:right="81"/>
              <w:spacing w:after="0" w:line="234" w:lineRule="exact"/>
              <w:rPr>
                <w:sz w:val="20"/>
                <w:szCs w:val="20"/>
                <w:color w:val="auto"/>
              </w:rPr>
            </w:pPr>
            <w:r>
              <w:rPr>
                <w:rFonts w:ascii="Calibri" w:cs="Calibri" w:eastAsia="Calibri" w:hAnsi="Calibri"/>
                <w:sz w:val="20"/>
                <w:szCs w:val="20"/>
                <w:b w:val="1"/>
                <w:bCs w:val="1"/>
                <w:color w:val="auto"/>
              </w:rPr>
              <w:t>0</w:t>
            </w:r>
          </w:p>
        </w:tc>
        <w:tc>
          <w:tcPr>
            <w:tcW w:w="38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0</w:t>
            </w:r>
          </w:p>
        </w:tc>
        <w:tc>
          <w:tcPr>
            <w:tcW w:w="600" w:type="dxa"/>
            <w:vAlign w:val="bottom"/>
            <w:tcBorders>
              <w:bottom w:val="single" w:sz="8" w:color="CFF0FC"/>
            </w:tcBorders>
            <w:shd w:val="clear" w:color="auto" w:fill="CFF0FC"/>
          </w:tcPr>
          <w:p>
            <w:pPr>
              <w:ind w:left="120"/>
              <w:spacing w:after="0" w:line="234" w:lineRule="exact"/>
              <w:rPr>
                <w:sz w:val="20"/>
                <w:szCs w:val="20"/>
                <w:color w:val="auto"/>
              </w:rPr>
            </w:pPr>
            <w:r>
              <w:rPr>
                <w:rFonts w:ascii="Calibri" w:cs="Calibri" w:eastAsia="Calibri" w:hAnsi="Calibri"/>
                <w:sz w:val="20"/>
                <w:szCs w:val="20"/>
                <w:color w:val="auto"/>
              </w:rPr>
              <w:t>no</w:t>
            </w:r>
          </w:p>
        </w:tc>
        <w:tc>
          <w:tcPr>
            <w:tcW w:w="9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900" w:type="dxa"/>
            <w:vAlign w:val="bottom"/>
            <w:tcBorders>
              <w:bottom w:val="single" w:sz="8" w:color="CFF0FC"/>
            </w:tcBorders>
            <w:shd w:val="clear" w:color="auto" w:fill="CFF0FC"/>
          </w:tcPr>
          <w:p>
            <w:pPr>
              <w:jc w:val="center"/>
              <w:ind w:left="61"/>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14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TOTAL</w:t>
            </w:r>
          </w:p>
        </w:tc>
        <w:tc>
          <w:tcPr>
            <w:tcW w:w="740" w:type="dxa"/>
            <w:vAlign w:val="bottom"/>
          </w:tcPr>
          <w:p>
            <w:pPr>
              <w:spacing w:after="0"/>
              <w:rPr>
                <w:sz w:val="20"/>
                <w:szCs w:val="20"/>
                <w:color w:val="auto"/>
              </w:rPr>
            </w:pPr>
          </w:p>
        </w:tc>
        <w:tc>
          <w:tcPr>
            <w:tcW w:w="660" w:type="dxa"/>
            <w:vAlign w:val="bottom"/>
          </w:tcPr>
          <w:p>
            <w:pPr>
              <w:jc w:val="center"/>
              <w:ind w:right="1"/>
              <w:spacing w:after="0" w:line="234" w:lineRule="exact"/>
              <w:rPr>
                <w:sz w:val="20"/>
                <w:szCs w:val="20"/>
                <w:color w:val="auto"/>
              </w:rPr>
            </w:pPr>
            <w:r>
              <w:rPr>
                <w:rFonts w:ascii="Calibri" w:cs="Calibri" w:eastAsia="Calibri" w:hAnsi="Calibri"/>
                <w:sz w:val="20"/>
                <w:szCs w:val="20"/>
                <w:b w:val="1"/>
                <w:bCs w:val="1"/>
                <w:color w:val="auto"/>
                <w:w w:val="98"/>
              </w:rPr>
              <w:t>38</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580" w:type="dxa"/>
            <w:vAlign w:val="bottom"/>
          </w:tcPr>
          <w:p>
            <w:pPr>
              <w:jc w:val="right"/>
              <w:ind w:right="61"/>
              <w:spacing w:after="0" w:line="234" w:lineRule="exact"/>
              <w:rPr>
                <w:sz w:val="20"/>
                <w:szCs w:val="20"/>
                <w:color w:val="auto"/>
              </w:rPr>
            </w:pPr>
            <w:r>
              <w:rPr>
                <w:rFonts w:ascii="Calibri" w:cs="Calibri" w:eastAsia="Calibri" w:hAnsi="Calibri"/>
                <w:sz w:val="20"/>
                <w:szCs w:val="20"/>
                <w:b w:val="1"/>
                <w:bCs w:val="1"/>
                <w:color w:val="auto"/>
              </w:rPr>
              <w:t>1</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35,39</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b w:val="1"/>
                <w:bCs w:val="1"/>
                <w:color w:val="auto"/>
              </w:rPr>
              <w:t>1</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jc w:val="center"/>
              <w:ind w:left="41"/>
              <w:spacing w:after="0" w:line="234" w:lineRule="exact"/>
              <w:rPr>
                <w:sz w:val="20"/>
                <w:szCs w:val="20"/>
                <w:color w:val="auto"/>
              </w:rPr>
            </w:pPr>
            <w:r>
              <w:rPr>
                <w:rFonts w:ascii="Calibri" w:cs="Calibri" w:eastAsia="Calibri" w:hAnsi="Calibri"/>
                <w:sz w:val="20"/>
                <w:szCs w:val="20"/>
                <w:b w:val="1"/>
                <w:bCs w:val="1"/>
                <w:color w:val="auto"/>
                <w:w w:val="98"/>
              </w:rPr>
              <w:t>16</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2</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5</w:t>
            </w:r>
          </w:p>
        </w:tc>
      </w:tr>
    </w:tbl>
    <w:p>
      <w:pPr>
        <w:sectPr>
          <w:pgSz w:w="11900" w:h="16855" w:orient="portrait"/>
          <w:cols w:equalWidth="0" w:num="1">
            <w:col w:w="11240"/>
          </w:cols>
          <w:pgMar w:left="320" w:top="753" w:right="339" w:bottom="0" w:gutter="0" w:footer="0" w:header="0"/>
        </w:sectPr>
      </w:pPr>
    </w:p>
    <w:bookmarkStart w:id="65" w:name="page66"/>
    <w:bookmarkEnd w:id="65"/>
    <w:p>
      <w:pPr>
        <w:ind w:left="6852"/>
        <w:spacing w:after="0"/>
        <w:rPr>
          <w:sz w:val="20"/>
          <w:szCs w:val="20"/>
          <w:color w:val="auto"/>
        </w:rPr>
      </w:pPr>
      <w:r>
        <w:rPr>
          <w:rFonts w:ascii="Calibri" w:cs="Calibri" w:eastAsia="Calibri" w:hAnsi="Calibri"/>
          <w:sz w:val="20"/>
          <w:szCs w:val="20"/>
          <w:b w:val="1"/>
          <w:bCs w:val="1"/>
          <w:color w:val="auto"/>
        </w:rPr>
        <w:t>2</w:t>
      </w:r>
    </w:p>
    <w:p>
      <w:pPr>
        <w:spacing w:after="0" w:line="252" w:lineRule="exact"/>
        <w:rPr>
          <w:sz w:val="20"/>
          <w:szCs w:val="20"/>
          <w:color w:val="auto"/>
        </w:rPr>
      </w:pPr>
    </w:p>
    <w:p>
      <w:pPr>
        <w:jc w:val="both"/>
        <w:ind w:left="-8" w:firstLine="8"/>
        <w:spacing w:after="0" w:line="236" w:lineRule="auto"/>
        <w:tabs>
          <w:tab w:leader="none" w:pos="147"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Of the 16 legal actons pending on June 30, 2024, four were contests of citatons or orders referenced in Subpart B of CFR Part 2700, which includes contests of citatons and orders issued under Secton 104 of the Mine Act and contests of imminent danger orders under Secton 107 of the Mine Act, nine were contests of proposed penaltes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796925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8" w:right="339" w:bottom="1440" w:gutter="0" w:footer="0" w:header="0"/>
        </w:sectPr>
      </w:pPr>
    </w:p>
    <w:bookmarkStart w:id="66" w:name="page67"/>
    <w:bookmarkEnd w:id="66"/>
    <w:p>
      <w:pPr>
        <w:jc w:val="right"/>
        <w:spacing w:after="0"/>
        <w:rPr>
          <w:sz w:val="20"/>
          <w:szCs w:val="20"/>
          <w:color w:val="auto"/>
        </w:rPr>
      </w:pPr>
      <w:r>
        <w:rPr>
          <w:rFonts w:ascii="Calibri" w:cs="Calibri" w:eastAsia="Calibri" w:hAnsi="Calibri"/>
          <w:sz w:val="20"/>
          <w:szCs w:val="20"/>
          <w:color w:val="auto"/>
        </w:rPr>
        <w:t>Appendix 1</w:t>
      </w:r>
    </w:p>
    <w:p>
      <w:pPr>
        <w:spacing w:after="0" w:line="21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referenced in Subpart C of 29 CFR Part 2700, which are administratve proceedings before the Commission challenging a civil penalty that MSHA has proposed for the violaton contained in a citaton or order, and three were a contest of an order issued under Secton 103 (K) of the Mine Act.</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**Bluewater sites acquired by the Company on April 5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95"/>
    </w:lvl>
  </w:abstractNum>
  <w:abstractNum w:abstractNumId="15">
    <w:nsid w:val="436C6125"/>
    <w:multiLevelType w:val="hybridMultilevel"/>
    <w:lvl w:ilvl="0">
      <w:lvlJc w:val="left"/>
      <w:lvlText w:val="%1"/>
      <w:numFmt w:val="decimal"/>
      <w:start w:val="104"/>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5"/>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2024-08-08T11:35:54Z</dcterms:created>
  <dcterms:modified xsi:type="dcterms:W3CDTF">2024-08-08T11:35:54Z</dcterms:modified>
</cp:coreProperties>
</file>