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SCHEDULE 14A INFORMATION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EXCHANGE ACT OF 1934</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5"/>
              </w:rPr>
              <w:t>[ ]</w:t>
            </w:r>
          </w:p>
        </w:tc>
        <w:tc>
          <w:tcPr>
            <w:tcW w:w="3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Preliminary Proxy Statement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Confidential,</w:t>
            </w:r>
          </w:p>
        </w:tc>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for Use of the Commission</w:t>
            </w:r>
          </w:p>
        </w:tc>
      </w:tr>
      <w:tr>
        <w:trPr>
          <w:trHeight w:val="167"/>
        </w:trPr>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Only (as permitted by Rule 14a-6(e)(2))</w:t>
            </w:r>
          </w:p>
        </w:tc>
      </w:tr>
      <w:tr>
        <w:trPr>
          <w:trHeight w:val="167"/>
        </w:trPr>
        <w:tc>
          <w:tcPr>
            <w:tcW w:w="360" w:type="dxa"/>
            <w:vAlign w:val="bottom"/>
            <w:gridSpan w:val="2"/>
          </w:tcPr>
          <w:p>
            <w:pPr>
              <w:spacing w:after="0"/>
              <w:rPr>
                <w:sz w:val="20"/>
                <w:szCs w:val="20"/>
                <w:color w:val="auto"/>
              </w:rPr>
            </w:pPr>
            <w:r>
              <w:rPr>
                <w:rFonts w:ascii="Courier New" w:cs="Courier New" w:eastAsia="Courier New" w:hAnsi="Courier New"/>
                <w:sz w:val="14"/>
                <w:szCs w:val="14"/>
                <w:color w:val="auto"/>
              </w:rPr>
              <w:t>[X]</w:t>
            </w:r>
          </w:p>
        </w:tc>
        <w:tc>
          <w:tcPr>
            <w:tcW w:w="3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Definitive Proxy Statement</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Definitive</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Additional Materials</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Soliciting</w:t>
            </w:r>
          </w:p>
        </w:tc>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Material Pursuant to Rule 14a-11(c)</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or Rule 14a-12</w:t>
            </w:r>
          </w:p>
        </w:tc>
        <w:tc>
          <w:tcPr>
            <w:tcW w:w="2220" w:type="dxa"/>
            <w:vAlign w:val="bottom"/>
          </w:tcPr>
          <w:p>
            <w:pPr>
              <w:spacing w:after="0"/>
              <w:rPr>
                <w:sz w:val="14"/>
                <w:szCs w:val="14"/>
                <w:color w:val="auto"/>
              </w:rPr>
            </w:pPr>
          </w:p>
        </w:tc>
      </w:tr>
    </w:tbl>
    <w:p>
      <w:pPr>
        <w:spacing w:after="0" w:line="171"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Martin Marietta Materials, Inc.</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hanging="431"/>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880" w:right="3299" w:hanging="437"/>
        <w:spacing w:after="0" w:line="255" w:lineRule="auto"/>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1"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8" w:lineRule="exact"/>
        <w:rPr>
          <w:rFonts w:ascii="Courier New" w:cs="Courier New" w:eastAsia="Courier New" w:hAnsi="Courier New"/>
          <w:sz w:val="14"/>
          <w:szCs w:val="14"/>
          <w:color w:val="auto"/>
        </w:rPr>
      </w:pPr>
    </w:p>
    <w:p>
      <w:pPr>
        <w:ind w:left="440" w:right="32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1"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10159"/>
          </w:cols>
          <w:pgMar w:left="300" w:top="23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NOTICE OF 2000</w:t>
      </w:r>
    </w:p>
    <w:p>
      <w:pPr>
        <w:spacing w:after="0" w:line="8"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ANNUAL MEETING OF</w:t>
      </w:r>
    </w:p>
    <w:p>
      <w:pPr>
        <w:spacing w:after="0" w:line="8"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SHAREHOLDERS 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4"/>
          <w:szCs w:val="14"/>
          <w:color w:val="auto"/>
        </w:rPr>
        <w:t>(MARTIN MARIETTA MATERIALS LOGO)</w:t>
      </w:r>
    </w:p>
    <w:p>
      <w:pPr>
        <w:sectPr>
          <w:pgSz w:w="11900" w:h="16838" w:orient="portrait"/>
          <w:cols w:equalWidth="0" w:num="1">
            <w:col w:w="9899"/>
          </w:cols>
          <w:pgMar w:left="56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MARIETTA MATERIALS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2710 WYCLIFF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RALEIGH, NORTH CAROLINA 27607</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March 24,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Fellow Shareholder:</w:t>
      </w:r>
    </w:p>
    <w:p>
      <w:pPr>
        <w:spacing w:after="0" w:line="175"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The Directors and Officers of Martin Marietta Materials, Inc. join me in inviting you to attend the Corporation's Annual Meeting of Shareholders. The formal notice of this meeting and the Proxy Statement accompany this letter.</w:t>
      </w:r>
    </w:p>
    <w:p>
      <w:pPr>
        <w:spacing w:after="0" w:line="162"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By attending the meeting, you will have an opportunity to hear the plans for the Corporation's future, to meet the Directors and Officers and to participate in the business of the meeting. If it is not possible for you to attend, please return the enclosed proxy immediately to ensure that your shares will be voted.</w:t>
      </w:r>
    </w:p>
    <w:p>
      <w:pPr>
        <w:spacing w:after="0" w:line="163"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We look forward to seeing you in the Capital Ballroom at the North Raleigh Hilton in Raleigh, North Carolina at 10:30 a.m. on May 23, 2000.</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STEPHEN P. ZELNAK, JR.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Stephen P. Zelnak, Jr.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Chairman of the Board,</w:t>
      </w:r>
    </w:p>
    <w:p>
      <w:pPr>
        <w:spacing w:after="0" w:line="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159"/>
          </w:cols>
          <w:pgMar w:left="30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MARTIN MARIETTA MATERIALS, INC.</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TO BE HELD MAY 23,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Holders of the Common Stock of Martin Marietta Materials, Inc.:</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Annual Meeting of Shareholders of Martin Marietta Materials, Inc. (the "Corporation") will be held on Tuesday, May 23, 2000, at 10:30 a.m. at the North Raleigh Hilton, 3415 Wake Forest Road, Raleigh, North Carolina. Attendance at the Annual Meeting of Shareholders of the Corporation will be limited to shareholders of record at the close of business on March 17, 2000 or their proxies, beneficial owners presenting satisfactory evidence of ownership on that date, and invited guests of the Corporation.</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purposes of the meeting are:</w:t>
      </w:r>
    </w:p>
    <w:p>
      <w:pPr>
        <w:spacing w:after="0" w:line="175" w:lineRule="exact"/>
        <w:rPr>
          <w:sz w:val="20"/>
          <w:szCs w:val="20"/>
          <w:color w:val="auto"/>
        </w:rPr>
      </w:pPr>
    </w:p>
    <w:p>
      <w:pPr>
        <w:ind w:left="1220" w:hanging="604"/>
        <w:spacing w:after="0"/>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(3) Directors, each to serve for a term of three</w:t>
      </w:r>
    </w:p>
    <w:p>
      <w:pPr>
        <w:spacing w:after="0" w:line="8" w:lineRule="exact"/>
        <w:rPr>
          <w:rFonts w:ascii="Courier New" w:cs="Courier New" w:eastAsia="Courier New" w:hAnsi="Courier New"/>
          <w:sz w:val="14"/>
          <w:szCs w:val="14"/>
          <w:color w:val="auto"/>
        </w:rPr>
      </w:pPr>
    </w:p>
    <w:p>
      <w:pPr>
        <w:ind w:left="1220" w:right="3559" w:firstLine="4"/>
        <w:spacing w:after="0" w:line="258" w:lineRule="auto"/>
        <w:tabs>
          <w:tab w:leader="none" w:pos="1567"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until the Annual Meeting of Shareholders in 2003 and until their successors are duly elected and qualified;</w:t>
      </w:r>
    </w:p>
    <w:p>
      <w:pPr>
        <w:spacing w:after="0" w:line="159" w:lineRule="exact"/>
        <w:rPr>
          <w:rFonts w:ascii="Courier New" w:cs="Courier New" w:eastAsia="Courier New" w:hAnsi="Courier New"/>
          <w:sz w:val="14"/>
          <w:szCs w:val="14"/>
          <w:color w:val="auto"/>
        </w:rPr>
      </w:pPr>
    </w:p>
    <w:p>
      <w:pPr>
        <w:ind w:left="1220" w:hanging="604"/>
        <w:spacing w:after="0"/>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independent auditors; and</w:t>
      </w:r>
    </w:p>
    <w:p>
      <w:pPr>
        <w:spacing w:after="0" w:line="175" w:lineRule="exact"/>
        <w:rPr>
          <w:rFonts w:ascii="Courier New" w:cs="Courier New" w:eastAsia="Courier New" w:hAnsi="Courier New"/>
          <w:sz w:val="14"/>
          <w:szCs w:val="14"/>
          <w:color w:val="auto"/>
        </w:rPr>
      </w:pPr>
    </w:p>
    <w:p>
      <w:pPr>
        <w:ind w:left="1220" w:right="3459" w:hanging="604"/>
        <w:spacing w:after="0" w:line="258" w:lineRule="auto"/>
        <w:tabs>
          <w:tab w:leader="none" w:pos="12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w:t>
      </w:r>
    </w:p>
    <w:p>
      <w:pPr>
        <w:spacing w:after="0" w:line="160" w:lineRule="exact"/>
        <w:rPr>
          <w:sz w:val="20"/>
          <w:szCs w:val="20"/>
          <w:color w:val="auto"/>
        </w:rPr>
      </w:pPr>
    </w:p>
    <w:p>
      <w:pPr>
        <w:ind w:right="3299" w:firstLine="607"/>
        <w:spacing w:after="0" w:line="255" w:lineRule="auto"/>
        <w:rPr>
          <w:sz w:val="20"/>
          <w:szCs w:val="20"/>
          <w:color w:val="auto"/>
        </w:rPr>
      </w:pPr>
      <w:r>
        <w:rPr>
          <w:rFonts w:ascii="Courier New" w:cs="Courier New" w:eastAsia="Courier New" w:hAnsi="Courier New"/>
          <w:sz w:val="14"/>
          <w:szCs w:val="14"/>
          <w:color w:val="auto"/>
        </w:rPr>
        <w:t>The Board of Directors has fixed the close of business on March 17, 2000 as the record date for determination of shareholders entitled to notice of and to vote at the Annual Meeting or any adjournment thereof.</w:t>
      </w:r>
    </w:p>
    <w:p>
      <w:pPr>
        <w:spacing w:after="0" w:line="162" w:lineRule="exact"/>
        <w:rPr>
          <w:sz w:val="20"/>
          <w:szCs w:val="20"/>
          <w:color w:val="auto"/>
        </w:rPr>
      </w:pPr>
    </w:p>
    <w:p>
      <w:pPr>
        <w:jc w:val="both"/>
        <w:ind w:right="3459" w:firstLine="607"/>
        <w:spacing w:after="0" w:line="255" w:lineRule="auto"/>
        <w:rPr>
          <w:sz w:val="20"/>
          <w:szCs w:val="20"/>
          <w:color w:val="auto"/>
        </w:rPr>
      </w:pPr>
      <w:r>
        <w:rPr>
          <w:rFonts w:ascii="Courier New" w:cs="Courier New" w:eastAsia="Courier New" w:hAnsi="Courier New"/>
          <w:sz w:val="14"/>
          <w:szCs w:val="14"/>
          <w:color w:val="auto"/>
        </w:rPr>
        <w:t>Whether or not you expect to attend the meeting, we hope you will date and sign the enclosed Proxy Card and mail it promptly in the enclosed stamped envelope.</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ROSELYN R. BAR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Roselyn R. Bar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Corporate Secretary and</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Associate General Counsel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Raleigh, North Carolina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2000</w:t>
      </w:r>
    </w:p>
    <w:p>
      <w:pPr>
        <w:sectPr>
          <w:pgSz w:w="11900" w:h="16838" w:orient="portrait"/>
          <w:cols w:equalWidth="0" w:num="1">
            <w:col w:w="10159"/>
          </w:cols>
          <w:pgMar w:left="30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GENERAL INFORMATION</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Annual Meeting of Shareholders of Martin Marietta Materials, Inc., a North Carolina corporation (the "Corporation"), will be held on Tuesday, May 23, 2000, at the North Raleigh Hilton, 3415 Wake Forest Road, Raleigh, North Carolina, for the purposes set forth in the accompanying Notice of Annual Meeting of Shareholders ("Annual Meeting" or "Meeting"). This statement is furnished in connection with the solicitation by the Board of Directors of the Corporation of proxies to be used at such meeting and at any and all adjournments of such meeting.</w:t>
      </w:r>
    </w:p>
    <w:p>
      <w:pPr>
        <w:spacing w:after="0" w:line="164" w:lineRule="exact"/>
        <w:rPr>
          <w:sz w:val="20"/>
          <w:szCs w:val="20"/>
          <w:color w:val="auto"/>
        </w:rPr>
      </w:pPr>
    </w:p>
    <w:p>
      <w:pPr>
        <w:jc w:val="both"/>
        <w:ind w:right="3459" w:firstLine="607"/>
        <w:spacing w:after="0" w:line="255" w:lineRule="auto"/>
        <w:rPr>
          <w:sz w:val="20"/>
          <w:szCs w:val="20"/>
          <w:color w:val="auto"/>
        </w:rPr>
      </w:pPr>
      <w:r>
        <w:rPr>
          <w:rFonts w:ascii="Courier New" w:cs="Courier New" w:eastAsia="Courier New" w:hAnsi="Courier New"/>
          <w:sz w:val="14"/>
          <w:szCs w:val="14"/>
          <w:color w:val="auto"/>
        </w:rPr>
        <w:t>The Corporation's Annual Report for the fiscal year ended December 31, 1999, including audited financial statements, is being mailed to shareholders with this Proxy Statement.</w:t>
      </w:r>
    </w:p>
    <w:p>
      <w:pPr>
        <w:spacing w:after="0" w:line="162"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Whether or not you plan to attend the meeting, we urge you to date, sign and return your proxy in the enclosed envelope. You may revoke your proxy at any time prior to its exercise at the Annual Meeting (i) by filing with the Corporation's Secretary an instrument revoking the proxy prior to the Meeting,</w:t>
      </w:r>
    </w:p>
    <w:p>
      <w:pPr>
        <w:spacing w:after="0" w:line="1" w:lineRule="exact"/>
        <w:rPr>
          <w:sz w:val="20"/>
          <w:szCs w:val="20"/>
          <w:color w:val="auto"/>
        </w:rPr>
      </w:pPr>
    </w:p>
    <w:p>
      <w:pPr>
        <w:ind w:right="3299" w:firstLine="9"/>
        <w:spacing w:after="0" w:line="254" w:lineRule="auto"/>
        <w:tabs>
          <w:tab w:leader="none" w:pos="43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63" w:lineRule="exact"/>
        <w:rPr>
          <w:sz w:val="20"/>
          <w:szCs w:val="20"/>
          <w:color w:val="auto"/>
        </w:rPr>
      </w:pPr>
    </w:p>
    <w:p>
      <w:pPr>
        <w:ind w:right="3199" w:firstLine="607"/>
        <w:spacing w:after="0" w:line="254" w:lineRule="auto"/>
        <w:rPr>
          <w:sz w:val="20"/>
          <w:szCs w:val="20"/>
          <w:color w:val="auto"/>
        </w:rPr>
      </w:pPr>
      <w:r>
        <w:rPr>
          <w:rFonts w:ascii="Courier New" w:cs="Courier New" w:eastAsia="Courier New" w:hAnsi="Courier New"/>
          <w:sz w:val="14"/>
          <w:szCs w:val="14"/>
          <w:color w:val="auto"/>
        </w:rPr>
        <w:t>The principal office of the Corporation is at 2710 Wycliff Road, Raleigh, North Carolina 27607. This Proxy Statement, the Proxy Card, and the Notice of Meeting will be sent commencing approximately March 27, 2000 to shareholders of record on March 17, 2000.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SECURITIES AND RECORD DATE</w:t>
      </w:r>
    </w:p>
    <w:p>
      <w:pPr>
        <w:spacing w:after="0" w:line="175" w:lineRule="exact"/>
        <w:rPr>
          <w:sz w:val="20"/>
          <w:szCs w:val="20"/>
          <w:color w:val="auto"/>
        </w:rPr>
      </w:pPr>
    </w:p>
    <w:p>
      <w:pPr>
        <w:ind w:right="3199" w:firstLine="607"/>
        <w:spacing w:after="0" w:line="254" w:lineRule="auto"/>
        <w:rPr>
          <w:sz w:val="20"/>
          <w:szCs w:val="20"/>
          <w:color w:val="auto"/>
        </w:rPr>
      </w:pPr>
      <w:r>
        <w:rPr>
          <w:rFonts w:ascii="Courier New" w:cs="Courier New" w:eastAsia="Courier New" w:hAnsi="Courier New"/>
          <w:sz w:val="14"/>
          <w:szCs w:val="14"/>
          <w:color w:val="auto"/>
        </w:rPr>
        <w:t>Only shareholders of record at the close of business on March 17, 2000 are entitled to notice of and to vote at the Annual Meeting. On March 17, 2000, there were 46,727,259 shares outstanding of the Corporation's Common Stock, $.01 par value per share ("Common Stock" or "Stock"). Each share is entitled to one vote.</w:t>
      </w:r>
    </w:p>
    <w:p>
      <w:pPr>
        <w:spacing w:after="0" w:line="330"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Votes cast by proxy or in person at the Annual Meeting will be tabulated by an independent inspector of election appointed by the Corporation's Board of Directors for the Meeting from First Union National Bank,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64" w:lineRule="exact"/>
        <w:rPr>
          <w:sz w:val="20"/>
          <w:szCs w:val="20"/>
          <w:color w:val="auto"/>
        </w:rPr>
      </w:pPr>
    </w:p>
    <w:p>
      <w:pPr>
        <w:ind w:right="3199" w:firstLine="607"/>
        <w:spacing w:after="0" w:line="254" w:lineRule="auto"/>
        <w:rPr>
          <w:sz w:val="20"/>
          <w:szCs w:val="20"/>
          <w:color w:val="auto"/>
        </w:rPr>
      </w:pPr>
      <w:r>
        <w:rPr>
          <w:rFonts w:ascii="Courier New" w:cs="Courier New" w:eastAsia="Courier New" w:hAnsi="Courier New"/>
          <w:sz w:val="14"/>
          <w:szCs w:val="14"/>
          <w:color w:val="auto"/>
        </w:rPr>
        <w:t>The election of Directors requires a plurality of the votes cast with a quorum present. Any other proposal presented at the meeting will be approved if more votes are cast by proxy or in person in favor of the proposal than are cast against it. Brokers holding shares for beneficial</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159"/>
          </w:cols>
          <w:pgMar w:left="30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owners must vote those shares according to the specific instructions they receive from the beneficial owners. If specific instructions are not received, brokers may generally vote these shares in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for or against the proposal at the Meeting to authorize action on any matter (as described above), abstentions and broker non-votes, which will not be counted "for" or "against" proposals, have no effect on the vote for the election of Directors or approval of any of the other proposals.</w:t>
      </w:r>
    </w:p>
    <w:p>
      <w:pPr>
        <w:spacing w:after="0" w:line="163"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Each participant in the Corporation's Performance Sharing Plan and Savings and Investment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Corporation's Restated Articles of Incorporation, as amended, provide for a classified board of directors such that the Board of Directors is divided into three classes, each of which serves for three years. The Board of Directors has nominated three persons for election as Directors to serve three-year terms expiring in 2003. Unless otherwise directed, proxies will be voted in favor of these three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331" w:lineRule="exact"/>
        <w:rPr>
          <w:sz w:val="20"/>
          <w:szCs w:val="20"/>
          <w:color w:val="auto"/>
        </w:rPr>
      </w:pPr>
    </w:p>
    <w:p>
      <w:pPr>
        <w:ind w:right="3719" w:firstLine="607"/>
        <w:spacing w:after="0" w:line="254" w:lineRule="auto"/>
        <w:rPr>
          <w:sz w:val="20"/>
          <w:szCs w:val="20"/>
          <w:color w:val="auto"/>
        </w:rPr>
      </w:pPr>
      <w:r>
        <w:rPr>
          <w:rFonts w:ascii="Courier New" w:cs="Courier New" w:eastAsia="Courier New" w:hAnsi="Courier New"/>
          <w:sz w:val="14"/>
          <w:szCs w:val="14"/>
          <w:color w:val="auto"/>
        </w:rPr>
        <w:t>The following sets forth certain biographical information, current occupation and business experience for the past five years for each of the nominees for election and for each of the other members of the Board of Directors.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NOMINEES FOR ELECTION TO THE BOARD OF DIRECTORS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TERMS EXPIRING IN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E. MCDONALD (57)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(since 1996), member of the Audit and Compensation Committees.</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Mr. McDonald has served as Senior Vice President, Customer Service Operations, Sprint Corporation since January 1, 1998. He was previously President and Chief Executive Officer of Sprint Mid-Atlantic Operations from 1993 through 1997 and President and Chief Executive Officer for Sprint/United Telephone-Eastern from 1988 to 1993.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H. MENAKER, JR. (59)</w:t>
      </w:r>
    </w:p>
    <w:p>
      <w:pPr>
        <w:spacing w:after="0" w:line="8"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Director (since 1993), member of the Ethics, Environment, Safety and Health and Audit Committees.</w:t>
      </w:r>
    </w:p>
    <w:p>
      <w:pPr>
        <w:spacing w:after="0" w:line="160"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Mr. Menaker has served as Senior Vice President and General Counsel of Lockheed Martin Corporation since July 1996. He served as Vice President and General Counsel of Lockheed Martin Corporation from March 1995 to July 1996 and as Vice President of Martin Marietta Corporation from 1982 until 1995, and as General Counsel of Martin Marietta Corporation from 1981 until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A. VINROOT (58)</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Director (since 1996), member of the Ethics, Environment, Safety and Health Committee.</w:t>
      </w:r>
    </w:p>
    <w:p>
      <w:pPr>
        <w:spacing w:after="0" w:line="160"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Mr. Vinroot has been a member of the law firm of Robinson, Bradshaw &amp; Hinson, P.A. in Charlotte, North Carolina since 1969. From 1991 to 1995, Mr. Vinroot served as Mayor of Charlotte, North Carolina.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BOARD UNANIMOUSLY RECOMMENDS A VOTE "FOR" ALL NOMINEES FOR ELECTION TO THE BOARD OF DIRECTORS.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DIRECTORS CONTINUING IN OFFICE</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TERMS EXPIRING IN 2001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G. ADAMSON (67)</w:t>
      </w:r>
    </w:p>
    <w:p>
      <w:pPr>
        <w:spacing w:after="0" w:line="8"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Director (since 1994), member of the Ethics, Environment, Safety and Health and Audit Committees.</w:t>
      </w:r>
    </w:p>
    <w:p>
      <w:pPr>
        <w:spacing w:after="0" w:line="160"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Mr. Adamson served as Vice President, Strategic Development for Martin Marietta Corporation from April 1993 until his retirement in January 1995. From 1984 until April 1993, he served as Vice President, Business Development of Martin Marietta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MARCUS C. BENNETT (64)</w:t>
      </w:r>
    </w:p>
    <w:p>
      <w:pPr>
        <w:spacing w:after="0" w:line="8"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Director (since 1993), Chairman of the Executive and Finance Committees, member of the Compensation Committee.</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Mr. Bennett served as Executive Vice President and Chief Financial Officer of Lockheed Martin Corporation from July 1996 until his retirement on January 31, 1999. He continues to be a Director of Lockheed Martin Corporation, a position he has held since March 1995. From March 1995 until July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 Mr. Bennett is also a Director of Carpenter Technologies, Inc. and Comsat Corporation.</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BOBBY F. LEONARD (67)</w:t>
      </w:r>
    </w:p>
    <w:p>
      <w:pPr>
        <w:spacing w:after="0" w:line="8"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Director (since 1994), Chairman of the Compensation Committee and member of the Finance Committee.</w:t>
      </w:r>
    </w:p>
    <w:p>
      <w:pPr>
        <w:spacing w:after="0" w:line="160" w:lineRule="exact"/>
        <w:rPr>
          <w:sz w:val="20"/>
          <w:szCs w:val="20"/>
          <w:color w:val="auto"/>
        </w:rPr>
      </w:pPr>
    </w:p>
    <w:p>
      <w:pPr>
        <w:ind w:right="3559"/>
        <w:spacing w:after="0" w:line="255" w:lineRule="auto"/>
        <w:rPr>
          <w:sz w:val="20"/>
          <w:szCs w:val="20"/>
          <w:color w:val="auto"/>
        </w:rPr>
      </w:pPr>
      <w:r>
        <w:rPr>
          <w:rFonts w:ascii="Courier New" w:cs="Courier New" w:eastAsia="Courier New" w:hAnsi="Courier New"/>
          <w:sz w:val="14"/>
          <w:szCs w:val="14"/>
          <w:color w:val="auto"/>
        </w:rPr>
        <w:t>Mr. Leonard served as Vice President, Human Resources of Martin Marietta Corporation from 1981 until his retirement in March 1995. He is currently in private law practice in Maryland.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TERMS EXPIRING IN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M. REED (67)</w:t>
      </w:r>
    </w:p>
    <w:p>
      <w:pPr>
        <w:spacing w:after="0" w:line="8"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Director (since 1994), Chairman of the Audit Committee, member of the Executive and Finance Committees.</w:t>
      </w:r>
    </w:p>
    <w:p>
      <w:pPr>
        <w:spacing w:after="0" w:line="160" w:lineRule="exact"/>
        <w:rPr>
          <w:sz w:val="20"/>
          <w:szCs w:val="20"/>
          <w:color w:val="auto"/>
        </w:rPr>
      </w:pPr>
    </w:p>
    <w:p>
      <w:pPr>
        <w:ind w:right="3199"/>
        <w:spacing w:after="0" w:line="254" w:lineRule="auto"/>
        <w:rPr>
          <w:sz w:val="20"/>
          <w:szCs w:val="20"/>
          <w:color w:val="auto"/>
        </w:rPr>
      </w:pPr>
      <w:r>
        <w:rPr>
          <w:rFonts w:ascii="Courier New" w:cs="Courier New" w:eastAsia="Courier New" w:hAnsi="Courier New"/>
          <w:sz w:val="14"/>
          <w:szCs w:val="14"/>
          <w:color w:val="auto"/>
        </w:rPr>
        <w:t>Mr. Reed served as Chief Financial Officer of Union Camp Corporation from 1977 and as Vice Chairman of the Board of Union Camp Corporation from 1993 until his retirement on November 30, 1997. Mr. Reed is also a Director of Bush Boake Allen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B. SANSOM (58)</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Director (since 1994), Chairman of the Ethics, Environment, Safety and Health Committee and a member of the Compensation Committee.</w:t>
      </w:r>
    </w:p>
    <w:p>
      <w:pPr>
        <w:spacing w:after="0" w:line="160"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Mr. Sansom has served as the Chairman and Chief Executive Officer of The H.T. Hackney Co. since May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STEPHEN P. ZELNAK, JR. (55)</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Chairman of the Board (since 1997) and Director (since 1993), member of the Executive and Finance Committees.</w:t>
      </w:r>
    </w:p>
    <w:p>
      <w:pPr>
        <w:spacing w:after="0" w:line="160"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4"/>
          <w:szCs w:val="14"/>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BOARD OF DIRECTORS</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Corporation's Board of Directors held five meetings during 1999, all of which were regularly scheduled meetings. In addition, management confers frequently with its Directors on an informal basis to discuss Corporation affairs. Other than Directors who are also officers of the Corporation, Directors serving in 1999 received an annual retainer of $25,000 and were each granted 1,500 non-qualified stock option awards in accordance with the Martin Marietta Materials, Inc. Amended and Restated Stock-Based Award Plan. Directors also received $1,000 for each regular or special meeting of the Board and $500 for each Board committee meeting attended, in addition to reimbursement for travel and other expenses related to attendance at Board and committee meetings. Each committee chairman (other than the chairman of the Executive Committee) also receives an annual fee of $1,000.</w:t>
      </w:r>
    </w:p>
    <w:p>
      <w:pPr>
        <w:spacing w:after="0" w:line="163"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Pursuant to the Amended and Restated Martin Marietta Materials, Inc. Common Stock Purchase Plan for Directors, Directors may currently receive their compensation in cash and may defer the payment commencement date for all or a portion of their fees (in the form of cash or Common Stock) until the date the person ceases to be a Director or the date that is one month and one year following the date the person ceases to be a Director. Directors may elect to receive payment of the deferred amount in a single lump sum or in equal annual installments for a period of up to ten years. The Board of Directors unanimously agreed that a minimum of 30% of each Director's annual retainer would be paid in Common Stock and deferred under the plan.</w:t>
      </w:r>
    </w:p>
    <w:p>
      <w:pPr>
        <w:spacing w:after="0" w:line="164" w:lineRule="exact"/>
        <w:rPr>
          <w:sz w:val="20"/>
          <w:szCs w:val="20"/>
          <w:color w:val="auto"/>
        </w:rPr>
      </w:pPr>
    </w:p>
    <w:p>
      <w:pPr>
        <w:jc w:val="both"/>
        <w:ind w:right="3459" w:firstLine="607"/>
        <w:spacing w:after="0" w:line="255" w:lineRule="auto"/>
        <w:rPr>
          <w:sz w:val="20"/>
          <w:szCs w:val="20"/>
          <w:color w:val="auto"/>
        </w:rPr>
      </w:pPr>
      <w:r>
        <w:rPr>
          <w:rFonts w:ascii="Courier New" w:cs="Courier New" w:eastAsia="Courier New" w:hAnsi="Courier New"/>
          <w:sz w:val="14"/>
          <w:szCs w:val="14"/>
          <w:color w:val="auto"/>
        </w:rPr>
        <w:t>The Corporation's Board of Directors has five standing committees: an Audit Committee, a Compensation Committee, an Ethics, Environment, Safety and Health Committee, an Executive Committee and a Finance Committee.</w:t>
      </w:r>
    </w:p>
    <w:p>
      <w:pPr>
        <w:spacing w:after="0" w:line="162"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The Audit Committee, which is composed of Directors who are not officers or employees of the Corporation, held four meetings during 1999. The Audit Committee possesses and may exercise the powers of the Board of Directors, except when such powers are by statute or the Articles of Incorporation or Bylaws reserved to the full Board, relating to all accounting and auditing matters of the Corporation. The Audit Committee recommends to the Board of Directors the selection of the independent auditors. The Committee also monitors the independence of the independent auditors. The Committee reviews the scope and timing of work to be performed by the independent auditors; compensation to be paid to the independent auditors; financial accounting and reporting principles used by the Corporation; policies and procedures concerning audits, accounting and financial controls; recommendations to improve existing practices; and results of the audit and the report of the independent auditors. The Committee also reviews the qualifications and the plan and scope of work of the corporate internal audit function. The Committee's current members are Directors Reed (Chairman), Adamson, McDonald and Menaker.</w:t>
      </w:r>
    </w:p>
    <w:p>
      <w:pPr>
        <w:spacing w:after="0" w:line="173"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The Compensation Committee is composed of Directors who are not officers or employees of the Corporation and who are also "non-employee" and "outside" Directors as those terms are defined by Rule 16b-3 promulgated under the Securities and Exchange Act of 1934 and Section 162(m) of the Internal Revenue Code of 1986. It held five meetings during 1999. The Committee has the power to fix the compensation and benefits to be paid for all elected officers and employees. The Committee also approves and administers the grants of stock</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299"/>
        <w:spacing w:after="0" w:line="254" w:lineRule="auto"/>
        <w:rPr>
          <w:sz w:val="20"/>
          <w:szCs w:val="20"/>
          <w:color w:val="auto"/>
        </w:rPr>
      </w:pPr>
      <w:r>
        <w:rPr>
          <w:rFonts w:ascii="Courier New" w:cs="Courier New" w:eastAsia="Courier New" w:hAnsi="Courier New"/>
          <w:sz w:val="14"/>
          <w:szCs w:val="14"/>
          <w:color w:val="auto"/>
        </w:rPr>
        <w:t>options and any other equity-based awards that may be granted by the Corporation. The Committee has the power to administer any other compensation plan in connection with which the Corporation or any of its employees may realize a benefit from administration by disinterested Directors. The Committee's current members are Directors Leonard (Chairman), Bennett, McDonald and Sansom.</w:t>
      </w:r>
    </w:p>
    <w:p>
      <w:pPr>
        <w:spacing w:after="0" w:line="329"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Ethics, Environment, Safety and Health Committee held four meetings during 1999. It monitors compliance with the Martin Marietta Materials, Inc. Code of Ethics and Standards of Conduct and reviews all matters presented to it by the Corporate Ethics Officer concerning the ethical practices of the Corporation and its employees, including conflicts or potential conflicts of interest between the Corporation and any of its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Sansom (Chairman), Adamson, Menaker and Vinroot.</w:t>
      </w:r>
    </w:p>
    <w:p>
      <w:pPr>
        <w:spacing w:after="0" w:line="164" w:lineRule="exact"/>
        <w:rPr>
          <w:sz w:val="20"/>
          <w:szCs w:val="20"/>
          <w:color w:val="auto"/>
        </w:rPr>
      </w:pPr>
    </w:p>
    <w:p>
      <w:pPr>
        <w:ind w:right="3559" w:firstLine="607"/>
        <w:spacing w:after="0" w:line="253" w:lineRule="auto"/>
        <w:rPr>
          <w:sz w:val="20"/>
          <w:szCs w:val="20"/>
          <w:color w:val="auto"/>
        </w:rPr>
      </w:pPr>
      <w:r>
        <w:rPr>
          <w:rFonts w:ascii="Courier New" w:cs="Courier New" w:eastAsia="Courier New" w:hAnsi="Courier New"/>
          <w:sz w:val="14"/>
          <w:szCs w:val="14"/>
          <w:color w:val="auto"/>
        </w:rPr>
        <w:t>The Executive Committee held no meetings during 1999. It has the authority to act during the intervals between the meetings of the Board of Directors and may exercise the powers of the Board in the management of the business and affairs of the Corporation as may be authorized by the Board of Directors. The Committee's current members are Directors Bennett (Chairman), Reed and Zelnak.</w:t>
      </w:r>
    </w:p>
    <w:p>
      <w:pPr>
        <w:spacing w:after="0" w:line="16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Finance Committee held four meetings during 1999.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and the payment of dividends, as well as capital expenditures and the contributions budget. The Committee's current members are Directors Bennett (Chairman), Leonard, Reed and Zelnak.</w:t>
      </w:r>
    </w:p>
    <w:p>
      <w:pPr>
        <w:spacing w:after="0" w:line="331"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preceding year's annual meeting and must contain specified information concerning the nominee and the shareholder proposing the nomination. Any shareholder desiring a copy of the Bylaws of the Corporation will be furnished a copy without charge upon written request to the Secretary of the Corporation.</w:t>
      </w:r>
    </w:p>
    <w:p>
      <w:pPr>
        <w:spacing w:after="0" w:line="163" w:lineRule="exact"/>
        <w:rPr>
          <w:sz w:val="20"/>
          <w:szCs w:val="20"/>
          <w:color w:val="auto"/>
        </w:rPr>
      </w:pPr>
    </w:p>
    <w:p>
      <w:pPr>
        <w:ind w:right="3299" w:firstLine="607"/>
        <w:spacing w:after="0" w:line="254" w:lineRule="auto"/>
        <w:rPr>
          <w:sz w:val="20"/>
          <w:szCs w:val="20"/>
          <w:color w:val="auto"/>
        </w:rPr>
      </w:pPr>
      <w:r>
        <w:rPr>
          <w:rFonts w:ascii="Courier New" w:cs="Courier New" w:eastAsia="Courier New" w:hAnsi="Courier New"/>
          <w:sz w:val="14"/>
          <w:szCs w:val="14"/>
          <w:color w:val="auto"/>
        </w:rPr>
        <w:t>During the year ended December 31, 1999, no Director attended fewer than 75% of the aggregate of (1) the total number of meetings of the Board of Directors (held during the period for which he has been a director) and (2) the total number of meetings held by all committees of the Board on which he served (during the periods that he served).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SECURITY OWNERSHIP OF CERTAIN</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BENEFICIAL OWNERS AND MANAGEMENT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PERCENT SHAREHOLDERS</w:t>
      </w:r>
    </w:p>
    <w:p>
      <w:pPr>
        <w:spacing w:after="0" w:line="175"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The following table sets forth information with respect to the shares of Common Stock which are held by persons known to the Corporation to be the beneficial owners of more than 5% of such stock as of March 20, 2000. To the best of the Corporation's knowledge, no person (other than as disclosed below) owned more than 5 percent of any class of the Corporation's outstanding voting securities at the close of business on March 20, 2000.</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ind w:left="800"/>
              <w:spacing w:after="0"/>
              <w:rPr>
                <w:sz w:val="20"/>
                <w:szCs w:val="20"/>
                <w:color w:val="auto"/>
              </w:rPr>
            </w:pPr>
            <w:r>
              <w:rPr>
                <w:rFonts w:ascii="Courier New" w:cs="Courier New" w:eastAsia="Courier New" w:hAnsi="Courier New"/>
                <w:sz w:val="14"/>
                <w:szCs w:val="14"/>
                <w:color w:val="auto"/>
              </w:rPr>
              <w:t>NAME AND ADDRESS</w:t>
            </w:r>
          </w:p>
        </w:tc>
        <w:tc>
          <w:tcPr>
            <w:tcW w:w="2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AND NATURE OF</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3000" w:type="dxa"/>
            <w:vAlign w:val="bottom"/>
          </w:tcPr>
          <w:p>
            <w:pPr>
              <w:ind w:left="700"/>
              <w:spacing w:after="0"/>
              <w:rPr>
                <w:sz w:val="20"/>
                <w:szCs w:val="20"/>
                <w:color w:val="auto"/>
              </w:rPr>
            </w:pPr>
            <w:r>
              <w:rPr>
                <w:rFonts w:ascii="Courier New" w:cs="Courier New" w:eastAsia="Courier New" w:hAnsi="Courier New"/>
                <w:sz w:val="14"/>
                <w:szCs w:val="14"/>
                <w:color w:val="auto"/>
              </w:rPr>
              <w:t>OF BENEFICIAL OWNER</w:t>
            </w:r>
          </w:p>
        </w:tc>
        <w:tc>
          <w:tcPr>
            <w:tcW w:w="2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BENEFICIAL OWNERSHIP</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OF CLASS</w:t>
            </w:r>
          </w:p>
        </w:tc>
      </w:tr>
      <w:tr>
        <w:trPr>
          <w:trHeight w:val="167"/>
        </w:trPr>
        <w:tc>
          <w:tcPr>
            <w:tcW w:w="30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Davis Selected Advisers, L.P.(1)</w:t>
            </w:r>
          </w:p>
        </w:tc>
        <w:tc>
          <w:tcPr>
            <w:tcW w:w="2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6,776,803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124 East Marcy Street</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Santa Fe, NM 87501</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American Express Financial</w:t>
            </w:r>
          </w:p>
        </w:tc>
        <w:tc>
          <w:tcPr>
            <w:tcW w:w="2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4,330,588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7"/>
        </w:trPr>
        <w:tc>
          <w:tcPr>
            <w:tcW w:w="3000" w:type="dxa"/>
            <w:vAlign w:val="bottom"/>
          </w:tcPr>
          <w:p>
            <w:pPr>
              <w:ind w:left="260"/>
              <w:spacing w:after="0"/>
              <w:rPr>
                <w:sz w:val="20"/>
                <w:szCs w:val="20"/>
                <w:color w:val="auto"/>
              </w:rPr>
            </w:pPr>
            <w:r>
              <w:rPr>
                <w:rFonts w:ascii="Courier New" w:cs="Courier New" w:eastAsia="Courier New" w:hAnsi="Courier New"/>
                <w:sz w:val="14"/>
                <w:szCs w:val="14"/>
                <w:color w:val="auto"/>
              </w:rPr>
              <w:t>Corporation(2)</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IDS Tower 10</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Minneapolis, MN 55440</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FMR Corp(3)</w:t>
            </w:r>
          </w:p>
        </w:tc>
        <w:tc>
          <w:tcPr>
            <w:tcW w:w="2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3,495,614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82 Devonshire St.</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Boston, MA 02109</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Brinson Partners, Inc.(4)</w:t>
            </w:r>
          </w:p>
        </w:tc>
        <w:tc>
          <w:tcPr>
            <w:tcW w:w="2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2,453,501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209 South LaSalle</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Chicago, IL 60604-1295</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4"/>
        </w:trPr>
        <w:tc>
          <w:tcPr>
            <w:tcW w:w="3000" w:type="dxa"/>
            <w:vAlign w:val="bottom"/>
          </w:tcPr>
          <w:p>
            <w:pPr>
              <w:spacing w:after="0"/>
              <w:rPr>
                <w:sz w:val="20"/>
                <w:szCs w:val="20"/>
                <w:color w:val="auto"/>
              </w:rPr>
            </w:pPr>
            <w:r>
              <w:rPr>
                <w:rFonts w:ascii="Courier New" w:cs="Courier New" w:eastAsia="Courier New" w:hAnsi="Courier New"/>
                <w:sz w:val="14"/>
                <w:szCs w:val="14"/>
                <w:color w:val="auto"/>
              </w:rPr>
              <w:t>General Electric Investment</w:t>
            </w:r>
          </w:p>
        </w:tc>
        <w:tc>
          <w:tcPr>
            <w:tcW w:w="2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2,348,321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7"/>
        </w:trPr>
        <w:tc>
          <w:tcPr>
            <w:tcW w:w="3000" w:type="dxa"/>
            <w:vAlign w:val="bottom"/>
          </w:tcPr>
          <w:p>
            <w:pPr>
              <w:ind w:left="260"/>
              <w:spacing w:after="0"/>
              <w:rPr>
                <w:sz w:val="20"/>
                <w:szCs w:val="20"/>
                <w:color w:val="auto"/>
              </w:rPr>
            </w:pPr>
            <w:r>
              <w:rPr>
                <w:rFonts w:ascii="Courier New" w:cs="Courier New" w:eastAsia="Courier New" w:hAnsi="Courier New"/>
                <w:sz w:val="14"/>
                <w:szCs w:val="14"/>
                <w:color w:val="auto"/>
              </w:rPr>
              <w:t>Corporation(5)</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3003 Summer Street</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Stamford, CT 06904</w:t>
            </w: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07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Schedule 13G dated February 10, 2000 filed with the Securities and Exchange Commission.</w:t>
      </w:r>
    </w:p>
    <w:p>
      <w:pPr>
        <w:ind w:left="360" w:right="345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Schedule 13G dated December 31, 1999 filed with the Securities and Exchange Commission. The total includes 38,200 shares over which the shareholder has shared voting power with its parent holding company, American Express Company, and 4,330,588 shares over which the shareholder has shared dispositive power with its parent holding company, American Express Company. American Express Company disclaims beneficial ownership of the shares referred to in the Schedule 13G.</w:t>
      </w:r>
    </w:p>
    <w:p>
      <w:pPr>
        <w:spacing w:after="0" w:line="2" w:lineRule="exact"/>
        <w:rPr>
          <w:rFonts w:ascii="Courier New" w:cs="Courier New" w:eastAsia="Courier New" w:hAnsi="Courier New"/>
          <w:sz w:val="14"/>
          <w:szCs w:val="14"/>
          <w:color w:val="auto"/>
        </w:rPr>
      </w:pPr>
    </w:p>
    <w:p>
      <w:pPr>
        <w:ind w:left="360" w:right="329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March 13, 2000 as reported to the Corporation. The total includes stock held by certain affiliated entities and individuals over which FMR Corp. and such affiliates have the sole power to vote or to direct the vote of 1,813,830 and the sole power to dispose or direct the disposition of 3,495,614 shares as a result of acting as investment adviser or subadviser to certain investment companies.</w:t>
      </w:r>
    </w:p>
    <w:p>
      <w:pPr>
        <w:spacing w:after="0" w:line="2" w:lineRule="exact"/>
        <w:rPr>
          <w:rFonts w:ascii="Courier New" w:cs="Courier New" w:eastAsia="Courier New" w:hAnsi="Courier New"/>
          <w:sz w:val="14"/>
          <w:szCs w:val="14"/>
          <w:color w:val="auto"/>
        </w:rPr>
      </w:pPr>
    </w:p>
    <w:p>
      <w:pPr>
        <w:ind w:left="360" w:right="3199" w:hanging="351"/>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Schedule 13G dated February 4, 2000 filed with the Securities and Exchange Commission. The total includes 2,412,151 shares over which the shareholder has shared dispositive power with its parent holding company, UBS AG, and 2,453,501 shares over which UBS AG has reported beneficial ownership. The shareholder and UBS AG each disclaim beneficial ownership as to the shares referred to in the Schedule 13G.</w:t>
      </w:r>
    </w:p>
    <w:p>
      <w:pPr>
        <w:spacing w:after="0" w:line="2" w:lineRule="exact"/>
        <w:rPr>
          <w:rFonts w:ascii="Courier New" w:cs="Courier New" w:eastAsia="Courier New" w:hAnsi="Courier New"/>
          <w:sz w:val="14"/>
          <w:szCs w:val="14"/>
          <w:color w:val="auto"/>
        </w:rPr>
      </w:pPr>
    </w:p>
    <w:p>
      <w:pPr>
        <w:ind w:left="360" w:right="3199" w:hanging="351"/>
        <w:spacing w:after="0" w:line="253"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Schedule 13G dated February 14, 2000 filed with the Securities and Exchange Commission. The total includes stock held by certain affiliated entities and individuals over which General Electric Investment Corporation and such affiliates have the shared power to vote or to direct the vote of 1,325,414 shares, the sole power to dispose or direct the disposition of 39,600 shares and the sole power to dispose or direct the disposition of 983,307 shares as a result of acting as investment adviser or sub-adviser to certain investment companies. General Electric Company disclaims beneficial ownership of the shares referred to in the Schedule 13G.</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EXECUTIVE OFFICERS</w:t>
      </w:r>
    </w:p>
    <w:p>
      <w:pPr>
        <w:spacing w:after="0" w:line="175" w:lineRule="exact"/>
        <w:rPr>
          <w:sz w:val="20"/>
          <w:szCs w:val="20"/>
          <w:color w:val="auto"/>
        </w:rPr>
      </w:pPr>
    </w:p>
    <w:p>
      <w:pPr>
        <w:ind w:right="3199" w:firstLine="607"/>
        <w:spacing w:after="0" w:line="254" w:lineRule="auto"/>
        <w:rPr>
          <w:sz w:val="20"/>
          <w:szCs w:val="20"/>
          <w:color w:val="auto"/>
        </w:rPr>
      </w:pPr>
      <w:r>
        <w:rPr>
          <w:rFonts w:ascii="Courier New" w:cs="Courier New" w:eastAsia="Courier New" w:hAnsi="Courier New"/>
          <w:sz w:val="14"/>
          <w:szCs w:val="14"/>
          <w:color w:val="auto"/>
        </w:rPr>
        <w:t>The following table sets forth information as of March 20, 2000 with respect to the shares of Common Stock that are held by the Directors and nominees, the Chief Executive Officer, and the four most highly compensated executive officers, individually, and by all Directors and executive officers of the Corporation as a group.</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NAME OF</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AMOUNT AND NATURE OF</w:t>
            </w:r>
          </w:p>
        </w:tc>
      </w:tr>
      <w:tr>
        <w:trPr>
          <w:trHeight w:val="167"/>
        </w:trPr>
        <w:tc>
          <w:tcPr>
            <w:tcW w:w="418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BENEFICIAL OWNER</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BENEFICIAL OWNERSHIP(1)</w:t>
            </w:r>
          </w:p>
        </w:tc>
      </w:tr>
      <w:tr>
        <w:trPr>
          <w:trHeight w:val="167"/>
        </w:trPr>
        <w:tc>
          <w:tcPr>
            <w:tcW w:w="4180" w:type="dxa"/>
            <w:vAlign w:val="bottom"/>
          </w:tcPr>
          <w:p>
            <w:pPr>
              <w:jc w:val="right"/>
              <w:ind w:right="140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Richard G. Adamson.............................</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5,653(2)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Marcus C. Bennett..............................</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9,873(2)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Bruce A. Deerson...............................</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42,394(3)(4)</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Janice K. Henry................................</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48,605(3)(4)</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Bobby F. Leonard...............................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8,803(2)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William E. McDonald............................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4,698(2)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Frank H. Menaker, Jr. .........................</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8,281(2)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James M. Reed..................................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7,765(2)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William B. Sansom..............................</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6,923(2)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Philip J. Sipling..............................</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64,097(3)(4)</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Richard A. Vinroot.............................</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5,636(2)</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Robert R. Winchester...........................</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26,411(3)</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Stephen P. Zelnak, Jr. ........................</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93,048(3)(5)</w:t>
            </w: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All Directors and executive officers as a group</w:t>
            </w:r>
          </w:p>
        </w:tc>
        <w:tc>
          <w:tcPr>
            <w:tcW w:w="2080" w:type="dxa"/>
            <w:vAlign w:val="bottom"/>
          </w:tcPr>
          <w:p>
            <w:pPr>
              <w:spacing w:after="0"/>
              <w:rPr>
                <w:sz w:val="14"/>
                <w:szCs w:val="14"/>
                <w:color w:val="auto"/>
              </w:rPr>
            </w:pPr>
          </w:p>
        </w:tc>
      </w:tr>
      <w:tr>
        <w:trPr>
          <w:trHeight w:val="167"/>
        </w:trPr>
        <w:tc>
          <w:tcPr>
            <w:tcW w:w="41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 individuals including those named</w:t>
            </w:r>
          </w:p>
        </w:tc>
        <w:tc>
          <w:tcPr>
            <w:tcW w:w="2080" w:type="dxa"/>
            <w:vAlign w:val="bottom"/>
          </w:tcPr>
          <w:p>
            <w:pPr>
              <w:spacing w:after="0"/>
              <w:rPr>
                <w:sz w:val="14"/>
                <w:szCs w:val="14"/>
                <w:color w:val="auto"/>
              </w:rPr>
            </w:pPr>
          </w:p>
        </w:tc>
      </w:tr>
      <w:tr>
        <w:trPr>
          <w:trHeight w:val="167"/>
        </w:trPr>
        <w:tc>
          <w:tcPr>
            <w:tcW w:w="4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above)......................................</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400,699(3)</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559" w:hanging="351"/>
        <w:spacing w:after="0" w:line="252"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the shares reported, unless indicated otherwise, (i) beneficial ownership is direct, and (ii) the person indicated has sole voting and investment power. None of the directors or named executive officers individually or as a group own in excess of one percent of the shares of Common Stock outstanding.</w:t>
      </w:r>
    </w:p>
    <w:p>
      <w:pPr>
        <w:spacing w:after="0" w:line="1" w:lineRule="exact"/>
        <w:rPr>
          <w:rFonts w:ascii="Courier New" w:cs="Courier New" w:eastAsia="Courier New" w:hAnsi="Courier New"/>
          <w:sz w:val="14"/>
          <w:szCs w:val="14"/>
          <w:color w:val="auto"/>
        </w:rPr>
      </w:pPr>
    </w:p>
    <w:p>
      <w:pPr>
        <w:ind w:left="360" w:right="3199" w:hanging="351"/>
        <w:spacing w:after="0" w:line="253"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include compensation paid on a quarterly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20, 2000 is as follows: Mr. Adamson, 1,253; Mr. Bennett, 2,873; Mr. Leonard, 1,053; Mr. McDonald, 1,698; Mr. Menaker, 2,731; Mr. Reed, 1,765; Mr. Sansom, 2,873; and Mr. Vinroot, 2,636. Amounts reported also include options for Common Stock in the amount of 3,000 for each Director, which are currently exercisable within 60 days of March 20, 2000.</w:t>
      </w:r>
    </w:p>
    <w:p>
      <w:pPr>
        <w:spacing w:after="0" w:line="163" w:lineRule="exact"/>
        <w:rPr>
          <w:rFonts w:ascii="Courier New" w:cs="Courier New" w:eastAsia="Courier New" w:hAnsi="Courier New"/>
          <w:sz w:val="14"/>
          <w:szCs w:val="14"/>
          <w:color w:val="auto"/>
        </w:rPr>
      </w:pPr>
    </w:p>
    <w:p>
      <w:pPr>
        <w:ind w:left="360" w:right="3199" w:hanging="351"/>
        <w:spacing w:after="0" w:line="252"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owned for each of Messrs. Deerson, Sipling, Winchester, Zelnak and Ms. Henry and all Directors and executive officers as a group assumes that options held by each of them covering shares of Common Stock in the amounts indicated, which are currently exercisable within 60 days of March 20, 2000, have been exercised: Mr. Deerson, 31,999; Ms. Henry, 41,332; Mr. Sipling, 54,666; Mr. Winchester, 20,000; Mr. Zelnak, 71,667; and all Directors and executive officers as a group, 287,662. The amounts reported do not include Common Stock units credited to each of the named executives in connection with their deferral of a portion of their cash bonus under the Martin Marietta Materials, Inc. Incentive Stock Plan that have not vested as of March 20, 2000 in the following amounts: Mr. Deerson, 1,161; Ms. Henry, 4,499; Mr. Sipling, 6,237; Mr. Winchester, 1,357; Mr. Zelnak, 22,643; and all Directors and executive officers as a group, 42,731.</w:t>
      </w:r>
    </w:p>
    <w:p>
      <w:pPr>
        <w:spacing w:after="0" w:line="4" w:lineRule="exact"/>
        <w:rPr>
          <w:rFonts w:ascii="Courier New" w:cs="Courier New" w:eastAsia="Courier New" w:hAnsi="Courier New"/>
          <w:sz w:val="14"/>
          <w:szCs w:val="14"/>
          <w:color w:val="auto"/>
        </w:rPr>
      </w:pPr>
    </w:p>
    <w:p>
      <w:pPr>
        <w:ind w:left="360" w:right="3559" w:hanging="351"/>
        <w:spacing w:after="0" w:line="252"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approximation of the number of shares in the participant's account in the Martin Marietta Materials, Inc. Performance Sharing Plan.</w:t>
      </w:r>
    </w:p>
    <w:p>
      <w:pPr>
        <w:ind w:left="360" w:right="3459" w:hanging="351"/>
        <w:spacing w:after="0" w:line="258"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 shares held by the Zelnak Private Foundation of which Mr. Zelnak and his wife are trustees and share voting and investment power.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SECTION 16(a) BENEFICIAL OWNERSHIP</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REPORTING COMPLIANCE</w:t>
      </w:r>
    </w:p>
    <w:p>
      <w:pPr>
        <w:spacing w:after="0" w:line="175"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65" w:lineRule="exact"/>
        <w:rPr>
          <w:sz w:val="20"/>
          <w:szCs w:val="20"/>
          <w:color w:val="auto"/>
        </w:rPr>
      </w:pPr>
    </w:p>
    <w:p>
      <w:pPr>
        <w:ind w:right="3299" w:firstLine="607"/>
        <w:spacing w:after="0" w:line="254" w:lineRule="auto"/>
        <w:rPr>
          <w:sz w:val="20"/>
          <w:szCs w:val="20"/>
          <w:color w:val="auto"/>
        </w:rPr>
      </w:pPr>
      <w:r>
        <w:rPr>
          <w:rFonts w:ascii="Courier New" w:cs="Courier New" w:eastAsia="Courier New" w:hAnsi="Courier New"/>
          <w:sz w:val="14"/>
          <w:szCs w:val="14"/>
          <w:color w:val="auto"/>
        </w:rPr>
        <w:t>Based solely on its review of the copies of reports furnished to the Corporation and written representations that no other reports were required for the year ended 1999, the Corporation is not aware of any reporting person who failed to file on a timely basis all reports required by Section 16(a) to be filed during 1999.</w:t>
      </w:r>
    </w:p>
    <w:p>
      <w:pPr>
        <w:spacing w:after="0" w:line="16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INDEPENDENT AUDITORS</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Board of Directors recommends that the shareholders ratify the appointment of Ernst &amp; Young LLP, independent auditors, to audit the consolidated financial statements of the Corporation for the fiscal year 2000. The ratification of the appointment of Ernst &amp; Young LLP is being submitted to the shareholders because management believes this to be good corporate practice. Should the shareholders fail to ratify this appointment, the Board of Directors will review the matter.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64"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4"/>
          <w:szCs w:val="14"/>
          <w:color w:val="auto"/>
        </w:rPr>
        <w:t>THE BOARD UNANIMOUSLY RECOMMENDS A VOTE "FOR" RATIFICATION OF SELECTION OF ERNST &amp; YOUNG LLP AS INDEPENDENT AUDITORS.</w:t>
      </w:r>
    </w:p>
    <w:p>
      <w:pPr>
        <w:spacing w:after="0" w:line="16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1999, 1998 and 1997. Other than compensation paid by the Corporation as set forth below, no annual or long-term compensation of any kind was paid to the Chief Executive Officer or other named executive officers of the Corporation in each of the years in the three-year period ended December 31, 1999.</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6"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4080" w:type="dxa"/>
            <w:vAlign w:val="bottom"/>
            <w:gridSpan w:val="2"/>
          </w:tcPr>
          <w:p>
            <w:pPr>
              <w:ind w:left="2360"/>
              <w:spacing w:after="0"/>
              <w:rPr>
                <w:sz w:val="20"/>
                <w:szCs w:val="20"/>
                <w:color w:val="auto"/>
              </w:rPr>
            </w:pPr>
            <w:r>
              <w:rPr>
                <w:rFonts w:ascii="Courier New" w:cs="Courier New" w:eastAsia="Courier New" w:hAnsi="Courier New"/>
                <w:sz w:val="14"/>
                <w:szCs w:val="14"/>
                <w:color w:val="auto"/>
              </w:rPr>
              <w:t>SUMMARY COMPENSATION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TABLE</w:t>
            </w: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68"/>
        </w:trPr>
        <w:tc>
          <w:tcPr>
            <w:tcW w:w="3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LONG-TERM</w:t>
            </w:r>
          </w:p>
        </w:tc>
        <w:tc>
          <w:tcPr>
            <w:tcW w:w="1520" w:type="dxa"/>
            <w:vAlign w:val="bottom"/>
          </w:tcPr>
          <w:p>
            <w:pPr>
              <w:spacing w:after="0"/>
              <w:rPr>
                <w:sz w:val="24"/>
                <w:szCs w:val="24"/>
                <w:color w:val="auto"/>
              </w:rPr>
            </w:pPr>
          </w:p>
        </w:tc>
      </w:tr>
      <w:tr>
        <w:trPr>
          <w:trHeight w:val="167"/>
        </w:trPr>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COMPENSATION</w:t>
            </w:r>
          </w:p>
        </w:tc>
        <w:tc>
          <w:tcPr>
            <w:tcW w:w="152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gridSpan w:val="3"/>
          </w:tcPr>
          <w:p>
            <w:pPr>
              <w:jc w:val="right"/>
              <w:ind w:right="1268"/>
              <w:spacing w:after="0"/>
              <w:rPr>
                <w:sz w:val="20"/>
                <w:szCs w:val="20"/>
                <w:color w:val="auto"/>
              </w:rPr>
            </w:pPr>
            <w:r>
              <w:rPr>
                <w:rFonts w:ascii="Courier New" w:cs="Courier New" w:eastAsia="Courier New" w:hAnsi="Courier New"/>
                <w:sz w:val="14"/>
                <w:szCs w:val="14"/>
                <w:color w:val="auto"/>
              </w:rPr>
              <w:t>ANNUAL COMPENSATION</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AWARDS</w:t>
            </w:r>
          </w:p>
        </w:tc>
        <w:tc>
          <w:tcPr>
            <w:tcW w:w="152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8"/>
                <w:szCs w:val="8"/>
                <w:color w:val="auto"/>
                <w:w w:val="71"/>
              </w:rPr>
              <w:t>--------------------------------------------</w:t>
            </w: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SECURITIES</w:t>
            </w:r>
          </w:p>
        </w:tc>
        <w:tc>
          <w:tcPr>
            <w:tcW w:w="152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OTHER ANNUAL</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UNDERLYING</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SALARY</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BONUS(1)</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COMPENSATION(2)</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OPTIONS/SARS(#)(3)</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COMPENSATION(4)</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Stephen P. Zelnak, Jr. ...............</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$615,000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$297,500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$383,798</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75,000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Chairman, President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558,333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386,673</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60,000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and Chief Executive Officer</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490,000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225,000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288,745</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54,000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Philip J. Sipling.....................</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303,333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83,800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108,202</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25,000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269,375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76,772</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99,002</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20,000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223,625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64,400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82,350</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18,000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5,536</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Janice K. Henry.......................</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246,417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62,850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81,178</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17,500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213,333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102,000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67,342</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14,000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Chief Financial Officer</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59,978</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and Treasurer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Robert R. Winchester..................</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82,400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32,286</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110,184</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16,494</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15,000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207,667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104,850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15,478</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15,000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Bruce A. Deerson......................</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213,333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70,700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26,104</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and</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193,750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130,285</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19,507</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400" w:type="dxa"/>
            <w:vAlign w:val="bottom"/>
          </w:tcPr>
          <w:p>
            <w:pPr>
              <w:ind w:left="180"/>
              <w:spacing w:after="0"/>
              <w:rPr>
                <w:sz w:val="20"/>
                <w:szCs w:val="20"/>
                <w:color w:val="auto"/>
              </w:rPr>
            </w:pPr>
            <w:r>
              <w:rPr>
                <w:rFonts w:ascii="Courier New" w:cs="Courier New" w:eastAsia="Courier New" w:hAnsi="Courier New"/>
                <w:sz w:val="14"/>
                <w:szCs w:val="14"/>
                <w:color w:val="auto"/>
              </w:rPr>
              <w:t>General Counsel</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178,583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77,130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12,272</w:t>
            </w:r>
          </w:p>
        </w:tc>
        <w:tc>
          <w:tcPr>
            <w:tcW w:w="18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10,000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4,676</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900" w:hanging="351"/>
        <w:spacing w:after="0" w:line="252"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Bonuses earned in 1999 were paid pursuant to the Martin Marietta Materials, Inc. Executive Incentive Plan. A portion of the cash bonus in 1999, 1998 and 1997 to be paid to the named executive officers and certain other key employees of the Corporation was deferred into stock-based awards pursuant to the Martin Marietta Materials, Inc. Incentive Stock Plan. The amounts deferred in 1999 for each of the named executive officers are as follows: Mr. Zelnak, $297,500; Mr. Sipling, $83,800; Ms. Henry, $62,850; Mr. Winchester, $25,000; and Mr. Deerson, $20,000. The amounts deferred in 1998 for each of the named executive officers are as follows: Mr. Zelnak, $300,000; Mr. Sipling, $76,772; Ms. Henry, $52,000; Mr. Winchester, $12,243; and Mr. Deerson, $14,168. The amounts deferred in 1997 for each of the named executive officers are as follows: Mr. Zelnak, $225,000; Mr. Sipling, $64,400; Ms. Henry, $46,800; Mr. Winchester, $11,650; and Mr. Deerson, $8,570. The amounts reported under "Bonus" do not include such deferred portion which are reported under "Other Annual Compensation." The amount reported under "Bonus" also includes a one-time cash bonus paid to Ms. Henry and Mr. Deerson for 1998, which amount was not eligible for deferral under the Martin Marietta Materials, Inc. Incentive Stock Plan.</w:t>
      </w:r>
    </w:p>
    <w:p>
      <w:pPr>
        <w:spacing w:after="0" w:line="6" w:lineRule="exact"/>
        <w:rPr>
          <w:rFonts w:ascii="Courier New" w:cs="Courier New" w:eastAsia="Courier New" w:hAnsi="Courier New"/>
          <w:sz w:val="14"/>
          <w:szCs w:val="14"/>
          <w:color w:val="auto"/>
        </w:rPr>
      </w:pPr>
    </w:p>
    <w:p>
      <w:pPr>
        <w:ind w:left="360" w:right="3900" w:hanging="351"/>
        <w:spacing w:after="0" w:line="252"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to use a minimum of 10% of the annual incentive bonus towards the crediting of Units under the Plan, except for Mr. Zelnak, who is required to use a minimum of 25% towards the crediting of such Units. Any election to purchase Units under the Plan (in addition to the mandatory purchases) must be made at least six months prior to the date the amount of the annual incentive bonus is determined. The Units credited under the Plan generally vest on December 1 in the year that is immediately preceding three years from the date of grant, at which time shares of Common Stock are issued to the participant. Dividend equivalents are paid on the Units at the same rate as dividends are paid to all shareholders. Such payments are included in the amounts reported. The amounts reported under "Other Annual Compensation" represent the market value on the date of grant of the Units credited to each named executive officer. The number of Units credited for 1999 to each of the named executives is as follows: Mr. Zelnak, 8,019; Mr. Sipling, 2,259; Ms. Henry, 1,695; Mr. Winchester, 674; and Mr. Deerson, 540. The number of Units credited for 1998 to each of the named executives is as follows: Mr. Zelnak, 6,865; Mr. Sipling, 1,757; Ms. Henry, 1,190; Mr. Winchester, 281; and Mr. Deerson 325. The number of Units credited for 1997 to each of the named executives is as follows: Mr. Zelnak, 7,759; Mr. Sipling, 2,221; Ms. Henry, 1,614; Mr. Winchester, 402; and Mr. Deerson, 296. The cost of perquisites furnished to each executive officer did not exceed the lesser of $50,000 or 10% of such officer's salary and bonus.</w:t>
      </w:r>
    </w:p>
    <w:p>
      <w:pPr>
        <w:spacing w:after="0" w:line="177"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are for Common Stock of the Corporation.</w:t>
      </w:r>
    </w:p>
    <w:p>
      <w:pPr>
        <w:spacing w:after="0" w:line="8" w:lineRule="exact"/>
        <w:rPr>
          <w:rFonts w:ascii="Courier New" w:cs="Courier New" w:eastAsia="Courier New" w:hAnsi="Courier New"/>
          <w:sz w:val="14"/>
          <w:szCs w:val="14"/>
          <w:color w:val="auto"/>
        </w:rPr>
      </w:pPr>
    </w:p>
    <w:p>
      <w:pPr>
        <w:ind w:left="360" w:right="4780" w:hanging="351"/>
        <w:spacing w:after="0" w:line="258"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under "All Other Compensation" represent matching contributions to the Corporation's Performance Sharing Plan.</w:t>
      </w:r>
    </w:p>
    <w:p>
      <w:pPr>
        <w:sectPr>
          <w:pgSz w:w="11900" w:h="16838" w:orient="portrait"/>
          <w:cols w:equalWidth="0" w:num="1">
            <w:col w:w="10860"/>
          </w:cols>
          <w:pgMar w:left="300" w:top="286" w:right="739" w:bottom="988" w:gutter="0" w:footer="0" w:header="0"/>
        </w:sectPr>
      </w:pP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860"/>
          </w:cols>
          <w:pgMar w:left="300" w:top="286" w:right="739" w:bottom="988"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175" w:lineRule="exact"/>
        <w:rPr>
          <w:sz w:val="20"/>
          <w:szCs w:val="20"/>
          <w:color w:val="auto"/>
        </w:rPr>
      </w:pPr>
    </w:p>
    <w:p>
      <w:pPr>
        <w:ind w:right="4400" w:firstLine="607"/>
        <w:spacing w:after="0" w:line="254" w:lineRule="auto"/>
        <w:rPr>
          <w:sz w:val="20"/>
          <w:szCs w:val="20"/>
          <w:color w:val="auto"/>
        </w:rPr>
      </w:pPr>
      <w:r>
        <w:rPr>
          <w:rFonts w:ascii="Courier New" w:cs="Courier New" w:eastAsia="Courier New" w:hAnsi="Courier New"/>
          <w:sz w:val="14"/>
          <w:szCs w:val="14"/>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1999.</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2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INDIVIDUAL GRANTS(1)</w:t>
            </w: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3820" w:type="dxa"/>
            <w:vAlign w:val="bottom"/>
          </w:tcPr>
          <w:p>
            <w:pPr>
              <w:spacing w:after="0"/>
              <w:rPr>
                <w:sz w:val="14"/>
                <w:szCs w:val="14"/>
                <w:color w:val="auto"/>
              </w:rPr>
            </w:pPr>
          </w:p>
        </w:tc>
        <w:tc>
          <w:tcPr>
            <w:tcW w:w="22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8"/>
              </w:rPr>
              <w:t>--------------------------------------------------------</w:t>
            </w: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POTENTIAL REALIZABLE</w:t>
            </w:r>
          </w:p>
        </w:tc>
      </w:tr>
      <w:tr>
        <w:trPr>
          <w:trHeight w:val="167"/>
        </w:trPr>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VALUE AT</w:t>
            </w:r>
          </w:p>
        </w:tc>
      </w:tr>
      <w:tr>
        <w:trPr>
          <w:trHeight w:val="167"/>
        </w:trPr>
        <w:tc>
          <w:tcPr>
            <w:tcW w:w="3820" w:type="dxa"/>
            <w:vAlign w:val="bottom"/>
          </w:tcPr>
          <w:p>
            <w:pPr>
              <w:spacing w:after="0"/>
              <w:rPr>
                <w:sz w:val="14"/>
                <w:szCs w:val="14"/>
                <w:color w:val="auto"/>
              </w:rPr>
            </w:pP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NO. OF</w:t>
            </w:r>
          </w:p>
        </w:tc>
        <w:tc>
          <w:tcPr>
            <w:tcW w:w="16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PERCENT OF</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ASSUMED ANNUAL RATES OF</w:t>
            </w:r>
          </w:p>
        </w:tc>
      </w:tr>
      <w:tr>
        <w:trPr>
          <w:trHeight w:val="167"/>
        </w:trPr>
        <w:tc>
          <w:tcPr>
            <w:tcW w:w="382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TOTAL OPTIONS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STOCK PRICE APPRECIATION</w:t>
            </w:r>
          </w:p>
        </w:tc>
      </w:tr>
      <w:tr>
        <w:trPr>
          <w:trHeight w:val="167"/>
        </w:trPr>
        <w:tc>
          <w:tcPr>
            <w:tcW w:w="382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UNDERLYING</w:t>
            </w:r>
          </w:p>
        </w:tc>
        <w:tc>
          <w:tcPr>
            <w:tcW w:w="16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GRANTED TO</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 OR</w:t>
            </w:r>
          </w:p>
        </w:tc>
        <w:tc>
          <w:tcPr>
            <w:tcW w:w="1140" w:type="dxa"/>
            <w:vAlign w:val="bottom"/>
          </w:tcPr>
          <w:p>
            <w:pPr>
              <w:spacing w:after="0"/>
              <w:rPr>
                <w:sz w:val="14"/>
                <w:szCs w:val="14"/>
                <w:color w:val="auto"/>
              </w:rPr>
            </w:pPr>
          </w:p>
        </w:tc>
        <w:tc>
          <w:tcPr>
            <w:tcW w:w="236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FOR OPTION TERM(2)</w:t>
            </w:r>
          </w:p>
        </w:tc>
      </w:tr>
      <w:tr>
        <w:trPr>
          <w:trHeight w:val="167"/>
        </w:trPr>
        <w:tc>
          <w:tcPr>
            <w:tcW w:w="3820" w:type="dxa"/>
            <w:vAlign w:val="bottom"/>
          </w:tcPr>
          <w:p>
            <w:pPr>
              <w:spacing w:after="0"/>
              <w:rPr>
                <w:sz w:val="14"/>
                <w:szCs w:val="14"/>
                <w:color w:val="auto"/>
              </w:rPr>
            </w:pP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OPTIONS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EMPLOYEES</w:t>
            </w:r>
          </w:p>
        </w:tc>
        <w:tc>
          <w:tcPr>
            <w:tcW w:w="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BASE PRICE</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w:t>
            </w:r>
          </w:p>
        </w:tc>
        <w:tc>
          <w:tcPr>
            <w:tcW w:w="2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GRANTED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c>
          <w:tcPr>
            <w:tcW w:w="6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 SHARE</w:t>
            </w: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DATE</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Stephen P. Zelnak, Jr. ....................</w:t>
            </w: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75,000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18.83%</w:t>
            </w:r>
          </w:p>
        </w:tc>
        <w:tc>
          <w:tcPr>
            <w:tcW w:w="600" w:type="dxa"/>
            <w:vAlign w:val="bottom"/>
          </w:tcPr>
          <w:p>
            <w:pPr>
              <w:spacing w:after="0"/>
              <w:rPr>
                <w:sz w:val="24"/>
                <w:szCs w:val="2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8/19/09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$2,264,021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$5,737,473</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Philip J. Sipling..........................</w:t>
            </w: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25,000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6.28%</w:t>
            </w:r>
          </w:p>
        </w:tc>
        <w:tc>
          <w:tcPr>
            <w:tcW w:w="6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8/19/09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754,674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1,912,491</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Janice K. Henry............................</w:t>
            </w: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17,500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c>
          <w:tcPr>
            <w:tcW w:w="6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8/19/09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528,271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1,338,744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Robert R. Winchester.......................</w:t>
            </w: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7,500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c>
          <w:tcPr>
            <w:tcW w:w="6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8/19/09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226,402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573,747</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Bruce A. Deerson...........................</w:t>
            </w:r>
          </w:p>
        </w:tc>
        <w:tc>
          <w:tcPr>
            <w:tcW w:w="122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12,500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6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8/19/09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377,337</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956,245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400" w:hanging="351"/>
        <w:spacing w:after="0" w:line="252"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under the Stock-Based Award Plan are granted at the discretion of a disinterested committee (the "Committee") of the Board of Directors of the Corporation upon the recommendation of management of the Corporation, except for Mr. Zelnak, for whom the Committee formulates its own decision, and may be awarded based on past performance or as incentive for future efforts. A maximum of 5,000,000 shares of the Corporation's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 determined by the Committee. Under the award agreements, the 1999 options will vest and become exercisable in three approximately equal increments on August 19, 2000, 2001 and 2002 and expire 10 years from the date of grant. No individual may receive annual grants for more than 10 percent of the shares available under the Stock-Based Award Plan. Options awarded in 1999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In the event of a change in control (as defined in the Stock-Based Award Plan), the vesting date of all outstanding options are accelerated so as to cause all outstanding options to become exercisable.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Company in the open market.</w:t>
      </w:r>
    </w:p>
    <w:p>
      <w:pPr>
        <w:spacing w:after="0" w:line="178" w:lineRule="exact"/>
        <w:rPr>
          <w:rFonts w:ascii="Courier New" w:cs="Courier New" w:eastAsia="Courier New" w:hAnsi="Courier New"/>
          <w:sz w:val="14"/>
          <w:szCs w:val="14"/>
          <w:color w:val="auto"/>
        </w:rPr>
      </w:pPr>
    </w:p>
    <w:p>
      <w:pPr>
        <w:ind w:left="360" w:right="4400" w:hanging="351"/>
        <w:spacing w:after="0" w:line="254"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360"/>
          </w:cols>
          <w:pgMar w:left="300" w:top="286" w:right="239"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OPTIONS EXERCISES IN LAST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AND FISCAL YEAR-END OPTIONS VALUES</w:t>
      </w:r>
    </w:p>
    <w:p>
      <w:pPr>
        <w:spacing w:after="0" w:line="175" w:lineRule="exact"/>
        <w:rPr>
          <w:sz w:val="20"/>
          <w:szCs w:val="20"/>
          <w:color w:val="auto"/>
        </w:rPr>
      </w:pPr>
    </w:p>
    <w:p>
      <w:pPr>
        <w:ind w:right="4500" w:firstLine="607"/>
        <w:spacing w:after="0" w:line="253" w:lineRule="auto"/>
        <w:rPr>
          <w:sz w:val="20"/>
          <w:szCs w:val="20"/>
          <w:color w:val="auto"/>
        </w:rPr>
      </w:pPr>
      <w:r>
        <w:rPr>
          <w:rFonts w:ascii="Courier New" w:cs="Courier New" w:eastAsia="Courier New" w:hAnsi="Courier New"/>
          <w:sz w:val="14"/>
          <w:szCs w:val="14"/>
          <w:color w:val="auto"/>
        </w:rPr>
        <w:t>Shown below is information relating to (1) the exercise of options for the purchase of the Corporation's Common Stock during the last completed fiscal year and (2) the fiscal year-end value of 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NUMBER OF SECURITIES</w:t>
            </w:r>
          </w:p>
        </w:tc>
        <w:tc>
          <w:tcPr>
            <w:tcW w:w="254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VALUE OF</w:t>
            </w:r>
          </w:p>
        </w:tc>
      </w:tr>
      <w:tr>
        <w:trPr>
          <w:trHeight w:val="167"/>
        </w:trPr>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UNDERLYING</w:t>
            </w: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UNEXERCISED IN-THE-MONEY</w:t>
            </w:r>
          </w:p>
        </w:tc>
      </w:tr>
      <w:tr>
        <w:trPr>
          <w:trHeight w:val="167"/>
        </w:trPr>
        <w:tc>
          <w:tcPr>
            <w:tcW w:w="3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UNEXERCISED OPTIONS</w:t>
            </w:r>
          </w:p>
        </w:tc>
        <w:tc>
          <w:tcPr>
            <w:tcW w:w="25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OPTIONS</w:t>
            </w:r>
          </w:p>
        </w:tc>
      </w:tr>
      <w:tr>
        <w:trPr>
          <w:trHeight w:val="167"/>
        </w:trPr>
        <w:tc>
          <w:tcPr>
            <w:tcW w:w="3820" w:type="dxa"/>
            <w:vAlign w:val="bottom"/>
          </w:tcPr>
          <w:p>
            <w:pPr>
              <w:spacing w:after="0"/>
              <w:rPr>
                <w:sz w:val="14"/>
                <w:szCs w:val="14"/>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140" w:type="dxa"/>
            <w:vAlign w:val="bottom"/>
          </w:tcPr>
          <w:p>
            <w:pPr>
              <w:spacing w:after="0"/>
              <w:rPr>
                <w:sz w:val="14"/>
                <w:szCs w:val="14"/>
                <w:color w:val="auto"/>
              </w:rPr>
            </w:pPr>
          </w:p>
        </w:tc>
        <w:tc>
          <w:tcPr>
            <w:tcW w:w="26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AT FISCAL YEAR-END(1)</w:t>
            </w:r>
          </w:p>
        </w:tc>
        <w:tc>
          <w:tcPr>
            <w:tcW w:w="25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AT FISCAL YEAR-END(2)</w:t>
            </w:r>
          </w:p>
        </w:tc>
      </w:tr>
      <w:tr>
        <w:trPr>
          <w:trHeight w:val="167"/>
        </w:trPr>
        <w:tc>
          <w:tcPr>
            <w:tcW w:w="382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ACQUIRED ON</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26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EXERCISE</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REALIZED</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UNEXERCISABLE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EXERCISABLE</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820" w:type="dxa"/>
            <w:vAlign w:val="bottom"/>
          </w:tcPr>
          <w:p>
            <w:pPr>
              <w:spacing w:after="0"/>
              <w:rPr>
                <w:sz w:val="20"/>
                <w:szCs w:val="20"/>
                <w:color w:val="auto"/>
              </w:rPr>
            </w:pPr>
            <w:r>
              <w:rPr>
                <w:rFonts w:ascii="Courier New" w:cs="Courier New" w:eastAsia="Courier New" w:hAnsi="Courier New"/>
                <w:sz w:val="14"/>
                <w:szCs w:val="14"/>
                <w:color w:val="auto"/>
              </w:rPr>
              <w:t>Stephen P. Zelnak, Jr. ....................</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71,667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133,000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$460,422</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$99,000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Philip J. Sipling..........................</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54,666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44,334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740,250</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33,000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Janice K. Henry............................</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41,332</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31,168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570,663</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23,837</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Robert R. Winchester.......................</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31,000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$1,278,313</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20,000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138,750</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27,500</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Bruce A. Deerson...........................</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31,999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22,501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448,413</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18,337</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500" w:hanging="351"/>
        <w:spacing w:after="0" w:line="25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by the Corporation in 1999 as shown in "Option Grants in Last Fiscal Year" on page 12, all of which were unexercisable at year-end, are included in this table. Options granted by the Corporation in 1998, one-third of which vested in 1999; in 1997, two-thirds of which vested in 1999; and in 1995 and in prior years, all of which were vested in 1999, are also included in this table.</w:t>
      </w:r>
    </w:p>
    <w:p>
      <w:pPr>
        <w:spacing w:after="0" w:line="2" w:lineRule="exact"/>
        <w:rPr>
          <w:rFonts w:ascii="Courier New" w:cs="Courier New" w:eastAsia="Courier New" w:hAnsi="Courier New"/>
          <w:sz w:val="14"/>
          <w:szCs w:val="14"/>
          <w:color w:val="auto"/>
        </w:rPr>
      </w:pPr>
    </w:p>
    <w:p>
      <w:pPr>
        <w:ind w:left="360" w:right="4580" w:hanging="351"/>
        <w:spacing w:after="0" w:line="255"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presented represents the difference between the closing price of the stock at year-end and the exercise price of the options. Options that were not in-the-money at year-end are not included in this table.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INCENTIVE PLAN AWARDS IN LAST FISCAL YEAR</w:t>
      </w:r>
    </w:p>
    <w:p>
      <w:pPr>
        <w:spacing w:after="0" w:line="175" w:lineRule="exact"/>
        <w:rPr>
          <w:sz w:val="20"/>
          <w:szCs w:val="20"/>
          <w:color w:val="auto"/>
        </w:rPr>
      </w:pPr>
    </w:p>
    <w:p>
      <w:pPr>
        <w:ind w:right="4580" w:firstLine="607"/>
        <w:spacing w:after="0" w:line="258" w:lineRule="auto"/>
        <w:rPr>
          <w:sz w:val="20"/>
          <w:szCs w:val="20"/>
          <w:color w:val="auto"/>
        </w:rPr>
      </w:pPr>
      <w:r>
        <w:rPr>
          <w:rFonts w:ascii="Courier New" w:cs="Courier New" w:eastAsia="Courier New" w:hAnsi="Courier New"/>
          <w:sz w:val="14"/>
          <w:szCs w:val="14"/>
          <w:color w:val="auto"/>
        </w:rPr>
        <w:t>Shown below is information on awards under the long-term incentive plan granted to the named executives in the fiscal year ended December 31, 1999.</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PERFORMANCE</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340" w:type="dxa"/>
            <w:vAlign w:val="bottom"/>
          </w:tcPr>
          <w:p>
            <w:pPr>
              <w:spacing w:after="0"/>
              <w:rPr>
                <w:sz w:val="14"/>
                <w:szCs w:val="14"/>
                <w:color w:val="auto"/>
              </w:rPr>
            </w:pP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NO. OF</w:t>
            </w:r>
          </w:p>
        </w:tc>
        <w:tc>
          <w:tcPr>
            <w:tcW w:w="1340" w:type="dxa"/>
            <w:vAlign w:val="bottom"/>
            <w:gridSpan w:val="2"/>
          </w:tcPr>
          <w:p>
            <w:pPr>
              <w:jc w:val="center"/>
              <w:ind w:right="168"/>
              <w:spacing w:after="0"/>
              <w:rPr>
                <w:sz w:val="20"/>
                <w:szCs w:val="20"/>
                <w:color w:val="auto"/>
              </w:rPr>
            </w:pPr>
            <w:r>
              <w:rPr>
                <w:rFonts w:ascii="Courier New" w:cs="Courier New" w:eastAsia="Courier New" w:hAnsi="Courier New"/>
                <w:sz w:val="14"/>
                <w:szCs w:val="14"/>
                <w:color w:val="auto"/>
              </w:rPr>
              <w:t>OR OTHER</w:t>
            </w:r>
          </w:p>
        </w:tc>
        <w:tc>
          <w:tcPr>
            <w:tcW w:w="34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ESTIMATED FUTURE PAYOUTS UNDER</w:t>
            </w:r>
          </w:p>
        </w:tc>
      </w:tr>
      <w:tr>
        <w:trPr>
          <w:trHeight w:val="167"/>
        </w:trPr>
        <w:tc>
          <w:tcPr>
            <w:tcW w:w="434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13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PERIOD UNTIL</w:t>
            </w:r>
          </w:p>
        </w:tc>
        <w:tc>
          <w:tcPr>
            <w:tcW w:w="34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NON-STOCK PRICE-BASED PLANS(2)</w:t>
            </w:r>
          </w:p>
        </w:tc>
      </w:tr>
      <w:tr>
        <w:trPr>
          <w:trHeight w:val="167"/>
        </w:trPr>
        <w:tc>
          <w:tcPr>
            <w:tcW w:w="434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UNITS OR</w:t>
            </w:r>
          </w:p>
        </w:tc>
        <w:tc>
          <w:tcPr>
            <w:tcW w:w="13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MATURATION</w:t>
            </w:r>
          </w:p>
        </w:tc>
        <w:tc>
          <w:tcPr>
            <w:tcW w:w="238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080" w:type="dxa"/>
            <w:vAlign w:val="bottom"/>
          </w:tcPr>
          <w:p>
            <w:pPr>
              <w:spacing w:after="0"/>
              <w:rPr>
                <w:sz w:val="14"/>
                <w:szCs w:val="14"/>
                <w:color w:val="auto"/>
              </w:rPr>
            </w:pP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RIGHTS</w:t>
            </w:r>
          </w:p>
        </w:tc>
        <w:tc>
          <w:tcPr>
            <w:tcW w:w="134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OR PAYOUT(1)</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THRESHOLD(#)</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TARGET(#)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MAXIMUM(#)</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Stephen P. Zelnak, Jr............................</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years</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992</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1,983</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2,975</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Philip J. Sipling................................</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years</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518</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1,553</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Janice K. Henry..................................</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years</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423</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845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1,268</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Robert R. Winchester.............................</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Bruce A. Deerson.................................</w:t>
            </w:r>
          </w:p>
        </w:tc>
        <w:tc>
          <w:tcPr>
            <w:tcW w:w="13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N/A</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years</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337</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673</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46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period for awards granted in 1999 under the Shareholder Value Achievement Plan (the "Achievement Plan") is the three fiscal years beginning January 1, 1999 and ending December 31, 2001.</w:t>
      </w:r>
    </w:p>
    <w:p>
      <w:pPr>
        <w:spacing w:after="0" w:line="1" w:lineRule="exact"/>
        <w:rPr>
          <w:rFonts w:ascii="Courier New" w:cs="Courier New" w:eastAsia="Courier New" w:hAnsi="Courier New"/>
          <w:sz w:val="14"/>
          <w:szCs w:val="14"/>
          <w:color w:val="auto"/>
        </w:rPr>
      </w:pPr>
    </w:p>
    <w:p>
      <w:pPr>
        <w:ind w:left="360" w:right="4500" w:hanging="351"/>
        <w:spacing w:after="0" w:line="253"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are denominated in units that relate to a number of shares of the Corporation's Common Stock where threshold, target and maximum numbers represent the degree to which the performance goals are achieved at the end of the three-year performance period. Awards under the Achievement Plan are based upon a combination of factors, including a total return to shareholders formula which compares the Corporation's total return to shareholders to that of the Standard &amp; Poor's 500 Index and to a peer group of companies. If the Corporation fails to meet the threshold performance objectives, no award is made under the Achievement Plan.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360"/>
          </w:cols>
          <w:pgMar w:left="300" w:top="286" w:right="23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named executives participated in the Martin Marietta Materials, Inc. Pension Plan (the "Pension Plan"), which was sponsored by the Corporation and covered all of the Corporation's executive officers and substantially all of the salaried employees of the Corporation on a non-contributing basis. Set forth below is a pension plan table which shows the estimated annual benefits payable under the Pension Plan and the Martin Marietta Materials, Inc. Supplemental Excess Retirement Plan ("SERP") upon retirement for specified earnings and years of service under the pension plans.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YEARS OF SERVICE</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5120" w:type="dxa"/>
            <w:vAlign w:val="bottom"/>
            <w:gridSpan w:val="10"/>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REMUNERATION</w:t>
            </w:r>
          </w:p>
        </w:tc>
        <w:tc>
          <w:tcPr>
            <w:tcW w:w="16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6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60" w:type="dxa"/>
            <w:vAlign w:val="bottom"/>
          </w:tcPr>
          <w:p>
            <w:pPr>
              <w:spacing w:after="0"/>
              <w:rPr>
                <w:sz w:val="14"/>
                <w:szCs w:val="14"/>
                <w:color w:val="auto"/>
              </w:rPr>
            </w:pPr>
          </w:p>
        </w:tc>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c>
          <w:tcPr>
            <w:tcW w:w="1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$100,000.................................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20,839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27,785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34,731</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41,677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$150,000(1)..............................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32,089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53,481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64,177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$200,000(1)..............................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43,339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72,231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86,677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$300,000(1)..............................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65,839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109,731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131,677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$400,000(1)..............................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88,339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147,231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176,677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$500,000(1)..............................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110,839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184,731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221,677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$750,000(1)..............................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167,089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278,481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334,177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446,124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$1,000,000(1)............................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223,339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372,231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446,677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596,124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$1,250,000(1)............................</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279,589</w:t>
            </w:r>
          </w:p>
        </w:tc>
        <w:tc>
          <w:tcPr>
            <w:tcW w:w="1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372,785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465,981</w:t>
            </w:r>
          </w:p>
        </w:tc>
        <w:tc>
          <w:tcPr>
            <w:tcW w:w="1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559,177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746,124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199" w:hanging="351"/>
        <w:spacing w:after="0" w:line="253" w:lineRule="auto"/>
        <w:tabs>
          <w:tab w:leader="none" w:pos="3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benefits payable under the Pension Plan may be limited by sections 401(a)(17) and 415 of the Internal Revenue Code. The maximum earnings amount in 1999 which may be considered to compute a benefit in accordance with Section 401(a)(17) of the Code is $160,000. The maximum annual amount payable under the Plan as of December 31, 1999 in accordance with Section 415(b) of the Code is $130,000.</w:t>
      </w:r>
    </w:p>
    <w:p>
      <w:pPr>
        <w:spacing w:after="0" w:line="16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Compensation covered by the pension plans generally includes, but is not limited to, base salary, executive incentive compensation awards, lump sum payments in lieu of a salary increase, and overtime. The normal retirement age under the pension plans is 65, but unreduced early retirement benefits are available at age 62 and reduced benefits are available as early as age 55. The calculation of benefits under the pension plans is generally based on an annual accrual rate, average compensation for the highest consecutive five years of the ten years preceding retirement and the participant's number of years of credited service. Maximum benefits payable under the Pension Plan are subject to current Internal Revenue Code limitations. The SERP generally provides for the payment of benefits in excess of the Internal Revenue Code limits, which benefits vest in the same manner that benefits vest under the Pension Plan. The SERP also provides for a lump sum payment of the vested benefits provided by the SERP in connection with a change in control if a participant's employment is terminated simultaneously with or subsequent to the change in control. The amounts listed in the foregoing table are not subject to any deduction for Social Security benefits or other offsets amounts.</w:t>
      </w:r>
    </w:p>
    <w:p>
      <w:pPr>
        <w:spacing w:after="0" w:line="173"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As of December 31, 1999, the estimated total annual benefits payable upon retirement at age 65 for the individuals named in the compensation table, based on continued employment at current compensation, are as follows: Mr. Zelnak, $518,694; Mr. Sipling, $184,236; Ms. Henry, $211,619; Mr. Winchester, $154,920; and Mr. Deerson, $162,273. These amounts include benefits that are payable under the SERP. The years of credited service upon assumed retirement at age 65 for Mr. Zelnak, Mr. Sipling, Ms. Henry, Mr. Winchester, and Mr. Deerson are 28.75 years, 27.67 years, 41.67 years, 31.08 years, and 36.75 years, respectively.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PROTECTION AGREEMENTS</w:t>
      </w:r>
    </w:p>
    <w:p>
      <w:pPr>
        <w:spacing w:after="0" w:line="17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The Corporation has entered into Employment Protection Agreements, as amended from time to time, (the "Agreements")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(iv) a liquidation or dissolution of the Corporation, or (v) a sale of all or substantially all of the Corporation's assets.</w:t>
      </w:r>
    </w:p>
    <w:p>
      <w:pPr>
        <w:spacing w:after="0" w:line="172"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Corporation must provide the executive with welfare benefits that are generally as favorable as those the executive enjoyed prior to the Change of Control. Furthermore, the Agreements provide for "gross up" payments to compensate the executives for any golden parachute excise taxes imposed under the Internal Revenue Code on account of the severance amounts.</w:t>
      </w:r>
    </w:p>
    <w:p>
      <w:pPr>
        <w:spacing w:after="0" w:line="173" w:lineRule="exact"/>
        <w:rPr>
          <w:sz w:val="20"/>
          <w:szCs w:val="20"/>
          <w:color w:val="auto"/>
        </w:rPr>
      </w:pPr>
    </w:p>
    <w:p>
      <w:pPr>
        <w:ind w:right="3299" w:firstLine="607"/>
        <w:spacing w:after="0" w:line="254" w:lineRule="auto"/>
        <w:rPr>
          <w:sz w:val="20"/>
          <w:szCs w:val="20"/>
          <w:color w:val="auto"/>
        </w:rPr>
      </w:pPr>
      <w:r>
        <w:rPr>
          <w:rFonts w:ascii="Courier New" w:cs="Courier New" w:eastAsia="Courier New" w:hAnsi="Courier New"/>
          <w:sz w:val="14"/>
          <w:szCs w:val="14"/>
          <w:color w:val="auto"/>
        </w:rPr>
        <w:t>The term of the Agreements is three years following their effective dates. On each anniversary date of the effective date, the Agreements are renewed for one additional year, unless either party gives notice of its intent to cancel the automatic extension.</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REPORT OF THE COMPENSATION COMMITTEE</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ON EXECUTIVE COMPENSATION</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Corporation's executive compensation program is administered by the Compensation Committee (the "Committee") of the Board of Directors, which consists entirely of Board members who are neither officers nor employees of the Corporation. The role of the Compensation Committee is, among other things, to approve salaries and other compensation of the executive officers of the Corporation and to review, approve and administer grants of stock options and equity-related awards to all employees, including the principal officers of the Corporation, and to administer any other compensation plan in connection with which the Corporation or any of its employees may realize a benefit from administration by disinterested Directors.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COMPENSATION PHILOSOPHY</w:t>
      </w:r>
    </w:p>
    <w:p>
      <w:pPr>
        <w:spacing w:after="0" w:line="17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STRUCTURE AND AWARDS FOR 1999</w:t>
      </w:r>
    </w:p>
    <w:p>
      <w:pPr>
        <w:spacing w:after="0" w:line="175" w:lineRule="exact"/>
        <w:rPr>
          <w:sz w:val="20"/>
          <w:szCs w:val="20"/>
          <w:color w:val="auto"/>
        </w:rPr>
      </w:pPr>
    </w:p>
    <w:p>
      <w:pPr>
        <w:ind w:right="3199" w:firstLine="607"/>
        <w:spacing w:after="0" w:line="255" w:lineRule="auto"/>
        <w:rPr>
          <w:sz w:val="20"/>
          <w:szCs w:val="20"/>
          <w:color w:val="auto"/>
        </w:rPr>
      </w:pPr>
      <w:r>
        <w:rPr>
          <w:rFonts w:ascii="Courier New" w:cs="Courier New" w:eastAsia="Courier New" w:hAnsi="Courier New"/>
          <w:sz w:val="14"/>
          <w:szCs w:val="14"/>
          <w:color w:val="auto"/>
        </w:rPr>
        <w:t>The key elements of the Corporation's compensation structure are base salary, annual incentives and long-term incentives, each of which is intended to accomplish the overall compensation philosophy.</w:t>
      </w:r>
    </w:p>
    <w:p>
      <w:pPr>
        <w:spacing w:after="0" w:line="162"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Annual Compensation -- Base Salary. In setting base salaries for 1999, the Committee reviewed information drawn from various sources, including proxy statements and surveys conducted by an outside compensation consulting firm of a selected peer group of companies in the aggregates, cement and specialty chemical industries, including those in the Performance Graph peer group on page 21, and of a selected group of general industry companies with comparable revenues to those of the Corporation. The group of companies reflected in the compensation surveys was broader than the group of peer companies set forth in the Performance Graph on page 21 because of the Committee's belief that the larger group better represents the market within which it competes for executive talent. The Committee also considered the advice of independent compensation advisors. The targeted value of an executive's base salary is generally set at median competitive levels although an executive's base salary may be higher or lower than the target to reflect the executive's responsibilities, level of experience, performance in past years and other factors.</w:t>
      </w: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Salaries for executives are reviewed by the Compensation Committee on an annual basis and may be increased at that time based on: (1) the Committee's agreement on the individual's contribution to the Corporation, and (2) increases in median competitive pay levels. The competitive market rate and proposed individual salary for each executive is presented by the Chief Executive Officer to the Committee, along with data supporting the recommendations. The Committee retains complete discretion in awarding salaries for executives. The total cash compensation (base salary and bonus described below) for each of the named executive officers was at approximately the median compensation of executives having similar responsibilities in the compensation surveys, including those in the Performance Graph peer group.</w:t>
      </w:r>
    </w:p>
    <w:p>
      <w:pPr>
        <w:spacing w:after="0" w:line="163"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base salary for the Chairman, President and Chief Executive Officer of the Corporation was increased during 1999 to $635,000. This represents an approximate 10 percent increase from 1998. The rate of increase in 1999 reflected the Committee's unanimous agreement on Mr. Zelnak's continued superior leadership ability as reflected by a sustained level of acquisitions completed in 1999, the successful integration of the Redland Stone acquisition and the Corporation's continued excellent financial performance as to record sales and earnings. Under Mr. Zelnak's guidance, the Corporation achieved strong earnings growth and remained an industry leader in performance as measured by return on sales and return on investment. In addition, the Committee also reviewed base salary data for chief executive officers in the compensation studies and in the Performance Graph peer group.</w:t>
      </w:r>
    </w:p>
    <w:p>
      <w:pPr>
        <w:spacing w:after="0" w:line="163"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Annual Compensation -- Bonus. To encourage achievement of the performance objectives of the Corporation, a significant portion of annual compensation takes the form of an incentive compensation bonus. In 1999,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65" w:lineRule="exact"/>
        <w:rPr>
          <w:sz w:val="20"/>
          <w:szCs w:val="20"/>
          <w:color w:val="auto"/>
        </w:rPr>
      </w:pPr>
    </w:p>
    <w:p>
      <w:pPr>
        <w:ind w:right="3379" w:firstLine="607"/>
        <w:spacing w:after="0" w:line="253" w:lineRule="auto"/>
        <w:rPr>
          <w:sz w:val="20"/>
          <w:szCs w:val="20"/>
          <w:color w:val="auto"/>
        </w:rPr>
      </w:pPr>
      <w:r>
        <w:rPr>
          <w:rFonts w:ascii="Courier New" w:cs="Courier New" w:eastAsia="Courier New" w:hAnsi="Courier New"/>
          <w:sz w:val="14"/>
          <w:szCs w:val="14"/>
          <w:color w:val="auto"/>
        </w:rPr>
        <w:t>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Compensation Committee also considers qualitative measures of performance such as adherence to and implementation of the Corporation's policy on ethics and standards of conduct, customer satisfaction and product quality.</w:t>
      </w:r>
    </w:p>
    <w:p>
      <w:pPr>
        <w:spacing w:after="0" w:line="16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amount actually awarded to each participant in the plan is based upon the Compensation Committee's assessment of each individual's achievement of targeted objectives, including standard measures of financial performance such as sales, earnings, return on capital investments and cash generation. These objectives are established at the beginning of each plan year and are based upon the Corporation's Long Range Operating Plan. For executives in corporate staff positions, 50 percent of the determination is made with respect to the Corporation's performance and 50 percent is based on the individual's performance.</w:t>
      </w:r>
    </w:p>
    <w:p>
      <w:pPr>
        <w:spacing w:after="0" w:line="331" w:lineRule="exact"/>
        <w:rPr>
          <w:sz w:val="20"/>
          <w:szCs w:val="20"/>
          <w:color w:val="auto"/>
        </w:rPr>
      </w:pPr>
    </w:p>
    <w:p>
      <w:pPr>
        <w:jc w:val="both"/>
        <w:ind w:right="3459" w:firstLine="607"/>
        <w:spacing w:after="0" w:line="255" w:lineRule="auto"/>
        <w:rPr>
          <w:sz w:val="20"/>
          <w:szCs w:val="20"/>
          <w:color w:val="auto"/>
        </w:rPr>
      </w:pPr>
      <w:r>
        <w:rPr>
          <w:rFonts w:ascii="Courier New" w:cs="Courier New" w:eastAsia="Courier New" w:hAnsi="Courier New"/>
          <w:sz w:val="14"/>
          <w:szCs w:val="14"/>
          <w:color w:val="auto"/>
        </w:rPr>
        <w:t>The Committee considers the recommendations of the Corporation's Chief Executive Officer but retains complete discretion in performing these reviews and in determining the amount of actual awards, if any.</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Mr. Zelnak was awarded an annual incentive bonus of $595,000 for 1999. Consistent with its compensation philosophy that focuses on financial and operating performance rather than short-term changes in stock price, the Committee believes that an evaluation of overall corporate performance should take into account the accomplishments described in this report as well as the breadth of Mr. Zelnak's operating responsibility. Mr. Zelnak's bonus for 1999 was awarded based on consideration of many diverse factors, including his outstanding performance and leadership in connection with the Corporation's financial achievements and successful acquisitions. The Corporation's Incentive Stock Plan (discussed more generally below) requires Mr. Zelnak to use 25% of his 1999 annual incentive bonus towards credits of Common Stock units at a 20% discount to market value. These units generally vest in three years. In addition, Mr. Zelnak made an irrevocable choice six months prior to the bonus determination to use 25% more, for a total of 50% of his annual incentive bonus, towards Common Stock units. Although there was no special attempt to set Mr. Zelnak's 1999 bonus in any particular relationship to the compensation data, Mr. Zelnak's bonus was above the median level of bonus compensation of CEO's in the compensation surveys, including those in the Performance Graph peer group. His total cash compensation (base salary and bonus) was slightly above the median compensation of those CEOs. The Compensation Committee retains complete discretion in determining the amount of incentive compensation to be awarded to Mr. Zelnak. Consequently, no particular weighting of criteria is required or performed.</w:t>
      </w:r>
    </w:p>
    <w:p>
      <w:pPr>
        <w:spacing w:after="0" w:line="342" w:lineRule="exact"/>
        <w:rPr>
          <w:sz w:val="20"/>
          <w:szCs w:val="20"/>
          <w:color w:val="auto"/>
        </w:rPr>
      </w:pPr>
    </w:p>
    <w:p>
      <w:pPr>
        <w:ind w:right="3459" w:firstLine="607"/>
        <w:spacing w:after="0" w:line="253" w:lineRule="auto"/>
        <w:rPr>
          <w:sz w:val="20"/>
          <w:szCs w:val="20"/>
          <w:color w:val="auto"/>
        </w:rPr>
      </w:pPr>
      <w:r>
        <w:rPr>
          <w:rFonts w:ascii="Courier New" w:cs="Courier New" w:eastAsia="Courier New" w:hAnsi="Courier New"/>
          <w:sz w:val="14"/>
          <w:szCs w:val="14"/>
          <w:color w:val="auto"/>
        </w:rPr>
        <w:t>Long Term Compensation -- Stock Options. Stock options awarded under the Corporation's Amended and Restated Stock-Based Award Plan link the compensation provided to a group of 135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6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The number of options granted to an individual is based upon survey data provided by compensation consultants. The data shows the value of option awards as a multiple of base pay for comparable executive positions in other corporations. In making 1999 stock option award decisions, the Committee elected to provide option awards, as a multiple of base salary, near the average for awards made by firms in a national compensation group comprised of the same companies surveyed in the Compensation Committee's review of base salaries.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75,000 options in 1999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172"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Long Term Compensation -- Incentive Stock Awards. In 1999, a group of 51 executive officers and key personnel participated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become fully vested and are distributed in the form of unrestricted Common Stock after approximately three years of continued additional employment with the Corporation. Participation in the plan is elective, except that executive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w:t>
      </w:r>
    </w:p>
    <w:p>
      <w:pPr>
        <w:spacing w:after="0" w:line="173" w:lineRule="exact"/>
        <w:rPr>
          <w:sz w:val="20"/>
          <w:szCs w:val="20"/>
          <w:color w:val="auto"/>
        </w:rPr>
      </w:pPr>
    </w:p>
    <w:p>
      <w:pPr>
        <w:ind w:right="3379" w:firstLine="607"/>
        <w:spacing w:after="0" w:line="253" w:lineRule="auto"/>
        <w:rPr>
          <w:sz w:val="20"/>
          <w:szCs w:val="20"/>
          <w:color w:val="auto"/>
        </w:rPr>
      </w:pPr>
      <w:r>
        <w:rPr>
          <w:rFonts w:ascii="Courier New" w:cs="Courier New" w:eastAsia="Courier New" w:hAnsi="Courier New"/>
          <w:sz w:val="14"/>
          <w:szCs w:val="14"/>
          <w:color w:val="auto"/>
        </w:rPr>
        <w:t>Long Term Compensation -- Shareholder Value Achievement Plan Awards. In 1999, a group of 15 executive officers and key personnel was granted awards under the Martin Marietta Materials, Inc. Shareholder Value Achievement Plan (the "Achievement Plan"). The primary purpose of the Achievement Plan is to foster and promote the long-term growth and performance of the Corporation by enhancing the Corporation's ability to attract and retain qualified key employees and motivate key employees through performance-based incentives.</w:t>
      </w:r>
    </w:p>
    <w:p>
      <w:pPr>
        <w:spacing w:after="0" w:line="16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1999 awards granted under the Achievement Plan allow long term incentives to be earned by the Chief Executive Officer and the other participants when the Corporation attains specific return on capital goals that are equally weighted and are determined by a total return to shareholders ranking that must be at least in the 40th percentile as compared to the Standard and Poor's index of 400 MidCap companies and a specified peer group. The peer group differs and is larger than the peer group used in the Performance Graph because the Corporation has historically compared its financial performance against this larger competitor group for compensation purposes. Awards earned under this plan are made in Common Stock that vests at the end of a three-year period if the performance goals are attained. The objective of this plan is to focus senior management's attention on certain critical factors affecting the Corporation's long term performance and reward them for making successful long term decisions. The value of these awards may vary considerably based on the Corporation's stock price performance.</w:t>
      </w:r>
    </w:p>
    <w:p>
      <w:pPr>
        <w:spacing w:after="0" w:line="329"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Stock-Based Awards -- Generally. The value, if any, of stock-based awards is dependent upon the performance of the 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6"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POLICY WITH RESPECT TO DEDUCTIBILITY OF COMPENSATION</w:t>
      </w:r>
    </w:p>
    <w:p>
      <w:pPr>
        <w:spacing w:after="0" w:line="175" w:lineRule="exact"/>
        <w:rPr>
          <w:sz w:val="20"/>
          <w:szCs w:val="20"/>
          <w:color w:val="auto"/>
        </w:rPr>
      </w:pPr>
    </w:p>
    <w:p>
      <w:pPr>
        <w:ind w:right="3199" w:firstLine="607"/>
        <w:spacing w:after="0" w:line="254" w:lineRule="auto"/>
        <w:rPr>
          <w:sz w:val="20"/>
          <w:szCs w:val="20"/>
          <w:color w:val="auto"/>
        </w:rPr>
      </w:pPr>
      <w:r>
        <w:rPr>
          <w:rFonts w:ascii="Courier New" w:cs="Courier New" w:eastAsia="Courier New" w:hAnsi="Courier New"/>
          <w:sz w:val="14"/>
          <w:szCs w:val="14"/>
          <w:color w:val="auto"/>
        </w:rPr>
        <w:t>The Omnibus Budget Reconciliation Act of 1993 added Section 162(m) to the Internal Revenue Code which makes certain "non-performance based" compensation to the named executives in excess of $1 million non-deductible to the Corporation. One of the named executive officers received annual compensation exceeding $1 million in 1999.</w:t>
      </w:r>
    </w:p>
    <w:p>
      <w:pPr>
        <w:spacing w:after="0" w:line="162" w:lineRule="exact"/>
        <w:rPr>
          <w:sz w:val="20"/>
          <w:szCs w:val="20"/>
          <w:color w:val="auto"/>
        </w:rPr>
      </w:pPr>
    </w:p>
    <w:p>
      <w:pPr>
        <w:ind w:right="3379" w:firstLine="607"/>
        <w:spacing w:after="0" w:line="253" w:lineRule="auto"/>
        <w:rPr>
          <w:sz w:val="20"/>
          <w:szCs w:val="20"/>
          <w:color w:val="auto"/>
        </w:rPr>
      </w:pPr>
      <w:r>
        <w:rPr>
          <w:rFonts w:ascii="Courier New" w:cs="Courier New" w:eastAsia="Courier New" w:hAnsi="Courier New"/>
          <w:sz w:val="14"/>
          <w:szCs w:val="14"/>
          <w:color w:val="auto"/>
        </w:rPr>
        <w:t>The Committee has taken steps to qualify certain compensation to ensure deductibility. 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21, 2000</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COMPENSATION COMMITTEE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Bobby F. Leonard, Chairman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Marcus C. Bennett</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William E. McDonald</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William B. Sansom</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COMPARISON CUMULATIVE TOTAL RETURN(1)</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MARTIN MARIETTA MATERIALS, INC., S&amp;P 500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AND PEER GROUP INDICES</w:t>
      </w:r>
    </w:p>
    <w:p>
      <w:pPr>
        <w:spacing w:after="0" w:line="175" w:lineRule="exact"/>
        <w:rPr>
          <w:sz w:val="20"/>
          <w:szCs w:val="20"/>
          <w:color w:val="auto"/>
        </w:rPr>
      </w:pPr>
    </w:p>
    <w:p>
      <w:pPr>
        <w:ind w:right="3560" w:firstLine="607"/>
        <w:spacing w:after="0" w:line="253" w:lineRule="auto"/>
        <w:rPr>
          <w:sz w:val="20"/>
          <w:szCs w:val="20"/>
          <w:color w:val="auto"/>
        </w:rPr>
      </w:pPr>
      <w:r>
        <w:rPr>
          <w:rFonts w:ascii="Courier New" w:cs="Courier New" w:eastAsia="Courier New" w:hAnsi="Courier New"/>
          <w:sz w:val="14"/>
          <w:szCs w:val="14"/>
          <w:color w:val="auto"/>
        </w:rPr>
        <w:t>The following graph compares the performance of the Corporation's Common Stock to that of the Standard &amp; Poor's 500 Stock Index ("S&amp;P 500") and a market capitalization weighted index containing a group of peer companies in the aggregates and cement industries selected by the Corporation. The peer group consists of the following companies: Florida Rock Industries, Inc., Lafarge Corporation, Martin Marietta Materials, Inc. and Vulcan Materials Company.(2)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36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MLM</w:t>
            </w:r>
          </w:p>
        </w:tc>
        <w:tc>
          <w:tcPr>
            <w:tcW w:w="2600" w:type="dxa"/>
            <w:vAlign w:val="bottom"/>
          </w:tcPr>
          <w:p>
            <w:pPr>
              <w:ind w:left="880"/>
              <w:spacing w:after="0"/>
              <w:rPr>
                <w:sz w:val="20"/>
                <w:szCs w:val="20"/>
                <w:color w:val="auto"/>
              </w:rPr>
            </w:pPr>
            <w:r>
              <w:rPr>
                <w:rFonts w:ascii="Courier New" w:cs="Courier New" w:eastAsia="Courier New" w:hAnsi="Courier New"/>
                <w:sz w:val="14"/>
                <w:szCs w:val="14"/>
                <w:color w:val="auto"/>
              </w:rPr>
              <w:t>PEER INDEX</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w w:val="98"/>
              </w:rPr>
              <w:t>S&amp;P 500</w:t>
            </w:r>
          </w:p>
        </w:tc>
      </w:tr>
      <w:tr>
        <w:trPr>
          <w:trHeight w:val="167"/>
        </w:trPr>
        <w:tc>
          <w:tcPr>
            <w:tcW w:w="2660" w:type="dxa"/>
            <w:vAlign w:val="bottom"/>
          </w:tcPr>
          <w:p>
            <w:pPr>
              <w:spacing w:after="0"/>
              <w:rPr>
                <w:sz w:val="14"/>
                <w:szCs w:val="14"/>
                <w:color w:val="auto"/>
              </w:rPr>
            </w:pPr>
          </w:p>
        </w:tc>
        <w:tc>
          <w:tcPr>
            <w:tcW w:w="36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26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1994</w:t>
            </w:r>
          </w:p>
        </w:tc>
        <w:tc>
          <w:tcPr>
            <w:tcW w:w="3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100.00</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100.00</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26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1995</w:t>
            </w:r>
          </w:p>
        </w:tc>
        <w:tc>
          <w:tcPr>
            <w:tcW w:w="3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118.81</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113.26</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137.58</w:t>
            </w:r>
          </w:p>
        </w:tc>
      </w:tr>
      <w:tr>
        <w:trPr>
          <w:trHeight w:val="167"/>
        </w:trPr>
        <w:tc>
          <w:tcPr>
            <w:tcW w:w="26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1996</w:t>
            </w:r>
          </w:p>
        </w:tc>
        <w:tc>
          <w:tcPr>
            <w:tcW w:w="3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136.63</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124.94</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169.17</w:t>
            </w:r>
          </w:p>
        </w:tc>
      </w:tr>
      <w:tr>
        <w:trPr>
          <w:trHeight w:val="167"/>
        </w:trPr>
        <w:tc>
          <w:tcPr>
            <w:tcW w:w="26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1997</w:t>
            </w:r>
          </w:p>
        </w:tc>
        <w:tc>
          <w:tcPr>
            <w:tcW w:w="3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218.23</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199.74</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225.60</w:t>
            </w:r>
          </w:p>
        </w:tc>
      </w:tr>
      <w:tr>
        <w:trPr>
          <w:trHeight w:val="167"/>
        </w:trPr>
        <w:tc>
          <w:tcPr>
            <w:tcW w:w="26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1998</w:t>
            </w:r>
          </w:p>
        </w:tc>
        <w:tc>
          <w:tcPr>
            <w:tcW w:w="3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375.46</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280.28</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290.08</w:t>
            </w:r>
          </w:p>
        </w:tc>
      </w:tr>
      <w:tr>
        <w:trPr>
          <w:trHeight w:val="167"/>
        </w:trPr>
        <w:tc>
          <w:tcPr>
            <w:tcW w:w="266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1999</w:t>
            </w:r>
          </w:p>
        </w:tc>
        <w:tc>
          <w:tcPr>
            <w:tcW w:w="36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250.26</w:t>
            </w:r>
          </w:p>
        </w:tc>
        <w:tc>
          <w:tcPr>
            <w:tcW w:w="2600" w:type="dxa"/>
            <w:vAlign w:val="bottom"/>
          </w:tcPr>
          <w:p>
            <w:pPr>
              <w:jc w:val="center"/>
              <w:spacing w:after="0"/>
              <w:rPr>
                <w:sz w:val="20"/>
                <w:szCs w:val="20"/>
                <w:color w:val="auto"/>
              </w:rPr>
            </w:pPr>
            <w:r>
              <w:rPr>
                <w:rFonts w:ascii="Courier New" w:cs="Courier New" w:eastAsia="Courier New" w:hAnsi="Courier New"/>
                <w:sz w:val="14"/>
                <w:szCs w:val="14"/>
                <w:color w:val="auto"/>
              </w:rPr>
              <w:t>225.71</w:t>
            </w:r>
          </w:p>
        </w:tc>
        <w:tc>
          <w:tcPr>
            <w:tcW w:w="1480" w:type="dxa"/>
            <w:vAlign w:val="bottom"/>
          </w:tcPr>
          <w:p>
            <w:pPr>
              <w:ind w:left="880"/>
              <w:spacing w:after="0"/>
              <w:rPr>
                <w:sz w:val="20"/>
                <w:szCs w:val="20"/>
                <w:color w:val="auto"/>
              </w:rPr>
            </w:pPr>
            <w:r>
              <w:rPr>
                <w:rFonts w:ascii="Courier New" w:cs="Courier New" w:eastAsia="Courier New" w:hAnsi="Courier New"/>
                <w:sz w:val="14"/>
                <w:szCs w:val="14"/>
                <w:color w:val="auto"/>
              </w:rPr>
              <w:t>351.12</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460" w:hanging="351"/>
        <w:spacing w:after="0" w:line="252"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the investment in the Corporation's Common Stock and each index was $100, with quarterly reinvestment of dividends.</w:t>
      </w:r>
    </w:p>
    <w:p>
      <w:pPr>
        <w:ind w:left="360" w:right="3820" w:hanging="351"/>
        <w:spacing w:after="0" w:line="258" w:lineRule="auto"/>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peer group index includes CalMat Co. up until the time of its merger into Vulcan Materials Company as of January 6, 1999.</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420"/>
          </w:cols>
          <w:pgMar w:left="300" w:top="286" w:right="1179"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COMPENSATION COMMITTEE INTERLOCKS AND INSIDER</w:t>
      </w:r>
    </w:p>
    <w:p>
      <w:pPr>
        <w:spacing w:after="0" w:line="8"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PARTICIPATION IN COMPENSATION DECISIONS</w:t>
      </w:r>
    </w:p>
    <w:p>
      <w:pPr>
        <w:spacing w:after="0" w:line="175" w:lineRule="exact"/>
        <w:rPr>
          <w:sz w:val="20"/>
          <w:szCs w:val="20"/>
          <w:color w:val="auto"/>
        </w:rPr>
      </w:pPr>
    </w:p>
    <w:p>
      <w:pPr>
        <w:ind w:right="3199" w:firstLine="607"/>
        <w:spacing w:after="0" w:line="255" w:lineRule="auto"/>
        <w:rPr>
          <w:sz w:val="20"/>
          <w:szCs w:val="20"/>
          <w:color w:val="auto"/>
        </w:rPr>
      </w:pPr>
      <w:r>
        <w:rPr>
          <w:rFonts w:ascii="Courier New" w:cs="Courier New" w:eastAsia="Courier New" w:hAnsi="Courier New"/>
          <w:sz w:val="14"/>
          <w:szCs w:val="14"/>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162"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Messrs. Bennett, Leonard, McDonald and Sansom served on the Corporation's Compensation Committee during 1999. Mr. Bennett served as Executive Vice President and Chief Financial Officer of Lockheed Martin Corporation from July 1996 until his retirement on January 31, 1999 and is a Director of Lockheed Martin Corporation which, until the Split-Off, owned approximately 81% of the Corporation's Common Stock. He is not, and was not, an officer or employee of the Corporation or any of its subsidiaries. Information with respect to transactions between the Corporation and Lockheed Martin Corporation can be found in "Certain Related Transactions" below.</w:t>
      </w:r>
    </w:p>
    <w:p>
      <w:pPr>
        <w:spacing w:after="0" w:line="164"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CERTAIN RELATED TRANSACTIONS</w:t>
      </w:r>
    </w:p>
    <w:p>
      <w:pPr>
        <w:spacing w:after="0" w:line="175" w:lineRule="exact"/>
        <w:rPr>
          <w:sz w:val="20"/>
          <w:szCs w:val="20"/>
          <w:color w:val="auto"/>
        </w:rPr>
      </w:pPr>
    </w:p>
    <w:p>
      <w:pPr>
        <w:ind w:right="3559" w:firstLine="607"/>
        <w:spacing w:after="0" w:line="255" w:lineRule="auto"/>
        <w:rPr>
          <w:sz w:val="20"/>
          <w:szCs w:val="20"/>
          <w:color w:val="auto"/>
        </w:rPr>
      </w:pPr>
      <w:r>
        <w:rPr>
          <w:rFonts w:ascii="Courier New" w:cs="Courier New" w:eastAsia="Courier New" w:hAnsi="Courier New"/>
          <w:sz w:val="14"/>
          <w:szCs w:val="14"/>
          <w:color w:val="auto"/>
        </w:rPr>
        <w:t>The following transactions involve amounts exceeding $60,000 in which certain shareholders or Directors of the Corporation may have a material interest.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LOCKHEED MARTIN CORPORATION</w:t>
      </w:r>
    </w:p>
    <w:p>
      <w:pPr>
        <w:spacing w:after="0" w:line="17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In October 1996, the Corporation's Common Stock that was held by Lockheed Martin Corporation became available to the public market when Lockheed Martin disposed of its 81% ownership interest (the "Split-Off"). Before the effective date of the Split-Off, Lockheed Martin Corporation and Martin Marietta Investments Inc. held voting power over shares of Common Stock that represented approximately 72.2% and 8.8%, respectively, of the shares entitled to be cast for the election of the Board of Directors and approval of other proposals. Martin Marietta Investments Inc. is a wholly-owned subsidiary of Lockheed Martin Corporation, which is a Maryland corporation that was formed as the parent corporation of Martin Marietta Corporation and Lockheed Corporation as a result of the business combination of those two companies in March 1995. Martin Marietta Corporation and Lockheed Corporation were subsequently merged into Lockheed Martin Corporation in January 1996. Lockheed Martin Corporation is the successor to Martin Marietta Technologies, Inc., which formerly held approximately 72.2% of the Corporation's Common Stock.</w:t>
      </w:r>
    </w:p>
    <w:p>
      <w:pPr>
        <w:spacing w:after="0" w:line="172"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Corporation was included in Lockheed Martin Corporation's consolidated tax group until and including the effective day of the Split-Off, and therefore the taxable income (or loss) of the Corporation and its subsidiaries (the "Materials Consolidated Group") was included in the Lockheed Martin Corporation consolidated federal income tax return until such date. The Corporation and Lockheed Martin Corporation, as successor to Martin Marietta Corporation, are parties to a Tax Sharing Agreement, dated February 18, 1994, that allocates responsibility between the Corporation and Lockheed Martin Corporation for their respective shares of the consolidated federal income tax liability of Lockheed Martin Corporation and certain other liabilities. Pursuant to the Tax Sharing Agreement, the Corporation and Lockheed Martin Corporation make payments between them such that, with respect to any period, the amount of</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taxes paid by the Corporation or any refund payable to the Corporation is determined as though the Corporation filed separate federal, state and local income tax returns (including any amounts determined to be due as a result of a redetermination of the tax liability of Lockheed Martin Corporation arising from an audit or otherwise) as the common parent of an affiliated group of corporations filing a consolidated return rather than a consolidated subsidiary of Lockheed Martin Corporation.</w:t>
      </w:r>
    </w:p>
    <w:p>
      <w:pPr>
        <w:spacing w:after="0" w:line="16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In anticipation of the Split-Off, the Corporation and Lockheed Martin Corporation entered into a Supplemental Tax Sharing Agreement and a Tax Assurance Agreement. The Supplemental Tax Sharing Agreement allocates responsibility between the Corporation and Lockheed Martin Corporation for certain tax liabilities (including any related liability of the Corporation or Lockheed Martin Corporation to stockholders of Lockheed Martin Corporation) that may result from the failure of the Split-Off to qualify as a fully tax-free distribution. Pursuant to this agreement, any such liability generally will be allocated 81% to Lockheed Martin Corporation and 19% to the Corporation, subject to a maximum allocation of $25 million to the Corporation. However, if either Lockheed Martin Corporation or the Corporation (but not both) knowingly or willfully breaches a covenant contained in the Tax Assurance Agreement, which contains covenants relating to the parties' post-Split-Off conduct which could jeopardize the qualification of the Split-Off as fully tax-free (if, among other things, there is a change of law or in the ruling policy of the IRS), and the failure of the Split-Off to qualify as a fully tax-free distribution would not have occurred but for such breach, the resulting liability will be allocated solely to the breaching party. The Corporation would not be solely liable for the resulting liability if it first obtained an opinion of counsel (satisfactory to Lockheed Martin Corporation) to the effect that any action underlying a breach would not cause the Split-Off to fail to qualify as a fully tax-free distribution. Furthermore, if either Lockheed Martin Corporation or the Corporation is acquired in a manner that causes the failure of the Split-Off to qualify as a fully tax-free distribution under Section 355 of the Internal Revenue Code (including the recognition of gain to Lockheed Martin Corporation on the distribution of the Corporation's Common Stock pursuant to Section 355(d) of the Internal Revenue Code) and the gain did not result from a breach of the Tax Assurance Agreement, the resulting liability will be allocated solely to the corporation so acquired.</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TRANSACTIONS</w:t>
      </w:r>
    </w:p>
    <w:p>
      <w:pPr>
        <w:spacing w:after="0" w:line="175" w:lineRule="exact"/>
        <w:rPr>
          <w:sz w:val="20"/>
          <w:szCs w:val="20"/>
          <w:color w:val="auto"/>
        </w:rPr>
      </w:pPr>
    </w:p>
    <w:p>
      <w:pPr>
        <w:ind w:right="3299" w:firstLine="607"/>
        <w:spacing w:after="0" w:line="256" w:lineRule="auto"/>
        <w:rPr>
          <w:sz w:val="20"/>
          <w:szCs w:val="20"/>
          <w:color w:val="auto"/>
        </w:rPr>
      </w:pPr>
      <w:r>
        <w:rPr>
          <w:rFonts w:ascii="Courier New" w:cs="Courier New" w:eastAsia="Courier New" w:hAnsi="Courier New"/>
          <w:sz w:val="14"/>
          <w:szCs w:val="14"/>
          <w:color w:val="auto"/>
        </w:rPr>
        <w:t>Mr. Vinroot is a partner with the law firm of Robinson, Bradshaw &amp; Hinson, P.A., which has provided certain legal services for the Corporation in an amount less than 5% of such firm's gross revenues for the firm's last fiscal year.</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FINANCIAL STATEMENTS</w:t>
      </w:r>
    </w:p>
    <w:p>
      <w:pPr>
        <w:spacing w:after="0" w:line="175" w:lineRule="exact"/>
        <w:rPr>
          <w:sz w:val="20"/>
          <w:szCs w:val="20"/>
          <w:color w:val="auto"/>
        </w:rPr>
      </w:pPr>
    </w:p>
    <w:p>
      <w:pPr>
        <w:ind w:right="3199" w:firstLine="607"/>
        <w:spacing w:after="0" w:line="254" w:lineRule="auto"/>
        <w:rPr>
          <w:sz w:val="20"/>
          <w:szCs w:val="20"/>
          <w:color w:val="auto"/>
        </w:rPr>
      </w:pPr>
      <w:r>
        <w:rPr>
          <w:rFonts w:ascii="Courier New" w:cs="Courier New" w:eastAsia="Courier New" w:hAnsi="Courier New"/>
          <w:sz w:val="14"/>
          <w:szCs w:val="14"/>
          <w:color w:val="auto"/>
        </w:rPr>
        <w:t>Upon the written request of any shareholder, the Corporation will provide without charge a copy of its Annual Report on Form 10-K for the year ended December 31, 1999, filed with the Securities and Exchange Commission. Requests should be mailed to the Corporate Secretary, Martin Marietta Materials, Inc., 2710 Wycliff Road, Raleigh, North Carolina 27607.</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METHOD OF PROXY SOLICITATION</w:t>
      </w:r>
    </w:p>
    <w:p>
      <w:pPr>
        <w:spacing w:after="0" w:line="175" w:lineRule="exact"/>
        <w:rPr>
          <w:sz w:val="20"/>
          <w:szCs w:val="20"/>
          <w:color w:val="auto"/>
        </w:rPr>
      </w:pPr>
    </w:p>
    <w:p>
      <w:pPr>
        <w:ind w:right="3199" w:firstLine="607"/>
        <w:spacing w:after="0" w:line="253" w:lineRule="auto"/>
        <w:rPr>
          <w:sz w:val="20"/>
          <w:szCs w:val="20"/>
          <w:color w:val="auto"/>
        </w:rPr>
      </w:pPr>
      <w:r>
        <w:rPr>
          <w:rFonts w:ascii="Courier New" w:cs="Courier New" w:eastAsia="Courier New" w:hAnsi="Courier New"/>
          <w:sz w:val="14"/>
          <w:szCs w:val="14"/>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$15,000. The Corporation will, if requested, reimburse banks, brokerage houses and other custodians, nominees and certain fiduciaries for their reasonable expenses incurred in mailing proxy materials to their principals.</w:t>
      </w:r>
    </w:p>
    <w:p>
      <w:pPr>
        <w:spacing w:after="0" w:line="163"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299" w:firstLine="607"/>
        <w:spacing w:after="0" w:line="253" w:lineRule="auto"/>
        <w:rPr>
          <w:sz w:val="20"/>
          <w:szCs w:val="20"/>
          <w:color w:val="auto"/>
        </w:rPr>
      </w:pPr>
      <w:r>
        <w:rPr>
          <w:rFonts w:ascii="Courier New" w:cs="Courier New" w:eastAsia="Courier New" w:hAnsi="Courier New"/>
          <w:sz w:val="14"/>
          <w:szCs w:val="14"/>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64"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SHAREHOLDERS' PROPOSALS FOR 2001 ANNUAL MEETING</w:t>
      </w:r>
    </w:p>
    <w:p>
      <w:pPr>
        <w:spacing w:after="0" w:line="175" w:lineRule="exact"/>
        <w:rPr>
          <w:sz w:val="20"/>
          <w:szCs w:val="20"/>
          <w:color w:val="auto"/>
        </w:rPr>
      </w:pPr>
    </w:p>
    <w:p>
      <w:pPr>
        <w:ind w:right="3199" w:firstLine="607"/>
        <w:spacing w:after="0" w:line="252" w:lineRule="auto"/>
        <w:rPr>
          <w:sz w:val="20"/>
          <w:szCs w:val="20"/>
          <w:color w:val="auto"/>
        </w:rPr>
      </w:pPr>
      <w:r>
        <w:rPr>
          <w:rFonts w:ascii="Courier New" w:cs="Courier New" w:eastAsia="Courier New" w:hAnsi="Courier New"/>
          <w:sz w:val="14"/>
          <w:szCs w:val="14"/>
          <w:color w:val="auto"/>
        </w:rPr>
        <w:t>Proposals by shareholders for nominations for directors or other matters intended to be presented at the 2001 Annual Meeting of Shareholders of the Corporation must be received by the Secretary of the Corporation no later than November 27, 2000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Accordingly, to be considered at the 2001</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Annual Meeting of Shareholders, proposals must be received by the Secretary of the Corporation no earlier than February 22, 2001 and no later than March 24, 2001.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MARTIN MARIETTA MATERIALS,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24, 2000</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30</w:t>
      </w:r>
    </w:p>
    <w:p>
      <w:pPr>
        <w:spacing w:after="0" w:line="175"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(MARTIN MARIETTA MATERIALS, INC.)</w:t>
      </w:r>
    </w:p>
    <w:p>
      <w:pPr>
        <w:spacing w:after="0" w:line="8"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Martin Marietta Materials, Inc.</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2710 Wycliff Road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919-781-4550</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www.martinmarietta.com</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NYSE Stock Symbol: MLM</w:t>
      </w:r>
    </w:p>
    <w:p>
      <w:pPr>
        <w:sectPr>
          <w:pgSz w:w="11900" w:h="16838" w:orient="portrait"/>
          <w:cols w:equalWidth="0" w:num="1">
            <w:col w:w="9899"/>
          </w:cols>
          <w:pgMar w:left="56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 FOLD AND DETACH HERE -</w:t>
      </w:r>
    </w:p>
    <w:p>
      <w:pPr>
        <w:spacing w:after="0" w:line="17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MARTIN MARIETTA MATERIALS, INC.</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PROXY SOLICITED BY THE BOARD OF DIRECTORS FOR THE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ANNUAL MEETING TO BE HELD MAY 23, 2000</w:t>
      </w:r>
    </w:p>
    <w:p>
      <w:pPr>
        <w:spacing w:after="0" w:line="175" w:lineRule="exact"/>
        <w:rPr>
          <w:sz w:val="20"/>
          <w:szCs w:val="20"/>
          <w:color w:val="auto"/>
        </w:rPr>
      </w:pPr>
    </w:p>
    <w:p>
      <w:pPr>
        <w:ind w:right="3199"/>
        <w:spacing w:after="0" w:line="253" w:lineRule="auto"/>
        <w:rPr>
          <w:sz w:val="20"/>
          <w:szCs w:val="20"/>
          <w:color w:val="auto"/>
        </w:rPr>
      </w:pPr>
      <w:r>
        <w:rPr>
          <w:rFonts w:ascii="Courier New" w:cs="Courier New" w:eastAsia="Courier New" w:hAnsi="Courier New"/>
          <w:sz w:val="14"/>
          <w:szCs w:val="14"/>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23, 2000, and at any adjournment thereof.</w:t>
      </w:r>
    </w:p>
    <w:p>
      <w:pPr>
        <w:spacing w:after="0" w:line="165" w:lineRule="exact"/>
        <w:rPr>
          <w:sz w:val="20"/>
          <w:szCs w:val="20"/>
          <w:color w:val="auto"/>
        </w:rPr>
      </w:pPr>
    </w:p>
    <w:p>
      <w:pPr>
        <w:ind w:left="260" w:right="3459" w:hanging="251"/>
        <w:spacing w:after="0" w:line="258" w:lineRule="auto"/>
        <w:tabs>
          <w:tab w:leader="none" w:pos="2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 Nominees are William E. McDonald, Frank H. Menaker, Jr. and Richard A. Vinroot.</w:t>
      </w:r>
    </w:p>
    <w:p>
      <w:pPr>
        <w:spacing w:after="0" w:line="160" w:lineRule="exact"/>
        <w:rPr>
          <w:sz w:val="20"/>
          <w:szCs w:val="20"/>
          <w:color w:val="auto"/>
        </w:rPr>
      </w:pPr>
    </w:p>
    <w:p>
      <w:pPr>
        <w:ind w:left="620" w:right="3639" w:hanging="351"/>
        <w:spacing w:after="0" w:line="258" w:lineRule="auto"/>
        <w:tabs>
          <w:tab w:leader="none" w:pos="446"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 all listed nominees (except do not vote for the nominee(s) whose name(s) I have written below)</w:t>
      </w:r>
    </w:p>
    <w:p>
      <w:pPr>
        <w:spacing w:after="0" w:line="16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 WITHHOLD AUTHORITY to vote for the listed nominees</w:t>
      </w:r>
    </w:p>
    <w:p>
      <w:pPr>
        <w:spacing w:after="0" w:line="175" w:lineRule="exact"/>
        <w:rPr>
          <w:sz w:val="20"/>
          <w:szCs w:val="20"/>
          <w:color w:val="auto"/>
        </w:rPr>
      </w:pPr>
    </w:p>
    <w:p>
      <w:pPr>
        <w:ind w:left="260" w:hanging="251"/>
        <w:spacing w:after="0"/>
        <w:tabs>
          <w:tab w:leader="none" w:pos="2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RATIFICATION OF SELECTION OF ERNST &amp; YOUNG LLP AS INDEPENDENT AUDITORS</w:t>
      </w:r>
    </w:p>
    <w:p>
      <w:pPr>
        <w:spacing w:after="0" w:line="175" w:lineRule="exact"/>
        <w:rPr>
          <w:sz w:val="20"/>
          <w:szCs w:val="20"/>
          <w:color w:val="auto"/>
        </w:rPr>
      </w:pPr>
    </w:p>
    <w:p>
      <w:pPr>
        <w:ind w:left="360"/>
        <w:spacing w:after="0"/>
        <w:tabs>
          <w:tab w:leader="none" w:pos="2340" w:val="left"/>
          <w:tab w:leader="none" w:pos="468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5" w:lineRule="exact"/>
        <w:rPr>
          <w:sz w:val="20"/>
          <w:szCs w:val="20"/>
          <w:color w:val="auto"/>
        </w:rPr>
      </w:pPr>
    </w:p>
    <w:p>
      <w:pPr>
        <w:ind w:left="260" w:right="3719" w:hanging="251"/>
        <w:spacing w:after="0" w:line="255" w:lineRule="auto"/>
        <w:tabs>
          <w:tab w:leader="none" w:pos="2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MEETING, OR ANY ADJOURNMENTS THEREOF.</w:t>
      </w:r>
    </w:p>
    <w:p>
      <w:pPr>
        <w:sectPr>
          <w:pgSz w:w="11900" w:h="16838" w:orient="portrait"/>
          <w:cols w:equalWidth="0" w:num="1">
            <w:col w:w="10159"/>
          </w:cols>
          <w:pgMar w:left="30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MARTIN MARIETTA MATERIALS, INC.</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 FOLD AND DETACH HERE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by the Board of Directors and when properly executed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will be voted as specified herein and, unless</w:t>
            </w: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otherwise directed, will be voted</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FOR the election of all nominees as Directors</w:t>
            </w: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and FOR the ratification of</w:t>
            </w:r>
          </w:p>
        </w:tc>
        <w:tc>
          <w:tcPr>
            <w:tcW w:w="520" w:type="dxa"/>
            <w:vAlign w:val="bottom"/>
          </w:tcPr>
          <w:p>
            <w:pPr>
              <w:spacing w:after="0"/>
              <w:rPr>
                <w:sz w:val="14"/>
                <w:szCs w:val="1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selection of Ernst &amp; Young LLP as independent</w:t>
            </w: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auditors. The Board of Directors</w:t>
            </w: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recommends voting FOR each item.</w:t>
            </w: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6440" w:type="dxa"/>
            <w:vAlign w:val="bottom"/>
            <w:gridSpan w:val="2"/>
          </w:tcPr>
          <w:p>
            <w:pPr>
              <w:spacing w:after="0"/>
              <w:rPr>
                <w:sz w:val="20"/>
                <w:szCs w:val="20"/>
                <w:color w:val="auto"/>
              </w:rPr>
            </w:pPr>
            <w:r>
              <w:rPr>
                <w:rFonts w:ascii="Courier New" w:cs="Courier New" w:eastAsia="Courier New" w:hAnsi="Courier New"/>
                <w:sz w:val="14"/>
                <w:szCs w:val="14"/>
                <w:color w:val="auto"/>
              </w:rPr>
              <w:t>Receipt of Notice of Annual Meeting of Shareholders and accompanying Proxy</w:t>
            </w:r>
          </w:p>
        </w:tc>
        <w:tc>
          <w:tcPr>
            <w:tcW w:w="520" w:type="dxa"/>
            <w:vAlign w:val="bottom"/>
          </w:tcPr>
          <w:p>
            <w:pPr>
              <w:spacing w:after="0"/>
              <w:rPr>
                <w:sz w:val="24"/>
                <w:szCs w:val="24"/>
                <w:color w:val="auto"/>
              </w:rPr>
            </w:pPr>
          </w:p>
        </w:tc>
      </w:tr>
      <w:tr>
        <w:trPr>
          <w:trHeight w:val="167"/>
        </w:trPr>
        <w:tc>
          <w:tcPr>
            <w:tcW w:w="3960" w:type="dxa"/>
            <w:vAlign w:val="bottom"/>
          </w:tcPr>
          <w:p>
            <w:pPr>
              <w:spacing w:after="0"/>
              <w:rPr>
                <w:sz w:val="20"/>
                <w:szCs w:val="20"/>
                <w:color w:val="auto"/>
              </w:rPr>
            </w:pPr>
            <w:r>
              <w:rPr>
                <w:rFonts w:ascii="Courier New" w:cs="Courier New" w:eastAsia="Courier New" w:hAnsi="Courier New"/>
                <w:sz w:val="14"/>
                <w:szCs w:val="14"/>
                <w:color w:val="auto"/>
              </w:rPr>
              <w:t>Statement is hereby acknowledged.</w:t>
            </w: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3960" w:type="dxa"/>
            <w:vAlign w:val="bottom"/>
          </w:tcPr>
          <w:p>
            <w:pPr>
              <w:spacing w:after="0"/>
              <w:rPr>
                <w:sz w:val="24"/>
                <w:szCs w:val="2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PLEASE DATE AND SIGN EXACTLY AS</w:t>
            </w:r>
          </w:p>
        </w:tc>
      </w:tr>
      <w:tr>
        <w:trPr>
          <w:trHeight w:val="167"/>
        </w:trPr>
        <w:tc>
          <w:tcPr>
            <w:tcW w:w="396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PRINTED BELOW AND RETURN PROMPTLY</w:t>
            </w:r>
          </w:p>
        </w:tc>
      </w:tr>
      <w:tr>
        <w:trPr>
          <w:trHeight w:val="167"/>
        </w:trPr>
        <w:tc>
          <w:tcPr>
            <w:tcW w:w="396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IN THE ENCLOSED POSTAGE PAID</w:t>
            </w:r>
          </w:p>
        </w:tc>
        <w:tc>
          <w:tcPr>
            <w:tcW w:w="520" w:type="dxa"/>
            <w:vAlign w:val="bottom"/>
          </w:tcPr>
          <w:p>
            <w:pPr>
              <w:spacing w:after="0"/>
              <w:rPr>
                <w:sz w:val="14"/>
                <w:szCs w:val="14"/>
                <w:color w:val="auto"/>
              </w:rPr>
            </w:pPr>
          </w:p>
        </w:tc>
      </w:tr>
      <w:tr>
        <w:trPr>
          <w:trHeight w:val="167"/>
        </w:trPr>
        <w:tc>
          <w:tcPr>
            <w:tcW w:w="3960" w:type="dxa"/>
            <w:vAlign w:val="bottom"/>
          </w:tcPr>
          <w:p>
            <w:pPr>
              <w:spacing w:after="0"/>
              <w:rPr>
                <w:sz w:val="14"/>
                <w:szCs w:val="1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ENVELOPE.</w:t>
            </w:r>
          </w:p>
        </w:tc>
        <w:tc>
          <w:tcPr>
            <w:tcW w:w="520" w:type="dxa"/>
            <w:vAlign w:val="bottom"/>
          </w:tcPr>
          <w:p>
            <w:pPr>
              <w:spacing w:after="0"/>
              <w:rPr>
                <w:sz w:val="14"/>
                <w:szCs w:val="14"/>
                <w:color w:val="auto"/>
              </w:rPr>
            </w:pPr>
          </w:p>
        </w:tc>
      </w:tr>
      <w:tr>
        <w:trPr>
          <w:trHeight w:val="334"/>
        </w:trPr>
        <w:tc>
          <w:tcPr>
            <w:tcW w:w="3960" w:type="dxa"/>
            <w:vAlign w:val="bottom"/>
          </w:tcPr>
          <w:p>
            <w:pPr>
              <w:spacing w:after="0"/>
              <w:rPr>
                <w:sz w:val="24"/>
                <w:szCs w:val="24"/>
                <w:color w:val="auto"/>
              </w:rPr>
            </w:pPr>
          </w:p>
        </w:tc>
        <w:tc>
          <w:tcPr>
            <w:tcW w:w="2480" w:type="dxa"/>
            <w:vAlign w:val="bottom"/>
          </w:tcPr>
          <w:p>
            <w:pPr>
              <w:ind w:left="40"/>
              <w:spacing w:after="0"/>
              <w:rPr>
                <w:sz w:val="20"/>
                <w:szCs w:val="20"/>
                <w:color w:val="auto"/>
              </w:rPr>
            </w:pPr>
            <w:r>
              <w:rPr>
                <w:rFonts w:ascii="Courier New" w:cs="Courier New" w:eastAsia="Courier New" w:hAnsi="Courier New"/>
                <w:sz w:val="14"/>
                <w:szCs w:val="14"/>
                <w:color w:val="auto"/>
              </w:rPr>
              <w:t>Dated: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 2000</w:t>
            </w:r>
          </w:p>
        </w:tc>
      </w:tr>
    </w:tbl>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Signature and Title</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Signature if held jointly</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(WHEN SIGNING AS ATTORNEY,</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EXECUTOR, ADMINISTRATOR, TRUSTEE,</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GUARDIAN, ETC., GIVE TITLE AS</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SUCH. IF JOINT ACCOUNT, EACH JOINT</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OWNER SHOULD SIGN. IF A</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CORPORATION OR A PARTNERSHIP, SIGN</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FULL CORPORATE NAME OR PARTNERSHIP</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NAME, AS THE CASE MAY BE, BY AN</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AUTHORIZED PERSON.)</w:t>
      </w:r>
    </w:p>
    <w:sectPr>
      <w:pgSz w:w="11900" w:h="16838" w:orient="portrait"/>
      <w:cols w:equalWidth="0" w:num="1">
        <w:col w:w="10159"/>
      </w:cols>
      <w:pgMar w:left="30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24"/>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1"/>
    </w:lvl>
    <w:lvl w:ilvl="1">
      <w:lvlJc w:val="left"/>
      <w:lvlText w:val="(%2)"/>
      <w:numFmt w:val="decimal"/>
      <w:start w:val="3"/>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2020-10-07T03:13:07Z</dcterms:created>
  <dcterms:modified xsi:type="dcterms:W3CDTF">2020-10-07T03:13:07Z</dcterms:modified>
</cp:coreProperties>
</file>